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85E6" w14:textId="77777777" w:rsidR="00C3162A" w:rsidRPr="00712C78" w:rsidRDefault="00C3162A" w:rsidP="00C3162A">
      <w:pPr>
        <w:pBdr>
          <w:bottom w:val="single" w:sz="4" w:space="1" w:color="auto"/>
        </w:pBdr>
        <w:ind w:left="360"/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712C78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14:paraId="3DC79788" w14:textId="77777777" w:rsidR="00C3162A" w:rsidRPr="00712C78" w:rsidRDefault="00C3162A" w:rsidP="00C3162A">
      <w:pPr>
        <w:pBdr>
          <w:bottom w:val="single" w:sz="4" w:space="1" w:color="auto"/>
        </w:pBdr>
        <w:ind w:left="360"/>
        <w:jc w:val="center"/>
        <w:rPr>
          <w:rFonts w:ascii="Garamond" w:hAnsi="Garamond"/>
          <w:b/>
          <w:smallCaps/>
          <w:color w:val="000000"/>
          <w:sz w:val="32"/>
        </w:rPr>
      </w:pPr>
      <w:r w:rsidRPr="00712C78">
        <w:rPr>
          <w:rFonts w:ascii="Garamond" w:hAnsi="Garamond"/>
          <w:color w:val="000000"/>
        </w:rPr>
        <w:t>Zátkovo nábřeží 2, 370 84 České Budějovice,</w:t>
      </w:r>
    </w:p>
    <w:p w14:paraId="2D0D011E" w14:textId="77777777" w:rsidR="00C3162A" w:rsidRPr="006B14FD" w:rsidRDefault="00C3162A" w:rsidP="00C3162A">
      <w:pPr>
        <w:pStyle w:val="Nzev"/>
        <w:tabs>
          <w:tab w:val="center" w:pos="4536"/>
          <w:tab w:val="left" w:pos="8070"/>
        </w:tabs>
        <w:ind w:left="360"/>
        <w:outlineLvl w:val="0"/>
        <w:rPr>
          <w:rStyle w:val="Hypertextovodkaz"/>
          <w:rFonts w:ascii="Garamond" w:hAnsi="Garamond" w:cs="Arial"/>
          <w:b w:val="0"/>
          <w:sz w:val="24"/>
          <w:szCs w:val="24"/>
        </w:rPr>
      </w:pPr>
      <w:r w:rsidRPr="006B14FD">
        <w:rPr>
          <w:rFonts w:ascii="Garamond" w:hAnsi="Garamond" w:cs="Arial"/>
          <w:b w:val="0"/>
          <w:sz w:val="24"/>
          <w:szCs w:val="24"/>
        </w:rPr>
        <w:t xml:space="preserve">telefon </w:t>
      </w:r>
      <w:r w:rsidRPr="006B14FD">
        <w:rPr>
          <w:rFonts w:ascii="Garamond" w:hAnsi="Garamond"/>
          <w:b w:val="0"/>
          <w:sz w:val="24"/>
          <w:szCs w:val="24"/>
        </w:rPr>
        <w:t>389 018 111</w:t>
      </w:r>
      <w:r w:rsidRPr="006B14FD">
        <w:rPr>
          <w:rFonts w:ascii="Garamond" w:hAnsi="Garamond" w:cs="Arial"/>
          <w:b w:val="0"/>
          <w:sz w:val="24"/>
          <w:szCs w:val="24"/>
        </w:rPr>
        <w:t xml:space="preserve">, fax </w:t>
      </w:r>
      <w:r w:rsidRPr="006B14FD">
        <w:rPr>
          <w:rFonts w:ascii="Garamond" w:hAnsi="Garamond"/>
          <w:b w:val="0"/>
          <w:sz w:val="24"/>
          <w:szCs w:val="24"/>
        </w:rPr>
        <w:t xml:space="preserve">386 356 425, </w:t>
      </w:r>
      <w:r w:rsidRPr="006B14FD">
        <w:rPr>
          <w:rFonts w:ascii="Garamond" w:hAnsi="Garamond" w:cs="Arial"/>
          <w:b w:val="0"/>
          <w:sz w:val="24"/>
          <w:szCs w:val="24"/>
        </w:rPr>
        <w:t xml:space="preserve">e-mail: </w:t>
      </w:r>
      <w:hyperlink r:id="rId8" w:history="1">
        <w:r w:rsidRPr="006B14FD">
          <w:rPr>
            <w:rStyle w:val="Hypertextovodkaz"/>
            <w:rFonts w:ascii="Garamond" w:hAnsi="Garamond" w:cs="Arial"/>
            <w:b w:val="0"/>
            <w:sz w:val="24"/>
            <w:szCs w:val="24"/>
          </w:rPr>
          <w:t>podatelna@ksoud.cbu.justice.cz</w:t>
        </w:r>
      </w:hyperlink>
      <w:r w:rsidRPr="006B14FD">
        <w:rPr>
          <w:rStyle w:val="Hypertextovodkaz"/>
          <w:rFonts w:ascii="Garamond" w:hAnsi="Garamond" w:cs="Arial"/>
          <w:b w:val="0"/>
          <w:sz w:val="24"/>
          <w:szCs w:val="24"/>
        </w:rPr>
        <w:t>, IDDS:832abay</w:t>
      </w:r>
    </w:p>
    <w:p w14:paraId="66F0A507" w14:textId="77777777" w:rsidR="00C3162A" w:rsidRPr="00915E35" w:rsidRDefault="00C3162A" w:rsidP="00C3162A">
      <w:pPr>
        <w:pStyle w:val="Nadpis2"/>
        <w:numPr>
          <w:ilvl w:val="0"/>
          <w:numId w:val="0"/>
        </w:numPr>
        <w:spacing w:before="120" w:after="120"/>
        <w:ind w:left="576" w:hanging="576"/>
        <w:jc w:val="center"/>
      </w:pPr>
    </w:p>
    <w:p w14:paraId="38F7E22C" w14:textId="77777777" w:rsidR="00C3162A" w:rsidRPr="00915E35" w:rsidRDefault="00C3162A" w:rsidP="00C3162A">
      <w:pPr>
        <w:spacing w:before="120" w:after="120"/>
      </w:pPr>
    </w:p>
    <w:p w14:paraId="18AC89A7" w14:textId="77777777" w:rsidR="00C3162A" w:rsidRPr="00915E35" w:rsidRDefault="00C3162A" w:rsidP="00C3162A">
      <w:pPr>
        <w:spacing w:before="120" w:after="120"/>
      </w:pPr>
    </w:p>
    <w:p w14:paraId="2E299313" w14:textId="2B782631" w:rsidR="00C3162A" w:rsidRPr="00915E35" w:rsidRDefault="00C3162A" w:rsidP="00C3162A">
      <w:pPr>
        <w:spacing w:before="120" w:after="120"/>
      </w:pPr>
      <w:r w:rsidRPr="002B41C0">
        <w:t>Spr</w:t>
      </w:r>
      <w:r w:rsidR="002B41C0" w:rsidRPr="002B41C0">
        <w:t xml:space="preserve"> 93/2026</w:t>
      </w:r>
    </w:p>
    <w:p w14:paraId="0BFC1DB7" w14:textId="77777777" w:rsidR="00C3162A" w:rsidRPr="00915E35" w:rsidRDefault="00C3162A" w:rsidP="00C3162A">
      <w:pPr>
        <w:spacing w:before="120" w:after="120"/>
      </w:pPr>
    </w:p>
    <w:p w14:paraId="620CB8D7" w14:textId="77777777" w:rsidR="00C3162A" w:rsidRPr="00915E35" w:rsidRDefault="00C3162A" w:rsidP="00C3162A">
      <w:pPr>
        <w:spacing w:before="120" w:after="120"/>
      </w:pPr>
    </w:p>
    <w:p w14:paraId="1D1BF543" w14:textId="77777777" w:rsidR="00C3162A" w:rsidRPr="00915E35" w:rsidRDefault="00C3162A" w:rsidP="00C3162A">
      <w:pPr>
        <w:spacing w:before="120" w:after="120"/>
      </w:pPr>
    </w:p>
    <w:p w14:paraId="549CC70F" w14:textId="77777777" w:rsidR="00C3162A" w:rsidRPr="00915E35" w:rsidRDefault="00C3162A" w:rsidP="00C3162A">
      <w:pPr>
        <w:spacing w:before="120" w:after="120"/>
      </w:pPr>
    </w:p>
    <w:p w14:paraId="1D8D5B60" w14:textId="77777777" w:rsidR="00C3162A" w:rsidRPr="00915E35" w:rsidRDefault="00C3162A" w:rsidP="00C3162A">
      <w:pPr>
        <w:spacing w:before="120" w:after="120"/>
      </w:pPr>
    </w:p>
    <w:p w14:paraId="52F72BF2" w14:textId="77777777" w:rsidR="00C3162A" w:rsidRPr="00915E35" w:rsidRDefault="00C3162A" w:rsidP="00C3162A">
      <w:pPr>
        <w:spacing w:before="120" w:after="120"/>
      </w:pPr>
    </w:p>
    <w:p w14:paraId="6F5DB3FC" w14:textId="77777777" w:rsidR="00C3162A" w:rsidRPr="00915E35" w:rsidRDefault="00C3162A" w:rsidP="00C3162A">
      <w:pPr>
        <w:spacing w:before="120" w:after="120"/>
        <w:jc w:val="center"/>
        <w:rPr>
          <w:b/>
          <w:sz w:val="36"/>
        </w:rPr>
      </w:pPr>
      <w:r w:rsidRPr="00915E35">
        <w:rPr>
          <w:b/>
          <w:sz w:val="36"/>
        </w:rPr>
        <w:t>ROZBOR VÝSLEDKŮ ROZPOČTOVÉHO HOSPODAŘENÍ</w:t>
      </w:r>
    </w:p>
    <w:p w14:paraId="78CEB8EA" w14:textId="77777777" w:rsidR="00C3162A" w:rsidRPr="00915E35" w:rsidRDefault="00C3162A" w:rsidP="00C3162A">
      <w:pPr>
        <w:spacing w:before="120" w:after="120"/>
        <w:jc w:val="center"/>
        <w:rPr>
          <w:i/>
          <w:sz w:val="36"/>
        </w:rPr>
      </w:pPr>
      <w:r>
        <w:rPr>
          <w:i/>
          <w:sz w:val="36"/>
        </w:rPr>
        <w:t>Krajský soud v Českých Budějovicích</w:t>
      </w:r>
    </w:p>
    <w:p w14:paraId="2D98D847" w14:textId="2B75BF83" w:rsidR="00C3162A" w:rsidRPr="00915E35" w:rsidRDefault="00C3162A" w:rsidP="00C3162A">
      <w:pPr>
        <w:spacing w:before="120" w:after="120"/>
        <w:jc w:val="center"/>
        <w:rPr>
          <w:i/>
          <w:sz w:val="36"/>
        </w:rPr>
      </w:pPr>
      <w:r>
        <w:rPr>
          <w:i/>
          <w:sz w:val="36"/>
        </w:rPr>
        <w:t>202</w:t>
      </w:r>
      <w:r w:rsidR="00DB0B9D">
        <w:rPr>
          <w:i/>
          <w:sz w:val="36"/>
        </w:rPr>
        <w:t>5</w:t>
      </w:r>
    </w:p>
    <w:p w14:paraId="5BADEB97" w14:textId="77777777" w:rsidR="00C3162A" w:rsidRPr="00915E35" w:rsidRDefault="00C3162A" w:rsidP="00C3162A">
      <w:pPr>
        <w:spacing w:before="120" w:after="120"/>
        <w:rPr>
          <w:b/>
          <w:sz w:val="36"/>
        </w:rPr>
      </w:pPr>
    </w:p>
    <w:p w14:paraId="3A33EADB" w14:textId="77777777" w:rsidR="00C3162A" w:rsidRPr="00915E35" w:rsidRDefault="00C3162A" w:rsidP="00C3162A">
      <w:pPr>
        <w:spacing w:before="120" w:after="120"/>
      </w:pPr>
    </w:p>
    <w:p w14:paraId="74C595B8" w14:textId="77777777" w:rsidR="00C3162A" w:rsidRPr="00915E35" w:rsidRDefault="00C3162A" w:rsidP="00C3162A">
      <w:pPr>
        <w:spacing w:before="120" w:after="120"/>
      </w:pPr>
    </w:p>
    <w:p w14:paraId="5B0D9C98" w14:textId="77777777" w:rsidR="00C3162A" w:rsidRPr="00915E35" w:rsidRDefault="00C3162A" w:rsidP="00C3162A">
      <w:pPr>
        <w:spacing w:before="120" w:after="120"/>
      </w:pPr>
    </w:p>
    <w:p w14:paraId="343D4AA9" w14:textId="77777777" w:rsidR="00C3162A" w:rsidRPr="00915E35" w:rsidRDefault="00C3162A" w:rsidP="00C3162A">
      <w:pPr>
        <w:spacing w:before="120" w:after="120"/>
      </w:pPr>
    </w:p>
    <w:p w14:paraId="2E660E43" w14:textId="77777777" w:rsidR="00C3162A" w:rsidRPr="00915E35" w:rsidRDefault="00C3162A" w:rsidP="00C3162A">
      <w:pPr>
        <w:spacing w:before="120" w:after="120"/>
      </w:pPr>
    </w:p>
    <w:p w14:paraId="1C3DE427" w14:textId="77777777" w:rsidR="00C3162A" w:rsidRPr="00915E35" w:rsidRDefault="00C3162A" w:rsidP="00C3162A">
      <w:pPr>
        <w:spacing w:before="120" w:after="120"/>
      </w:pPr>
    </w:p>
    <w:p w14:paraId="0D666E68" w14:textId="77777777" w:rsidR="00C3162A" w:rsidRPr="00915E35" w:rsidRDefault="00C3162A" w:rsidP="00C3162A">
      <w:pPr>
        <w:spacing w:before="120" w:after="120"/>
      </w:pPr>
    </w:p>
    <w:p w14:paraId="2DA65523" w14:textId="77777777" w:rsidR="00C3162A" w:rsidRPr="0079553F" w:rsidRDefault="00C3162A" w:rsidP="00C3162A">
      <w:pPr>
        <w:jc w:val="both"/>
        <w:rPr>
          <w:rFonts w:ascii="Garamond" w:hAnsi="Garamond"/>
          <w:iCs/>
          <w:sz w:val="24"/>
          <w:szCs w:val="24"/>
        </w:rPr>
      </w:pPr>
      <w:r w:rsidRPr="0079553F">
        <w:rPr>
          <w:rFonts w:ascii="Garamond" w:hAnsi="Garamond"/>
          <w:sz w:val="24"/>
          <w:szCs w:val="24"/>
        </w:rPr>
        <w:t>Za složku předkládá: Mgr. Martina Flanderová, Ph.D., předsedkyně krajského soudu</w:t>
      </w:r>
      <w:r w:rsidRPr="0079553F">
        <w:rPr>
          <w:rFonts w:ascii="Garamond" w:hAnsi="Garamond"/>
          <w:iCs/>
          <w:sz w:val="24"/>
          <w:szCs w:val="24"/>
        </w:rPr>
        <w:t xml:space="preserve">     </w:t>
      </w:r>
    </w:p>
    <w:p w14:paraId="611CF2E2" w14:textId="77777777" w:rsidR="00C3162A" w:rsidRPr="0079553F" w:rsidRDefault="00C3162A" w:rsidP="00C3162A">
      <w:pPr>
        <w:jc w:val="both"/>
        <w:rPr>
          <w:rFonts w:ascii="Garamond" w:hAnsi="Garamond"/>
          <w:iCs/>
          <w:sz w:val="24"/>
          <w:szCs w:val="24"/>
        </w:rPr>
      </w:pPr>
    </w:p>
    <w:p w14:paraId="2E9EB9C5" w14:textId="77777777" w:rsidR="00C3162A" w:rsidRPr="0079553F" w:rsidRDefault="00C3162A" w:rsidP="00C3162A">
      <w:pPr>
        <w:jc w:val="both"/>
        <w:rPr>
          <w:rFonts w:ascii="Garamond" w:hAnsi="Garamond"/>
          <w:sz w:val="24"/>
          <w:szCs w:val="24"/>
        </w:rPr>
      </w:pPr>
    </w:p>
    <w:p w14:paraId="1A49831A" w14:textId="77777777" w:rsidR="00C3162A" w:rsidRPr="0079553F" w:rsidRDefault="00C3162A" w:rsidP="00C3162A">
      <w:pPr>
        <w:pStyle w:val="Bezmezer"/>
        <w:rPr>
          <w:rFonts w:ascii="Garamond" w:hAnsi="Garamond"/>
          <w:sz w:val="24"/>
          <w:szCs w:val="24"/>
        </w:rPr>
      </w:pPr>
      <w:r w:rsidRPr="0079553F">
        <w:rPr>
          <w:rFonts w:ascii="Garamond" w:hAnsi="Garamond"/>
          <w:sz w:val="24"/>
          <w:szCs w:val="24"/>
        </w:rPr>
        <w:t>Sestavila: Marie Kremsová</w:t>
      </w:r>
    </w:p>
    <w:p w14:paraId="343B0737" w14:textId="77777777" w:rsidR="001D6A41" w:rsidRPr="00915E35" w:rsidRDefault="001D6A41" w:rsidP="002021FE">
      <w:pPr>
        <w:spacing w:before="120" w:after="120"/>
      </w:pPr>
    </w:p>
    <w:p w14:paraId="6CD2F9D6" w14:textId="11372955" w:rsidR="004C6938" w:rsidRPr="00915E35" w:rsidRDefault="001D6A41" w:rsidP="00C3162A">
      <w:pPr>
        <w:pBdr>
          <w:bottom w:val="single" w:sz="4" w:space="1" w:color="auto"/>
        </w:pBdr>
        <w:ind w:left="360"/>
        <w:jc w:val="center"/>
      </w:pPr>
      <w:r w:rsidRPr="00915E35">
        <w:br w:type="page"/>
      </w:r>
    </w:p>
    <w:p w14:paraId="5790A9DD" w14:textId="74C779D4" w:rsidR="001D6A41" w:rsidRPr="00915E35" w:rsidRDefault="001D6A41" w:rsidP="002021FE">
      <w:pPr>
        <w:spacing w:before="120" w:after="120"/>
      </w:pPr>
    </w:p>
    <w:p w14:paraId="63D157CD" w14:textId="77777777" w:rsidR="00A72C6C" w:rsidRPr="00915E35" w:rsidRDefault="00A72C6C" w:rsidP="0075257C">
      <w:pPr>
        <w:pStyle w:val="Obsah1"/>
      </w:pPr>
      <w:r w:rsidRPr="00915E35">
        <w:t>OBSAH</w:t>
      </w:r>
    </w:p>
    <w:p w14:paraId="3E2B5908" w14:textId="77777777" w:rsidR="00DB0B9D" w:rsidRDefault="00DB0B9D" w:rsidP="00DB0B9D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r w:rsidRPr="00915E35">
        <w:fldChar w:fldCharType="begin"/>
      </w:r>
      <w:r w:rsidRPr="00915E35">
        <w:instrText xml:space="preserve"> TOC \o "1-3" \h \z \u </w:instrText>
      </w:r>
      <w:r w:rsidRPr="00915E35">
        <w:fldChar w:fldCharType="separate"/>
      </w:r>
      <w:hyperlink w:anchor="_Toc197691358" w:history="1">
        <w:r w:rsidRPr="003A5265">
          <w:rPr>
            <w:rStyle w:val="Hypertextovodkaz"/>
            <w:noProof/>
          </w:rPr>
          <w:t>1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Obecné informace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035C5A" w14:textId="77777777" w:rsidR="00DB0B9D" w:rsidRDefault="00DB0B9D" w:rsidP="00DB0B9D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197691359" w:history="1">
        <w:r w:rsidRPr="003A5265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Obsah a rozsah průvodní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FAB75F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60" w:history="1">
        <w:r w:rsidRPr="003A5265">
          <w:rPr>
            <w:rStyle w:val="Hypertextovodkaz"/>
            <w:noProof/>
          </w:rPr>
          <w:t>2.1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Zhodnocení plnění rozpočtu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5986B7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61" w:history="1">
        <w:r w:rsidRPr="003A5265">
          <w:rPr>
            <w:rStyle w:val="Hypertextovodkaz"/>
            <w:noProof/>
          </w:rPr>
          <w:t>2.2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Komentář k rozpočtovým opatřením schvalovaným Ministerstvem financí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91CDBC" w14:textId="77777777" w:rsidR="00DB0B9D" w:rsidRDefault="00DB0B9D" w:rsidP="00DB0B9D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197691362" w:history="1">
        <w:r w:rsidRPr="003A5265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PŘÍJMY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8E6210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63" w:history="1">
        <w:r w:rsidRPr="003A5265">
          <w:rPr>
            <w:rStyle w:val="Hypertextovodkaz"/>
            <w:noProof/>
          </w:rPr>
          <w:t>3.1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Zhodnocení celkových příjmů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54E592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64" w:history="1">
        <w:r w:rsidRPr="003A5265">
          <w:rPr>
            <w:rStyle w:val="Hypertextovodkaz"/>
            <w:noProof/>
          </w:rPr>
          <w:t>3.2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Hodnocení příjmů v členění podle rozpočtové skladby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9F7B8C6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65" w:history="1">
        <w:r w:rsidRPr="003A5265">
          <w:rPr>
            <w:rStyle w:val="Hypertextovodkaz"/>
            <w:rFonts w:cstheme="minorHAnsi"/>
            <w:noProof/>
          </w:rPr>
          <w:t>3.2.1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rFonts w:cstheme="minorHAnsi"/>
            <w:noProof/>
          </w:rPr>
          <w:t>Daňové příjmy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78809C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66" w:history="1">
        <w:r w:rsidRPr="003A5265">
          <w:rPr>
            <w:rStyle w:val="Hypertextovodkaz"/>
            <w:rFonts w:cstheme="minorHAnsi"/>
            <w:noProof/>
          </w:rPr>
          <w:t>3.2.2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rFonts w:cstheme="minorHAnsi"/>
            <w:noProof/>
          </w:rPr>
          <w:t>Nedaňové příjmy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CEAC41A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67" w:history="1">
        <w:r w:rsidRPr="003A5265">
          <w:rPr>
            <w:rStyle w:val="Hypertextovodkaz"/>
            <w:rFonts w:cstheme="minorHAnsi"/>
            <w:noProof/>
          </w:rPr>
          <w:t>3.2.3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rFonts w:cstheme="minorHAnsi"/>
            <w:noProof/>
          </w:rPr>
          <w:t>Kapitálové příjmy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71F4B5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68" w:history="1">
        <w:r w:rsidRPr="003A5265">
          <w:rPr>
            <w:rStyle w:val="Hypertextovodkaz"/>
            <w:rFonts w:cstheme="minorHAnsi"/>
            <w:noProof/>
          </w:rPr>
          <w:t>3.2.4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rFonts w:cstheme="minorHAnsi"/>
            <w:noProof/>
          </w:rPr>
          <w:t>Přijaté transfery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FC5A6BC" w14:textId="77777777" w:rsidR="00DB0B9D" w:rsidRDefault="00DB0B9D" w:rsidP="00DB0B9D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197691369" w:history="1">
        <w:r w:rsidRPr="003A5265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VÝDAJE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C9A521E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70" w:history="1">
        <w:r w:rsidRPr="003A5265">
          <w:rPr>
            <w:rStyle w:val="Hypertextovodkaz"/>
            <w:noProof/>
          </w:rPr>
          <w:t>4.1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Vyhodnocení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74CF7E0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71" w:history="1">
        <w:r w:rsidRPr="003A5265">
          <w:rPr>
            <w:rStyle w:val="Hypertextovodkaz"/>
            <w:noProof/>
          </w:rPr>
          <w:t>4.1.1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Vázání běžných výdajů bez EDS/SMVS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ECE484F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72" w:history="1">
        <w:r w:rsidRPr="003A5265">
          <w:rPr>
            <w:rStyle w:val="Hypertextovodkaz"/>
            <w:noProof/>
          </w:rPr>
          <w:t>4.1.2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Mimorozpočtové zdroje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AB8C2D0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73" w:history="1">
        <w:r w:rsidRPr="003A5265">
          <w:rPr>
            <w:rStyle w:val="Hypertextovodkaz"/>
            <w:noProof/>
          </w:rPr>
          <w:t>4.2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Rozbor zaměstnanosti a čerpání mzdových prostředků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165D4F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74" w:history="1">
        <w:r w:rsidRPr="003A5265">
          <w:rPr>
            <w:rStyle w:val="Hypertextovodkaz"/>
            <w:noProof/>
          </w:rPr>
          <w:t>4.3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Hodnocení hospodárnosti, efektivnosti a účelnosti vynakládání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067EEF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75" w:history="1">
        <w:r w:rsidRPr="003A5265">
          <w:rPr>
            <w:rStyle w:val="Hypertextovodkaz"/>
            <w:noProof/>
          </w:rPr>
          <w:t>4.4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Stravování zaměstnanců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A406B7D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76" w:history="1">
        <w:r w:rsidRPr="003A5265">
          <w:rPr>
            <w:rStyle w:val="Hypertextovodkaz"/>
            <w:noProof/>
          </w:rPr>
          <w:t>4.5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Rozlišovací znaky (soudy, státní zastupitelství, malé organizace, aparát MSp)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68A45B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77" w:history="1">
        <w:r w:rsidRPr="003A5265">
          <w:rPr>
            <w:rStyle w:val="Hypertextovodkaz"/>
            <w:noProof/>
          </w:rPr>
          <w:t>4.6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Rozbor 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D75F9F9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78" w:history="1">
        <w:r w:rsidRPr="003A5265">
          <w:rPr>
            <w:rStyle w:val="Hypertextovodkaz"/>
            <w:noProof/>
          </w:rPr>
          <w:t>4.7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Rozbor OBKŘ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20380CE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79" w:history="1">
        <w:r w:rsidRPr="003A5265">
          <w:rPr>
            <w:rStyle w:val="Hypertextovodkaz"/>
            <w:noProof/>
          </w:rPr>
          <w:t>4.8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Dávky sociálního zabezpečení (vyplňuje VS ČR)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B710CEA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80" w:history="1">
        <w:r w:rsidRPr="003A5265">
          <w:rPr>
            <w:rStyle w:val="Hypertextovodkaz"/>
            <w:noProof/>
          </w:rPr>
          <w:t>4.9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Projekty spolufinancované z EU/FM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B09620D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81" w:history="1">
        <w:r w:rsidRPr="003A5265">
          <w:rPr>
            <w:rStyle w:val="Hypertextovodkaz"/>
            <w:noProof/>
          </w:rPr>
          <w:t>4.10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Hodnocení a vývoj transferů poskytnutých příspěvkovým a podobným organizacím (vyplňuje Aparát)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2034C90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82" w:history="1">
        <w:r w:rsidRPr="003A5265">
          <w:rPr>
            <w:rStyle w:val="Hypertextovodkaz"/>
            <w:noProof/>
          </w:rPr>
          <w:t>4.11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Neinvestiční transfery a související platby do zahraničí (seskupení 55)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39D00DC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83" w:history="1">
        <w:r w:rsidRPr="003A5265">
          <w:rPr>
            <w:rStyle w:val="Hypertextovodkaz"/>
            <w:noProof/>
          </w:rPr>
          <w:t>4.12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Čerpání a vývoj transferů poskytnutých neziskovým a podobným organizacím (vyplňuje Aparát MSp)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936DBE1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84" w:history="1">
        <w:r w:rsidRPr="003A5265">
          <w:rPr>
            <w:rStyle w:val="Hypertextovodkaz"/>
            <w:noProof/>
          </w:rPr>
          <w:t>4.13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Programové 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89E060D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85" w:history="1">
        <w:r w:rsidRPr="003A5265">
          <w:rPr>
            <w:rStyle w:val="Hypertextovodkaz"/>
            <w:rFonts w:cstheme="minorHAnsi"/>
            <w:noProof/>
          </w:rPr>
          <w:t>4.13.1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rFonts w:cstheme="minorHAnsi"/>
            <w:noProof/>
          </w:rPr>
          <w:t>Hodnocení výdajů programového 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15B0D39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86" w:history="1">
        <w:r w:rsidRPr="003A5265">
          <w:rPr>
            <w:rStyle w:val="Hypertextovodkaz"/>
            <w:rFonts w:cstheme="minorHAnsi"/>
            <w:noProof/>
          </w:rPr>
          <w:t>4.13.2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rFonts w:cstheme="minorHAnsi"/>
            <w:noProof/>
          </w:rPr>
          <w:t>Nároky z nespotřebovaných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D16F7C8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87" w:history="1">
        <w:r w:rsidRPr="003A5265">
          <w:rPr>
            <w:rStyle w:val="Hypertextovodkaz"/>
            <w:rFonts w:cstheme="minorHAnsi"/>
            <w:noProof/>
          </w:rPr>
          <w:t>4.13.3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rFonts w:cstheme="minorHAnsi"/>
            <w:noProof/>
          </w:rPr>
          <w:t>Největší investiční akce (viz Tabulková část – 20. Největší investiční akce)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52C96B7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88" w:history="1">
        <w:r w:rsidRPr="003A5265">
          <w:rPr>
            <w:rStyle w:val="Hypertextovodkaz"/>
            <w:rFonts w:cstheme="minorHAnsi"/>
            <w:noProof/>
          </w:rPr>
          <w:t>4.13.4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rFonts w:cstheme="minorHAnsi"/>
            <w:noProof/>
          </w:rPr>
          <w:t>Projekty spolufinancované z EU/FM  (viz Tabulková část – list 21. Projekty spolufinan.  EU_FM)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A9EA30D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89" w:history="1">
        <w:r w:rsidRPr="003A5265">
          <w:rPr>
            <w:rStyle w:val="Hypertextovodkaz"/>
            <w:rFonts w:cstheme="minorHAnsi"/>
            <w:noProof/>
          </w:rPr>
          <w:t>4.13.5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Vázání</w:t>
        </w:r>
        <w:r w:rsidRPr="003A5265">
          <w:rPr>
            <w:rStyle w:val="Hypertextovodkaz"/>
            <w:rFonts w:cstheme="minorHAnsi"/>
            <w:noProof/>
          </w:rPr>
          <w:t xml:space="preserve"> výdajů - viz Tabulková část – list 6. Vázání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2E208E1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90" w:history="1">
        <w:r w:rsidRPr="003A5265">
          <w:rPr>
            <w:rStyle w:val="Hypertextovodkaz"/>
            <w:rFonts w:cstheme="minorHAnsi"/>
            <w:noProof/>
          </w:rPr>
          <w:t>4.13.6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Výdaje</w:t>
        </w:r>
        <w:r w:rsidRPr="003A5265">
          <w:rPr>
            <w:rStyle w:val="Hypertextovodkaz"/>
            <w:rFonts w:cstheme="minorHAnsi"/>
            <w:noProof/>
          </w:rPr>
          <w:t xml:space="preserve"> s kódem účelu programové 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47B93CD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91" w:history="1">
        <w:r w:rsidRPr="003A5265">
          <w:rPr>
            <w:rStyle w:val="Hypertextovodkaz"/>
            <w:noProof/>
          </w:rPr>
          <w:t>4.14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Výdaje na podporu výzkumu, vývoje a inovace (vyplňuje IKSP)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3E2073F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92" w:history="1">
        <w:r w:rsidRPr="003A5265">
          <w:rPr>
            <w:rStyle w:val="Hypertextovodkaz"/>
            <w:noProof/>
          </w:rPr>
          <w:t>4.15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Nároky z nespotřebovaných výdajů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13CEBAE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93" w:history="1">
        <w:r w:rsidRPr="003A5265">
          <w:rPr>
            <w:rStyle w:val="Hypertextovodkaz"/>
            <w:noProof/>
          </w:rPr>
          <w:t>4.16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Mimořádné situace (COVID, UKRAJINA, odstraňování následků živelních katastrof a další mimořádné situace)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92A4C59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94" w:history="1">
        <w:r w:rsidRPr="003A5265">
          <w:rPr>
            <w:rStyle w:val="Hypertextovodkaz"/>
            <w:noProof/>
          </w:rPr>
          <w:t>4.16.1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Náklady spojené s „Ukrajinou“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6BFDFE1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95" w:history="1">
        <w:r w:rsidRPr="003A5265">
          <w:rPr>
            <w:rStyle w:val="Hypertextovodkaz"/>
            <w:noProof/>
          </w:rPr>
          <w:t>4.16.2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Prostředky na odstraňování následků živelních katastrof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9FC83A5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96" w:history="1">
        <w:r w:rsidRPr="003A5265">
          <w:rPr>
            <w:rStyle w:val="Hypertextovodkaz"/>
            <w:noProof/>
          </w:rPr>
          <w:t>4.17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Účelové prostředky na celostátní programy (vyplňuje VS ČR, IKSP, PMS, JA, Aparát MSp)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75320A9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97" w:history="1">
        <w:r w:rsidRPr="003A5265">
          <w:rPr>
            <w:rStyle w:val="Hypertextovodkaz"/>
            <w:noProof/>
          </w:rPr>
          <w:t>4.18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Poskytnuté a přijaté finanční prostředky na zahraniční aktivity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B18FDC9" w14:textId="77777777" w:rsidR="00DB0B9D" w:rsidRDefault="00DB0B9D" w:rsidP="00DB0B9D">
      <w:pPr>
        <w:pStyle w:val="Obsah3"/>
        <w:rPr>
          <w:rFonts w:eastAsiaTheme="minorEastAsia"/>
          <w:i w:val="0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98" w:history="1">
        <w:r w:rsidRPr="003A5265">
          <w:rPr>
            <w:rStyle w:val="Hypertextovodkaz"/>
            <w:noProof/>
          </w:rPr>
          <w:t>4.18.1</w:t>
        </w:r>
        <w:r>
          <w:rPr>
            <w:rFonts w:eastAsiaTheme="minorEastAsia"/>
            <w:i w:val="0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Prostředky na zapojení občanů ČR do civilních struktur EU a dalších mezinárodních vládních organizací a do volebních pozorovatelských misí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8CCF4BE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399" w:history="1">
        <w:r w:rsidRPr="003A5265">
          <w:rPr>
            <w:rStyle w:val="Hypertextovodkaz"/>
            <w:noProof/>
          </w:rPr>
          <w:t>4.19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Výdaje na tuzemské a zahraniční pracovní cesty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9D5E602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400" w:history="1">
        <w:r w:rsidRPr="003A5265">
          <w:rPr>
            <w:rStyle w:val="Hypertextovodkaz"/>
            <w:noProof/>
          </w:rPr>
          <w:t>4.20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Přehled zálohových plateb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DE58B0E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401" w:history="1">
        <w:r w:rsidRPr="003A5265">
          <w:rPr>
            <w:rStyle w:val="Hypertextovodkaz"/>
            <w:noProof/>
          </w:rPr>
          <w:t>4.21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Odškodnění osob a výplata náhrad (vyplňuje Aparát)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A1477FF" w14:textId="77777777" w:rsidR="00DB0B9D" w:rsidRDefault="00DB0B9D" w:rsidP="00DB0B9D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197691402" w:history="1">
        <w:r w:rsidRPr="003A5265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Úspory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E4C384C" w14:textId="77777777" w:rsidR="00DB0B9D" w:rsidRDefault="00DB0B9D" w:rsidP="00DB0B9D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197691403" w:history="1">
        <w:r w:rsidRPr="003A5265">
          <w:rPr>
            <w:rStyle w:val="Hypertextovodkaz"/>
            <w:noProof/>
          </w:rPr>
          <w:t>6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Bezúplatné převody majetku (bez převodů mezi OSS)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D187A19" w14:textId="77777777" w:rsidR="00DB0B9D" w:rsidRDefault="00DB0B9D" w:rsidP="00DB0B9D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197691404" w:history="1">
        <w:r w:rsidRPr="003A5265">
          <w:rPr>
            <w:rStyle w:val="Hypertextovodkaz"/>
            <w:noProof/>
          </w:rPr>
          <w:t>7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Vyhodnocení výdajů z veřejných zakázek o předpokládané hodnotě nejméně 300 mil. Kč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F10FDA7" w14:textId="77777777" w:rsidR="00DB0B9D" w:rsidRDefault="00DB0B9D" w:rsidP="00DB0B9D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197691405" w:history="1">
        <w:r w:rsidRPr="003A5265">
          <w:rPr>
            <w:rStyle w:val="Hypertextovodkaz"/>
            <w:noProof/>
          </w:rPr>
          <w:t>8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Specifika a ostatní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9DFD127" w14:textId="77777777" w:rsidR="00DB0B9D" w:rsidRDefault="00DB0B9D" w:rsidP="00DB0B9D">
      <w:pPr>
        <w:pStyle w:val="Obsah1"/>
        <w:rPr>
          <w:rFonts w:asciiTheme="minorHAnsi" w:eastAsiaTheme="minorEastAsia" w:hAnsiTheme="minorHAnsi"/>
          <w:b w:val="0"/>
          <w:bCs w:val="0"/>
          <w:caps w:val="0"/>
          <w:noProof/>
          <w:kern w:val="2"/>
          <w:szCs w:val="24"/>
          <w:lang w:eastAsia="cs-CZ"/>
          <w14:ligatures w14:val="standardContextual"/>
        </w:rPr>
      </w:pPr>
      <w:hyperlink w:anchor="_Toc197691406" w:history="1">
        <w:r w:rsidRPr="003A5265">
          <w:rPr>
            <w:rStyle w:val="Hypertextovodkaz"/>
            <w:noProof/>
          </w:rPr>
          <w:t>9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kern w:val="2"/>
            <w:szCs w:val="24"/>
            <w:lang w:eastAsia="cs-CZ"/>
            <w14:ligatures w14:val="standardContextual"/>
          </w:rPr>
          <w:tab/>
        </w:r>
        <w:r w:rsidRPr="003A5265">
          <w:rPr>
            <w:rStyle w:val="Hypertextovodkaz"/>
            <w:noProof/>
          </w:rPr>
          <w:t>Výsledky vnitřních a vnějších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A6784B6" w14:textId="77777777" w:rsidR="00DB0B9D" w:rsidRDefault="00DB0B9D" w:rsidP="00DB0B9D">
      <w:pPr>
        <w:pStyle w:val="Obsah2"/>
        <w:rPr>
          <w:rFonts w:eastAsiaTheme="minorEastAsia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197691407" w:history="1">
        <w:r w:rsidRPr="003A5265">
          <w:rPr>
            <w:rStyle w:val="Hypertextovodkaz"/>
            <w:noProof/>
          </w:rPr>
          <w:t>Příloha č. 1 - Titulní strana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_Toc197691407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05AEECB" w14:textId="77777777" w:rsidR="00DB0B9D" w:rsidRPr="00915E35" w:rsidRDefault="00DB0B9D" w:rsidP="00DB0B9D">
      <w:pPr>
        <w:spacing w:before="120" w:after="120"/>
      </w:pPr>
      <w:r w:rsidRPr="00915E35">
        <w:fldChar w:fldCharType="end"/>
      </w:r>
    </w:p>
    <w:p w14:paraId="71224F7A" w14:textId="77777777" w:rsidR="00A72C6C" w:rsidRPr="00915E35" w:rsidRDefault="00A72C6C" w:rsidP="0075257C">
      <w:pPr>
        <w:pStyle w:val="Obsah1"/>
      </w:pPr>
    </w:p>
    <w:p w14:paraId="1381B810" w14:textId="77777777" w:rsidR="007E098E" w:rsidRPr="00915E35" w:rsidRDefault="007E098E">
      <w:r w:rsidRPr="00915E35">
        <w:br w:type="page"/>
      </w:r>
    </w:p>
    <w:p w14:paraId="12715E4A" w14:textId="6033FF03" w:rsidR="00F8172D" w:rsidRPr="00F8172D" w:rsidRDefault="00A66BD6" w:rsidP="00222328">
      <w:pPr>
        <w:pStyle w:val="Nadpis1"/>
      </w:pPr>
      <w:bookmarkStart w:id="0" w:name="_Toc528224018"/>
      <w:bookmarkStart w:id="1" w:name="_Toc528224108"/>
      <w:bookmarkStart w:id="2" w:name="_Toc534878013"/>
      <w:bookmarkStart w:id="3" w:name="_Toc155689644"/>
      <w:r w:rsidRPr="00F8172D">
        <w:rPr>
          <w:color w:val="548DD4" w:themeColor="text2" w:themeTint="99"/>
        </w:rPr>
        <w:lastRenderedPageBreak/>
        <w:t>Obecné informace</w:t>
      </w:r>
      <w:bookmarkEnd w:id="0"/>
      <w:bookmarkEnd w:id="1"/>
      <w:bookmarkEnd w:id="2"/>
      <w:bookmarkEnd w:id="3"/>
    </w:p>
    <w:p w14:paraId="17EEFCA1" w14:textId="77777777" w:rsidR="00F8172D" w:rsidRPr="00F8172D" w:rsidRDefault="00F8172D" w:rsidP="00F8172D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F8172D">
        <w:rPr>
          <w:rFonts w:ascii="Garamond" w:hAnsi="Garamond" w:cstheme="minorHAnsi"/>
          <w:sz w:val="24"/>
          <w:szCs w:val="24"/>
        </w:rPr>
        <w:t>Rozbor výsledků rozpočtového hospodaření se řídí vyhláškou Ministerstva financí číslo 419/2001 Sb.,</w:t>
      </w:r>
      <w:r w:rsidRPr="00F8172D">
        <w:rPr>
          <w:rFonts w:ascii="Garamond" w:hAnsi="Garamond" w:cstheme="minorHAnsi"/>
          <w:sz w:val="24"/>
          <w:szCs w:val="24"/>
        </w:rPr>
        <w:br/>
        <w:t>o předkládání údajů pro vypracování návrhu státního závěrečného účtu, ve znění pozdějších předpisů.</w:t>
      </w:r>
    </w:p>
    <w:p w14:paraId="465E5E17" w14:textId="2C24374B" w:rsidR="00F8172D" w:rsidRPr="00F8172D" w:rsidRDefault="00F8172D" w:rsidP="00F8172D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F8172D">
        <w:rPr>
          <w:rFonts w:ascii="Garamond" w:hAnsi="Garamond" w:cstheme="minorHAnsi"/>
          <w:sz w:val="24"/>
          <w:szCs w:val="24"/>
        </w:rPr>
        <w:t>Rozbor hospodaření je vypracován v souladu s metodickým postupem pro zpracování rozboru hospodaření pro organizační složky Ministerstva spravedlnosti z ledna 202</w:t>
      </w:r>
      <w:r w:rsidR="00A30076">
        <w:rPr>
          <w:rFonts w:ascii="Garamond" w:hAnsi="Garamond" w:cstheme="minorHAnsi"/>
          <w:sz w:val="24"/>
          <w:szCs w:val="24"/>
        </w:rPr>
        <w:t>5</w:t>
      </w:r>
      <w:r w:rsidRPr="00F8172D">
        <w:rPr>
          <w:rFonts w:ascii="Garamond" w:hAnsi="Garamond" w:cstheme="minorHAnsi"/>
          <w:sz w:val="24"/>
          <w:szCs w:val="24"/>
        </w:rPr>
        <w:t>.</w:t>
      </w:r>
    </w:p>
    <w:p w14:paraId="33411D61" w14:textId="166227A6" w:rsidR="00F8172D" w:rsidRDefault="00F8172D" w:rsidP="00F8172D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F8172D">
        <w:rPr>
          <w:rFonts w:ascii="Garamond" w:hAnsi="Garamond" w:cstheme="minorHAnsi"/>
          <w:sz w:val="24"/>
          <w:szCs w:val="24"/>
        </w:rPr>
        <w:t>Podkladem pro sestavení jsou údaje v rozpočtovém systému Integrovaného informačního systému státní pokladny (IISSP), finanční výkazy a údaje v analytické evidenci.</w:t>
      </w:r>
    </w:p>
    <w:p w14:paraId="470E1527" w14:textId="77777777" w:rsidR="00F8172D" w:rsidRPr="00F8172D" w:rsidRDefault="00F8172D" w:rsidP="00F8172D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14:paraId="01380EC6" w14:textId="223AF36F" w:rsidR="00184D13" w:rsidRPr="000E2518" w:rsidRDefault="001D6A41" w:rsidP="00572491">
      <w:pPr>
        <w:pStyle w:val="Nadpis1"/>
        <w:rPr>
          <w:color w:val="548DD4" w:themeColor="text2" w:themeTint="99"/>
        </w:rPr>
      </w:pPr>
      <w:bookmarkStart w:id="4" w:name="_Toc528224019"/>
      <w:bookmarkStart w:id="5" w:name="_Toc528224109"/>
      <w:bookmarkStart w:id="6" w:name="_Toc534878014"/>
      <w:bookmarkStart w:id="7" w:name="_Toc155689645"/>
      <w:r w:rsidRPr="000E2518">
        <w:rPr>
          <w:color w:val="548DD4" w:themeColor="text2" w:themeTint="99"/>
        </w:rPr>
        <w:t>Obsah a rozsah průvodní zprávy</w:t>
      </w:r>
      <w:bookmarkEnd w:id="4"/>
      <w:bookmarkEnd w:id="5"/>
      <w:bookmarkEnd w:id="6"/>
      <w:bookmarkEnd w:id="7"/>
    </w:p>
    <w:p w14:paraId="212D4EBA" w14:textId="77777777" w:rsidR="00C47505" w:rsidRPr="000E2518" w:rsidRDefault="00C47505" w:rsidP="00C47505">
      <w:pPr>
        <w:rPr>
          <w:color w:val="548DD4" w:themeColor="text2" w:themeTint="99"/>
        </w:rPr>
      </w:pPr>
    </w:p>
    <w:p w14:paraId="51CC6348" w14:textId="131B1A89" w:rsidR="002E6DC3" w:rsidRPr="002E6DC3" w:rsidRDefault="00622E21" w:rsidP="00953574">
      <w:pPr>
        <w:pStyle w:val="Nadpis2"/>
      </w:pPr>
      <w:bookmarkStart w:id="8" w:name="_Toc155689646"/>
      <w:r w:rsidRPr="00F8172D">
        <w:rPr>
          <w:color w:val="548DD4" w:themeColor="text2" w:themeTint="99"/>
        </w:rPr>
        <w:t>Zhodnocení plnění rozpočtu</w:t>
      </w:r>
      <w:bookmarkEnd w:id="8"/>
    </w:p>
    <w:p w14:paraId="3086DA5E" w14:textId="10EF3CF9" w:rsidR="00C47505" w:rsidRDefault="00483B5D" w:rsidP="00483B5D">
      <w:pPr>
        <w:jc w:val="both"/>
        <w:rPr>
          <w:rFonts w:ascii="Garamond" w:hAnsi="Garamond"/>
          <w:sz w:val="24"/>
          <w:szCs w:val="24"/>
        </w:rPr>
      </w:pPr>
      <w:r w:rsidRPr="00483B5D">
        <w:rPr>
          <w:rFonts w:ascii="Garamond" w:hAnsi="Garamond"/>
          <w:sz w:val="24"/>
          <w:szCs w:val="24"/>
        </w:rPr>
        <w:t>Rozpočtové příjmy byly v roce 202</w:t>
      </w:r>
      <w:r w:rsidR="00A30076">
        <w:rPr>
          <w:rFonts w:ascii="Garamond" w:hAnsi="Garamond"/>
          <w:sz w:val="24"/>
          <w:szCs w:val="24"/>
        </w:rPr>
        <w:t>5</w:t>
      </w:r>
      <w:r w:rsidRPr="00483B5D">
        <w:rPr>
          <w:rFonts w:ascii="Garamond" w:hAnsi="Garamond"/>
          <w:sz w:val="24"/>
          <w:szCs w:val="24"/>
        </w:rPr>
        <w:t xml:space="preserve"> upraveny v měsíci prosinci celkem o částku</w:t>
      </w:r>
      <w:r w:rsidR="00A5651F">
        <w:rPr>
          <w:rFonts w:ascii="Garamond" w:hAnsi="Garamond"/>
          <w:sz w:val="24"/>
          <w:szCs w:val="24"/>
        </w:rPr>
        <w:t xml:space="preserve"> </w:t>
      </w:r>
      <w:r w:rsidR="00A30076">
        <w:rPr>
          <w:rFonts w:ascii="Garamond" w:hAnsi="Garamond"/>
          <w:sz w:val="24"/>
          <w:szCs w:val="24"/>
        </w:rPr>
        <w:t>1 6</w:t>
      </w:r>
      <w:r w:rsidRPr="00483B5D">
        <w:rPr>
          <w:rFonts w:ascii="Garamond" w:hAnsi="Garamond"/>
          <w:sz w:val="24"/>
          <w:szCs w:val="24"/>
        </w:rPr>
        <w:t xml:space="preserve">00 tis. Kč (rozpočtové opatření č. </w:t>
      </w:r>
      <w:r w:rsidR="00A30076">
        <w:rPr>
          <w:rFonts w:ascii="Garamond" w:hAnsi="Garamond"/>
          <w:sz w:val="24"/>
          <w:szCs w:val="24"/>
        </w:rPr>
        <w:t>94+95</w:t>
      </w:r>
      <w:r w:rsidRPr="00483B5D">
        <w:rPr>
          <w:rFonts w:ascii="Garamond" w:hAnsi="Garamond"/>
          <w:sz w:val="24"/>
          <w:szCs w:val="24"/>
        </w:rPr>
        <w:t>/202</w:t>
      </w:r>
      <w:r w:rsidR="00A30076">
        <w:rPr>
          <w:rFonts w:ascii="Garamond" w:hAnsi="Garamond"/>
          <w:sz w:val="24"/>
          <w:szCs w:val="24"/>
        </w:rPr>
        <w:t>5</w:t>
      </w:r>
      <w:r w:rsidRPr="00483B5D">
        <w:rPr>
          <w:rFonts w:ascii="Garamond" w:hAnsi="Garamond"/>
          <w:sz w:val="24"/>
          <w:szCs w:val="24"/>
        </w:rPr>
        <w:t xml:space="preserve"> - přesun mezi OSS ze dne 1</w:t>
      </w:r>
      <w:r w:rsidR="00A30076">
        <w:rPr>
          <w:rFonts w:ascii="Garamond" w:hAnsi="Garamond"/>
          <w:sz w:val="24"/>
          <w:szCs w:val="24"/>
        </w:rPr>
        <w:t>6</w:t>
      </w:r>
      <w:r w:rsidRPr="00483B5D">
        <w:rPr>
          <w:rFonts w:ascii="Garamond" w:hAnsi="Garamond"/>
          <w:sz w:val="24"/>
          <w:szCs w:val="24"/>
        </w:rPr>
        <w:t>.12.202</w:t>
      </w:r>
      <w:r w:rsidR="00A30076">
        <w:rPr>
          <w:rFonts w:ascii="Garamond" w:hAnsi="Garamond"/>
          <w:sz w:val="24"/>
          <w:szCs w:val="24"/>
        </w:rPr>
        <w:t>5</w:t>
      </w:r>
      <w:r w:rsidRPr="00483B5D">
        <w:rPr>
          <w:rFonts w:ascii="Garamond" w:hAnsi="Garamond"/>
          <w:sz w:val="24"/>
          <w:szCs w:val="24"/>
        </w:rPr>
        <w:t>). Po této úpravě jak mezi daňovými</w:t>
      </w:r>
      <w:r w:rsidR="007622C1">
        <w:rPr>
          <w:rFonts w:ascii="Garamond" w:hAnsi="Garamond"/>
          <w:sz w:val="24"/>
          <w:szCs w:val="24"/>
        </w:rPr>
        <w:br/>
      </w:r>
      <w:r w:rsidRPr="00483B5D">
        <w:rPr>
          <w:rFonts w:ascii="Garamond" w:hAnsi="Garamond"/>
          <w:sz w:val="24"/>
          <w:szCs w:val="24"/>
        </w:rPr>
        <w:t>a nedaňovými příjmy byly tyto celkem splněny na 1</w:t>
      </w:r>
      <w:r w:rsidR="00A30076">
        <w:rPr>
          <w:rFonts w:ascii="Garamond" w:hAnsi="Garamond"/>
          <w:sz w:val="24"/>
          <w:szCs w:val="24"/>
        </w:rPr>
        <w:t>30,47</w:t>
      </w:r>
      <w:r w:rsidRPr="00483B5D">
        <w:rPr>
          <w:rFonts w:ascii="Garamond" w:hAnsi="Garamond"/>
          <w:sz w:val="24"/>
          <w:szCs w:val="24"/>
        </w:rPr>
        <w:t xml:space="preserve"> % konečného rozpočtu. Nejvyšší podíl na příjmech rozpočtu krajského soudu v roce 202</w:t>
      </w:r>
      <w:r w:rsidR="00A30076">
        <w:rPr>
          <w:rFonts w:ascii="Garamond" w:hAnsi="Garamond"/>
          <w:sz w:val="24"/>
          <w:szCs w:val="24"/>
        </w:rPr>
        <w:t>5</w:t>
      </w:r>
      <w:r w:rsidRPr="00483B5D">
        <w:rPr>
          <w:rFonts w:ascii="Garamond" w:hAnsi="Garamond"/>
          <w:sz w:val="24"/>
          <w:szCs w:val="24"/>
        </w:rPr>
        <w:t xml:space="preserve"> činí soudní poplatky na položce 1362 ve výši </w:t>
      </w:r>
      <w:r w:rsidR="00A5651F">
        <w:rPr>
          <w:rFonts w:ascii="Garamond" w:hAnsi="Garamond"/>
          <w:sz w:val="24"/>
          <w:szCs w:val="24"/>
        </w:rPr>
        <w:t>14</w:t>
      </w:r>
      <w:r w:rsidR="00A30076">
        <w:rPr>
          <w:rFonts w:ascii="Garamond" w:hAnsi="Garamond"/>
          <w:sz w:val="24"/>
          <w:szCs w:val="24"/>
        </w:rPr>
        <w:t> 953,42</w:t>
      </w:r>
      <w:r w:rsidRPr="00483B5D">
        <w:rPr>
          <w:rFonts w:ascii="Garamond" w:hAnsi="Garamond"/>
          <w:sz w:val="24"/>
          <w:szCs w:val="24"/>
        </w:rPr>
        <w:t xml:space="preserve"> tis. Kč.</w:t>
      </w:r>
      <w:r w:rsidR="007622C1">
        <w:rPr>
          <w:rFonts w:ascii="Garamond" w:hAnsi="Garamond"/>
          <w:sz w:val="24"/>
          <w:szCs w:val="24"/>
        </w:rPr>
        <w:br/>
      </w:r>
      <w:r w:rsidRPr="007F6C98">
        <w:rPr>
          <w:rFonts w:ascii="Garamond" w:hAnsi="Garamond"/>
          <w:sz w:val="24"/>
          <w:szCs w:val="24"/>
        </w:rPr>
        <w:t xml:space="preserve">V tomto roce </w:t>
      </w:r>
      <w:r w:rsidR="007F6C98">
        <w:rPr>
          <w:rFonts w:ascii="Garamond" w:hAnsi="Garamond"/>
          <w:sz w:val="24"/>
          <w:szCs w:val="24"/>
        </w:rPr>
        <w:t>nedošlo k nárůstu</w:t>
      </w:r>
      <w:r w:rsidRPr="007F6C98">
        <w:rPr>
          <w:rFonts w:ascii="Garamond" w:hAnsi="Garamond"/>
          <w:sz w:val="24"/>
          <w:szCs w:val="24"/>
        </w:rPr>
        <w:t xml:space="preserve"> příjm</w:t>
      </w:r>
      <w:r w:rsidR="007F6C98">
        <w:rPr>
          <w:rFonts w:ascii="Garamond" w:hAnsi="Garamond"/>
          <w:sz w:val="24"/>
          <w:szCs w:val="24"/>
        </w:rPr>
        <w:t>ů</w:t>
      </w:r>
      <w:r w:rsidRPr="007F6C98">
        <w:rPr>
          <w:rFonts w:ascii="Garamond" w:hAnsi="Garamond"/>
          <w:sz w:val="24"/>
          <w:szCs w:val="24"/>
        </w:rPr>
        <w:t xml:space="preserve"> na položce 2212 ve srovnání s roky minulými, kdy bylo více vybráno při ukládání peněžitých trestů.</w:t>
      </w:r>
      <w:r w:rsidRPr="00483B5D">
        <w:rPr>
          <w:rFonts w:ascii="Garamond" w:hAnsi="Garamond"/>
          <w:sz w:val="24"/>
          <w:szCs w:val="24"/>
        </w:rPr>
        <w:t xml:space="preserve"> Výdaje rozpočtu byly čerpány v souladu s upraveným rozpočtem na rok 202</w:t>
      </w:r>
      <w:r w:rsidR="00A30076">
        <w:rPr>
          <w:rFonts w:ascii="Garamond" w:hAnsi="Garamond"/>
          <w:sz w:val="24"/>
          <w:szCs w:val="24"/>
        </w:rPr>
        <w:t>5</w:t>
      </w:r>
      <w:r w:rsidRPr="00483B5D">
        <w:rPr>
          <w:rFonts w:ascii="Garamond" w:hAnsi="Garamond"/>
          <w:sz w:val="24"/>
          <w:szCs w:val="24"/>
        </w:rPr>
        <w:t>.</w:t>
      </w:r>
      <w:r w:rsidR="003E6592">
        <w:rPr>
          <w:rFonts w:ascii="Garamond" w:hAnsi="Garamond"/>
          <w:sz w:val="24"/>
          <w:szCs w:val="24"/>
        </w:rPr>
        <w:t xml:space="preserve"> </w:t>
      </w:r>
      <w:r w:rsidRPr="00483B5D">
        <w:rPr>
          <w:rFonts w:ascii="Garamond" w:hAnsi="Garamond"/>
          <w:sz w:val="24"/>
          <w:szCs w:val="24"/>
        </w:rPr>
        <w:t>Schválený rozpočet běžných výdajů činil 2</w:t>
      </w:r>
      <w:r w:rsidR="007F6C98">
        <w:rPr>
          <w:rFonts w:ascii="Garamond" w:hAnsi="Garamond"/>
          <w:sz w:val="24"/>
          <w:szCs w:val="24"/>
        </w:rPr>
        <w:t>90 900,52</w:t>
      </w:r>
      <w:r w:rsidRPr="00483B5D">
        <w:rPr>
          <w:rFonts w:ascii="Garamond" w:hAnsi="Garamond"/>
          <w:sz w:val="24"/>
          <w:szCs w:val="24"/>
        </w:rPr>
        <w:t xml:space="preserve"> tis.</w:t>
      </w:r>
      <w:r w:rsidR="001112FE">
        <w:rPr>
          <w:rFonts w:ascii="Garamond" w:hAnsi="Garamond"/>
          <w:sz w:val="24"/>
          <w:szCs w:val="24"/>
        </w:rPr>
        <w:t xml:space="preserve"> </w:t>
      </w:r>
      <w:r w:rsidRPr="00483B5D">
        <w:rPr>
          <w:rFonts w:ascii="Garamond" w:hAnsi="Garamond"/>
          <w:sz w:val="24"/>
          <w:szCs w:val="24"/>
        </w:rPr>
        <w:t>Kč, upravený rozpočet byl ve výši</w:t>
      </w:r>
      <w:r w:rsidR="007F6C98">
        <w:rPr>
          <w:rFonts w:ascii="Garamond" w:hAnsi="Garamond"/>
          <w:sz w:val="24"/>
          <w:szCs w:val="24"/>
        </w:rPr>
        <w:t xml:space="preserve"> </w:t>
      </w:r>
      <w:r w:rsidR="00E0093E">
        <w:rPr>
          <w:rFonts w:ascii="Garamond" w:hAnsi="Garamond"/>
          <w:sz w:val="24"/>
          <w:szCs w:val="24"/>
        </w:rPr>
        <w:t> </w:t>
      </w:r>
      <w:r w:rsidR="0071188C">
        <w:rPr>
          <w:rFonts w:ascii="Garamond" w:hAnsi="Garamond"/>
          <w:sz w:val="24"/>
          <w:szCs w:val="24"/>
        </w:rPr>
        <w:t> </w:t>
      </w:r>
      <w:r w:rsidR="007F6C98">
        <w:rPr>
          <w:rFonts w:ascii="Garamond" w:hAnsi="Garamond"/>
          <w:sz w:val="24"/>
          <w:szCs w:val="24"/>
        </w:rPr>
        <w:t>303 129,</w:t>
      </w:r>
      <w:proofErr w:type="gramStart"/>
      <w:r w:rsidR="007F6C98">
        <w:rPr>
          <w:rFonts w:ascii="Garamond" w:hAnsi="Garamond"/>
          <w:sz w:val="24"/>
          <w:szCs w:val="24"/>
        </w:rPr>
        <w:t>11</w:t>
      </w:r>
      <w:r w:rsidRPr="00483B5D">
        <w:rPr>
          <w:rFonts w:ascii="Garamond" w:hAnsi="Garamond"/>
          <w:sz w:val="24"/>
          <w:szCs w:val="24"/>
        </w:rPr>
        <w:t xml:space="preserve"> </w:t>
      </w:r>
      <w:r w:rsidR="0071188C">
        <w:rPr>
          <w:rFonts w:ascii="Garamond" w:hAnsi="Garamond"/>
          <w:sz w:val="24"/>
          <w:szCs w:val="24"/>
        </w:rPr>
        <w:t> </w:t>
      </w:r>
      <w:r w:rsidRPr="00483B5D">
        <w:rPr>
          <w:rFonts w:ascii="Garamond" w:hAnsi="Garamond"/>
          <w:sz w:val="24"/>
          <w:szCs w:val="24"/>
        </w:rPr>
        <w:t>tis.</w:t>
      </w:r>
      <w:proofErr w:type="gramEnd"/>
      <w:r w:rsidR="00E0093E">
        <w:rPr>
          <w:rFonts w:ascii="Garamond" w:hAnsi="Garamond"/>
          <w:sz w:val="24"/>
          <w:szCs w:val="24"/>
        </w:rPr>
        <w:t> </w:t>
      </w:r>
      <w:r w:rsidRPr="00483B5D">
        <w:rPr>
          <w:rFonts w:ascii="Garamond" w:hAnsi="Garamond"/>
          <w:sz w:val="24"/>
          <w:szCs w:val="24"/>
        </w:rPr>
        <w:t>Kč. Zapojeny byly nespotřebované výdaje ve výši</w:t>
      </w:r>
      <w:r w:rsidR="00A5651F">
        <w:rPr>
          <w:rFonts w:ascii="Garamond" w:hAnsi="Garamond"/>
          <w:sz w:val="24"/>
          <w:szCs w:val="24"/>
        </w:rPr>
        <w:t xml:space="preserve"> 13</w:t>
      </w:r>
      <w:r w:rsidR="007F6C98">
        <w:rPr>
          <w:rFonts w:ascii="Garamond" w:hAnsi="Garamond"/>
          <w:sz w:val="24"/>
          <w:szCs w:val="24"/>
        </w:rPr>
        <w:t> 981,94</w:t>
      </w:r>
      <w:r w:rsidRPr="00483B5D">
        <w:rPr>
          <w:rFonts w:ascii="Garamond" w:hAnsi="Garamond"/>
          <w:sz w:val="24"/>
          <w:szCs w:val="24"/>
        </w:rPr>
        <w:t xml:space="preserve"> tis.</w:t>
      </w:r>
      <w:r w:rsidR="001112FE">
        <w:rPr>
          <w:rFonts w:ascii="Garamond" w:hAnsi="Garamond"/>
          <w:sz w:val="24"/>
          <w:szCs w:val="24"/>
        </w:rPr>
        <w:t xml:space="preserve"> </w:t>
      </w:r>
      <w:r w:rsidRPr="00483B5D">
        <w:rPr>
          <w:rFonts w:ascii="Garamond" w:hAnsi="Garamond"/>
          <w:sz w:val="24"/>
          <w:szCs w:val="24"/>
        </w:rPr>
        <w:t>Kč.</w:t>
      </w:r>
    </w:p>
    <w:p w14:paraId="7DC4351B" w14:textId="77777777" w:rsidR="00D524C0" w:rsidRPr="00483B5D" w:rsidRDefault="00D524C0" w:rsidP="00483B5D">
      <w:pPr>
        <w:jc w:val="both"/>
        <w:rPr>
          <w:rFonts w:ascii="Garamond" w:hAnsi="Garamond"/>
          <w:sz w:val="24"/>
          <w:szCs w:val="24"/>
        </w:rPr>
      </w:pPr>
    </w:p>
    <w:p w14:paraId="3496981F" w14:textId="7AEE7F7C" w:rsidR="003D353E" w:rsidRPr="00F8172D" w:rsidRDefault="00622E21" w:rsidP="0006342B">
      <w:pPr>
        <w:pStyle w:val="Nadpis2"/>
        <w:rPr>
          <w:color w:val="548DD4" w:themeColor="text2" w:themeTint="99"/>
        </w:rPr>
      </w:pPr>
      <w:bookmarkStart w:id="9" w:name="_Toc155689647"/>
      <w:r w:rsidRPr="00F8172D">
        <w:rPr>
          <w:color w:val="548DD4" w:themeColor="text2" w:themeTint="99"/>
        </w:rPr>
        <w:t>Komentář k rozpočtovým opatření</w:t>
      </w:r>
      <w:r w:rsidR="00401149" w:rsidRPr="00F8172D">
        <w:rPr>
          <w:color w:val="548DD4" w:themeColor="text2" w:themeTint="99"/>
        </w:rPr>
        <w:t>m</w:t>
      </w:r>
      <w:r w:rsidRPr="00F8172D">
        <w:rPr>
          <w:color w:val="548DD4" w:themeColor="text2" w:themeTint="99"/>
        </w:rPr>
        <w:t xml:space="preserve"> </w:t>
      </w:r>
      <w:r w:rsidR="007C7182" w:rsidRPr="00F8172D">
        <w:rPr>
          <w:color w:val="548DD4" w:themeColor="text2" w:themeTint="99"/>
        </w:rPr>
        <w:t xml:space="preserve">schvalovaným </w:t>
      </w:r>
      <w:r w:rsidRPr="00F8172D">
        <w:rPr>
          <w:color w:val="548DD4" w:themeColor="text2" w:themeTint="99"/>
        </w:rPr>
        <w:t>Ministerstv</w:t>
      </w:r>
      <w:r w:rsidR="002802EC" w:rsidRPr="00F8172D">
        <w:rPr>
          <w:color w:val="548DD4" w:themeColor="text2" w:themeTint="99"/>
        </w:rPr>
        <w:t>em</w:t>
      </w:r>
      <w:r w:rsidRPr="00F8172D">
        <w:rPr>
          <w:color w:val="548DD4" w:themeColor="text2" w:themeTint="99"/>
        </w:rPr>
        <w:t xml:space="preserve"> financí</w:t>
      </w:r>
      <w:bookmarkEnd w:id="9"/>
      <w:r w:rsidRPr="00F8172D">
        <w:rPr>
          <w:color w:val="548DD4" w:themeColor="text2" w:themeTint="99"/>
        </w:rPr>
        <w:t xml:space="preserve"> </w:t>
      </w:r>
    </w:p>
    <w:p w14:paraId="5DD0359F" w14:textId="0C24E839" w:rsidR="00C47505" w:rsidRPr="002E24E9" w:rsidRDefault="003D353E" w:rsidP="003D353E">
      <w:pPr>
        <w:jc w:val="both"/>
        <w:rPr>
          <w:rFonts w:ascii="Garamond" w:hAnsi="Garamond"/>
          <w:iCs/>
          <w:sz w:val="24"/>
          <w:szCs w:val="24"/>
        </w:rPr>
      </w:pPr>
      <w:r w:rsidRPr="002E24E9">
        <w:rPr>
          <w:rFonts w:ascii="Garamond" w:hAnsi="Garamond"/>
          <w:sz w:val="24"/>
          <w:szCs w:val="24"/>
        </w:rPr>
        <w:t>Důvodem rozpočtových opatření provedených mezi krajským soudem a okresními soudy byl především přesun mzdových prostředků na platy soudců a zaměstnanců, dále byly prováděny přesuny na doplnění nedostatku rozpočtových prostředků na mandatorní výdaje a věcné výdaje, rovněž se uskutečnil přesun RP na výdaje s parametrem „OI“ a „OBKŘ“</w:t>
      </w:r>
      <w:r w:rsidR="003E6592">
        <w:rPr>
          <w:rFonts w:ascii="Garamond" w:hAnsi="Garamond"/>
          <w:sz w:val="24"/>
          <w:szCs w:val="24"/>
        </w:rPr>
        <w:t>.</w:t>
      </w:r>
    </w:p>
    <w:p w14:paraId="1EE6449A" w14:textId="75FF1C8C" w:rsidR="003D353E" w:rsidRPr="001112FE" w:rsidRDefault="003D353E" w:rsidP="003D353E">
      <w:pPr>
        <w:jc w:val="both"/>
        <w:outlineLvl w:val="0"/>
        <w:rPr>
          <w:rFonts w:ascii="Garamond" w:hAnsi="Garamond"/>
          <w:sz w:val="24"/>
          <w:szCs w:val="24"/>
        </w:rPr>
      </w:pPr>
      <w:r w:rsidRPr="002E24E9">
        <w:rPr>
          <w:rFonts w:ascii="Garamond" w:hAnsi="Garamond"/>
          <w:sz w:val="24"/>
          <w:szCs w:val="24"/>
          <w:u w:val="single"/>
        </w:rPr>
        <w:t>Rozpočtová opatření z Ministerstva spravedlnosti s A-hlavičkou</w:t>
      </w:r>
      <w:r w:rsidRPr="001112FE">
        <w:rPr>
          <w:rFonts w:ascii="Garamond" w:hAnsi="Garamond"/>
          <w:sz w:val="24"/>
          <w:szCs w:val="24"/>
        </w:rPr>
        <w:t xml:space="preserve">: celkem </w:t>
      </w:r>
      <w:r w:rsidR="005C0E43">
        <w:rPr>
          <w:rFonts w:ascii="Garamond" w:hAnsi="Garamond"/>
          <w:sz w:val="24"/>
          <w:szCs w:val="24"/>
        </w:rPr>
        <w:t>2</w:t>
      </w:r>
      <w:r w:rsidR="00F72194">
        <w:rPr>
          <w:rFonts w:ascii="Garamond" w:hAnsi="Garamond"/>
          <w:sz w:val="24"/>
          <w:szCs w:val="24"/>
        </w:rPr>
        <w:t>1</w:t>
      </w:r>
      <w:r w:rsidRPr="001112FE">
        <w:rPr>
          <w:rFonts w:ascii="Garamond" w:hAnsi="Garamond"/>
          <w:sz w:val="24"/>
          <w:szCs w:val="24"/>
        </w:rPr>
        <w:t xml:space="preserve"> ks </w:t>
      </w:r>
    </w:p>
    <w:p w14:paraId="02E29893" w14:textId="76E268C3" w:rsidR="003D353E" w:rsidRPr="002E24E9" w:rsidRDefault="003D353E" w:rsidP="003D353E">
      <w:pPr>
        <w:numPr>
          <w:ilvl w:val="0"/>
          <w:numId w:val="43"/>
        </w:numPr>
        <w:jc w:val="both"/>
        <w:rPr>
          <w:rFonts w:ascii="Garamond" w:hAnsi="Garamond"/>
          <w:sz w:val="24"/>
          <w:szCs w:val="24"/>
        </w:rPr>
      </w:pPr>
      <w:r w:rsidRPr="002E24E9">
        <w:rPr>
          <w:rFonts w:ascii="Garamond" w:hAnsi="Garamond"/>
          <w:sz w:val="24"/>
          <w:szCs w:val="24"/>
        </w:rPr>
        <w:t xml:space="preserve">z toho </w:t>
      </w:r>
      <w:r w:rsidR="00F72194">
        <w:rPr>
          <w:rFonts w:ascii="Garamond" w:hAnsi="Garamond"/>
          <w:sz w:val="24"/>
          <w:szCs w:val="24"/>
        </w:rPr>
        <w:t xml:space="preserve">8 </w:t>
      </w:r>
      <w:r w:rsidRPr="002E24E9">
        <w:rPr>
          <w:rFonts w:ascii="Garamond" w:hAnsi="Garamond"/>
          <w:sz w:val="24"/>
          <w:szCs w:val="24"/>
        </w:rPr>
        <w:t xml:space="preserve">ks rozpočtové </w:t>
      </w:r>
      <w:proofErr w:type="gramStart"/>
      <w:r w:rsidRPr="002E24E9">
        <w:rPr>
          <w:rFonts w:ascii="Garamond" w:hAnsi="Garamond"/>
          <w:sz w:val="24"/>
          <w:szCs w:val="24"/>
        </w:rPr>
        <w:t>opatření  -</w:t>
      </w:r>
      <w:proofErr w:type="gramEnd"/>
      <w:r w:rsidRPr="002E24E9">
        <w:rPr>
          <w:rFonts w:ascii="Garamond" w:hAnsi="Garamond"/>
          <w:sz w:val="24"/>
          <w:szCs w:val="24"/>
        </w:rPr>
        <w:t xml:space="preserve"> platy zaměstnanců, soudců, OPZPP</w:t>
      </w:r>
    </w:p>
    <w:p w14:paraId="4A03F49A" w14:textId="2BEE90B8" w:rsidR="003D353E" w:rsidRPr="002E24E9" w:rsidRDefault="003D353E" w:rsidP="003D353E">
      <w:pPr>
        <w:numPr>
          <w:ilvl w:val="0"/>
          <w:numId w:val="43"/>
        </w:numPr>
        <w:jc w:val="both"/>
        <w:rPr>
          <w:rFonts w:ascii="Garamond" w:hAnsi="Garamond"/>
          <w:sz w:val="24"/>
          <w:szCs w:val="24"/>
        </w:rPr>
      </w:pPr>
      <w:r w:rsidRPr="002E24E9">
        <w:rPr>
          <w:rFonts w:ascii="Garamond" w:hAnsi="Garamond"/>
          <w:sz w:val="24"/>
          <w:szCs w:val="24"/>
        </w:rPr>
        <w:t xml:space="preserve">z toho </w:t>
      </w:r>
      <w:r w:rsidR="00F72194">
        <w:rPr>
          <w:rFonts w:ascii="Garamond" w:hAnsi="Garamond"/>
          <w:sz w:val="24"/>
          <w:szCs w:val="24"/>
        </w:rPr>
        <w:t>7</w:t>
      </w:r>
      <w:r w:rsidRPr="002E24E9">
        <w:rPr>
          <w:rFonts w:ascii="Garamond" w:hAnsi="Garamond"/>
          <w:sz w:val="24"/>
          <w:szCs w:val="24"/>
        </w:rPr>
        <w:t xml:space="preserve"> ks rozpočtové </w:t>
      </w:r>
      <w:proofErr w:type="gramStart"/>
      <w:r w:rsidRPr="002E24E9">
        <w:rPr>
          <w:rFonts w:ascii="Garamond" w:hAnsi="Garamond"/>
          <w:sz w:val="24"/>
          <w:szCs w:val="24"/>
        </w:rPr>
        <w:t>opatření  -</w:t>
      </w:r>
      <w:proofErr w:type="gramEnd"/>
      <w:r w:rsidRPr="002E24E9">
        <w:rPr>
          <w:rFonts w:ascii="Garamond" w:hAnsi="Garamond"/>
          <w:sz w:val="24"/>
          <w:szCs w:val="24"/>
        </w:rPr>
        <w:t xml:space="preserve"> OVV</w:t>
      </w:r>
      <w:r w:rsidR="005C0E43">
        <w:rPr>
          <w:rFonts w:ascii="Garamond" w:hAnsi="Garamond"/>
          <w:sz w:val="24"/>
          <w:szCs w:val="24"/>
        </w:rPr>
        <w:t>,OBKŘ</w:t>
      </w:r>
      <w:r w:rsidRPr="002E24E9">
        <w:rPr>
          <w:rFonts w:ascii="Garamond" w:hAnsi="Garamond"/>
          <w:sz w:val="24"/>
          <w:szCs w:val="24"/>
        </w:rPr>
        <w:t xml:space="preserve"> 202</w:t>
      </w:r>
      <w:r w:rsidR="00F72194">
        <w:rPr>
          <w:rFonts w:ascii="Garamond" w:hAnsi="Garamond"/>
          <w:sz w:val="24"/>
          <w:szCs w:val="24"/>
        </w:rPr>
        <w:t>5</w:t>
      </w:r>
      <w:r w:rsidRPr="002E24E9">
        <w:rPr>
          <w:rFonts w:ascii="Garamond" w:hAnsi="Garamond"/>
          <w:sz w:val="24"/>
          <w:szCs w:val="24"/>
        </w:rPr>
        <w:t xml:space="preserve"> </w:t>
      </w:r>
    </w:p>
    <w:p w14:paraId="548FF06A" w14:textId="038F4484" w:rsidR="005C271A" w:rsidRPr="00F8172D" w:rsidRDefault="003D353E" w:rsidP="003C7472">
      <w:pPr>
        <w:numPr>
          <w:ilvl w:val="0"/>
          <w:numId w:val="43"/>
        </w:numPr>
        <w:jc w:val="both"/>
        <w:rPr>
          <w:rFonts w:ascii="Garamond" w:hAnsi="Garamond"/>
          <w:sz w:val="24"/>
          <w:szCs w:val="24"/>
        </w:rPr>
      </w:pPr>
      <w:r w:rsidRPr="00F8172D">
        <w:rPr>
          <w:rFonts w:ascii="Garamond" w:hAnsi="Garamond"/>
          <w:sz w:val="24"/>
          <w:szCs w:val="24"/>
        </w:rPr>
        <w:t>z</w:t>
      </w:r>
      <w:r w:rsidR="00204564">
        <w:rPr>
          <w:rFonts w:ascii="Garamond" w:hAnsi="Garamond"/>
          <w:sz w:val="24"/>
          <w:szCs w:val="24"/>
        </w:rPr>
        <w:t> </w:t>
      </w:r>
      <w:r w:rsidRPr="00F8172D">
        <w:rPr>
          <w:rFonts w:ascii="Garamond" w:hAnsi="Garamond"/>
          <w:sz w:val="24"/>
          <w:szCs w:val="24"/>
        </w:rPr>
        <w:t>toho</w:t>
      </w:r>
      <w:r w:rsidR="00204564">
        <w:rPr>
          <w:rFonts w:ascii="Garamond" w:hAnsi="Garamond"/>
          <w:sz w:val="24"/>
          <w:szCs w:val="24"/>
        </w:rPr>
        <w:t xml:space="preserve"> </w:t>
      </w:r>
      <w:r w:rsidR="00F72194">
        <w:rPr>
          <w:rFonts w:ascii="Garamond" w:hAnsi="Garamond"/>
          <w:sz w:val="24"/>
          <w:szCs w:val="24"/>
        </w:rPr>
        <w:t>6</w:t>
      </w:r>
      <w:r w:rsidRPr="00F8172D">
        <w:rPr>
          <w:rFonts w:ascii="Garamond" w:hAnsi="Garamond"/>
          <w:sz w:val="24"/>
          <w:szCs w:val="24"/>
        </w:rPr>
        <w:t xml:space="preserve"> ks akce </w:t>
      </w:r>
      <w:proofErr w:type="gramStart"/>
      <w:r w:rsidRPr="00F8172D">
        <w:rPr>
          <w:rFonts w:ascii="Garamond" w:hAnsi="Garamond"/>
          <w:sz w:val="24"/>
          <w:szCs w:val="24"/>
        </w:rPr>
        <w:t>ISPROFIN</w:t>
      </w:r>
      <w:r w:rsidR="00F72194">
        <w:rPr>
          <w:rFonts w:ascii="Garamond" w:hAnsi="Garamond"/>
          <w:sz w:val="24"/>
          <w:szCs w:val="24"/>
        </w:rPr>
        <w:t xml:space="preserve"> - z</w:t>
      </w:r>
      <w:proofErr w:type="gramEnd"/>
      <w:r w:rsidR="00F72194">
        <w:rPr>
          <w:rFonts w:ascii="Garamond" w:hAnsi="Garamond"/>
          <w:sz w:val="24"/>
          <w:szCs w:val="24"/>
        </w:rPr>
        <w:t xml:space="preserve"> toho </w:t>
      </w:r>
      <w:r w:rsidR="00F72194" w:rsidRPr="002E24E9">
        <w:rPr>
          <w:rFonts w:ascii="Garamond" w:hAnsi="Garamond"/>
          <w:sz w:val="24"/>
          <w:szCs w:val="24"/>
        </w:rPr>
        <w:t>OI agregace pro 202</w:t>
      </w:r>
      <w:r w:rsidR="00F72194">
        <w:rPr>
          <w:rFonts w:ascii="Garamond" w:hAnsi="Garamond"/>
          <w:sz w:val="24"/>
          <w:szCs w:val="24"/>
        </w:rPr>
        <w:t>6</w:t>
      </w:r>
    </w:p>
    <w:p w14:paraId="68C16EF4" w14:textId="299A17ED" w:rsidR="003D353E" w:rsidRPr="001112FE" w:rsidRDefault="003D353E" w:rsidP="003D353E">
      <w:pPr>
        <w:outlineLvl w:val="0"/>
        <w:rPr>
          <w:rFonts w:ascii="Garamond" w:hAnsi="Garamond"/>
          <w:bCs/>
          <w:sz w:val="24"/>
          <w:szCs w:val="24"/>
        </w:rPr>
      </w:pPr>
      <w:r w:rsidRPr="002E24E9">
        <w:rPr>
          <w:rFonts w:ascii="Garamond" w:hAnsi="Garamond"/>
          <w:sz w:val="24"/>
          <w:szCs w:val="24"/>
          <w:u w:val="single"/>
        </w:rPr>
        <w:t>Rozpočtová opatření z krajského soudu na okresní soudy s A-hlavičkou</w:t>
      </w:r>
      <w:r w:rsidRPr="002E24E9">
        <w:rPr>
          <w:rFonts w:ascii="Garamond" w:hAnsi="Garamond"/>
          <w:sz w:val="24"/>
          <w:szCs w:val="24"/>
        </w:rPr>
        <w:t xml:space="preserve">: </w:t>
      </w:r>
      <w:r w:rsidRPr="001112FE">
        <w:rPr>
          <w:rFonts w:ascii="Garamond" w:hAnsi="Garamond"/>
          <w:bCs/>
          <w:sz w:val="24"/>
          <w:szCs w:val="24"/>
        </w:rPr>
        <w:t xml:space="preserve">celkem </w:t>
      </w:r>
      <w:r w:rsidR="005C0E43">
        <w:rPr>
          <w:rFonts w:ascii="Garamond" w:hAnsi="Garamond"/>
          <w:bCs/>
          <w:sz w:val="24"/>
          <w:szCs w:val="24"/>
        </w:rPr>
        <w:t>3</w:t>
      </w:r>
      <w:r w:rsidR="00A91744">
        <w:rPr>
          <w:rFonts w:ascii="Garamond" w:hAnsi="Garamond"/>
          <w:bCs/>
          <w:sz w:val="24"/>
          <w:szCs w:val="24"/>
        </w:rPr>
        <w:t>4</w:t>
      </w:r>
      <w:r w:rsidRPr="001112FE">
        <w:rPr>
          <w:rFonts w:ascii="Garamond" w:hAnsi="Garamond"/>
          <w:bCs/>
          <w:sz w:val="24"/>
          <w:szCs w:val="24"/>
        </w:rPr>
        <w:t xml:space="preserve"> ks</w:t>
      </w:r>
    </w:p>
    <w:p w14:paraId="5FCA754F" w14:textId="5B7401B0" w:rsidR="003D353E" w:rsidRPr="002E24E9" w:rsidRDefault="003D353E" w:rsidP="003D353E">
      <w:pPr>
        <w:numPr>
          <w:ilvl w:val="0"/>
          <w:numId w:val="43"/>
        </w:numPr>
        <w:rPr>
          <w:rFonts w:ascii="Garamond" w:hAnsi="Garamond"/>
          <w:sz w:val="24"/>
          <w:szCs w:val="24"/>
        </w:rPr>
      </w:pPr>
      <w:r w:rsidRPr="002E24E9">
        <w:rPr>
          <w:rFonts w:ascii="Garamond" w:hAnsi="Garamond"/>
          <w:sz w:val="24"/>
          <w:szCs w:val="24"/>
        </w:rPr>
        <w:t xml:space="preserve">z toho </w:t>
      </w:r>
      <w:r w:rsidR="00A91744">
        <w:rPr>
          <w:rFonts w:ascii="Garamond" w:hAnsi="Garamond"/>
          <w:sz w:val="24"/>
          <w:szCs w:val="24"/>
        </w:rPr>
        <w:t xml:space="preserve">9 </w:t>
      </w:r>
      <w:proofErr w:type="gramStart"/>
      <w:r w:rsidRPr="002E24E9">
        <w:rPr>
          <w:rFonts w:ascii="Garamond" w:hAnsi="Garamond"/>
          <w:sz w:val="24"/>
          <w:szCs w:val="24"/>
        </w:rPr>
        <w:t>ks - přesun</w:t>
      </w:r>
      <w:proofErr w:type="gramEnd"/>
      <w:r w:rsidRPr="002E24E9">
        <w:rPr>
          <w:rFonts w:ascii="Garamond" w:hAnsi="Garamond"/>
          <w:sz w:val="24"/>
          <w:szCs w:val="24"/>
        </w:rPr>
        <w:t xml:space="preserve"> mzdových prostředků - zaměstnanci, soudci</w:t>
      </w:r>
    </w:p>
    <w:p w14:paraId="75033C66" w14:textId="47653DC0" w:rsidR="003D353E" w:rsidRPr="002E24E9" w:rsidRDefault="003D353E" w:rsidP="003D353E">
      <w:pPr>
        <w:numPr>
          <w:ilvl w:val="0"/>
          <w:numId w:val="43"/>
        </w:numPr>
        <w:rPr>
          <w:rFonts w:ascii="Garamond" w:hAnsi="Garamond"/>
          <w:sz w:val="24"/>
          <w:szCs w:val="24"/>
        </w:rPr>
      </w:pPr>
      <w:r w:rsidRPr="002E24E9">
        <w:rPr>
          <w:rFonts w:ascii="Garamond" w:hAnsi="Garamond"/>
          <w:sz w:val="24"/>
          <w:szCs w:val="24"/>
        </w:rPr>
        <w:t xml:space="preserve">z toho </w:t>
      </w:r>
      <w:r w:rsidR="00F72194">
        <w:rPr>
          <w:rFonts w:ascii="Garamond" w:hAnsi="Garamond"/>
          <w:sz w:val="24"/>
          <w:szCs w:val="24"/>
        </w:rPr>
        <w:t>2</w:t>
      </w:r>
      <w:r w:rsidRPr="002E24E9">
        <w:rPr>
          <w:rFonts w:ascii="Garamond" w:hAnsi="Garamond"/>
          <w:sz w:val="24"/>
          <w:szCs w:val="24"/>
        </w:rPr>
        <w:t xml:space="preserve"> </w:t>
      </w:r>
      <w:proofErr w:type="gramStart"/>
      <w:r w:rsidRPr="002E24E9">
        <w:rPr>
          <w:rFonts w:ascii="Garamond" w:hAnsi="Garamond"/>
          <w:sz w:val="24"/>
          <w:szCs w:val="24"/>
        </w:rPr>
        <w:t>ks - přesun</w:t>
      </w:r>
      <w:proofErr w:type="gramEnd"/>
      <w:r w:rsidRPr="002E24E9">
        <w:rPr>
          <w:rFonts w:ascii="Garamond" w:hAnsi="Garamond"/>
          <w:sz w:val="24"/>
          <w:szCs w:val="24"/>
        </w:rPr>
        <w:t xml:space="preserve"> příjmů mezi OSS</w:t>
      </w:r>
    </w:p>
    <w:p w14:paraId="18311A0E" w14:textId="7EED8462" w:rsidR="003D353E" w:rsidRPr="002E24E9" w:rsidRDefault="003D353E" w:rsidP="003D353E">
      <w:pPr>
        <w:numPr>
          <w:ilvl w:val="0"/>
          <w:numId w:val="43"/>
        </w:numPr>
        <w:rPr>
          <w:rFonts w:ascii="Garamond" w:hAnsi="Garamond"/>
          <w:sz w:val="24"/>
          <w:szCs w:val="24"/>
        </w:rPr>
      </w:pPr>
      <w:r w:rsidRPr="002E24E9">
        <w:rPr>
          <w:rFonts w:ascii="Garamond" w:hAnsi="Garamond"/>
          <w:sz w:val="24"/>
          <w:szCs w:val="24"/>
        </w:rPr>
        <w:t xml:space="preserve">z toho </w:t>
      </w:r>
      <w:r w:rsidR="00F72194">
        <w:rPr>
          <w:rFonts w:ascii="Garamond" w:hAnsi="Garamond"/>
          <w:sz w:val="24"/>
          <w:szCs w:val="24"/>
        </w:rPr>
        <w:t>6</w:t>
      </w:r>
      <w:r w:rsidRPr="002E24E9">
        <w:rPr>
          <w:rFonts w:ascii="Garamond" w:hAnsi="Garamond"/>
          <w:sz w:val="24"/>
          <w:szCs w:val="24"/>
        </w:rPr>
        <w:t xml:space="preserve"> ks - přesun věcné výdaje s </w:t>
      </w:r>
      <w:proofErr w:type="gramStart"/>
      <w:r w:rsidRPr="002E24E9">
        <w:rPr>
          <w:rFonts w:ascii="Garamond" w:hAnsi="Garamond"/>
          <w:sz w:val="24"/>
          <w:szCs w:val="24"/>
        </w:rPr>
        <w:t>parametrem  „</w:t>
      </w:r>
      <w:proofErr w:type="gramEnd"/>
      <w:r w:rsidRPr="002E24E9">
        <w:rPr>
          <w:rFonts w:ascii="Garamond" w:hAnsi="Garamond"/>
          <w:sz w:val="24"/>
          <w:szCs w:val="24"/>
        </w:rPr>
        <w:t>OI“</w:t>
      </w:r>
    </w:p>
    <w:p w14:paraId="2EC14E73" w14:textId="11DBC8B7" w:rsidR="003D353E" w:rsidRPr="002E24E9" w:rsidRDefault="003D353E" w:rsidP="003D353E">
      <w:pPr>
        <w:numPr>
          <w:ilvl w:val="0"/>
          <w:numId w:val="43"/>
        </w:numPr>
        <w:rPr>
          <w:rFonts w:ascii="Garamond" w:hAnsi="Garamond"/>
          <w:sz w:val="24"/>
          <w:szCs w:val="24"/>
        </w:rPr>
      </w:pPr>
      <w:r w:rsidRPr="002E24E9">
        <w:rPr>
          <w:rFonts w:ascii="Garamond" w:hAnsi="Garamond"/>
          <w:sz w:val="24"/>
          <w:szCs w:val="24"/>
        </w:rPr>
        <w:t>z</w:t>
      </w:r>
      <w:r w:rsidR="005C0E43">
        <w:rPr>
          <w:rFonts w:ascii="Garamond" w:hAnsi="Garamond"/>
          <w:sz w:val="24"/>
          <w:szCs w:val="24"/>
        </w:rPr>
        <w:t> </w:t>
      </w:r>
      <w:r w:rsidRPr="002E24E9">
        <w:rPr>
          <w:rFonts w:ascii="Garamond" w:hAnsi="Garamond"/>
          <w:sz w:val="24"/>
          <w:szCs w:val="24"/>
        </w:rPr>
        <w:t>toho</w:t>
      </w:r>
      <w:r w:rsidR="005C0E43">
        <w:rPr>
          <w:rFonts w:ascii="Garamond" w:hAnsi="Garamond"/>
          <w:sz w:val="24"/>
          <w:szCs w:val="24"/>
        </w:rPr>
        <w:t xml:space="preserve"> 5</w:t>
      </w:r>
      <w:r w:rsidRPr="002E24E9">
        <w:rPr>
          <w:rFonts w:ascii="Garamond" w:hAnsi="Garamond"/>
          <w:sz w:val="24"/>
          <w:szCs w:val="24"/>
        </w:rPr>
        <w:t xml:space="preserve"> ks - přesun věcné </w:t>
      </w:r>
      <w:proofErr w:type="gramStart"/>
      <w:r w:rsidRPr="002E24E9">
        <w:rPr>
          <w:rFonts w:ascii="Garamond" w:hAnsi="Garamond"/>
          <w:sz w:val="24"/>
          <w:szCs w:val="24"/>
        </w:rPr>
        <w:t>výdaje  s</w:t>
      </w:r>
      <w:proofErr w:type="gramEnd"/>
      <w:r w:rsidRPr="002E24E9">
        <w:rPr>
          <w:rFonts w:ascii="Garamond" w:hAnsi="Garamond"/>
          <w:sz w:val="24"/>
          <w:szCs w:val="24"/>
        </w:rPr>
        <w:t> parametrem  „OBKŘ“</w:t>
      </w:r>
    </w:p>
    <w:p w14:paraId="067EACC3" w14:textId="3C684FF8" w:rsidR="003D353E" w:rsidRPr="00C47505" w:rsidRDefault="003D353E" w:rsidP="000C258C">
      <w:pPr>
        <w:numPr>
          <w:ilvl w:val="0"/>
          <w:numId w:val="43"/>
        </w:numPr>
        <w:rPr>
          <w:rFonts w:ascii="Garamond" w:hAnsi="Garamond"/>
        </w:rPr>
      </w:pPr>
      <w:r w:rsidRPr="00C47505">
        <w:rPr>
          <w:rFonts w:ascii="Garamond" w:hAnsi="Garamond"/>
          <w:sz w:val="24"/>
          <w:szCs w:val="24"/>
        </w:rPr>
        <w:t>z toho 1</w:t>
      </w:r>
      <w:r w:rsidR="00F72194">
        <w:rPr>
          <w:rFonts w:ascii="Garamond" w:hAnsi="Garamond"/>
          <w:sz w:val="24"/>
          <w:szCs w:val="24"/>
        </w:rPr>
        <w:t>2</w:t>
      </w:r>
      <w:r w:rsidRPr="00C47505">
        <w:rPr>
          <w:rFonts w:ascii="Garamond" w:hAnsi="Garamond"/>
          <w:sz w:val="24"/>
          <w:szCs w:val="24"/>
        </w:rPr>
        <w:t xml:space="preserve"> </w:t>
      </w:r>
      <w:proofErr w:type="gramStart"/>
      <w:r w:rsidRPr="00C47505">
        <w:rPr>
          <w:rFonts w:ascii="Garamond" w:hAnsi="Garamond"/>
          <w:sz w:val="24"/>
          <w:szCs w:val="24"/>
        </w:rPr>
        <w:t>ks - přesun</w:t>
      </w:r>
      <w:proofErr w:type="gramEnd"/>
      <w:r w:rsidRPr="00C47505">
        <w:rPr>
          <w:rFonts w:ascii="Garamond" w:hAnsi="Garamond"/>
          <w:sz w:val="24"/>
          <w:szCs w:val="24"/>
        </w:rPr>
        <w:t xml:space="preserve"> OVV + pol. 5192 z KS na OSS</w:t>
      </w:r>
    </w:p>
    <w:p w14:paraId="79C5AE9B" w14:textId="2BBABAFF" w:rsidR="007232D9" w:rsidRPr="000E2518" w:rsidRDefault="007232D9" w:rsidP="007232D9">
      <w:pPr>
        <w:pStyle w:val="Nadpis1"/>
        <w:rPr>
          <w:color w:val="548DD4" w:themeColor="text2" w:themeTint="99"/>
        </w:rPr>
      </w:pPr>
      <w:bookmarkStart w:id="10" w:name="_Toc534878019"/>
      <w:bookmarkStart w:id="11" w:name="_Toc155689648"/>
      <w:r w:rsidRPr="000E2518">
        <w:rPr>
          <w:color w:val="548DD4" w:themeColor="text2" w:themeTint="99"/>
        </w:rPr>
        <w:lastRenderedPageBreak/>
        <w:t>PŘÍJMY</w:t>
      </w:r>
      <w:bookmarkEnd w:id="10"/>
      <w:bookmarkEnd w:id="11"/>
      <w:r w:rsidR="00F95EB6" w:rsidRPr="000E2518">
        <w:rPr>
          <w:color w:val="548DD4" w:themeColor="text2" w:themeTint="99"/>
        </w:rPr>
        <w:t xml:space="preserve"> </w:t>
      </w:r>
    </w:p>
    <w:p w14:paraId="2FC86C2B" w14:textId="29098FAF" w:rsidR="00C64A54" w:rsidRPr="000E2518" w:rsidRDefault="00C64A54" w:rsidP="00A84734">
      <w:pPr>
        <w:pStyle w:val="Nadpis2"/>
        <w:numPr>
          <w:ilvl w:val="1"/>
          <w:numId w:val="1"/>
        </w:numPr>
        <w:rPr>
          <w:color w:val="548DD4" w:themeColor="text2" w:themeTint="99"/>
        </w:rPr>
      </w:pPr>
      <w:bookmarkStart w:id="12" w:name="_Toc155689649"/>
      <w:r w:rsidRPr="000E2518">
        <w:rPr>
          <w:color w:val="548DD4" w:themeColor="text2" w:themeTint="99"/>
        </w:rPr>
        <w:t>Zhodnocení celkových příjmů</w:t>
      </w:r>
      <w:bookmarkEnd w:id="12"/>
    </w:p>
    <w:p w14:paraId="6ED9EDD6" w14:textId="77777777" w:rsidR="002E6DC3" w:rsidRPr="002E6DC3" w:rsidRDefault="002E6DC3" w:rsidP="002E6DC3"/>
    <w:p w14:paraId="0DF1DD54" w14:textId="0F7509A2" w:rsidR="003D353E" w:rsidRPr="006E3977" w:rsidRDefault="003D353E" w:rsidP="006E3977">
      <w:pPr>
        <w:pStyle w:val="Bezmezer"/>
        <w:jc w:val="both"/>
        <w:rPr>
          <w:rFonts w:ascii="Garamond" w:hAnsi="Garamond"/>
          <w:sz w:val="24"/>
          <w:szCs w:val="24"/>
        </w:rPr>
      </w:pPr>
      <w:r w:rsidRPr="006E3977">
        <w:rPr>
          <w:rFonts w:ascii="Garamond" w:hAnsi="Garamond"/>
          <w:sz w:val="24"/>
          <w:szCs w:val="24"/>
        </w:rPr>
        <w:t>Schválený rozpočet v roce 202</w:t>
      </w:r>
      <w:r w:rsidR="00527406">
        <w:rPr>
          <w:rFonts w:ascii="Garamond" w:hAnsi="Garamond"/>
          <w:sz w:val="24"/>
          <w:szCs w:val="24"/>
        </w:rPr>
        <w:t>5</w:t>
      </w:r>
      <w:r w:rsidRPr="006E3977">
        <w:rPr>
          <w:rFonts w:ascii="Garamond" w:hAnsi="Garamond"/>
          <w:sz w:val="24"/>
          <w:szCs w:val="24"/>
        </w:rPr>
        <w:t xml:space="preserve"> ve výši 1</w:t>
      </w:r>
      <w:r w:rsidR="00527406">
        <w:rPr>
          <w:rFonts w:ascii="Garamond" w:hAnsi="Garamond"/>
          <w:sz w:val="24"/>
          <w:szCs w:val="24"/>
        </w:rPr>
        <w:t>5 000</w:t>
      </w:r>
      <w:r w:rsidRPr="006E3977">
        <w:rPr>
          <w:rFonts w:ascii="Garamond" w:hAnsi="Garamond"/>
          <w:sz w:val="24"/>
          <w:szCs w:val="24"/>
        </w:rPr>
        <w:t xml:space="preserve"> tis. Kč byl ke konci roku </w:t>
      </w:r>
      <w:proofErr w:type="gramStart"/>
      <w:r w:rsidRPr="006E3977">
        <w:rPr>
          <w:rFonts w:ascii="Garamond" w:hAnsi="Garamond"/>
          <w:sz w:val="24"/>
          <w:szCs w:val="24"/>
        </w:rPr>
        <w:t xml:space="preserve">upraven - </w:t>
      </w:r>
      <w:r w:rsidR="00EF64E6">
        <w:rPr>
          <w:rFonts w:ascii="Garamond" w:hAnsi="Garamond"/>
          <w:sz w:val="24"/>
          <w:szCs w:val="24"/>
        </w:rPr>
        <w:t>navýšen</w:t>
      </w:r>
      <w:proofErr w:type="gramEnd"/>
      <w:r w:rsidRPr="006E3977">
        <w:rPr>
          <w:rFonts w:ascii="Garamond" w:hAnsi="Garamond"/>
          <w:sz w:val="24"/>
          <w:szCs w:val="24"/>
        </w:rPr>
        <w:t xml:space="preserve"> o částku </w:t>
      </w:r>
      <w:r w:rsidR="00527406">
        <w:rPr>
          <w:rFonts w:ascii="Garamond" w:hAnsi="Garamond"/>
          <w:sz w:val="24"/>
          <w:szCs w:val="24"/>
        </w:rPr>
        <w:t>1</w:t>
      </w:r>
      <w:r w:rsidR="006840E6">
        <w:rPr>
          <w:rFonts w:ascii="Garamond" w:hAnsi="Garamond"/>
          <w:sz w:val="24"/>
          <w:szCs w:val="24"/>
        </w:rPr>
        <w:t> </w:t>
      </w:r>
      <w:r w:rsidR="00527406">
        <w:rPr>
          <w:rFonts w:ascii="Garamond" w:hAnsi="Garamond"/>
          <w:sz w:val="24"/>
          <w:szCs w:val="24"/>
        </w:rPr>
        <w:t>60</w:t>
      </w:r>
      <w:r w:rsidRPr="006E3977">
        <w:rPr>
          <w:rFonts w:ascii="Garamond" w:hAnsi="Garamond"/>
          <w:sz w:val="24"/>
          <w:szCs w:val="24"/>
        </w:rPr>
        <w:t>0</w:t>
      </w:r>
      <w:r w:rsidR="006840E6">
        <w:rPr>
          <w:rFonts w:ascii="Garamond" w:hAnsi="Garamond"/>
          <w:sz w:val="24"/>
          <w:szCs w:val="24"/>
        </w:rPr>
        <w:t> </w:t>
      </w:r>
      <w:r w:rsidRPr="006E3977">
        <w:rPr>
          <w:rFonts w:ascii="Garamond" w:hAnsi="Garamond"/>
          <w:sz w:val="24"/>
          <w:szCs w:val="24"/>
        </w:rPr>
        <w:t>tis.</w:t>
      </w:r>
      <w:r w:rsidR="006840E6">
        <w:rPr>
          <w:rFonts w:ascii="Garamond" w:hAnsi="Garamond"/>
          <w:sz w:val="24"/>
          <w:szCs w:val="24"/>
        </w:rPr>
        <w:t> </w:t>
      </w:r>
      <w:r w:rsidRPr="006E3977">
        <w:rPr>
          <w:rFonts w:ascii="Garamond" w:hAnsi="Garamond"/>
          <w:sz w:val="24"/>
          <w:szCs w:val="24"/>
        </w:rPr>
        <w:t xml:space="preserve">Kč (rozpočtové opatření č. </w:t>
      </w:r>
      <w:r w:rsidR="00527406">
        <w:rPr>
          <w:rFonts w:ascii="Garamond" w:hAnsi="Garamond"/>
          <w:sz w:val="24"/>
          <w:szCs w:val="24"/>
        </w:rPr>
        <w:t>94+95/</w:t>
      </w:r>
      <w:r w:rsidRPr="006E3977">
        <w:rPr>
          <w:rFonts w:ascii="Garamond" w:hAnsi="Garamond"/>
          <w:sz w:val="24"/>
          <w:szCs w:val="24"/>
        </w:rPr>
        <w:t>202</w:t>
      </w:r>
      <w:r w:rsidR="00527406">
        <w:rPr>
          <w:rFonts w:ascii="Garamond" w:hAnsi="Garamond"/>
          <w:sz w:val="24"/>
          <w:szCs w:val="24"/>
        </w:rPr>
        <w:t>5</w:t>
      </w:r>
      <w:r w:rsidRPr="006E3977">
        <w:rPr>
          <w:rFonts w:ascii="Garamond" w:hAnsi="Garamond"/>
          <w:sz w:val="24"/>
          <w:szCs w:val="24"/>
        </w:rPr>
        <w:t xml:space="preserve"> - přesun mezi</w:t>
      </w:r>
      <w:r w:rsidR="003E6592">
        <w:rPr>
          <w:rFonts w:ascii="Garamond" w:hAnsi="Garamond"/>
          <w:sz w:val="24"/>
          <w:szCs w:val="24"/>
        </w:rPr>
        <w:t xml:space="preserve"> KS a </w:t>
      </w:r>
      <w:r w:rsidRPr="006E3977">
        <w:rPr>
          <w:rFonts w:ascii="Garamond" w:hAnsi="Garamond"/>
          <w:sz w:val="24"/>
          <w:szCs w:val="24"/>
        </w:rPr>
        <w:t>OS ze dne 1</w:t>
      </w:r>
      <w:r w:rsidR="00527406">
        <w:rPr>
          <w:rFonts w:ascii="Garamond" w:hAnsi="Garamond"/>
          <w:sz w:val="24"/>
          <w:szCs w:val="24"/>
        </w:rPr>
        <w:t>6</w:t>
      </w:r>
      <w:r w:rsidRPr="006E3977">
        <w:rPr>
          <w:rFonts w:ascii="Garamond" w:hAnsi="Garamond"/>
          <w:sz w:val="24"/>
          <w:szCs w:val="24"/>
        </w:rPr>
        <w:t>.12.202</w:t>
      </w:r>
      <w:r w:rsidR="00527406">
        <w:rPr>
          <w:rFonts w:ascii="Garamond" w:hAnsi="Garamond"/>
          <w:sz w:val="24"/>
          <w:szCs w:val="24"/>
        </w:rPr>
        <w:t>5</w:t>
      </w:r>
      <w:r w:rsidRPr="006E3977">
        <w:rPr>
          <w:rFonts w:ascii="Garamond" w:hAnsi="Garamond"/>
          <w:sz w:val="24"/>
          <w:szCs w:val="24"/>
        </w:rPr>
        <w:t xml:space="preserve">) na částku </w:t>
      </w:r>
      <w:r w:rsidRPr="006E3977">
        <w:rPr>
          <w:rFonts w:ascii="Garamond" w:hAnsi="Garamond"/>
          <w:sz w:val="24"/>
          <w:szCs w:val="24"/>
        </w:rPr>
        <w:br/>
        <w:t>1</w:t>
      </w:r>
      <w:r w:rsidR="00EF64E6">
        <w:rPr>
          <w:rFonts w:ascii="Garamond" w:hAnsi="Garamond"/>
          <w:sz w:val="24"/>
          <w:szCs w:val="24"/>
        </w:rPr>
        <w:t xml:space="preserve">6 </w:t>
      </w:r>
      <w:r w:rsidR="00527406">
        <w:rPr>
          <w:rFonts w:ascii="Garamond" w:hAnsi="Garamond"/>
          <w:sz w:val="24"/>
          <w:szCs w:val="24"/>
        </w:rPr>
        <w:t>6</w:t>
      </w:r>
      <w:r w:rsidR="00EF64E6">
        <w:rPr>
          <w:rFonts w:ascii="Garamond" w:hAnsi="Garamond"/>
          <w:sz w:val="24"/>
          <w:szCs w:val="24"/>
        </w:rPr>
        <w:t>0</w:t>
      </w:r>
      <w:r w:rsidRPr="006E3977">
        <w:rPr>
          <w:rFonts w:ascii="Garamond" w:hAnsi="Garamond"/>
          <w:sz w:val="24"/>
          <w:szCs w:val="24"/>
        </w:rPr>
        <w:t>0 tis. Kč. Skutečné plnění příjmů v roce 202</w:t>
      </w:r>
      <w:r w:rsidR="00527406">
        <w:rPr>
          <w:rFonts w:ascii="Garamond" w:hAnsi="Garamond"/>
          <w:sz w:val="24"/>
          <w:szCs w:val="24"/>
        </w:rPr>
        <w:t>5</w:t>
      </w:r>
      <w:r w:rsidRPr="006E3977">
        <w:rPr>
          <w:rFonts w:ascii="Garamond" w:hAnsi="Garamond"/>
          <w:sz w:val="24"/>
          <w:szCs w:val="24"/>
        </w:rPr>
        <w:t xml:space="preserve"> činí</w:t>
      </w:r>
      <w:r w:rsidR="00EF64E6">
        <w:rPr>
          <w:rFonts w:ascii="Garamond" w:hAnsi="Garamond"/>
          <w:sz w:val="24"/>
          <w:szCs w:val="24"/>
        </w:rPr>
        <w:t xml:space="preserve"> 21</w:t>
      </w:r>
      <w:r w:rsidR="00527406">
        <w:rPr>
          <w:rFonts w:ascii="Garamond" w:hAnsi="Garamond"/>
          <w:sz w:val="24"/>
          <w:szCs w:val="24"/>
        </w:rPr>
        <w:t> 657,50</w:t>
      </w:r>
      <w:r w:rsidRPr="006E3977">
        <w:rPr>
          <w:rFonts w:ascii="Garamond" w:hAnsi="Garamond"/>
          <w:sz w:val="24"/>
          <w:szCs w:val="24"/>
        </w:rPr>
        <w:t xml:space="preserve"> tis. Kč, tj. 1</w:t>
      </w:r>
      <w:r w:rsidR="00527406">
        <w:rPr>
          <w:rFonts w:ascii="Garamond" w:hAnsi="Garamond"/>
          <w:sz w:val="24"/>
          <w:szCs w:val="24"/>
        </w:rPr>
        <w:t>30,47</w:t>
      </w:r>
      <w:r w:rsidRPr="006E3977">
        <w:rPr>
          <w:rFonts w:ascii="Garamond" w:hAnsi="Garamond"/>
          <w:sz w:val="24"/>
          <w:szCs w:val="24"/>
        </w:rPr>
        <w:t xml:space="preserve"> % konečného rozpočtu, výkaz R-51 k 31.12.202</w:t>
      </w:r>
      <w:r w:rsidR="00527406">
        <w:rPr>
          <w:rFonts w:ascii="Garamond" w:hAnsi="Garamond"/>
          <w:sz w:val="24"/>
          <w:szCs w:val="24"/>
        </w:rPr>
        <w:t>5</w:t>
      </w:r>
      <w:r w:rsidRPr="006E3977">
        <w:rPr>
          <w:rFonts w:ascii="Garamond" w:hAnsi="Garamond"/>
          <w:sz w:val="24"/>
          <w:szCs w:val="24"/>
        </w:rPr>
        <w:t>.</w:t>
      </w:r>
    </w:p>
    <w:p w14:paraId="1961F64B" w14:textId="54EE7B42" w:rsidR="003D353E" w:rsidRPr="006E3977" w:rsidRDefault="003D353E" w:rsidP="006E3977">
      <w:pPr>
        <w:pStyle w:val="Bezmezer"/>
        <w:jc w:val="both"/>
        <w:rPr>
          <w:rFonts w:ascii="Garamond" w:hAnsi="Garamond" w:cstheme="minorHAnsi"/>
          <w:sz w:val="24"/>
          <w:szCs w:val="24"/>
          <w:highlight w:val="yellow"/>
        </w:rPr>
      </w:pPr>
      <w:r w:rsidRPr="006E3977">
        <w:rPr>
          <w:rFonts w:ascii="Garamond" w:hAnsi="Garamond" w:cstheme="minorHAnsi"/>
          <w:sz w:val="24"/>
          <w:szCs w:val="24"/>
        </w:rPr>
        <w:t>Celkové rozpočtové příjmy stanovené pro rok 202</w:t>
      </w:r>
      <w:r w:rsidR="000416C2">
        <w:rPr>
          <w:rFonts w:ascii="Garamond" w:hAnsi="Garamond" w:cstheme="minorHAnsi"/>
          <w:sz w:val="24"/>
          <w:szCs w:val="24"/>
        </w:rPr>
        <w:t>5</w:t>
      </w:r>
      <w:r w:rsidRPr="006E3977">
        <w:rPr>
          <w:rFonts w:ascii="Garamond" w:hAnsi="Garamond" w:cstheme="minorHAnsi"/>
          <w:sz w:val="24"/>
          <w:szCs w:val="24"/>
        </w:rPr>
        <w:t xml:space="preserve"> byly </w:t>
      </w:r>
      <w:r w:rsidR="003E6592">
        <w:rPr>
          <w:rFonts w:ascii="Garamond" w:hAnsi="Garamond" w:cstheme="minorHAnsi"/>
          <w:sz w:val="24"/>
          <w:szCs w:val="24"/>
        </w:rPr>
        <w:t xml:space="preserve">tímto </w:t>
      </w:r>
      <w:r w:rsidRPr="006E3977">
        <w:rPr>
          <w:rFonts w:ascii="Garamond" w:hAnsi="Garamond" w:cstheme="minorHAnsi"/>
          <w:sz w:val="24"/>
          <w:szCs w:val="24"/>
        </w:rPr>
        <w:t>překročeny.</w:t>
      </w:r>
    </w:p>
    <w:p w14:paraId="4E5B7A57" w14:textId="29ED4914" w:rsidR="003D353E" w:rsidRPr="006E3977" w:rsidRDefault="003D353E" w:rsidP="006E3977">
      <w:pPr>
        <w:pStyle w:val="Bezmezer"/>
        <w:jc w:val="both"/>
        <w:rPr>
          <w:rFonts w:ascii="Garamond" w:hAnsi="Garamond" w:cstheme="minorHAnsi"/>
          <w:sz w:val="24"/>
          <w:szCs w:val="24"/>
          <w:highlight w:val="yellow"/>
        </w:rPr>
      </w:pPr>
      <w:r w:rsidRPr="006E3977">
        <w:rPr>
          <w:rFonts w:ascii="Garamond" w:hAnsi="Garamond" w:cstheme="minorHAnsi"/>
          <w:sz w:val="24"/>
          <w:szCs w:val="24"/>
        </w:rPr>
        <w:t>Rozpočtové příjmy stanovené rozpočtem po změnách pro rok 202</w:t>
      </w:r>
      <w:r w:rsidR="000416C2">
        <w:rPr>
          <w:rFonts w:ascii="Garamond" w:hAnsi="Garamond" w:cstheme="minorHAnsi"/>
          <w:sz w:val="24"/>
          <w:szCs w:val="24"/>
        </w:rPr>
        <w:t>5</w:t>
      </w:r>
      <w:r w:rsidRPr="006E3977">
        <w:rPr>
          <w:rFonts w:ascii="Garamond" w:hAnsi="Garamond" w:cstheme="minorHAnsi"/>
          <w:sz w:val="24"/>
          <w:szCs w:val="24"/>
        </w:rPr>
        <w:t xml:space="preserve"> ve třídě 1 byly překročeny. Skutečnost byla vyšší o </w:t>
      </w:r>
      <w:r w:rsidR="000416C2">
        <w:rPr>
          <w:rFonts w:ascii="Garamond" w:hAnsi="Garamond" w:cstheme="minorHAnsi"/>
          <w:sz w:val="24"/>
          <w:szCs w:val="24"/>
        </w:rPr>
        <w:t>2 953,42</w:t>
      </w:r>
      <w:r w:rsidRPr="006E3977">
        <w:rPr>
          <w:rFonts w:ascii="Garamond" w:hAnsi="Garamond" w:cstheme="minorHAnsi"/>
          <w:sz w:val="24"/>
          <w:szCs w:val="24"/>
        </w:rPr>
        <w:t xml:space="preserve"> tis</w:t>
      </w:r>
      <w:r w:rsidR="001112FE" w:rsidRPr="006E3977">
        <w:rPr>
          <w:rFonts w:ascii="Garamond" w:hAnsi="Garamond" w:cstheme="minorHAnsi"/>
          <w:sz w:val="24"/>
          <w:szCs w:val="24"/>
        </w:rPr>
        <w:t>.</w:t>
      </w:r>
      <w:r w:rsidRPr="006E3977">
        <w:rPr>
          <w:rFonts w:ascii="Garamond" w:hAnsi="Garamond" w:cstheme="minorHAnsi"/>
          <w:sz w:val="24"/>
          <w:szCs w:val="24"/>
        </w:rPr>
        <w:t xml:space="preserve"> Kč než rozpočet po změnách, což je 1</w:t>
      </w:r>
      <w:r w:rsidR="000416C2">
        <w:rPr>
          <w:rFonts w:ascii="Garamond" w:hAnsi="Garamond" w:cstheme="minorHAnsi"/>
          <w:sz w:val="24"/>
          <w:szCs w:val="24"/>
        </w:rPr>
        <w:t>24,61</w:t>
      </w:r>
      <w:r w:rsidRPr="006E3977">
        <w:rPr>
          <w:rFonts w:ascii="Garamond" w:hAnsi="Garamond" w:cstheme="minorHAnsi"/>
          <w:sz w:val="24"/>
          <w:szCs w:val="24"/>
        </w:rPr>
        <w:t xml:space="preserve"> % konečného rozpočtu.</w:t>
      </w:r>
    </w:p>
    <w:p w14:paraId="6E99B517" w14:textId="331FA118" w:rsidR="005921D3" w:rsidRPr="006E3977" w:rsidRDefault="003D353E" w:rsidP="006E3977">
      <w:pPr>
        <w:pStyle w:val="Bezmezer"/>
        <w:jc w:val="both"/>
        <w:rPr>
          <w:rFonts w:ascii="Garamond" w:hAnsi="Garamond" w:cstheme="minorHAnsi"/>
          <w:sz w:val="24"/>
          <w:szCs w:val="24"/>
        </w:rPr>
      </w:pPr>
      <w:r w:rsidRPr="006E3977">
        <w:rPr>
          <w:rFonts w:ascii="Garamond" w:hAnsi="Garamond" w:cstheme="minorHAnsi"/>
          <w:sz w:val="24"/>
          <w:szCs w:val="24"/>
        </w:rPr>
        <w:t>Rozpočtové příjmy stanovené rozpočtem po změnách pro rok 202</w:t>
      </w:r>
      <w:r w:rsidR="000416C2">
        <w:rPr>
          <w:rFonts w:ascii="Garamond" w:hAnsi="Garamond" w:cstheme="minorHAnsi"/>
          <w:sz w:val="24"/>
          <w:szCs w:val="24"/>
        </w:rPr>
        <w:t>5</w:t>
      </w:r>
      <w:r w:rsidRPr="006E3977">
        <w:rPr>
          <w:rFonts w:ascii="Garamond" w:hAnsi="Garamond" w:cstheme="minorHAnsi"/>
          <w:sz w:val="24"/>
          <w:szCs w:val="24"/>
        </w:rPr>
        <w:t xml:space="preserve"> ve třídě 2 byly překročeny </w:t>
      </w:r>
      <w:proofErr w:type="gramStart"/>
      <w:r w:rsidRPr="006E3977">
        <w:rPr>
          <w:rFonts w:ascii="Garamond" w:hAnsi="Garamond" w:cstheme="minorHAnsi"/>
          <w:sz w:val="24"/>
          <w:szCs w:val="24"/>
        </w:rPr>
        <w:t xml:space="preserve">o </w:t>
      </w:r>
      <w:r w:rsidR="00E0093E">
        <w:rPr>
          <w:rFonts w:ascii="Garamond" w:hAnsi="Garamond" w:cstheme="minorHAnsi"/>
          <w:sz w:val="24"/>
          <w:szCs w:val="24"/>
        </w:rPr>
        <w:t> </w:t>
      </w:r>
      <w:r w:rsidR="000416C2">
        <w:rPr>
          <w:rFonts w:ascii="Garamond" w:hAnsi="Garamond" w:cstheme="minorHAnsi"/>
          <w:sz w:val="24"/>
          <w:szCs w:val="24"/>
        </w:rPr>
        <w:t>2</w:t>
      </w:r>
      <w:proofErr w:type="gramEnd"/>
      <w:r w:rsidR="000416C2">
        <w:rPr>
          <w:rFonts w:ascii="Garamond" w:hAnsi="Garamond" w:cstheme="minorHAnsi"/>
          <w:sz w:val="24"/>
          <w:szCs w:val="24"/>
        </w:rPr>
        <w:t> 059,84</w:t>
      </w:r>
      <w:r w:rsidRPr="006E3977">
        <w:rPr>
          <w:rFonts w:ascii="Garamond" w:hAnsi="Garamond" w:cstheme="minorHAnsi"/>
          <w:sz w:val="24"/>
          <w:szCs w:val="24"/>
        </w:rPr>
        <w:t xml:space="preserve"> </w:t>
      </w:r>
      <w:r w:rsidR="00E0093E">
        <w:rPr>
          <w:rFonts w:ascii="Garamond" w:hAnsi="Garamond" w:cstheme="minorHAnsi"/>
          <w:sz w:val="24"/>
          <w:szCs w:val="24"/>
        </w:rPr>
        <w:t> </w:t>
      </w:r>
      <w:r w:rsidRPr="006E3977">
        <w:rPr>
          <w:rFonts w:ascii="Garamond" w:hAnsi="Garamond" w:cstheme="minorHAnsi"/>
          <w:sz w:val="24"/>
          <w:szCs w:val="24"/>
        </w:rPr>
        <w:t>tis</w:t>
      </w:r>
      <w:r w:rsidR="001112FE" w:rsidRPr="006E3977">
        <w:rPr>
          <w:rFonts w:ascii="Garamond" w:hAnsi="Garamond" w:cstheme="minorHAnsi"/>
          <w:sz w:val="24"/>
          <w:szCs w:val="24"/>
        </w:rPr>
        <w:t>.</w:t>
      </w:r>
      <w:r w:rsidRPr="006E3977">
        <w:rPr>
          <w:rFonts w:ascii="Garamond" w:hAnsi="Garamond" w:cstheme="minorHAnsi"/>
          <w:sz w:val="24"/>
          <w:szCs w:val="24"/>
        </w:rPr>
        <w:t xml:space="preserve"> Kč, což je</w:t>
      </w:r>
      <w:r w:rsidR="00E25341">
        <w:rPr>
          <w:rFonts w:ascii="Garamond" w:hAnsi="Garamond" w:cstheme="minorHAnsi"/>
          <w:sz w:val="24"/>
          <w:szCs w:val="24"/>
        </w:rPr>
        <w:t xml:space="preserve"> 1</w:t>
      </w:r>
      <w:r w:rsidR="000416C2">
        <w:rPr>
          <w:rFonts w:ascii="Garamond" w:hAnsi="Garamond" w:cstheme="minorHAnsi"/>
          <w:sz w:val="24"/>
          <w:szCs w:val="24"/>
        </w:rPr>
        <w:t>45,27</w:t>
      </w:r>
      <w:r w:rsidRPr="006E3977">
        <w:rPr>
          <w:rFonts w:ascii="Garamond" w:hAnsi="Garamond" w:cstheme="minorHAnsi"/>
          <w:sz w:val="24"/>
          <w:szCs w:val="24"/>
        </w:rPr>
        <w:t xml:space="preserve"> %</w:t>
      </w:r>
      <w:r w:rsidR="00E25341">
        <w:rPr>
          <w:rFonts w:ascii="Garamond" w:hAnsi="Garamond" w:cstheme="minorHAnsi"/>
          <w:sz w:val="24"/>
          <w:szCs w:val="24"/>
        </w:rPr>
        <w:t xml:space="preserve"> konečného rozpočtu</w:t>
      </w:r>
      <w:r w:rsidRPr="006E3977">
        <w:rPr>
          <w:rFonts w:ascii="Garamond" w:hAnsi="Garamond" w:cstheme="minorHAnsi"/>
          <w:sz w:val="24"/>
          <w:szCs w:val="24"/>
        </w:rPr>
        <w:t>.</w:t>
      </w:r>
    </w:p>
    <w:p w14:paraId="5EAFBB68" w14:textId="740912F6" w:rsidR="005921D3" w:rsidRDefault="005921D3" w:rsidP="006E3977">
      <w:pPr>
        <w:pStyle w:val="Bezmezer"/>
        <w:jc w:val="both"/>
        <w:rPr>
          <w:rFonts w:ascii="Garamond" w:hAnsi="Garamond" w:cstheme="minorHAnsi"/>
          <w:sz w:val="24"/>
          <w:szCs w:val="24"/>
        </w:rPr>
      </w:pPr>
      <w:r w:rsidRPr="006E3977">
        <w:rPr>
          <w:rFonts w:ascii="Garamond" w:hAnsi="Garamond" w:cstheme="minorHAnsi"/>
          <w:sz w:val="24"/>
          <w:szCs w:val="24"/>
        </w:rPr>
        <w:t>Oproti roku 202</w:t>
      </w:r>
      <w:r w:rsidR="000416C2">
        <w:rPr>
          <w:rFonts w:ascii="Garamond" w:hAnsi="Garamond" w:cstheme="minorHAnsi"/>
          <w:sz w:val="24"/>
          <w:szCs w:val="24"/>
        </w:rPr>
        <w:t>4</w:t>
      </w:r>
      <w:r w:rsidRPr="006E3977">
        <w:rPr>
          <w:rFonts w:ascii="Garamond" w:hAnsi="Garamond" w:cstheme="minorHAnsi"/>
          <w:sz w:val="24"/>
          <w:szCs w:val="24"/>
        </w:rPr>
        <w:t xml:space="preserve"> došlo v roce 202</w:t>
      </w:r>
      <w:r w:rsidR="000416C2">
        <w:rPr>
          <w:rFonts w:ascii="Garamond" w:hAnsi="Garamond" w:cstheme="minorHAnsi"/>
          <w:sz w:val="24"/>
          <w:szCs w:val="24"/>
        </w:rPr>
        <w:t>5</w:t>
      </w:r>
      <w:r w:rsidRPr="006E3977">
        <w:rPr>
          <w:rFonts w:ascii="Garamond" w:hAnsi="Garamond" w:cstheme="minorHAnsi"/>
          <w:sz w:val="24"/>
          <w:szCs w:val="24"/>
        </w:rPr>
        <w:t xml:space="preserve"> ke </w:t>
      </w:r>
      <w:r w:rsidR="00032F87">
        <w:rPr>
          <w:rFonts w:ascii="Garamond" w:hAnsi="Garamond" w:cstheme="minorHAnsi"/>
          <w:sz w:val="24"/>
          <w:szCs w:val="24"/>
        </w:rPr>
        <w:t>zvýšení</w:t>
      </w:r>
      <w:r w:rsidRPr="006E3977">
        <w:rPr>
          <w:rFonts w:ascii="Garamond" w:hAnsi="Garamond" w:cstheme="minorHAnsi"/>
          <w:sz w:val="24"/>
          <w:szCs w:val="24"/>
        </w:rPr>
        <w:t xml:space="preserve"> </w:t>
      </w:r>
      <w:r w:rsidR="00B17262" w:rsidRPr="006E3977">
        <w:rPr>
          <w:rFonts w:ascii="Garamond" w:hAnsi="Garamond" w:cstheme="minorHAnsi"/>
          <w:sz w:val="24"/>
          <w:szCs w:val="24"/>
        </w:rPr>
        <w:t>celkových</w:t>
      </w:r>
      <w:r w:rsidRPr="006E3977">
        <w:rPr>
          <w:rFonts w:ascii="Garamond" w:hAnsi="Garamond" w:cstheme="minorHAnsi"/>
          <w:sz w:val="24"/>
          <w:szCs w:val="24"/>
        </w:rPr>
        <w:t xml:space="preserve"> příjmů </w:t>
      </w:r>
      <w:r w:rsidR="000416C2">
        <w:rPr>
          <w:rFonts w:ascii="Garamond" w:hAnsi="Garamond" w:cstheme="minorHAnsi"/>
          <w:sz w:val="24"/>
          <w:szCs w:val="24"/>
        </w:rPr>
        <w:t xml:space="preserve">pouze </w:t>
      </w:r>
      <w:r w:rsidRPr="006E3977">
        <w:rPr>
          <w:rFonts w:ascii="Garamond" w:hAnsi="Garamond" w:cstheme="minorHAnsi"/>
          <w:sz w:val="24"/>
          <w:szCs w:val="24"/>
        </w:rPr>
        <w:t>o</w:t>
      </w:r>
      <w:r w:rsidR="00032F87">
        <w:rPr>
          <w:rFonts w:ascii="Garamond" w:hAnsi="Garamond" w:cstheme="minorHAnsi"/>
          <w:sz w:val="24"/>
          <w:szCs w:val="24"/>
        </w:rPr>
        <w:t xml:space="preserve"> </w:t>
      </w:r>
      <w:r w:rsidR="000416C2">
        <w:rPr>
          <w:rFonts w:ascii="Garamond" w:hAnsi="Garamond" w:cstheme="minorHAnsi"/>
          <w:sz w:val="24"/>
          <w:szCs w:val="24"/>
        </w:rPr>
        <w:t>327,10</w:t>
      </w:r>
      <w:r w:rsidRPr="00032F87">
        <w:rPr>
          <w:rFonts w:ascii="Garamond" w:hAnsi="Garamond" w:cstheme="minorHAnsi"/>
          <w:sz w:val="24"/>
          <w:szCs w:val="24"/>
        </w:rPr>
        <w:t xml:space="preserve"> tis</w:t>
      </w:r>
      <w:r w:rsidR="001112FE" w:rsidRPr="00032F87">
        <w:rPr>
          <w:rFonts w:ascii="Garamond" w:hAnsi="Garamond" w:cstheme="minorHAnsi"/>
          <w:sz w:val="24"/>
          <w:szCs w:val="24"/>
        </w:rPr>
        <w:t>.</w:t>
      </w:r>
      <w:r w:rsidRPr="00032F87">
        <w:rPr>
          <w:rFonts w:ascii="Garamond" w:hAnsi="Garamond" w:cstheme="minorHAnsi"/>
          <w:sz w:val="24"/>
          <w:szCs w:val="24"/>
        </w:rPr>
        <w:t xml:space="preserve"> Kč.  Hlavním důvodem </w:t>
      </w:r>
      <w:r w:rsidR="0076338F" w:rsidRPr="00032F87">
        <w:rPr>
          <w:rFonts w:ascii="Garamond" w:hAnsi="Garamond" w:cstheme="minorHAnsi"/>
          <w:sz w:val="24"/>
          <w:szCs w:val="24"/>
        </w:rPr>
        <w:br/>
      </w:r>
      <w:r w:rsidRPr="00032F87">
        <w:rPr>
          <w:rFonts w:ascii="Garamond" w:hAnsi="Garamond" w:cstheme="minorHAnsi"/>
          <w:sz w:val="24"/>
          <w:szCs w:val="24"/>
        </w:rPr>
        <w:t>je</w:t>
      </w:r>
      <w:r w:rsidR="00032F87">
        <w:rPr>
          <w:rFonts w:ascii="Garamond" w:hAnsi="Garamond" w:cstheme="minorHAnsi"/>
          <w:sz w:val="24"/>
          <w:szCs w:val="24"/>
        </w:rPr>
        <w:t xml:space="preserve"> zvýšení</w:t>
      </w:r>
      <w:r w:rsidRPr="00032F87">
        <w:rPr>
          <w:rFonts w:ascii="Garamond" w:hAnsi="Garamond" w:cstheme="minorHAnsi"/>
          <w:sz w:val="24"/>
          <w:szCs w:val="24"/>
        </w:rPr>
        <w:t xml:space="preserve"> příjmu ze soudních poplatků, a to meziročně o</w:t>
      </w:r>
      <w:r w:rsidR="00032F87">
        <w:rPr>
          <w:rFonts w:ascii="Garamond" w:hAnsi="Garamond" w:cstheme="minorHAnsi"/>
          <w:sz w:val="24"/>
          <w:szCs w:val="24"/>
        </w:rPr>
        <w:t xml:space="preserve"> 9</w:t>
      </w:r>
      <w:r w:rsidR="000416C2">
        <w:rPr>
          <w:rFonts w:ascii="Garamond" w:hAnsi="Garamond" w:cstheme="minorHAnsi"/>
          <w:sz w:val="24"/>
          <w:szCs w:val="24"/>
        </w:rPr>
        <w:t>13,23</w:t>
      </w:r>
      <w:r w:rsidRPr="00032F87">
        <w:rPr>
          <w:rFonts w:ascii="Garamond" w:hAnsi="Garamond" w:cstheme="minorHAnsi"/>
          <w:sz w:val="24"/>
          <w:szCs w:val="24"/>
        </w:rPr>
        <w:t xml:space="preserve"> tisíc Kč.</w:t>
      </w:r>
    </w:p>
    <w:p w14:paraId="26BE92EF" w14:textId="77777777" w:rsidR="00E25341" w:rsidRPr="006E3977" w:rsidRDefault="00E25341" w:rsidP="006E3977">
      <w:pPr>
        <w:pStyle w:val="Bezmezer"/>
        <w:jc w:val="both"/>
        <w:rPr>
          <w:rFonts w:ascii="Garamond" w:hAnsi="Garamond" w:cstheme="minorHAnsi"/>
          <w:sz w:val="24"/>
          <w:szCs w:val="24"/>
        </w:rPr>
      </w:pPr>
    </w:p>
    <w:p w14:paraId="093A791E" w14:textId="296F8BDA" w:rsidR="00B17262" w:rsidRPr="00B17262" w:rsidRDefault="00C64A54" w:rsidP="007F7728">
      <w:pPr>
        <w:pStyle w:val="Nadpis2"/>
        <w:numPr>
          <w:ilvl w:val="1"/>
          <w:numId w:val="1"/>
        </w:numPr>
      </w:pPr>
      <w:bookmarkStart w:id="13" w:name="_Toc155689650"/>
      <w:r w:rsidRPr="00F70625">
        <w:rPr>
          <w:color w:val="548DD4" w:themeColor="text2" w:themeTint="99"/>
        </w:rPr>
        <w:t>Hodnocení příjmů v členění podle rozpočtové skladby</w:t>
      </w:r>
      <w:bookmarkEnd w:id="13"/>
    </w:p>
    <w:p w14:paraId="4EBC1E7D" w14:textId="23452FEB" w:rsidR="003D353E" w:rsidRPr="00467DF1" w:rsidRDefault="003D353E" w:rsidP="003D353E">
      <w:pPr>
        <w:jc w:val="both"/>
        <w:outlineLvl w:val="0"/>
        <w:rPr>
          <w:rFonts w:ascii="Garamond" w:hAnsi="Garamond"/>
          <w:sz w:val="24"/>
          <w:szCs w:val="24"/>
        </w:rPr>
      </w:pPr>
      <w:r w:rsidRPr="00467DF1">
        <w:rPr>
          <w:rFonts w:ascii="Garamond" w:hAnsi="Garamond"/>
          <w:i/>
          <w:sz w:val="24"/>
          <w:szCs w:val="24"/>
          <w:u w:val="single"/>
        </w:rPr>
        <w:t>Hodnocení dosažených příjmů podle podseskupení položek:</w:t>
      </w:r>
      <w:r w:rsidRPr="00467DF1">
        <w:rPr>
          <w:rFonts w:ascii="Garamond" w:hAnsi="Garamond"/>
          <w:sz w:val="24"/>
          <w:szCs w:val="24"/>
        </w:rPr>
        <w:t xml:space="preserve"> </w:t>
      </w:r>
    </w:p>
    <w:p w14:paraId="7965B796" w14:textId="77777777" w:rsidR="00B17262" w:rsidRPr="00F8172D" w:rsidRDefault="003D353E" w:rsidP="00B17262">
      <w:pPr>
        <w:pStyle w:val="Bezmezer"/>
        <w:rPr>
          <w:rFonts w:ascii="Garamond" w:hAnsi="Garamond"/>
          <w:sz w:val="24"/>
          <w:szCs w:val="24"/>
          <w:u w:val="single"/>
        </w:rPr>
      </w:pPr>
      <w:proofErr w:type="gramStart"/>
      <w:r w:rsidRPr="00467DF1">
        <w:rPr>
          <w:rFonts w:ascii="Garamond" w:hAnsi="Garamond"/>
          <w:sz w:val="24"/>
          <w:szCs w:val="24"/>
        </w:rPr>
        <w:t>1362  -</w:t>
      </w:r>
      <w:proofErr w:type="gramEnd"/>
      <w:r w:rsidRPr="00467DF1">
        <w:rPr>
          <w:rFonts w:ascii="Garamond" w:hAnsi="Garamond"/>
          <w:sz w:val="24"/>
          <w:szCs w:val="24"/>
        </w:rPr>
        <w:t xml:space="preserve">  </w:t>
      </w:r>
      <w:r w:rsidRPr="00F8172D">
        <w:rPr>
          <w:rFonts w:ascii="Garamond" w:hAnsi="Garamond"/>
          <w:sz w:val="24"/>
          <w:szCs w:val="24"/>
          <w:u w:val="single"/>
        </w:rPr>
        <w:t>Soudní poplatky :</w:t>
      </w:r>
    </w:p>
    <w:p w14:paraId="3E55B797" w14:textId="65EA6C8C" w:rsidR="003D353E" w:rsidRPr="00467DF1" w:rsidRDefault="003D353E" w:rsidP="00B17262">
      <w:pPr>
        <w:pStyle w:val="Bezmezer"/>
        <w:rPr>
          <w:rFonts w:ascii="Garamond" w:hAnsi="Garamond"/>
          <w:sz w:val="24"/>
          <w:szCs w:val="24"/>
        </w:rPr>
      </w:pPr>
      <w:r w:rsidRPr="00467DF1">
        <w:rPr>
          <w:rFonts w:ascii="Garamond" w:hAnsi="Garamond"/>
          <w:sz w:val="24"/>
          <w:szCs w:val="24"/>
        </w:rPr>
        <w:t xml:space="preserve">upravený rozpočet </w:t>
      </w:r>
      <w:r w:rsidR="002B7E6C">
        <w:rPr>
          <w:rFonts w:ascii="Garamond" w:hAnsi="Garamond"/>
          <w:sz w:val="24"/>
          <w:szCs w:val="24"/>
        </w:rPr>
        <w:t>12 0</w:t>
      </w:r>
      <w:r w:rsidR="00576D5B">
        <w:rPr>
          <w:rFonts w:ascii="Garamond" w:hAnsi="Garamond"/>
          <w:sz w:val="24"/>
          <w:szCs w:val="24"/>
        </w:rPr>
        <w:t>00</w:t>
      </w:r>
      <w:r w:rsidRPr="00467DF1">
        <w:rPr>
          <w:rFonts w:ascii="Garamond" w:hAnsi="Garamond"/>
          <w:sz w:val="24"/>
          <w:szCs w:val="24"/>
        </w:rPr>
        <w:t xml:space="preserve"> </w:t>
      </w:r>
      <w:proofErr w:type="gramStart"/>
      <w:r w:rsidRPr="00467DF1">
        <w:rPr>
          <w:rFonts w:ascii="Garamond" w:hAnsi="Garamond"/>
          <w:sz w:val="24"/>
          <w:szCs w:val="24"/>
        </w:rPr>
        <w:t>tis.Kč</w:t>
      </w:r>
      <w:proofErr w:type="gramEnd"/>
      <w:r w:rsidRPr="00467DF1">
        <w:rPr>
          <w:rFonts w:ascii="Garamond" w:hAnsi="Garamond"/>
          <w:sz w:val="24"/>
          <w:szCs w:val="24"/>
        </w:rPr>
        <w:t>, skutečnost</w:t>
      </w:r>
      <w:r w:rsidR="00576D5B">
        <w:rPr>
          <w:rFonts w:ascii="Garamond" w:hAnsi="Garamond"/>
          <w:sz w:val="24"/>
          <w:szCs w:val="24"/>
        </w:rPr>
        <w:t xml:space="preserve"> 14</w:t>
      </w:r>
      <w:r w:rsidR="002B7E6C">
        <w:rPr>
          <w:rFonts w:ascii="Garamond" w:hAnsi="Garamond"/>
          <w:sz w:val="24"/>
          <w:szCs w:val="24"/>
        </w:rPr>
        <w:t> 953,42</w:t>
      </w:r>
      <w:r w:rsidRPr="00467DF1">
        <w:rPr>
          <w:rFonts w:ascii="Garamond" w:hAnsi="Garamond"/>
          <w:sz w:val="24"/>
          <w:szCs w:val="24"/>
        </w:rPr>
        <w:t xml:space="preserve"> tis.Kč. Splněno na </w:t>
      </w:r>
      <w:proofErr w:type="gramStart"/>
      <w:r w:rsidR="00576D5B">
        <w:rPr>
          <w:rFonts w:ascii="Garamond" w:hAnsi="Garamond"/>
          <w:sz w:val="24"/>
          <w:szCs w:val="24"/>
        </w:rPr>
        <w:t>1</w:t>
      </w:r>
      <w:r w:rsidR="002B7E6C">
        <w:rPr>
          <w:rFonts w:ascii="Garamond" w:hAnsi="Garamond"/>
          <w:sz w:val="24"/>
          <w:szCs w:val="24"/>
        </w:rPr>
        <w:t>24,61</w:t>
      </w:r>
      <w:r w:rsidRPr="00467DF1">
        <w:rPr>
          <w:rFonts w:ascii="Garamond" w:hAnsi="Garamond"/>
          <w:sz w:val="24"/>
          <w:szCs w:val="24"/>
        </w:rPr>
        <w:t>%</w:t>
      </w:r>
      <w:proofErr w:type="gramEnd"/>
      <w:r w:rsidRPr="00467DF1">
        <w:rPr>
          <w:rFonts w:ascii="Garamond" w:hAnsi="Garamond"/>
          <w:sz w:val="24"/>
          <w:szCs w:val="24"/>
        </w:rPr>
        <w:t>.</w:t>
      </w:r>
    </w:p>
    <w:p w14:paraId="5DDB1E97" w14:textId="77777777" w:rsidR="009F47C1" w:rsidRDefault="009F47C1" w:rsidP="003D353E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7970FAC9" w14:textId="66FEF3C8" w:rsidR="003D353E" w:rsidRPr="00467DF1" w:rsidRDefault="003D353E" w:rsidP="003D353E">
      <w:pPr>
        <w:pStyle w:val="Bezmezer"/>
        <w:jc w:val="both"/>
        <w:rPr>
          <w:rFonts w:ascii="Garamond" w:hAnsi="Garamond"/>
          <w:sz w:val="24"/>
          <w:szCs w:val="24"/>
        </w:rPr>
      </w:pPr>
      <w:r w:rsidRPr="00467DF1">
        <w:rPr>
          <w:rFonts w:ascii="Garamond" w:hAnsi="Garamond"/>
          <w:sz w:val="24"/>
          <w:szCs w:val="24"/>
        </w:rPr>
        <w:t xml:space="preserve">211 </w:t>
      </w:r>
      <w:proofErr w:type="gramStart"/>
      <w:r w:rsidRPr="00467DF1">
        <w:rPr>
          <w:rFonts w:ascii="Garamond" w:hAnsi="Garamond"/>
          <w:sz w:val="24"/>
          <w:szCs w:val="24"/>
        </w:rPr>
        <w:t xml:space="preserve">-  </w:t>
      </w:r>
      <w:r w:rsidRPr="00467DF1">
        <w:rPr>
          <w:rFonts w:ascii="Garamond" w:hAnsi="Garamond"/>
          <w:sz w:val="24"/>
          <w:szCs w:val="24"/>
          <w:u w:val="single"/>
        </w:rPr>
        <w:t>Příjmy</w:t>
      </w:r>
      <w:proofErr w:type="gramEnd"/>
      <w:r w:rsidRPr="00467DF1">
        <w:rPr>
          <w:rFonts w:ascii="Garamond" w:hAnsi="Garamond"/>
          <w:sz w:val="24"/>
          <w:szCs w:val="24"/>
          <w:u w:val="single"/>
        </w:rPr>
        <w:t xml:space="preserve"> z poskytování služeb výrobků:</w:t>
      </w:r>
      <w:r w:rsidRPr="00467DF1">
        <w:rPr>
          <w:rFonts w:ascii="Garamond" w:hAnsi="Garamond"/>
          <w:sz w:val="24"/>
          <w:szCs w:val="24"/>
        </w:rPr>
        <w:t xml:space="preserve"> </w:t>
      </w:r>
    </w:p>
    <w:p w14:paraId="7E51F68A" w14:textId="3176D484" w:rsidR="003D353E" w:rsidRPr="00467DF1" w:rsidRDefault="00576D5B" w:rsidP="003D353E">
      <w:pPr>
        <w:pStyle w:val="Bezmezer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roce 2024 </w:t>
      </w:r>
      <w:proofErr w:type="gramStart"/>
      <w:r w:rsidR="003D353E" w:rsidRPr="00467DF1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končen </w:t>
      </w:r>
      <w:r w:rsidR="003D353E" w:rsidRPr="00467DF1">
        <w:rPr>
          <w:rFonts w:ascii="Garamond" w:hAnsi="Garamond"/>
          <w:sz w:val="24"/>
          <w:szCs w:val="24"/>
        </w:rPr>
        <w:t xml:space="preserve"> prodej</w:t>
      </w:r>
      <w:proofErr w:type="gramEnd"/>
      <w:r w:rsidR="003D353E" w:rsidRPr="00467DF1">
        <w:rPr>
          <w:rFonts w:ascii="Garamond" w:hAnsi="Garamond"/>
          <w:sz w:val="24"/>
          <w:szCs w:val="24"/>
        </w:rPr>
        <w:t xml:space="preserve"> kolkových známek</w:t>
      </w:r>
      <w:r w:rsidR="009730A4">
        <w:rPr>
          <w:rFonts w:ascii="Garamond" w:hAnsi="Garamond"/>
          <w:sz w:val="24"/>
          <w:szCs w:val="24"/>
        </w:rPr>
        <w:t xml:space="preserve"> k 31.12.2023</w:t>
      </w:r>
      <w:r>
        <w:rPr>
          <w:rFonts w:ascii="Garamond" w:hAnsi="Garamond"/>
          <w:sz w:val="24"/>
          <w:szCs w:val="24"/>
        </w:rPr>
        <w:t>, příjmy na této položce 0 Kč</w:t>
      </w:r>
      <w:r w:rsidR="003D353E" w:rsidRPr="00467DF1">
        <w:rPr>
          <w:rFonts w:ascii="Garamond" w:hAnsi="Garamond"/>
          <w:sz w:val="24"/>
          <w:szCs w:val="24"/>
        </w:rPr>
        <w:t>.</w:t>
      </w:r>
      <w:r w:rsidR="002E3162">
        <w:rPr>
          <w:rFonts w:ascii="Garamond" w:hAnsi="Garamond"/>
          <w:sz w:val="24"/>
          <w:szCs w:val="24"/>
        </w:rPr>
        <w:t xml:space="preserve"> </w:t>
      </w:r>
      <w:r w:rsidR="009730A4">
        <w:rPr>
          <w:rFonts w:ascii="Garamond" w:hAnsi="Garamond"/>
          <w:sz w:val="24"/>
          <w:szCs w:val="24"/>
        </w:rPr>
        <w:t>Vyhláška č.383/2010 Sb. o kolkových známkách.</w:t>
      </w:r>
    </w:p>
    <w:p w14:paraId="14237528" w14:textId="77777777" w:rsidR="009F47C1" w:rsidRDefault="009F47C1" w:rsidP="003D353E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296C0059" w14:textId="3A316604" w:rsidR="003D353E" w:rsidRPr="00A629FC" w:rsidRDefault="003D353E" w:rsidP="003D353E">
      <w:pPr>
        <w:pStyle w:val="Bezmezer"/>
        <w:jc w:val="both"/>
        <w:rPr>
          <w:rFonts w:ascii="Garamond" w:hAnsi="Garamond"/>
          <w:sz w:val="24"/>
          <w:szCs w:val="24"/>
        </w:rPr>
      </w:pPr>
      <w:r w:rsidRPr="00A629FC">
        <w:rPr>
          <w:rFonts w:ascii="Garamond" w:hAnsi="Garamond"/>
          <w:sz w:val="24"/>
          <w:szCs w:val="24"/>
        </w:rPr>
        <w:t xml:space="preserve">213 </w:t>
      </w:r>
      <w:proofErr w:type="gramStart"/>
      <w:r w:rsidRPr="00A629FC">
        <w:rPr>
          <w:rFonts w:ascii="Garamond" w:hAnsi="Garamond"/>
          <w:sz w:val="24"/>
          <w:szCs w:val="24"/>
        </w:rPr>
        <w:t xml:space="preserve">-  </w:t>
      </w:r>
      <w:r w:rsidRPr="00A629FC">
        <w:rPr>
          <w:rFonts w:ascii="Garamond" w:hAnsi="Garamond"/>
          <w:sz w:val="24"/>
          <w:szCs w:val="24"/>
          <w:u w:val="single"/>
        </w:rPr>
        <w:t>Příjmy</w:t>
      </w:r>
      <w:proofErr w:type="gramEnd"/>
      <w:r w:rsidRPr="00A629FC">
        <w:rPr>
          <w:rFonts w:ascii="Garamond" w:hAnsi="Garamond"/>
          <w:sz w:val="24"/>
          <w:szCs w:val="24"/>
          <w:u w:val="single"/>
        </w:rPr>
        <w:t xml:space="preserve"> z pronájmu:</w:t>
      </w:r>
      <w:r w:rsidRPr="00A629FC">
        <w:rPr>
          <w:rFonts w:ascii="Garamond" w:hAnsi="Garamond"/>
          <w:sz w:val="24"/>
          <w:szCs w:val="24"/>
        </w:rPr>
        <w:t xml:space="preserve"> </w:t>
      </w:r>
    </w:p>
    <w:p w14:paraId="2F5625AF" w14:textId="0E6F9BBB" w:rsidR="003D353E" w:rsidRPr="00467DF1" w:rsidRDefault="003D353E" w:rsidP="003D353E">
      <w:pPr>
        <w:pStyle w:val="Bezmezer"/>
        <w:jc w:val="both"/>
        <w:rPr>
          <w:rFonts w:ascii="Garamond" w:hAnsi="Garamond"/>
          <w:sz w:val="24"/>
          <w:szCs w:val="24"/>
        </w:rPr>
      </w:pPr>
      <w:r w:rsidRPr="00A629FC">
        <w:rPr>
          <w:rFonts w:ascii="Garamond" w:hAnsi="Garamond"/>
          <w:sz w:val="24"/>
          <w:szCs w:val="24"/>
        </w:rPr>
        <w:t xml:space="preserve">upravený rozpočet </w:t>
      </w:r>
      <w:r w:rsidR="002B7E6C" w:rsidRPr="00A629FC">
        <w:rPr>
          <w:rFonts w:ascii="Garamond" w:hAnsi="Garamond"/>
          <w:sz w:val="24"/>
          <w:szCs w:val="24"/>
        </w:rPr>
        <w:t>0,5</w:t>
      </w:r>
      <w:r w:rsidRPr="00A629FC">
        <w:rPr>
          <w:rFonts w:ascii="Garamond" w:hAnsi="Garamond"/>
          <w:sz w:val="24"/>
          <w:szCs w:val="24"/>
        </w:rPr>
        <w:t xml:space="preserve">0 </w:t>
      </w:r>
      <w:proofErr w:type="gramStart"/>
      <w:r w:rsidRPr="00A629FC">
        <w:rPr>
          <w:rFonts w:ascii="Garamond" w:hAnsi="Garamond"/>
          <w:sz w:val="24"/>
          <w:szCs w:val="24"/>
        </w:rPr>
        <w:t>tis.Kč</w:t>
      </w:r>
      <w:proofErr w:type="gramEnd"/>
      <w:r w:rsidRPr="00A629FC">
        <w:rPr>
          <w:rFonts w:ascii="Garamond" w:hAnsi="Garamond"/>
          <w:sz w:val="24"/>
          <w:szCs w:val="24"/>
        </w:rPr>
        <w:t xml:space="preserve">, skutečnost </w:t>
      </w:r>
      <w:r w:rsidR="002B7E6C" w:rsidRPr="00A629FC">
        <w:rPr>
          <w:rFonts w:ascii="Garamond" w:hAnsi="Garamond"/>
          <w:sz w:val="24"/>
          <w:szCs w:val="24"/>
        </w:rPr>
        <w:t>1,68</w:t>
      </w:r>
      <w:r w:rsidRPr="00A629FC">
        <w:rPr>
          <w:rFonts w:ascii="Garamond" w:hAnsi="Garamond"/>
          <w:sz w:val="24"/>
          <w:szCs w:val="24"/>
        </w:rPr>
        <w:t xml:space="preserve"> tis.Kč. Splněno na </w:t>
      </w:r>
      <w:r w:rsidR="002B7E6C" w:rsidRPr="00A629FC">
        <w:rPr>
          <w:rFonts w:ascii="Garamond" w:hAnsi="Garamond"/>
          <w:sz w:val="24"/>
          <w:szCs w:val="24"/>
        </w:rPr>
        <w:t>336,36</w:t>
      </w:r>
      <w:r w:rsidRPr="00A629FC">
        <w:rPr>
          <w:rFonts w:ascii="Garamond" w:hAnsi="Garamond"/>
          <w:sz w:val="24"/>
          <w:szCs w:val="24"/>
        </w:rPr>
        <w:t xml:space="preserve"> %. Příjem z pronájmu místa pro kávový automat společnosti MANI, spol. s r.o. a místnosti pro rozvodnu kabelů společnosti CETIN a.s.</w:t>
      </w:r>
    </w:p>
    <w:p w14:paraId="018F6D7A" w14:textId="77777777" w:rsidR="009F47C1" w:rsidRDefault="009F47C1" w:rsidP="003D353E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16F06BC4" w14:textId="2F5240DF" w:rsidR="003D353E" w:rsidRPr="00467DF1" w:rsidRDefault="003D353E" w:rsidP="003D353E">
      <w:pPr>
        <w:pStyle w:val="Bezmezer"/>
        <w:jc w:val="both"/>
        <w:rPr>
          <w:rFonts w:ascii="Garamond" w:hAnsi="Garamond"/>
          <w:sz w:val="24"/>
          <w:szCs w:val="24"/>
        </w:rPr>
      </w:pPr>
      <w:r w:rsidRPr="00467DF1">
        <w:rPr>
          <w:rFonts w:ascii="Garamond" w:hAnsi="Garamond"/>
          <w:sz w:val="24"/>
          <w:szCs w:val="24"/>
        </w:rPr>
        <w:t xml:space="preserve">221 - </w:t>
      </w:r>
      <w:r w:rsidRPr="00467DF1">
        <w:rPr>
          <w:rFonts w:ascii="Garamond" w:hAnsi="Garamond"/>
          <w:sz w:val="24"/>
          <w:szCs w:val="24"/>
          <w:u w:val="single"/>
        </w:rPr>
        <w:t>Sankční platby:</w:t>
      </w:r>
      <w:r w:rsidRPr="00467DF1">
        <w:rPr>
          <w:rFonts w:ascii="Garamond" w:hAnsi="Garamond"/>
          <w:sz w:val="24"/>
          <w:szCs w:val="24"/>
        </w:rPr>
        <w:t xml:space="preserve"> </w:t>
      </w:r>
    </w:p>
    <w:p w14:paraId="2062F2BB" w14:textId="4B829D03" w:rsidR="003D353E" w:rsidRPr="00467DF1" w:rsidRDefault="003D353E" w:rsidP="003D353E">
      <w:pPr>
        <w:pStyle w:val="Bezmezer"/>
        <w:jc w:val="both"/>
        <w:rPr>
          <w:rFonts w:ascii="Garamond" w:hAnsi="Garamond"/>
          <w:sz w:val="24"/>
          <w:szCs w:val="24"/>
        </w:rPr>
      </w:pPr>
      <w:r w:rsidRPr="00467DF1">
        <w:rPr>
          <w:rFonts w:ascii="Garamond" w:hAnsi="Garamond"/>
          <w:sz w:val="24"/>
          <w:szCs w:val="24"/>
        </w:rPr>
        <w:t xml:space="preserve">upravený rozpočet </w:t>
      </w:r>
      <w:r w:rsidR="00506D2D">
        <w:rPr>
          <w:rFonts w:ascii="Garamond" w:hAnsi="Garamond"/>
          <w:sz w:val="24"/>
          <w:szCs w:val="24"/>
        </w:rPr>
        <w:t>2 000,00</w:t>
      </w:r>
      <w:r w:rsidRPr="00467DF1">
        <w:rPr>
          <w:rFonts w:ascii="Garamond" w:hAnsi="Garamond"/>
          <w:sz w:val="24"/>
          <w:szCs w:val="24"/>
        </w:rPr>
        <w:t xml:space="preserve"> tis. Kč, </w:t>
      </w:r>
      <w:proofErr w:type="gramStart"/>
      <w:r w:rsidRPr="00467DF1">
        <w:rPr>
          <w:rFonts w:ascii="Garamond" w:hAnsi="Garamond"/>
          <w:sz w:val="24"/>
          <w:szCs w:val="24"/>
        </w:rPr>
        <w:t>skutečnost  </w:t>
      </w:r>
      <w:r w:rsidR="00576D5B">
        <w:rPr>
          <w:rFonts w:ascii="Garamond" w:hAnsi="Garamond"/>
          <w:sz w:val="24"/>
          <w:szCs w:val="24"/>
        </w:rPr>
        <w:t>2</w:t>
      </w:r>
      <w:proofErr w:type="gramEnd"/>
      <w:r w:rsidR="00506D2D">
        <w:rPr>
          <w:rFonts w:ascii="Garamond" w:hAnsi="Garamond"/>
          <w:sz w:val="24"/>
          <w:szCs w:val="24"/>
        </w:rPr>
        <w:t> 850,70</w:t>
      </w:r>
      <w:r w:rsidRPr="00467DF1">
        <w:rPr>
          <w:rFonts w:ascii="Garamond" w:hAnsi="Garamond"/>
          <w:sz w:val="24"/>
          <w:szCs w:val="24"/>
        </w:rPr>
        <w:t xml:space="preserve"> tis. Kč. Splněno na 1</w:t>
      </w:r>
      <w:r w:rsidR="00506D2D">
        <w:rPr>
          <w:rFonts w:ascii="Garamond" w:hAnsi="Garamond"/>
          <w:sz w:val="24"/>
          <w:szCs w:val="24"/>
        </w:rPr>
        <w:t>42,43</w:t>
      </w:r>
      <w:r w:rsidRPr="00467DF1">
        <w:rPr>
          <w:rFonts w:ascii="Garamond" w:hAnsi="Garamond"/>
          <w:sz w:val="24"/>
          <w:szCs w:val="24"/>
        </w:rPr>
        <w:t xml:space="preserve"> %. </w:t>
      </w:r>
    </w:p>
    <w:p w14:paraId="7F6DC026" w14:textId="77777777" w:rsidR="009F47C1" w:rsidRDefault="009F47C1" w:rsidP="003D353E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0F06B013" w14:textId="76679937" w:rsidR="003D353E" w:rsidRPr="00467DF1" w:rsidRDefault="003D353E" w:rsidP="003D353E">
      <w:pPr>
        <w:pStyle w:val="Bezmezer"/>
        <w:jc w:val="both"/>
        <w:rPr>
          <w:rFonts w:ascii="Garamond" w:hAnsi="Garamond"/>
          <w:sz w:val="24"/>
          <w:szCs w:val="24"/>
          <w:u w:val="single"/>
        </w:rPr>
      </w:pPr>
      <w:r w:rsidRPr="00467DF1">
        <w:rPr>
          <w:rFonts w:ascii="Garamond" w:hAnsi="Garamond"/>
          <w:sz w:val="24"/>
          <w:szCs w:val="24"/>
        </w:rPr>
        <w:t xml:space="preserve">231 - </w:t>
      </w:r>
      <w:r w:rsidRPr="00467DF1">
        <w:rPr>
          <w:rFonts w:ascii="Garamond" w:hAnsi="Garamond"/>
          <w:sz w:val="24"/>
          <w:szCs w:val="24"/>
          <w:u w:val="single"/>
        </w:rPr>
        <w:t xml:space="preserve">Příjmy z prodeje neinvestičního majetku: </w:t>
      </w:r>
    </w:p>
    <w:p w14:paraId="0E9D8EF7" w14:textId="2C0ED838" w:rsidR="003D353E" w:rsidRPr="00467DF1" w:rsidRDefault="003D353E" w:rsidP="003D353E">
      <w:pPr>
        <w:pStyle w:val="Bezmezer"/>
        <w:jc w:val="both"/>
        <w:rPr>
          <w:rFonts w:ascii="Garamond" w:hAnsi="Garamond"/>
          <w:sz w:val="24"/>
          <w:szCs w:val="24"/>
        </w:rPr>
      </w:pPr>
      <w:r w:rsidRPr="00467DF1">
        <w:rPr>
          <w:rFonts w:ascii="Garamond" w:hAnsi="Garamond"/>
          <w:sz w:val="24"/>
          <w:szCs w:val="24"/>
        </w:rPr>
        <w:t>upravený rozpočet 0,</w:t>
      </w:r>
      <w:r w:rsidR="00506D2D">
        <w:rPr>
          <w:rFonts w:ascii="Garamond" w:hAnsi="Garamond"/>
          <w:sz w:val="24"/>
          <w:szCs w:val="24"/>
        </w:rPr>
        <w:t>5</w:t>
      </w:r>
      <w:r w:rsidRPr="00467DF1">
        <w:rPr>
          <w:rFonts w:ascii="Garamond" w:hAnsi="Garamond"/>
          <w:sz w:val="24"/>
          <w:szCs w:val="24"/>
        </w:rPr>
        <w:t xml:space="preserve">0 </w:t>
      </w:r>
      <w:proofErr w:type="gramStart"/>
      <w:r w:rsidRPr="00467DF1">
        <w:rPr>
          <w:rFonts w:ascii="Garamond" w:hAnsi="Garamond"/>
          <w:sz w:val="24"/>
          <w:szCs w:val="24"/>
        </w:rPr>
        <w:t>tis.Kč</w:t>
      </w:r>
      <w:proofErr w:type="gramEnd"/>
      <w:r w:rsidRPr="00467DF1">
        <w:rPr>
          <w:rFonts w:ascii="Garamond" w:hAnsi="Garamond"/>
          <w:sz w:val="24"/>
          <w:szCs w:val="24"/>
        </w:rPr>
        <w:t xml:space="preserve">, skutečnost </w:t>
      </w:r>
      <w:r w:rsidR="00506D2D">
        <w:rPr>
          <w:rFonts w:ascii="Garamond" w:hAnsi="Garamond"/>
          <w:sz w:val="24"/>
          <w:szCs w:val="24"/>
        </w:rPr>
        <w:t>1,02</w:t>
      </w:r>
      <w:r w:rsidRPr="00467DF1">
        <w:rPr>
          <w:rFonts w:ascii="Garamond" w:hAnsi="Garamond"/>
          <w:sz w:val="24"/>
          <w:szCs w:val="24"/>
        </w:rPr>
        <w:t xml:space="preserve"> tis. Kč. Splněno na </w:t>
      </w:r>
      <w:proofErr w:type="gramStart"/>
      <w:r w:rsidR="00506D2D">
        <w:rPr>
          <w:rFonts w:ascii="Garamond" w:hAnsi="Garamond"/>
          <w:sz w:val="24"/>
          <w:szCs w:val="24"/>
        </w:rPr>
        <w:t>204</w:t>
      </w:r>
      <w:r w:rsidRPr="00467DF1">
        <w:rPr>
          <w:rFonts w:ascii="Garamond" w:hAnsi="Garamond"/>
          <w:sz w:val="24"/>
          <w:szCs w:val="24"/>
        </w:rPr>
        <w:t>,,</w:t>
      </w:r>
      <w:proofErr w:type="gramEnd"/>
      <w:r w:rsidRPr="00467DF1">
        <w:rPr>
          <w:rFonts w:ascii="Garamond" w:hAnsi="Garamond"/>
          <w:sz w:val="24"/>
          <w:szCs w:val="24"/>
        </w:rPr>
        <w:t xml:space="preserve">00 %. </w:t>
      </w:r>
    </w:p>
    <w:p w14:paraId="0AEA8B95" w14:textId="77777777" w:rsidR="009F47C1" w:rsidRDefault="009F47C1" w:rsidP="003D353E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4D8246D6" w14:textId="30717036" w:rsidR="003D353E" w:rsidRPr="00A629FC" w:rsidRDefault="003D353E" w:rsidP="003D353E">
      <w:pPr>
        <w:pStyle w:val="Bezmezer"/>
        <w:jc w:val="both"/>
        <w:rPr>
          <w:rFonts w:ascii="Garamond" w:hAnsi="Garamond"/>
          <w:sz w:val="24"/>
          <w:szCs w:val="24"/>
        </w:rPr>
      </w:pPr>
      <w:r w:rsidRPr="00A629FC">
        <w:rPr>
          <w:rFonts w:ascii="Garamond" w:hAnsi="Garamond"/>
          <w:sz w:val="24"/>
          <w:szCs w:val="24"/>
        </w:rPr>
        <w:t xml:space="preserve">232 - </w:t>
      </w:r>
      <w:r w:rsidRPr="00A629FC">
        <w:rPr>
          <w:rFonts w:ascii="Garamond" w:hAnsi="Garamond"/>
          <w:sz w:val="24"/>
          <w:szCs w:val="24"/>
          <w:u w:val="single"/>
        </w:rPr>
        <w:t>Ostatní nedaňové příjmy</w:t>
      </w:r>
      <w:r w:rsidRPr="00A629FC">
        <w:rPr>
          <w:rFonts w:ascii="Garamond" w:hAnsi="Garamond"/>
          <w:sz w:val="24"/>
          <w:szCs w:val="24"/>
        </w:rPr>
        <w:t xml:space="preserve">: </w:t>
      </w:r>
    </w:p>
    <w:p w14:paraId="19E466EC" w14:textId="2DF6F12D" w:rsidR="003D353E" w:rsidRDefault="003D353E" w:rsidP="003D353E">
      <w:pPr>
        <w:pStyle w:val="Bezmezer"/>
        <w:jc w:val="both"/>
        <w:rPr>
          <w:rFonts w:ascii="Garamond" w:hAnsi="Garamond"/>
          <w:sz w:val="24"/>
          <w:szCs w:val="24"/>
        </w:rPr>
      </w:pPr>
      <w:r w:rsidRPr="00A629FC">
        <w:rPr>
          <w:rFonts w:ascii="Garamond" w:hAnsi="Garamond"/>
          <w:sz w:val="24"/>
          <w:szCs w:val="24"/>
        </w:rPr>
        <w:t xml:space="preserve">upravený rozpočet </w:t>
      </w:r>
      <w:r w:rsidR="00814EFB" w:rsidRPr="00A629FC">
        <w:rPr>
          <w:rFonts w:ascii="Garamond" w:hAnsi="Garamond"/>
          <w:sz w:val="24"/>
          <w:szCs w:val="24"/>
        </w:rPr>
        <w:t>2 549</w:t>
      </w:r>
      <w:r w:rsidR="00576D5B" w:rsidRPr="00A629FC">
        <w:rPr>
          <w:rFonts w:ascii="Garamond" w:hAnsi="Garamond"/>
          <w:sz w:val="24"/>
          <w:szCs w:val="24"/>
        </w:rPr>
        <w:t>,00</w:t>
      </w:r>
      <w:r w:rsidRPr="00A629FC">
        <w:rPr>
          <w:rFonts w:ascii="Garamond" w:hAnsi="Garamond"/>
          <w:sz w:val="24"/>
          <w:szCs w:val="24"/>
        </w:rPr>
        <w:t xml:space="preserve"> </w:t>
      </w:r>
      <w:proofErr w:type="gramStart"/>
      <w:r w:rsidRPr="00A629FC">
        <w:rPr>
          <w:rFonts w:ascii="Garamond" w:hAnsi="Garamond"/>
          <w:sz w:val="24"/>
          <w:szCs w:val="24"/>
        </w:rPr>
        <w:t>tis.Kč</w:t>
      </w:r>
      <w:proofErr w:type="gramEnd"/>
      <w:r w:rsidRPr="00A629FC">
        <w:rPr>
          <w:rFonts w:ascii="Garamond" w:hAnsi="Garamond"/>
          <w:sz w:val="24"/>
          <w:szCs w:val="24"/>
        </w:rPr>
        <w:t xml:space="preserve">, skutečnost </w:t>
      </w:r>
      <w:r w:rsidR="00814EFB" w:rsidRPr="00A629FC">
        <w:rPr>
          <w:rFonts w:ascii="Garamond" w:hAnsi="Garamond"/>
          <w:sz w:val="24"/>
          <w:szCs w:val="24"/>
        </w:rPr>
        <w:t>3 756,44</w:t>
      </w:r>
      <w:r w:rsidRPr="00A629FC">
        <w:rPr>
          <w:rFonts w:ascii="Garamond" w:hAnsi="Garamond"/>
          <w:sz w:val="24"/>
          <w:szCs w:val="24"/>
        </w:rPr>
        <w:t xml:space="preserve"> tis. Kč. Splněno na 1</w:t>
      </w:r>
      <w:r w:rsidR="00814EFB" w:rsidRPr="00A629FC">
        <w:rPr>
          <w:rFonts w:ascii="Garamond" w:hAnsi="Garamond"/>
          <w:sz w:val="24"/>
          <w:szCs w:val="24"/>
        </w:rPr>
        <w:t>47,37</w:t>
      </w:r>
      <w:r w:rsidRPr="00A629FC">
        <w:rPr>
          <w:rFonts w:ascii="Garamond" w:hAnsi="Garamond"/>
          <w:sz w:val="24"/>
          <w:szCs w:val="24"/>
        </w:rPr>
        <w:t xml:space="preserve"> %. Rozhodujícím příjmem byly náhrady za ustanovené advokáty.</w:t>
      </w:r>
    </w:p>
    <w:p w14:paraId="40D0322C" w14:textId="77777777" w:rsidR="00C30B4B" w:rsidRDefault="00C30B4B" w:rsidP="003D353E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593337FA" w14:textId="65EEDF0B" w:rsidR="00C30B4B" w:rsidRPr="00C30B4B" w:rsidRDefault="00C30B4B" w:rsidP="00C30B4B">
      <w:pPr>
        <w:pStyle w:val="Bezmezer"/>
        <w:rPr>
          <w:rFonts w:ascii="Garamond" w:hAnsi="Garamond"/>
          <w:sz w:val="24"/>
          <w:szCs w:val="24"/>
        </w:rPr>
      </w:pPr>
      <w:r w:rsidRPr="00C30B4B">
        <w:rPr>
          <w:rFonts w:ascii="Garamond" w:hAnsi="Garamond"/>
          <w:sz w:val="24"/>
          <w:szCs w:val="24"/>
        </w:rPr>
        <w:t xml:space="preserve">3113 - </w:t>
      </w:r>
      <w:r w:rsidRPr="00C30B4B">
        <w:rPr>
          <w:rFonts w:ascii="Garamond" w:hAnsi="Garamond"/>
          <w:sz w:val="24"/>
          <w:szCs w:val="24"/>
          <w:u w:val="single"/>
        </w:rPr>
        <w:t>Příjmy z prodeje ostatního hmotného dlouh. majetku</w:t>
      </w:r>
    </w:p>
    <w:p w14:paraId="6AFDBBE8" w14:textId="35024C11" w:rsidR="00C30B4B" w:rsidRPr="00C30B4B" w:rsidRDefault="00C30B4B" w:rsidP="00C30B4B">
      <w:pPr>
        <w:pStyle w:val="Bezmezer"/>
        <w:rPr>
          <w:rFonts w:ascii="Garamond" w:hAnsi="Garamond"/>
          <w:sz w:val="24"/>
          <w:szCs w:val="24"/>
        </w:rPr>
      </w:pPr>
      <w:r w:rsidRPr="00C30B4B">
        <w:rPr>
          <w:rFonts w:ascii="Garamond" w:hAnsi="Garamond"/>
          <w:sz w:val="24"/>
          <w:szCs w:val="24"/>
        </w:rPr>
        <w:t>upravený rozpočet</w:t>
      </w:r>
      <w:r>
        <w:rPr>
          <w:rFonts w:ascii="Garamond" w:hAnsi="Garamond"/>
          <w:sz w:val="24"/>
          <w:szCs w:val="24"/>
        </w:rPr>
        <w:t xml:space="preserve"> 30,00</w:t>
      </w:r>
      <w:r w:rsidRPr="00C30B4B">
        <w:rPr>
          <w:rFonts w:ascii="Garamond" w:hAnsi="Garamond"/>
          <w:sz w:val="24"/>
          <w:szCs w:val="24"/>
        </w:rPr>
        <w:t xml:space="preserve"> </w:t>
      </w:r>
      <w:proofErr w:type="gramStart"/>
      <w:r w:rsidRPr="00C30B4B">
        <w:rPr>
          <w:rFonts w:ascii="Garamond" w:hAnsi="Garamond"/>
          <w:sz w:val="24"/>
          <w:szCs w:val="24"/>
        </w:rPr>
        <w:t>tis.Kč</w:t>
      </w:r>
      <w:proofErr w:type="gramEnd"/>
      <w:r w:rsidRPr="00C30B4B">
        <w:rPr>
          <w:rFonts w:ascii="Garamond" w:hAnsi="Garamond"/>
          <w:sz w:val="24"/>
          <w:szCs w:val="24"/>
        </w:rPr>
        <w:t xml:space="preserve">, skutečnost </w:t>
      </w:r>
      <w:r>
        <w:rPr>
          <w:rFonts w:ascii="Garamond" w:hAnsi="Garamond"/>
          <w:sz w:val="24"/>
          <w:szCs w:val="24"/>
        </w:rPr>
        <w:t>55,00</w:t>
      </w:r>
      <w:r w:rsidRPr="00C30B4B">
        <w:rPr>
          <w:rFonts w:ascii="Garamond" w:hAnsi="Garamond"/>
          <w:sz w:val="24"/>
          <w:szCs w:val="24"/>
        </w:rPr>
        <w:t xml:space="preserve"> tis. Kč. Splněno na </w:t>
      </w:r>
      <w:r>
        <w:rPr>
          <w:rFonts w:ascii="Garamond" w:hAnsi="Garamond"/>
          <w:sz w:val="24"/>
          <w:szCs w:val="24"/>
        </w:rPr>
        <w:t>183,33</w:t>
      </w:r>
      <w:r w:rsidRPr="00C30B4B">
        <w:rPr>
          <w:rFonts w:ascii="Garamond" w:hAnsi="Garamond"/>
          <w:sz w:val="24"/>
          <w:szCs w:val="24"/>
        </w:rPr>
        <w:t xml:space="preserve">,00 %. </w:t>
      </w:r>
    </w:p>
    <w:p w14:paraId="5351CBFB" w14:textId="3B23C29D" w:rsidR="009F47C1" w:rsidRDefault="00C30B4B" w:rsidP="00C30B4B">
      <w:pPr>
        <w:pStyle w:val="Bezmezer"/>
        <w:rPr>
          <w:rFonts w:ascii="Garamond" w:hAnsi="Garamond"/>
          <w:sz w:val="24"/>
          <w:szCs w:val="24"/>
        </w:rPr>
      </w:pPr>
      <w:r w:rsidRPr="00C30B4B">
        <w:rPr>
          <w:rFonts w:ascii="Garamond" w:hAnsi="Garamond"/>
          <w:sz w:val="24"/>
          <w:szCs w:val="24"/>
        </w:rPr>
        <w:t xml:space="preserve"> </w:t>
      </w:r>
    </w:p>
    <w:p w14:paraId="2C628467" w14:textId="5C623568" w:rsidR="003D353E" w:rsidRPr="00467DF1" w:rsidRDefault="009F47C1" w:rsidP="00F7062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3D353E" w:rsidRPr="00467DF1">
        <w:rPr>
          <w:rFonts w:ascii="Garamond" w:hAnsi="Garamond"/>
          <w:sz w:val="24"/>
          <w:szCs w:val="24"/>
        </w:rPr>
        <w:t xml:space="preserve">115 - </w:t>
      </w:r>
      <w:proofErr w:type="gramStart"/>
      <w:r w:rsidR="003D353E" w:rsidRPr="00467DF1">
        <w:rPr>
          <w:rFonts w:ascii="Garamond" w:hAnsi="Garamond"/>
          <w:sz w:val="24"/>
          <w:szCs w:val="24"/>
          <w:u w:val="single"/>
        </w:rPr>
        <w:t>Neinv.přij.transf</w:t>
      </w:r>
      <w:proofErr w:type="gramEnd"/>
      <w:r w:rsidR="003D353E" w:rsidRPr="00467DF1">
        <w:rPr>
          <w:rFonts w:ascii="Garamond" w:hAnsi="Garamond"/>
          <w:sz w:val="24"/>
          <w:szCs w:val="24"/>
          <w:u w:val="single"/>
        </w:rPr>
        <w:t>. od fondů soc. a zdrav.</w:t>
      </w:r>
      <w:r w:rsidR="00AA012F">
        <w:rPr>
          <w:rFonts w:ascii="Garamond" w:hAnsi="Garamond"/>
          <w:sz w:val="24"/>
          <w:szCs w:val="24"/>
          <w:u w:val="single"/>
        </w:rPr>
        <w:t xml:space="preserve"> </w:t>
      </w:r>
      <w:proofErr w:type="gramStart"/>
      <w:r w:rsidR="00AA012F">
        <w:rPr>
          <w:rFonts w:ascii="Garamond" w:hAnsi="Garamond"/>
          <w:sz w:val="24"/>
          <w:szCs w:val="24"/>
          <w:u w:val="single"/>
        </w:rPr>
        <w:t>p</w:t>
      </w:r>
      <w:r w:rsidR="003D353E" w:rsidRPr="00467DF1">
        <w:rPr>
          <w:rFonts w:ascii="Garamond" w:hAnsi="Garamond"/>
          <w:sz w:val="24"/>
          <w:szCs w:val="24"/>
          <w:u w:val="single"/>
        </w:rPr>
        <w:t>ojištění</w:t>
      </w:r>
      <w:r w:rsidR="00AA012F">
        <w:rPr>
          <w:rFonts w:ascii="Garamond" w:hAnsi="Garamond"/>
          <w:sz w:val="24"/>
          <w:szCs w:val="24"/>
          <w:u w:val="single"/>
        </w:rPr>
        <w:t xml:space="preserve"> </w:t>
      </w:r>
      <w:r w:rsidR="003D353E" w:rsidRPr="00467DF1">
        <w:rPr>
          <w:rFonts w:ascii="Garamond" w:hAnsi="Garamond"/>
          <w:sz w:val="24"/>
          <w:szCs w:val="24"/>
          <w:u w:val="single"/>
        </w:rPr>
        <w:t>:</w:t>
      </w:r>
      <w:proofErr w:type="gramEnd"/>
      <w:r w:rsidR="00F70625" w:rsidRPr="00F70625">
        <w:rPr>
          <w:rFonts w:ascii="Garamond" w:hAnsi="Garamond" w:cstheme="minorHAnsi"/>
          <w:sz w:val="24"/>
          <w:szCs w:val="24"/>
        </w:rPr>
        <w:t xml:space="preserve"> </w:t>
      </w:r>
      <w:r w:rsidR="00F70625" w:rsidRPr="000574FD">
        <w:rPr>
          <w:rFonts w:ascii="Garamond" w:hAnsi="Garamond" w:cstheme="minorHAnsi"/>
          <w:sz w:val="24"/>
          <w:szCs w:val="24"/>
        </w:rPr>
        <w:t>na tuto položku</w:t>
      </w:r>
      <w:r w:rsidR="00F70625" w:rsidRPr="000574FD">
        <w:rPr>
          <w:rFonts w:ascii="Garamond" w:hAnsi="Garamond" w:cstheme="minorHAnsi"/>
          <w:sz w:val="24"/>
          <w:szCs w:val="24"/>
          <w:u w:val="single"/>
        </w:rPr>
        <w:t xml:space="preserve"> </w:t>
      </w:r>
      <w:r w:rsidR="00F70625" w:rsidRPr="000574FD">
        <w:rPr>
          <w:rFonts w:ascii="Garamond" w:hAnsi="Garamond" w:cstheme="minorHAnsi"/>
          <w:sz w:val="24"/>
          <w:szCs w:val="24"/>
        </w:rPr>
        <w:t xml:space="preserve">patří náhrada platu a pojistného od OSSZ za pracovní volno související s akcí pro děti a mládež (podle ust. § 203 odst. 2 písm. h) zákona č. 262/2006 Sb., zákoníku práce). </w:t>
      </w:r>
      <w:r w:rsidR="00F70625">
        <w:rPr>
          <w:rFonts w:ascii="Garamond" w:hAnsi="Garamond" w:cstheme="minorHAnsi"/>
          <w:sz w:val="24"/>
          <w:szCs w:val="24"/>
        </w:rPr>
        <w:t>U</w:t>
      </w:r>
      <w:r w:rsidR="003D353E" w:rsidRPr="00467DF1">
        <w:rPr>
          <w:rFonts w:ascii="Garamond" w:hAnsi="Garamond"/>
          <w:sz w:val="24"/>
          <w:szCs w:val="24"/>
        </w:rPr>
        <w:t xml:space="preserve">pravený rozpočet </w:t>
      </w:r>
      <w:r w:rsidR="00F922F8">
        <w:rPr>
          <w:rFonts w:ascii="Garamond" w:hAnsi="Garamond"/>
          <w:sz w:val="24"/>
          <w:szCs w:val="24"/>
        </w:rPr>
        <w:t>5</w:t>
      </w:r>
      <w:r w:rsidR="003D353E" w:rsidRPr="00467DF1">
        <w:rPr>
          <w:rFonts w:ascii="Garamond" w:hAnsi="Garamond"/>
          <w:sz w:val="24"/>
          <w:szCs w:val="24"/>
        </w:rPr>
        <w:t xml:space="preserve"> </w:t>
      </w:r>
      <w:proofErr w:type="gramStart"/>
      <w:r w:rsidR="003D353E" w:rsidRPr="00467DF1">
        <w:rPr>
          <w:rFonts w:ascii="Garamond" w:hAnsi="Garamond"/>
          <w:sz w:val="24"/>
          <w:szCs w:val="24"/>
        </w:rPr>
        <w:t>tis.Kč</w:t>
      </w:r>
      <w:proofErr w:type="gramEnd"/>
      <w:r w:rsidR="003D353E" w:rsidRPr="00467DF1">
        <w:rPr>
          <w:rFonts w:ascii="Garamond" w:hAnsi="Garamond"/>
          <w:sz w:val="24"/>
          <w:szCs w:val="24"/>
        </w:rPr>
        <w:t xml:space="preserve"> , skutečnost </w:t>
      </w:r>
      <w:r w:rsidR="00CA7AFC">
        <w:rPr>
          <w:rFonts w:ascii="Garamond" w:hAnsi="Garamond"/>
          <w:sz w:val="24"/>
          <w:szCs w:val="24"/>
        </w:rPr>
        <w:t>12,28</w:t>
      </w:r>
      <w:r w:rsidR="003D353E" w:rsidRPr="00467DF1">
        <w:rPr>
          <w:rFonts w:ascii="Garamond" w:hAnsi="Garamond"/>
          <w:sz w:val="24"/>
          <w:szCs w:val="24"/>
        </w:rPr>
        <w:t xml:space="preserve"> tis. Kč. Splněno na </w:t>
      </w:r>
      <w:r w:rsidR="00CA7AFC">
        <w:rPr>
          <w:rFonts w:ascii="Garamond" w:hAnsi="Garamond"/>
          <w:sz w:val="24"/>
          <w:szCs w:val="24"/>
        </w:rPr>
        <w:t>2</w:t>
      </w:r>
      <w:r w:rsidR="00F922F8">
        <w:rPr>
          <w:rFonts w:ascii="Garamond" w:hAnsi="Garamond"/>
          <w:sz w:val="24"/>
          <w:szCs w:val="24"/>
        </w:rPr>
        <w:t>45,</w:t>
      </w:r>
      <w:r w:rsidR="00CA7AFC">
        <w:rPr>
          <w:rFonts w:ascii="Garamond" w:hAnsi="Garamond"/>
          <w:sz w:val="24"/>
          <w:szCs w:val="24"/>
        </w:rPr>
        <w:t>56</w:t>
      </w:r>
      <w:r w:rsidR="003D353E" w:rsidRPr="00467DF1">
        <w:rPr>
          <w:rFonts w:ascii="Garamond" w:hAnsi="Garamond"/>
          <w:sz w:val="24"/>
          <w:szCs w:val="24"/>
        </w:rPr>
        <w:t xml:space="preserve"> %. Náhrady </w:t>
      </w:r>
      <w:r w:rsidR="00B17262" w:rsidRPr="00467DF1">
        <w:rPr>
          <w:rFonts w:ascii="Garamond" w:hAnsi="Garamond"/>
          <w:sz w:val="24"/>
          <w:szCs w:val="24"/>
        </w:rPr>
        <w:t xml:space="preserve">mzdy </w:t>
      </w:r>
      <w:r w:rsidR="00CA7AFC">
        <w:rPr>
          <w:rFonts w:ascii="Garamond" w:hAnsi="Garamond"/>
          <w:sz w:val="24"/>
          <w:szCs w:val="24"/>
        </w:rPr>
        <w:t>JUDr. Kolářová</w:t>
      </w:r>
      <w:r w:rsidR="00B17262" w:rsidRPr="00467DF1">
        <w:rPr>
          <w:rFonts w:ascii="Garamond" w:hAnsi="Garamond"/>
          <w:sz w:val="24"/>
          <w:szCs w:val="24"/>
        </w:rPr>
        <w:t>.</w:t>
      </w:r>
    </w:p>
    <w:p w14:paraId="7F2E9A83" w14:textId="77777777" w:rsidR="009F47C1" w:rsidRDefault="009F47C1" w:rsidP="003D353E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5A7E279A" w14:textId="59F09FC8" w:rsidR="003D353E" w:rsidRPr="00467DF1" w:rsidRDefault="003D353E" w:rsidP="003D353E">
      <w:pPr>
        <w:pStyle w:val="Bezmezer"/>
        <w:jc w:val="both"/>
        <w:rPr>
          <w:rFonts w:ascii="Garamond" w:hAnsi="Garamond"/>
          <w:sz w:val="24"/>
          <w:szCs w:val="24"/>
          <w:u w:val="single"/>
        </w:rPr>
      </w:pPr>
      <w:r w:rsidRPr="00467DF1">
        <w:rPr>
          <w:rFonts w:ascii="Garamond" w:hAnsi="Garamond"/>
          <w:sz w:val="24"/>
          <w:szCs w:val="24"/>
        </w:rPr>
        <w:t xml:space="preserve">4132 - </w:t>
      </w:r>
      <w:r w:rsidRPr="00467DF1">
        <w:rPr>
          <w:rFonts w:ascii="Garamond" w:hAnsi="Garamond"/>
          <w:sz w:val="24"/>
          <w:szCs w:val="24"/>
          <w:u w:val="single"/>
        </w:rPr>
        <w:t>Převody z ostat. vlastních fondů:</w:t>
      </w:r>
    </w:p>
    <w:p w14:paraId="34C22406" w14:textId="2C1E3298" w:rsidR="003D353E" w:rsidRPr="00467DF1" w:rsidRDefault="003D353E" w:rsidP="003D353E">
      <w:pPr>
        <w:pStyle w:val="Bezmezer"/>
        <w:rPr>
          <w:rFonts w:ascii="Garamond" w:hAnsi="Garamond"/>
          <w:sz w:val="24"/>
          <w:szCs w:val="24"/>
        </w:rPr>
      </w:pPr>
      <w:r w:rsidRPr="00467DF1">
        <w:rPr>
          <w:rFonts w:ascii="Garamond" w:hAnsi="Garamond"/>
          <w:sz w:val="24"/>
          <w:szCs w:val="24"/>
        </w:rPr>
        <w:t xml:space="preserve">upravený rozpočet </w:t>
      </w:r>
      <w:r w:rsidR="0058419A">
        <w:rPr>
          <w:rFonts w:ascii="Garamond" w:hAnsi="Garamond"/>
          <w:sz w:val="24"/>
          <w:szCs w:val="24"/>
        </w:rPr>
        <w:t>15</w:t>
      </w:r>
      <w:r w:rsidRPr="00467DF1">
        <w:rPr>
          <w:rFonts w:ascii="Garamond" w:hAnsi="Garamond"/>
          <w:sz w:val="24"/>
          <w:szCs w:val="24"/>
        </w:rPr>
        <w:t xml:space="preserve"> tis. Kč, skutečnost 2</w:t>
      </w:r>
      <w:r w:rsidR="00CA7AFC">
        <w:rPr>
          <w:rFonts w:ascii="Garamond" w:hAnsi="Garamond"/>
          <w:sz w:val="24"/>
          <w:szCs w:val="24"/>
        </w:rPr>
        <w:t>6,96</w:t>
      </w:r>
      <w:r w:rsidRPr="00467DF1">
        <w:rPr>
          <w:rFonts w:ascii="Garamond" w:hAnsi="Garamond"/>
          <w:sz w:val="24"/>
          <w:szCs w:val="24"/>
        </w:rPr>
        <w:t xml:space="preserve"> tis.Kč. Splněno na 1</w:t>
      </w:r>
      <w:r w:rsidR="00CA7AFC">
        <w:rPr>
          <w:rFonts w:ascii="Garamond" w:hAnsi="Garamond"/>
          <w:sz w:val="24"/>
          <w:szCs w:val="24"/>
        </w:rPr>
        <w:t>79,75</w:t>
      </w:r>
      <w:r w:rsidRPr="00467DF1">
        <w:rPr>
          <w:rFonts w:ascii="Garamond" w:hAnsi="Garamond"/>
          <w:sz w:val="24"/>
          <w:szCs w:val="24"/>
        </w:rPr>
        <w:t xml:space="preserve"> %. Zde jsou převedeny v měsíci lednu nevyčerpané mzdové prostředky za 12/202</w:t>
      </w:r>
      <w:r w:rsidR="00CA7AFC">
        <w:rPr>
          <w:rFonts w:ascii="Garamond" w:hAnsi="Garamond"/>
          <w:sz w:val="24"/>
          <w:szCs w:val="24"/>
        </w:rPr>
        <w:t>4</w:t>
      </w:r>
      <w:r w:rsidRPr="00467DF1">
        <w:rPr>
          <w:rFonts w:ascii="Garamond" w:hAnsi="Garamond"/>
          <w:sz w:val="24"/>
          <w:szCs w:val="24"/>
        </w:rPr>
        <w:t>.</w:t>
      </w:r>
    </w:p>
    <w:p w14:paraId="34EE5FF6" w14:textId="031164DB" w:rsidR="00C64A54" w:rsidRPr="000E2518" w:rsidRDefault="00C64A54" w:rsidP="00F73DBF">
      <w:pPr>
        <w:pStyle w:val="Nadpis3"/>
        <w:rPr>
          <w:rFonts w:cstheme="minorHAnsi"/>
          <w:color w:val="548DD4" w:themeColor="text2" w:themeTint="99"/>
        </w:rPr>
      </w:pPr>
      <w:bookmarkStart w:id="14" w:name="_Toc155689651"/>
      <w:r w:rsidRPr="000E2518">
        <w:rPr>
          <w:rFonts w:cstheme="minorHAnsi"/>
          <w:color w:val="548DD4" w:themeColor="text2" w:themeTint="99"/>
        </w:rPr>
        <w:lastRenderedPageBreak/>
        <w:t>Daňové příjmy</w:t>
      </w:r>
      <w:bookmarkEnd w:id="14"/>
      <w:r w:rsidRPr="000E2518">
        <w:rPr>
          <w:rFonts w:cstheme="minorHAnsi"/>
          <w:color w:val="548DD4" w:themeColor="text2" w:themeTint="99"/>
        </w:rPr>
        <w:t xml:space="preserve"> </w:t>
      </w:r>
    </w:p>
    <w:p w14:paraId="0EEBEBBB" w14:textId="6891E5A0" w:rsidR="009A7A2E" w:rsidRPr="00B06A27" w:rsidRDefault="009A7A2E" w:rsidP="009A7A2E">
      <w:pPr>
        <w:pStyle w:val="Garamond12"/>
        <w:numPr>
          <w:ilvl w:val="0"/>
          <w:numId w:val="6"/>
        </w:numPr>
        <w:spacing w:after="200"/>
        <w:jc w:val="both"/>
        <w:rPr>
          <w:rFonts w:cstheme="minorHAnsi"/>
        </w:rPr>
      </w:pPr>
      <w:r w:rsidRPr="00B06A27">
        <w:rPr>
          <w:rFonts w:cstheme="minorHAnsi"/>
        </w:rPr>
        <w:t>jednalo se o plnění příjmů na jedné rozpočtové položce, a to na položce 1362 - Soudní poplatky. Výše plnění těchto příjmů byla dána vyměřenými soudními poplatky a jejich úhradami, ve srovnání s rokem 202</w:t>
      </w:r>
      <w:r w:rsidR="00A8799C">
        <w:rPr>
          <w:rFonts w:cstheme="minorHAnsi"/>
        </w:rPr>
        <w:t>4</w:t>
      </w:r>
      <w:r w:rsidR="00011F30" w:rsidRPr="00B06A27">
        <w:rPr>
          <w:rFonts w:cstheme="minorHAnsi"/>
        </w:rPr>
        <w:t xml:space="preserve"> vyšší </w:t>
      </w:r>
      <w:r w:rsidRPr="00B06A27">
        <w:rPr>
          <w:rFonts w:cstheme="minorHAnsi"/>
        </w:rPr>
        <w:t xml:space="preserve">o </w:t>
      </w:r>
      <w:r w:rsidR="00011F30" w:rsidRPr="00B06A27">
        <w:rPr>
          <w:rFonts w:cstheme="minorHAnsi"/>
        </w:rPr>
        <w:t>9</w:t>
      </w:r>
      <w:r w:rsidR="00A8799C">
        <w:rPr>
          <w:rFonts w:cstheme="minorHAnsi"/>
        </w:rPr>
        <w:t>13,023</w:t>
      </w:r>
      <w:r w:rsidRPr="00B06A27">
        <w:rPr>
          <w:rFonts w:cstheme="minorHAnsi"/>
        </w:rPr>
        <w:t xml:space="preserve"> tis. Kč.</w:t>
      </w:r>
    </w:p>
    <w:p w14:paraId="12950F92" w14:textId="28F40DCF" w:rsidR="00C64A54" w:rsidRPr="000E2518" w:rsidRDefault="00C64A54" w:rsidP="00F73DBF">
      <w:pPr>
        <w:pStyle w:val="Nadpis3"/>
        <w:rPr>
          <w:rFonts w:cstheme="minorHAnsi"/>
          <w:color w:val="548DD4" w:themeColor="text2" w:themeTint="99"/>
        </w:rPr>
      </w:pPr>
      <w:bookmarkStart w:id="15" w:name="_Toc155689652"/>
      <w:r w:rsidRPr="000E2518">
        <w:rPr>
          <w:rFonts w:cstheme="minorHAnsi"/>
          <w:color w:val="548DD4" w:themeColor="text2" w:themeTint="99"/>
        </w:rPr>
        <w:t>Nedaňové příjmy</w:t>
      </w:r>
      <w:bookmarkEnd w:id="15"/>
      <w:r w:rsidRPr="000E2518">
        <w:rPr>
          <w:rFonts w:cstheme="minorHAnsi"/>
          <w:b w:val="0"/>
          <w:color w:val="548DD4" w:themeColor="text2" w:themeTint="99"/>
        </w:rPr>
        <w:t xml:space="preserve"> </w:t>
      </w:r>
    </w:p>
    <w:p w14:paraId="671677A3" w14:textId="750B31B5" w:rsidR="009A7A2E" w:rsidRPr="00DC086F" w:rsidRDefault="009A7A2E" w:rsidP="009A7A2E">
      <w:pPr>
        <w:pStyle w:val="Garamond12"/>
        <w:numPr>
          <w:ilvl w:val="0"/>
          <w:numId w:val="6"/>
        </w:numPr>
        <w:spacing w:before="60" w:after="60" w:line="264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Pr="00DC086F">
        <w:rPr>
          <w:rFonts w:cstheme="minorHAnsi"/>
        </w:rPr>
        <w:t>ozpočtové příjmy stanovené pro rok 202</w:t>
      </w:r>
      <w:r w:rsidR="00A8799C">
        <w:rPr>
          <w:rFonts w:cstheme="minorHAnsi"/>
        </w:rPr>
        <w:t>5</w:t>
      </w:r>
      <w:r w:rsidRPr="00DC086F">
        <w:rPr>
          <w:rFonts w:cstheme="minorHAnsi"/>
        </w:rPr>
        <w:t xml:space="preserve"> ve třídě 2 byly překročeny o</w:t>
      </w:r>
      <w:r w:rsidR="009A6044">
        <w:rPr>
          <w:rFonts w:cstheme="minorHAnsi"/>
        </w:rPr>
        <w:t xml:space="preserve"> </w:t>
      </w:r>
      <w:r w:rsidR="00A8799C">
        <w:rPr>
          <w:rFonts w:cstheme="minorHAnsi"/>
        </w:rPr>
        <w:t>2 059,84</w:t>
      </w:r>
      <w:r w:rsidRPr="00DC086F">
        <w:rPr>
          <w:rFonts w:cstheme="minorHAnsi"/>
        </w:rPr>
        <w:t xml:space="preserve"> tis</w:t>
      </w:r>
      <w:r w:rsidR="001112FE">
        <w:rPr>
          <w:rFonts w:cstheme="minorHAnsi"/>
        </w:rPr>
        <w:t>.</w:t>
      </w:r>
      <w:r w:rsidRPr="00DC086F">
        <w:rPr>
          <w:rFonts w:cstheme="minorHAnsi"/>
        </w:rPr>
        <w:t xml:space="preserve"> Kč, což je</w:t>
      </w:r>
      <w:r w:rsidR="005834FF">
        <w:rPr>
          <w:rFonts w:cstheme="minorHAnsi"/>
        </w:rPr>
        <w:br/>
      </w:r>
      <w:r w:rsidRPr="00DC086F">
        <w:rPr>
          <w:rFonts w:cstheme="minorHAnsi"/>
        </w:rPr>
        <w:t xml:space="preserve">o </w:t>
      </w:r>
      <w:r w:rsidR="00A8799C">
        <w:rPr>
          <w:rFonts w:cstheme="minorHAnsi"/>
        </w:rPr>
        <w:t>45,27</w:t>
      </w:r>
      <w:r w:rsidRPr="00DC086F">
        <w:rPr>
          <w:rFonts w:cstheme="minorHAnsi"/>
        </w:rPr>
        <w:t xml:space="preserve"> %</w:t>
      </w:r>
      <w:r>
        <w:rPr>
          <w:rFonts w:cstheme="minorHAnsi"/>
        </w:rPr>
        <w:t xml:space="preserve"> více než bylo stanoveno konečným rozpočtem</w:t>
      </w:r>
      <w:r w:rsidRPr="00DC086F">
        <w:rPr>
          <w:rFonts w:cstheme="minorHAnsi"/>
        </w:rPr>
        <w:t>.</w:t>
      </w:r>
    </w:p>
    <w:p w14:paraId="6B516CA4" w14:textId="1ADD7E10" w:rsidR="005834FF" w:rsidRPr="00A629FC" w:rsidRDefault="005834FF" w:rsidP="009A7A2E">
      <w:pPr>
        <w:pStyle w:val="Odstavecseseznamem"/>
        <w:numPr>
          <w:ilvl w:val="0"/>
          <w:numId w:val="6"/>
        </w:numPr>
        <w:spacing w:before="60"/>
        <w:jc w:val="both"/>
        <w:rPr>
          <w:rFonts w:ascii="Garamond" w:hAnsi="Garamond"/>
          <w:sz w:val="24"/>
          <w:szCs w:val="24"/>
        </w:rPr>
      </w:pPr>
      <w:r w:rsidRPr="00A629FC">
        <w:rPr>
          <w:rFonts w:ascii="Garamond" w:hAnsi="Garamond"/>
          <w:sz w:val="24"/>
          <w:szCs w:val="24"/>
        </w:rPr>
        <w:t>na</w:t>
      </w:r>
      <w:r w:rsidR="00BA5CA0" w:rsidRPr="00A629FC">
        <w:rPr>
          <w:rFonts w:ascii="Garamond" w:hAnsi="Garamond"/>
          <w:sz w:val="24"/>
          <w:szCs w:val="24"/>
        </w:rPr>
        <w:t xml:space="preserve"> položce 2324</w:t>
      </w:r>
      <w:r w:rsidRPr="00A629FC">
        <w:rPr>
          <w:rFonts w:ascii="Garamond" w:hAnsi="Garamond"/>
          <w:sz w:val="24"/>
          <w:szCs w:val="24"/>
        </w:rPr>
        <w:t xml:space="preserve"> na které jsou nejvyšší příjmy třídy 2 bylo splněno ve výši </w:t>
      </w:r>
      <w:r w:rsidR="00A629FC">
        <w:rPr>
          <w:rFonts w:ascii="Garamond" w:hAnsi="Garamond"/>
          <w:sz w:val="24"/>
          <w:szCs w:val="24"/>
        </w:rPr>
        <w:t>3 756,44</w:t>
      </w:r>
      <w:r w:rsidRPr="00A629FC">
        <w:rPr>
          <w:rFonts w:ascii="Garamond" w:hAnsi="Garamond"/>
          <w:sz w:val="24"/>
          <w:szCs w:val="24"/>
        </w:rPr>
        <w:t xml:space="preserve"> tis. Kč, což je</w:t>
      </w:r>
      <w:r w:rsidRPr="00A629FC">
        <w:rPr>
          <w:rFonts w:ascii="Garamond" w:hAnsi="Garamond"/>
          <w:sz w:val="24"/>
          <w:szCs w:val="24"/>
        </w:rPr>
        <w:br/>
        <w:t xml:space="preserve"> o </w:t>
      </w:r>
      <w:r w:rsidR="00A629FC">
        <w:rPr>
          <w:rFonts w:ascii="Garamond" w:hAnsi="Garamond"/>
          <w:sz w:val="24"/>
          <w:szCs w:val="24"/>
        </w:rPr>
        <w:t>47,37</w:t>
      </w:r>
      <w:r w:rsidRPr="00A629FC">
        <w:rPr>
          <w:rFonts w:ascii="Garamond" w:hAnsi="Garamond"/>
          <w:sz w:val="24"/>
          <w:szCs w:val="24"/>
        </w:rPr>
        <w:t xml:space="preserve"> % více než bylo stanoveno konečným rozpočtem.</w:t>
      </w:r>
    </w:p>
    <w:p w14:paraId="2DC1AF6A" w14:textId="232FF6D2" w:rsidR="005834FF" w:rsidRDefault="005834FF" w:rsidP="005834FF">
      <w:pPr>
        <w:pStyle w:val="Garamond12"/>
        <w:numPr>
          <w:ilvl w:val="0"/>
          <w:numId w:val="6"/>
        </w:numPr>
        <w:spacing w:after="200"/>
        <w:jc w:val="both"/>
        <w:rPr>
          <w:rFonts w:cstheme="minorHAnsi"/>
        </w:rPr>
      </w:pPr>
      <w:r>
        <w:rPr>
          <w:rFonts w:cstheme="minorHAnsi"/>
        </w:rPr>
        <w:t xml:space="preserve">výše plnění těchto </w:t>
      </w:r>
      <w:r w:rsidR="00E25341">
        <w:rPr>
          <w:rFonts w:cstheme="minorHAnsi"/>
        </w:rPr>
        <w:t xml:space="preserve">nedaňových </w:t>
      </w:r>
      <w:r>
        <w:rPr>
          <w:rFonts w:cstheme="minorHAnsi"/>
        </w:rPr>
        <w:t>příjmů byla ve srovnání s rokem 202</w:t>
      </w:r>
      <w:r w:rsidR="00A8799C">
        <w:rPr>
          <w:rFonts w:cstheme="minorHAnsi"/>
        </w:rPr>
        <w:t>4 nižší</w:t>
      </w:r>
      <w:r>
        <w:rPr>
          <w:rFonts w:cstheme="minorHAnsi"/>
        </w:rPr>
        <w:t xml:space="preserve"> o </w:t>
      </w:r>
      <w:r w:rsidR="00A8799C">
        <w:rPr>
          <w:rFonts w:cstheme="minorHAnsi"/>
        </w:rPr>
        <w:t>631,32</w:t>
      </w:r>
      <w:r>
        <w:rPr>
          <w:rFonts w:cstheme="minorHAnsi"/>
        </w:rPr>
        <w:t xml:space="preserve"> tis. Kč.</w:t>
      </w:r>
    </w:p>
    <w:p w14:paraId="77D736A3" w14:textId="77777777" w:rsidR="00C64A54" w:rsidRPr="000E2518" w:rsidRDefault="00C64A54" w:rsidP="00F73DBF">
      <w:pPr>
        <w:pStyle w:val="Nadpis3"/>
        <w:rPr>
          <w:rFonts w:cstheme="minorHAnsi"/>
          <w:color w:val="548DD4" w:themeColor="text2" w:themeTint="99"/>
        </w:rPr>
      </w:pPr>
      <w:bookmarkStart w:id="16" w:name="_Toc155689653"/>
      <w:r w:rsidRPr="000E2518">
        <w:rPr>
          <w:rFonts w:cstheme="minorHAnsi"/>
          <w:color w:val="548DD4" w:themeColor="text2" w:themeTint="99"/>
        </w:rPr>
        <w:t>Kapitálové příjmy</w:t>
      </w:r>
      <w:bookmarkEnd w:id="16"/>
    </w:p>
    <w:p w14:paraId="4C41C807" w14:textId="1583A6F1" w:rsidR="00C64A54" w:rsidRPr="00915E35" w:rsidRDefault="006C01DD" w:rsidP="0089230C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cstheme="minorHAnsi"/>
        </w:rPr>
      </w:pPr>
      <w:r w:rsidRPr="006F408C">
        <w:rPr>
          <w:rFonts w:ascii="Garamond" w:hAnsi="Garamond" w:cstheme="minorHAnsi"/>
          <w:sz w:val="24"/>
          <w:szCs w:val="24"/>
        </w:rPr>
        <w:t>v roce 202</w:t>
      </w:r>
      <w:r w:rsidR="00A8799C">
        <w:rPr>
          <w:rFonts w:ascii="Garamond" w:hAnsi="Garamond" w:cstheme="minorHAnsi"/>
          <w:sz w:val="24"/>
          <w:szCs w:val="24"/>
        </w:rPr>
        <w:t xml:space="preserve">5 </w:t>
      </w:r>
      <w:r w:rsidRPr="006F408C">
        <w:rPr>
          <w:rFonts w:ascii="Garamond" w:hAnsi="Garamond" w:cstheme="minorHAnsi"/>
          <w:sz w:val="24"/>
          <w:szCs w:val="24"/>
        </w:rPr>
        <w:t>byl uskutečněn odprodej</w:t>
      </w:r>
      <w:r w:rsidR="00A8799C">
        <w:rPr>
          <w:rFonts w:ascii="Garamond" w:hAnsi="Garamond" w:cstheme="minorHAnsi"/>
          <w:sz w:val="24"/>
          <w:szCs w:val="24"/>
        </w:rPr>
        <w:t xml:space="preserve"> vyřazeného </w:t>
      </w:r>
      <w:r w:rsidR="00A629FC">
        <w:rPr>
          <w:rFonts w:ascii="Garamond" w:hAnsi="Garamond" w:cstheme="minorHAnsi"/>
          <w:sz w:val="24"/>
          <w:szCs w:val="24"/>
        </w:rPr>
        <w:t>osobního automobilu</w:t>
      </w:r>
      <w:r w:rsidR="00A8799C">
        <w:rPr>
          <w:rFonts w:ascii="Garamond" w:hAnsi="Garamond" w:cstheme="minorHAnsi"/>
          <w:sz w:val="24"/>
          <w:szCs w:val="24"/>
        </w:rPr>
        <w:t xml:space="preserve"> ve výši 55,00 tis. Kč</w:t>
      </w:r>
      <w:r w:rsidR="00C64A54" w:rsidRPr="00915E35">
        <w:rPr>
          <w:rFonts w:cstheme="minorHAnsi"/>
        </w:rPr>
        <w:t>.</w:t>
      </w:r>
    </w:p>
    <w:p w14:paraId="2AD31229" w14:textId="77777777" w:rsidR="00C64A54" w:rsidRPr="000E2518" w:rsidRDefault="00C64A54" w:rsidP="00F73DBF">
      <w:pPr>
        <w:pStyle w:val="Nadpis3"/>
        <w:rPr>
          <w:rFonts w:cstheme="minorHAnsi"/>
          <w:color w:val="548DD4" w:themeColor="text2" w:themeTint="99"/>
        </w:rPr>
      </w:pPr>
      <w:bookmarkStart w:id="17" w:name="_Toc155689654"/>
      <w:r w:rsidRPr="000E2518">
        <w:rPr>
          <w:rFonts w:cstheme="minorHAnsi"/>
          <w:color w:val="548DD4" w:themeColor="text2" w:themeTint="99"/>
        </w:rPr>
        <w:t>Přijaté transfery</w:t>
      </w:r>
      <w:bookmarkEnd w:id="17"/>
    </w:p>
    <w:p w14:paraId="31941131" w14:textId="7D4D678C" w:rsidR="006F408C" w:rsidRPr="006F408C" w:rsidRDefault="007116D9" w:rsidP="006F408C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F408C">
        <w:rPr>
          <w:rFonts w:ascii="Garamond" w:hAnsi="Garamond" w:cstheme="minorHAnsi"/>
          <w:sz w:val="24"/>
          <w:szCs w:val="24"/>
        </w:rPr>
        <w:t>v roce 202</w:t>
      </w:r>
      <w:r w:rsidR="00A8799C">
        <w:rPr>
          <w:rFonts w:ascii="Garamond" w:hAnsi="Garamond" w:cstheme="minorHAnsi"/>
          <w:sz w:val="24"/>
          <w:szCs w:val="24"/>
        </w:rPr>
        <w:t>5</w:t>
      </w:r>
      <w:r w:rsidRPr="006F408C">
        <w:rPr>
          <w:rFonts w:ascii="Garamond" w:hAnsi="Garamond" w:cstheme="minorHAnsi"/>
          <w:sz w:val="24"/>
          <w:szCs w:val="24"/>
        </w:rPr>
        <w:t xml:space="preserve"> proběhl </w:t>
      </w:r>
      <w:r w:rsidR="00D72794" w:rsidRPr="006F408C">
        <w:rPr>
          <w:rFonts w:ascii="Garamond" w:hAnsi="Garamond" w:cstheme="minorHAnsi"/>
          <w:sz w:val="24"/>
          <w:szCs w:val="24"/>
        </w:rPr>
        <w:t xml:space="preserve">pohyb na </w:t>
      </w:r>
      <w:r w:rsidRPr="006F408C">
        <w:rPr>
          <w:rFonts w:ascii="Garamond" w:hAnsi="Garamond" w:cstheme="minorHAnsi"/>
          <w:sz w:val="24"/>
          <w:szCs w:val="24"/>
        </w:rPr>
        <w:t>položce 41</w:t>
      </w:r>
      <w:r w:rsidR="00D72794" w:rsidRPr="006F408C">
        <w:rPr>
          <w:rFonts w:ascii="Garamond" w:hAnsi="Garamond" w:cstheme="minorHAnsi"/>
          <w:sz w:val="24"/>
          <w:szCs w:val="24"/>
        </w:rPr>
        <w:t xml:space="preserve">15 - </w:t>
      </w:r>
      <w:r w:rsidR="00C61966" w:rsidRPr="006F408C">
        <w:rPr>
          <w:rFonts w:ascii="Garamond" w:hAnsi="Garamond" w:cstheme="minorHAnsi"/>
          <w:sz w:val="24"/>
          <w:szCs w:val="24"/>
        </w:rPr>
        <w:t xml:space="preserve">Neinvestiční přijaté transfery </w:t>
      </w:r>
      <w:r w:rsidR="00D72794" w:rsidRPr="006F408C">
        <w:rPr>
          <w:rFonts w:ascii="Garamond" w:hAnsi="Garamond" w:cstheme="minorHAnsi"/>
          <w:sz w:val="24"/>
          <w:szCs w:val="24"/>
        </w:rPr>
        <w:t xml:space="preserve">ve výši </w:t>
      </w:r>
      <w:r w:rsidR="00A8799C">
        <w:rPr>
          <w:rFonts w:ascii="Garamond" w:hAnsi="Garamond" w:cstheme="minorHAnsi"/>
          <w:sz w:val="24"/>
          <w:szCs w:val="24"/>
        </w:rPr>
        <w:t>12,28</w:t>
      </w:r>
      <w:r w:rsidR="00D72794" w:rsidRPr="006F408C">
        <w:rPr>
          <w:rFonts w:ascii="Garamond" w:hAnsi="Garamond" w:cstheme="minorHAnsi"/>
          <w:sz w:val="24"/>
          <w:szCs w:val="24"/>
        </w:rPr>
        <w:t xml:space="preserve"> tis. Kč </w:t>
      </w:r>
      <w:r w:rsidR="00CB09C7">
        <w:rPr>
          <w:rFonts w:ascii="Garamond" w:hAnsi="Garamond" w:cstheme="minorHAnsi"/>
          <w:sz w:val="24"/>
          <w:szCs w:val="24"/>
        </w:rPr>
        <w:t>-</w:t>
      </w:r>
      <w:r w:rsidR="00D72794" w:rsidRPr="006F408C">
        <w:rPr>
          <w:rFonts w:ascii="Garamond" w:hAnsi="Garamond" w:cstheme="minorHAnsi"/>
          <w:sz w:val="24"/>
          <w:szCs w:val="24"/>
        </w:rPr>
        <w:t xml:space="preserve"> náhrada mzdy</w:t>
      </w:r>
      <w:r w:rsidR="00FB58C8" w:rsidRPr="00FB58C8">
        <w:rPr>
          <w:rFonts w:ascii="Garamond" w:hAnsi="Garamond"/>
          <w:sz w:val="24"/>
          <w:szCs w:val="24"/>
        </w:rPr>
        <w:t xml:space="preserve"> </w:t>
      </w:r>
      <w:r w:rsidR="00076793">
        <w:rPr>
          <w:rFonts w:ascii="Garamond" w:hAnsi="Garamond"/>
          <w:sz w:val="24"/>
          <w:szCs w:val="24"/>
        </w:rPr>
        <w:t xml:space="preserve">JUDr. Kolářová </w:t>
      </w:r>
      <w:r w:rsidR="00D72794" w:rsidRPr="006F408C">
        <w:rPr>
          <w:rFonts w:ascii="Garamond" w:hAnsi="Garamond" w:cstheme="minorHAnsi"/>
          <w:sz w:val="24"/>
          <w:szCs w:val="24"/>
        </w:rPr>
        <w:t xml:space="preserve">(vedoucí na letním táboře pro </w:t>
      </w:r>
      <w:proofErr w:type="gramStart"/>
      <w:r w:rsidR="00D72794" w:rsidRPr="006F408C">
        <w:rPr>
          <w:rFonts w:ascii="Garamond" w:hAnsi="Garamond" w:cstheme="minorHAnsi"/>
          <w:sz w:val="24"/>
          <w:szCs w:val="24"/>
        </w:rPr>
        <w:t>děti</w:t>
      </w:r>
      <w:r w:rsidR="001112FE">
        <w:rPr>
          <w:rFonts w:ascii="Garamond" w:hAnsi="Garamond" w:cstheme="minorHAnsi"/>
          <w:sz w:val="24"/>
          <w:szCs w:val="24"/>
        </w:rPr>
        <w:t xml:space="preserve"> </w:t>
      </w:r>
      <w:r w:rsidR="00C61966" w:rsidRPr="006F408C">
        <w:rPr>
          <w:rFonts w:ascii="Garamond" w:hAnsi="Garamond" w:cstheme="minorHAnsi"/>
          <w:sz w:val="24"/>
          <w:szCs w:val="24"/>
        </w:rPr>
        <w:t>)</w:t>
      </w:r>
      <w:proofErr w:type="gramEnd"/>
      <w:r w:rsidR="008C7DBA" w:rsidRPr="006F408C">
        <w:rPr>
          <w:rFonts w:ascii="Garamond" w:hAnsi="Garamond" w:cstheme="minorHAnsi"/>
          <w:sz w:val="24"/>
          <w:szCs w:val="24"/>
        </w:rPr>
        <w:t xml:space="preserve"> </w:t>
      </w:r>
      <w:r w:rsidR="00D72794" w:rsidRPr="006F408C">
        <w:rPr>
          <w:rFonts w:ascii="Garamond" w:hAnsi="Garamond" w:cstheme="minorHAnsi"/>
          <w:sz w:val="24"/>
          <w:szCs w:val="24"/>
        </w:rPr>
        <w:t xml:space="preserve"> a 4132 </w:t>
      </w:r>
      <w:r w:rsidR="001112FE">
        <w:rPr>
          <w:rFonts w:ascii="Garamond" w:hAnsi="Garamond" w:cstheme="minorHAnsi"/>
          <w:sz w:val="24"/>
          <w:szCs w:val="24"/>
        </w:rPr>
        <w:t>-</w:t>
      </w:r>
      <w:r w:rsidR="008C7DBA" w:rsidRPr="006F408C">
        <w:rPr>
          <w:rFonts w:ascii="Garamond" w:hAnsi="Garamond" w:cstheme="minorHAnsi"/>
          <w:sz w:val="24"/>
          <w:szCs w:val="24"/>
        </w:rPr>
        <w:t xml:space="preserve"> </w:t>
      </w:r>
      <w:r w:rsidR="00D72794" w:rsidRPr="006F408C">
        <w:rPr>
          <w:rFonts w:ascii="Garamond" w:hAnsi="Garamond" w:cstheme="minorHAnsi"/>
          <w:sz w:val="24"/>
          <w:szCs w:val="24"/>
        </w:rPr>
        <w:t xml:space="preserve">Převody z ostatních vlastních fondů </w:t>
      </w:r>
      <w:r w:rsidR="006F408C" w:rsidRPr="006F408C">
        <w:rPr>
          <w:rFonts w:ascii="Garamond" w:hAnsi="Garamond" w:cstheme="minorHAnsi"/>
          <w:sz w:val="24"/>
          <w:szCs w:val="24"/>
        </w:rPr>
        <w:t>-</w:t>
      </w:r>
      <w:r w:rsidR="00D72794" w:rsidRPr="006F408C">
        <w:rPr>
          <w:rFonts w:ascii="Garamond" w:hAnsi="Garamond" w:cstheme="minorHAnsi"/>
          <w:sz w:val="24"/>
          <w:szCs w:val="24"/>
        </w:rPr>
        <w:t xml:space="preserve"> převo</w:t>
      </w:r>
      <w:r w:rsidR="006F408C" w:rsidRPr="006F408C">
        <w:rPr>
          <w:rFonts w:ascii="Garamond" w:hAnsi="Garamond" w:cstheme="minorHAnsi"/>
          <w:sz w:val="24"/>
          <w:szCs w:val="24"/>
        </w:rPr>
        <w:t>d na začátku roku 202</w:t>
      </w:r>
      <w:r w:rsidR="00076793">
        <w:rPr>
          <w:rFonts w:ascii="Garamond" w:hAnsi="Garamond" w:cstheme="minorHAnsi"/>
          <w:sz w:val="24"/>
          <w:szCs w:val="24"/>
        </w:rPr>
        <w:t>5</w:t>
      </w:r>
      <w:r w:rsidR="00AA012F">
        <w:rPr>
          <w:rFonts w:ascii="Garamond" w:hAnsi="Garamond" w:cstheme="minorHAnsi"/>
          <w:sz w:val="24"/>
          <w:szCs w:val="24"/>
        </w:rPr>
        <w:t xml:space="preserve"> - </w:t>
      </w:r>
      <w:r w:rsidR="00D72794" w:rsidRPr="006F408C">
        <w:rPr>
          <w:rFonts w:ascii="Garamond" w:hAnsi="Garamond" w:cstheme="minorHAnsi"/>
          <w:sz w:val="24"/>
          <w:szCs w:val="24"/>
        </w:rPr>
        <w:t> nevyčerpan</w:t>
      </w:r>
      <w:r w:rsidR="006F408C" w:rsidRPr="006F408C">
        <w:rPr>
          <w:rFonts w:ascii="Garamond" w:hAnsi="Garamond" w:cstheme="minorHAnsi"/>
          <w:sz w:val="24"/>
          <w:szCs w:val="24"/>
        </w:rPr>
        <w:t>é</w:t>
      </w:r>
      <w:r w:rsidR="00D72794" w:rsidRPr="006F408C">
        <w:rPr>
          <w:rFonts w:ascii="Garamond" w:hAnsi="Garamond" w:cstheme="minorHAnsi"/>
          <w:sz w:val="24"/>
          <w:szCs w:val="24"/>
        </w:rPr>
        <w:t xml:space="preserve"> mzdov</w:t>
      </w:r>
      <w:r w:rsidR="006F408C" w:rsidRPr="006F408C">
        <w:rPr>
          <w:rFonts w:ascii="Garamond" w:hAnsi="Garamond" w:cstheme="minorHAnsi"/>
          <w:sz w:val="24"/>
          <w:szCs w:val="24"/>
        </w:rPr>
        <w:t>é</w:t>
      </w:r>
      <w:r w:rsidR="00D72794" w:rsidRPr="006F408C">
        <w:rPr>
          <w:rFonts w:ascii="Garamond" w:hAnsi="Garamond" w:cstheme="minorHAnsi"/>
          <w:sz w:val="24"/>
          <w:szCs w:val="24"/>
        </w:rPr>
        <w:t xml:space="preserve"> prostředk</w:t>
      </w:r>
      <w:r w:rsidR="006F408C" w:rsidRPr="006F408C">
        <w:rPr>
          <w:rFonts w:ascii="Garamond" w:hAnsi="Garamond" w:cstheme="minorHAnsi"/>
          <w:sz w:val="24"/>
          <w:szCs w:val="24"/>
        </w:rPr>
        <w:t>y</w:t>
      </w:r>
      <w:r w:rsidR="00D72794" w:rsidRPr="006F408C">
        <w:rPr>
          <w:rFonts w:ascii="Garamond" w:hAnsi="Garamond" w:cstheme="minorHAnsi"/>
          <w:sz w:val="24"/>
          <w:szCs w:val="24"/>
        </w:rPr>
        <w:t xml:space="preserve"> </w:t>
      </w:r>
      <w:r w:rsidR="00EB6EF5">
        <w:rPr>
          <w:rFonts w:ascii="Garamond" w:hAnsi="Garamond" w:cstheme="minorHAnsi"/>
          <w:sz w:val="24"/>
          <w:szCs w:val="24"/>
        </w:rPr>
        <w:br/>
      </w:r>
      <w:r w:rsidR="00D72794" w:rsidRPr="006F408C">
        <w:rPr>
          <w:rFonts w:ascii="Garamond" w:hAnsi="Garamond" w:cstheme="minorHAnsi"/>
          <w:sz w:val="24"/>
          <w:szCs w:val="24"/>
        </w:rPr>
        <w:t>z</w:t>
      </w:r>
      <w:r w:rsidR="006F408C" w:rsidRPr="006F408C">
        <w:rPr>
          <w:rFonts w:ascii="Garamond" w:hAnsi="Garamond" w:cstheme="minorHAnsi"/>
          <w:sz w:val="24"/>
          <w:szCs w:val="24"/>
        </w:rPr>
        <w:t> </w:t>
      </w:r>
      <w:r w:rsidR="00D72794" w:rsidRPr="006F408C">
        <w:rPr>
          <w:rFonts w:ascii="Garamond" w:hAnsi="Garamond" w:cstheme="minorHAnsi"/>
          <w:sz w:val="24"/>
          <w:szCs w:val="24"/>
        </w:rPr>
        <w:t>roku</w:t>
      </w:r>
      <w:r w:rsidR="006F408C" w:rsidRPr="006F408C">
        <w:rPr>
          <w:rFonts w:ascii="Garamond" w:hAnsi="Garamond" w:cstheme="minorHAnsi"/>
          <w:sz w:val="24"/>
          <w:szCs w:val="24"/>
        </w:rPr>
        <w:t xml:space="preserve"> 202</w:t>
      </w:r>
      <w:r w:rsidR="00076793">
        <w:rPr>
          <w:rFonts w:ascii="Garamond" w:hAnsi="Garamond" w:cstheme="minorHAnsi"/>
          <w:sz w:val="24"/>
          <w:szCs w:val="24"/>
        </w:rPr>
        <w:t>4</w:t>
      </w:r>
      <w:r w:rsidR="006F408C" w:rsidRPr="006F408C">
        <w:rPr>
          <w:rFonts w:ascii="Garamond" w:hAnsi="Garamond" w:cstheme="minorHAnsi"/>
          <w:sz w:val="24"/>
          <w:szCs w:val="24"/>
        </w:rPr>
        <w:t>.</w:t>
      </w:r>
    </w:p>
    <w:p w14:paraId="5BE27767" w14:textId="773B7D71" w:rsidR="007232D9" w:rsidRPr="000E2518" w:rsidRDefault="00C61966" w:rsidP="00C61966">
      <w:pPr>
        <w:pStyle w:val="Nadpis1"/>
        <w:rPr>
          <w:color w:val="548DD4" w:themeColor="text2" w:themeTint="99"/>
        </w:rPr>
      </w:pPr>
      <w:bookmarkStart w:id="18" w:name="_Toc534878022"/>
      <w:r w:rsidRPr="00915E35">
        <w:t xml:space="preserve"> </w:t>
      </w:r>
      <w:bookmarkStart w:id="19" w:name="_Toc155689655"/>
      <w:r w:rsidR="007232D9" w:rsidRPr="000E2518">
        <w:rPr>
          <w:color w:val="548DD4" w:themeColor="text2" w:themeTint="99"/>
        </w:rPr>
        <w:t>VÝDAJE</w:t>
      </w:r>
      <w:bookmarkEnd w:id="18"/>
      <w:bookmarkEnd w:id="19"/>
    </w:p>
    <w:p w14:paraId="1A0B89E1" w14:textId="77777777" w:rsidR="007232D9" w:rsidRPr="000E2518" w:rsidRDefault="007232D9" w:rsidP="007232D9">
      <w:pPr>
        <w:pStyle w:val="Nadpis2"/>
        <w:spacing w:before="120" w:after="120"/>
        <w:rPr>
          <w:color w:val="548DD4" w:themeColor="text2" w:themeTint="99"/>
        </w:rPr>
      </w:pPr>
      <w:bookmarkStart w:id="20" w:name="_Toc534878023"/>
      <w:bookmarkStart w:id="21" w:name="_Toc155689656"/>
      <w:r w:rsidRPr="000E2518">
        <w:rPr>
          <w:color w:val="548DD4" w:themeColor="text2" w:themeTint="99"/>
        </w:rPr>
        <w:t>Vyhodnocení výdajů</w:t>
      </w:r>
      <w:bookmarkEnd w:id="20"/>
      <w:bookmarkEnd w:id="21"/>
    </w:p>
    <w:p w14:paraId="038DA887" w14:textId="56ECD843" w:rsidR="003D353E" w:rsidRPr="006F408C" w:rsidRDefault="003D353E" w:rsidP="001112FE">
      <w:pPr>
        <w:spacing w:before="120" w:after="120"/>
        <w:jc w:val="both"/>
        <w:rPr>
          <w:rFonts w:ascii="Garamond" w:hAnsi="Garamond" w:cs="Calibri"/>
          <w:sz w:val="24"/>
          <w:szCs w:val="24"/>
        </w:rPr>
      </w:pPr>
      <w:r w:rsidRPr="006F408C">
        <w:rPr>
          <w:rFonts w:ascii="Garamond" w:hAnsi="Garamond" w:cs="Calibri"/>
          <w:sz w:val="24"/>
          <w:szCs w:val="24"/>
        </w:rPr>
        <w:t>Rozpočet v oblasti platů a pojistného a OVV byl v průběhu r. 202</w:t>
      </w:r>
      <w:r w:rsidR="0071624F">
        <w:rPr>
          <w:rFonts w:ascii="Garamond" w:hAnsi="Garamond" w:cs="Calibri"/>
          <w:sz w:val="24"/>
          <w:szCs w:val="24"/>
        </w:rPr>
        <w:t>5</w:t>
      </w:r>
      <w:r w:rsidRPr="006F408C">
        <w:rPr>
          <w:rFonts w:ascii="Garamond" w:hAnsi="Garamond" w:cs="Calibri"/>
          <w:sz w:val="24"/>
          <w:szCs w:val="24"/>
        </w:rPr>
        <w:t xml:space="preserve"> upraven.  </w:t>
      </w:r>
      <w:r w:rsidRPr="006F408C">
        <w:rPr>
          <w:rFonts w:ascii="Garamond" w:hAnsi="Garamond"/>
          <w:sz w:val="24"/>
          <w:szCs w:val="24"/>
        </w:rPr>
        <w:t>Nárůst skutečného čerpání rozpočtu oproti roku 202</w:t>
      </w:r>
      <w:r w:rsidR="0071624F">
        <w:rPr>
          <w:rFonts w:ascii="Garamond" w:hAnsi="Garamond"/>
          <w:sz w:val="24"/>
          <w:szCs w:val="24"/>
        </w:rPr>
        <w:t>4</w:t>
      </w:r>
      <w:r w:rsidRPr="006F408C">
        <w:rPr>
          <w:rFonts w:ascii="Garamond" w:hAnsi="Garamond"/>
          <w:sz w:val="24"/>
          <w:szCs w:val="24"/>
        </w:rPr>
        <w:t xml:space="preserve"> je dán zejména růstem cen energií, poštovních poplatků, pohonných</w:t>
      </w:r>
      <w:r w:rsidRPr="006F408C">
        <w:rPr>
          <w:rFonts w:ascii="Garamond" w:hAnsi="Garamond" w:cs="Calibri"/>
          <w:sz w:val="24"/>
          <w:szCs w:val="24"/>
        </w:rPr>
        <w:t xml:space="preserve"> hmot </w:t>
      </w:r>
      <w:r w:rsidR="00FE1BB5">
        <w:rPr>
          <w:rFonts w:ascii="Garamond" w:hAnsi="Garamond" w:cs="Calibri"/>
          <w:sz w:val="24"/>
          <w:szCs w:val="24"/>
        </w:rPr>
        <w:br/>
      </w:r>
      <w:r w:rsidR="0071624F">
        <w:rPr>
          <w:rFonts w:ascii="Garamond" w:hAnsi="Garamond" w:cs="Calibri"/>
          <w:sz w:val="24"/>
          <w:szCs w:val="24"/>
        </w:rPr>
        <w:t xml:space="preserve">v </w:t>
      </w:r>
      <w:r w:rsidR="00B711F0">
        <w:rPr>
          <w:rFonts w:ascii="Garamond" w:hAnsi="Garamond" w:cs="Calibri"/>
          <w:sz w:val="24"/>
          <w:szCs w:val="24"/>
        </w:rPr>
        <w:t>minulých dvou</w:t>
      </w:r>
      <w:r w:rsidR="00CB09C7">
        <w:rPr>
          <w:rFonts w:ascii="Garamond" w:hAnsi="Garamond" w:cs="Calibri"/>
          <w:sz w:val="24"/>
          <w:szCs w:val="24"/>
        </w:rPr>
        <w:t xml:space="preserve"> </w:t>
      </w:r>
      <w:r w:rsidR="00B711F0">
        <w:rPr>
          <w:rFonts w:ascii="Garamond" w:hAnsi="Garamond" w:cs="Calibri"/>
          <w:sz w:val="24"/>
          <w:szCs w:val="24"/>
        </w:rPr>
        <w:t>letech</w:t>
      </w:r>
      <w:r w:rsidRPr="006F408C">
        <w:rPr>
          <w:rFonts w:ascii="Garamond" w:hAnsi="Garamond" w:cs="Calibri"/>
          <w:sz w:val="24"/>
          <w:szCs w:val="24"/>
        </w:rPr>
        <w:t>.</w:t>
      </w:r>
      <w:r w:rsidR="00FE1BB5" w:rsidRPr="00FE1BB5">
        <w:rPr>
          <w:rFonts w:ascii="Garamond" w:hAnsi="Garamond" w:cstheme="minorHAnsi"/>
        </w:rPr>
        <w:t xml:space="preserve"> </w:t>
      </w:r>
      <w:r w:rsidR="00FE1BB5" w:rsidRPr="001112FE">
        <w:rPr>
          <w:rFonts w:ascii="Garamond" w:hAnsi="Garamond" w:cstheme="minorHAnsi"/>
          <w:sz w:val="24"/>
          <w:szCs w:val="24"/>
        </w:rPr>
        <w:t>V meziročním srovnání za poslední 3 roky je zřejmé, že výdaje vzrůstají</w:t>
      </w:r>
      <w:r w:rsidR="001112FE">
        <w:rPr>
          <w:rFonts w:ascii="Garamond" w:hAnsi="Garamond" w:cstheme="minorHAnsi"/>
          <w:sz w:val="24"/>
          <w:szCs w:val="24"/>
        </w:rPr>
        <w:t xml:space="preserve"> od roku 2022</w:t>
      </w:r>
      <w:r w:rsidR="00FE1BB5" w:rsidRPr="001112FE">
        <w:rPr>
          <w:rFonts w:ascii="Garamond" w:hAnsi="Garamond" w:cstheme="minorHAnsi"/>
          <w:sz w:val="24"/>
          <w:szCs w:val="24"/>
        </w:rPr>
        <w:t>, což je vzhledem k ekonomické situaci a v návaznosti na zákonné úpravy očekávatelné.</w:t>
      </w:r>
    </w:p>
    <w:p w14:paraId="6C8703EE" w14:textId="277C187D" w:rsidR="003D353E" w:rsidRPr="006F408C" w:rsidRDefault="003D353E" w:rsidP="003D353E">
      <w:pPr>
        <w:jc w:val="both"/>
        <w:rPr>
          <w:rFonts w:ascii="Garamond" w:hAnsi="Garamond" w:cs="Calibri"/>
          <w:sz w:val="24"/>
          <w:szCs w:val="24"/>
        </w:rPr>
      </w:pPr>
      <w:r w:rsidRPr="006F408C">
        <w:rPr>
          <w:rFonts w:ascii="Garamond" w:hAnsi="Garamond" w:cs="Calibri"/>
          <w:sz w:val="24"/>
          <w:szCs w:val="24"/>
        </w:rPr>
        <w:t xml:space="preserve">Čerpání nespotřebovaných výdajů. NNV bylo použito na platy soudců a OPZPP ve výši </w:t>
      </w:r>
      <w:r w:rsidR="0071624F">
        <w:rPr>
          <w:rFonts w:ascii="Garamond" w:hAnsi="Garamond" w:cs="Calibri"/>
          <w:sz w:val="24"/>
          <w:szCs w:val="24"/>
        </w:rPr>
        <w:t>525,91</w:t>
      </w:r>
      <w:r w:rsidRPr="006F408C">
        <w:rPr>
          <w:rFonts w:ascii="Garamond" w:hAnsi="Garamond" w:cs="Calibri"/>
          <w:sz w:val="24"/>
          <w:szCs w:val="24"/>
        </w:rPr>
        <w:t xml:space="preserve"> tis. Kč, k tomu související SP + ZP ve výši </w:t>
      </w:r>
      <w:r w:rsidR="0071624F">
        <w:rPr>
          <w:rFonts w:ascii="Garamond" w:hAnsi="Garamond" w:cs="Calibri"/>
          <w:sz w:val="24"/>
          <w:szCs w:val="24"/>
        </w:rPr>
        <w:t>135,16</w:t>
      </w:r>
      <w:r w:rsidRPr="006F408C">
        <w:rPr>
          <w:rFonts w:ascii="Garamond" w:hAnsi="Garamond" w:cs="Calibri"/>
          <w:sz w:val="24"/>
          <w:szCs w:val="24"/>
        </w:rPr>
        <w:t xml:space="preserve"> tis.</w:t>
      </w:r>
      <w:r w:rsidR="00C86529">
        <w:rPr>
          <w:rFonts w:ascii="Garamond" w:hAnsi="Garamond" w:cs="Calibri"/>
          <w:sz w:val="24"/>
          <w:szCs w:val="24"/>
        </w:rPr>
        <w:t xml:space="preserve"> </w:t>
      </w:r>
      <w:r w:rsidR="00F8172D">
        <w:rPr>
          <w:rFonts w:ascii="Garamond" w:hAnsi="Garamond" w:cs="Calibri"/>
          <w:sz w:val="24"/>
          <w:szCs w:val="24"/>
        </w:rPr>
        <w:t>K</w:t>
      </w:r>
      <w:r w:rsidRPr="006F408C">
        <w:rPr>
          <w:rFonts w:ascii="Garamond" w:hAnsi="Garamond" w:cs="Calibri"/>
          <w:sz w:val="24"/>
          <w:szCs w:val="24"/>
        </w:rPr>
        <w:t xml:space="preserve">č a FKSP ve výši </w:t>
      </w:r>
      <w:r w:rsidR="00B711F0">
        <w:rPr>
          <w:rFonts w:ascii="Garamond" w:hAnsi="Garamond" w:cs="Calibri"/>
          <w:sz w:val="24"/>
          <w:szCs w:val="24"/>
        </w:rPr>
        <w:t>2</w:t>
      </w:r>
      <w:r w:rsidR="0071624F">
        <w:rPr>
          <w:rFonts w:ascii="Garamond" w:hAnsi="Garamond" w:cs="Calibri"/>
          <w:sz w:val="24"/>
          <w:szCs w:val="24"/>
        </w:rPr>
        <w:t>,45</w:t>
      </w:r>
      <w:r w:rsidRPr="006F408C">
        <w:rPr>
          <w:rFonts w:ascii="Garamond" w:hAnsi="Garamond" w:cs="Calibri"/>
          <w:sz w:val="24"/>
          <w:szCs w:val="24"/>
        </w:rPr>
        <w:t xml:space="preserve"> tis. Kč.</w:t>
      </w:r>
    </w:p>
    <w:p w14:paraId="673B2EED" w14:textId="3E43F4A2" w:rsidR="00CB09C7" w:rsidRPr="006F408C" w:rsidRDefault="003D353E" w:rsidP="00F475BA">
      <w:pPr>
        <w:jc w:val="both"/>
        <w:rPr>
          <w:rFonts w:ascii="Garamond" w:hAnsi="Garamond" w:cs="Calibri"/>
          <w:b/>
          <w:bCs/>
          <w:sz w:val="24"/>
          <w:szCs w:val="24"/>
        </w:rPr>
      </w:pPr>
      <w:r w:rsidRPr="006F408C">
        <w:rPr>
          <w:rFonts w:ascii="Garamond" w:hAnsi="Garamond" w:cs="Calibri"/>
          <w:sz w:val="24"/>
          <w:szCs w:val="24"/>
        </w:rPr>
        <w:t xml:space="preserve">Na investiční </w:t>
      </w:r>
      <w:proofErr w:type="gramStart"/>
      <w:r w:rsidRPr="006F408C">
        <w:rPr>
          <w:rFonts w:ascii="Garamond" w:hAnsi="Garamond" w:cs="Calibri"/>
          <w:sz w:val="24"/>
          <w:szCs w:val="24"/>
        </w:rPr>
        <w:t>akce - ISPROFIN</w:t>
      </w:r>
      <w:proofErr w:type="gramEnd"/>
      <w:r w:rsidRPr="006F408C">
        <w:rPr>
          <w:rFonts w:ascii="Garamond" w:hAnsi="Garamond" w:cs="Calibri"/>
          <w:sz w:val="24"/>
          <w:szCs w:val="24"/>
        </w:rPr>
        <w:t xml:space="preserve"> bylo čerpáno z</w:t>
      </w:r>
      <w:r w:rsidR="00B711F0">
        <w:rPr>
          <w:rFonts w:ascii="Garamond" w:hAnsi="Garamond" w:cs="Calibri"/>
          <w:sz w:val="24"/>
          <w:szCs w:val="24"/>
        </w:rPr>
        <w:t> </w:t>
      </w:r>
      <w:r w:rsidRPr="006F408C">
        <w:rPr>
          <w:rFonts w:ascii="Garamond" w:hAnsi="Garamond" w:cs="Calibri"/>
          <w:sz w:val="24"/>
          <w:szCs w:val="24"/>
        </w:rPr>
        <w:t>NNV</w:t>
      </w:r>
      <w:r w:rsidR="00B711F0">
        <w:rPr>
          <w:rFonts w:ascii="Garamond" w:hAnsi="Garamond" w:cs="Calibri"/>
          <w:sz w:val="24"/>
          <w:szCs w:val="24"/>
        </w:rPr>
        <w:t xml:space="preserve"> </w:t>
      </w:r>
      <w:r w:rsidR="0071624F">
        <w:rPr>
          <w:rFonts w:ascii="Garamond" w:hAnsi="Garamond" w:cs="Calibri"/>
          <w:sz w:val="24"/>
          <w:szCs w:val="24"/>
        </w:rPr>
        <w:t>577,95</w:t>
      </w:r>
      <w:r w:rsidRPr="006F408C">
        <w:rPr>
          <w:rFonts w:ascii="Garamond" w:hAnsi="Garamond" w:cs="Calibri"/>
          <w:sz w:val="24"/>
          <w:szCs w:val="24"/>
        </w:rPr>
        <w:t xml:space="preserve"> tis.</w:t>
      </w:r>
      <w:r w:rsidR="00EB251F">
        <w:rPr>
          <w:rFonts w:ascii="Garamond" w:hAnsi="Garamond" w:cs="Calibri"/>
          <w:sz w:val="24"/>
          <w:szCs w:val="24"/>
        </w:rPr>
        <w:t xml:space="preserve"> </w:t>
      </w:r>
      <w:r w:rsidRPr="006F408C">
        <w:rPr>
          <w:rFonts w:ascii="Garamond" w:hAnsi="Garamond" w:cs="Calibri"/>
          <w:sz w:val="24"/>
          <w:szCs w:val="24"/>
        </w:rPr>
        <w:t>Kč.</w:t>
      </w:r>
      <w:r w:rsidR="000D7906">
        <w:rPr>
          <w:rFonts w:ascii="Garamond" w:hAnsi="Garamond" w:cs="Calibri"/>
          <w:sz w:val="24"/>
          <w:szCs w:val="24"/>
        </w:rPr>
        <w:t xml:space="preserve"> a 6 106,00 tis.</w:t>
      </w:r>
      <w:r w:rsidR="00EB251F">
        <w:rPr>
          <w:rFonts w:ascii="Garamond" w:hAnsi="Garamond" w:cs="Calibri"/>
          <w:sz w:val="24"/>
          <w:szCs w:val="24"/>
        </w:rPr>
        <w:t xml:space="preserve"> </w:t>
      </w:r>
      <w:r w:rsidR="000D7906">
        <w:rPr>
          <w:rFonts w:ascii="Garamond" w:hAnsi="Garamond" w:cs="Calibri"/>
          <w:sz w:val="24"/>
          <w:szCs w:val="24"/>
        </w:rPr>
        <w:t>Kč činili prostředky s</w:t>
      </w:r>
      <w:r w:rsidR="00891A93">
        <w:rPr>
          <w:rFonts w:ascii="Garamond" w:hAnsi="Garamond" w:cs="Calibri"/>
          <w:sz w:val="24"/>
          <w:szCs w:val="24"/>
        </w:rPr>
        <w:t> účelem 243980057</w:t>
      </w:r>
      <w:r w:rsidR="00E61FEA">
        <w:rPr>
          <w:rFonts w:ascii="Garamond" w:hAnsi="Garamond" w:cs="Calibri"/>
          <w:sz w:val="24"/>
          <w:szCs w:val="24"/>
        </w:rPr>
        <w:t xml:space="preserve"> použité na nákup počítačů a notebooků.</w:t>
      </w:r>
      <w:r w:rsidR="00891A93">
        <w:rPr>
          <w:rFonts w:ascii="Garamond" w:hAnsi="Garamond" w:cs="Calibri"/>
          <w:sz w:val="24"/>
          <w:szCs w:val="24"/>
        </w:rPr>
        <w:t xml:space="preserve"> </w:t>
      </w:r>
      <w:r w:rsidR="00E6340A" w:rsidRPr="00F475BA">
        <w:rPr>
          <w:rFonts w:ascii="Garamond" w:hAnsi="Garamond" w:cs="Calibri"/>
          <w:sz w:val="24"/>
          <w:szCs w:val="24"/>
        </w:rPr>
        <w:t>N</w:t>
      </w:r>
      <w:r w:rsidR="00B67A5E" w:rsidRPr="00F475BA">
        <w:rPr>
          <w:rFonts w:ascii="Garamond" w:hAnsi="Garamond" w:cs="Calibri"/>
          <w:sz w:val="24"/>
          <w:szCs w:val="24"/>
        </w:rPr>
        <w:t>eprofilující</w:t>
      </w:r>
      <w:r w:rsidR="00891A93">
        <w:rPr>
          <w:rFonts w:ascii="Garamond" w:hAnsi="Garamond" w:cs="Calibri"/>
          <w:sz w:val="24"/>
          <w:szCs w:val="24"/>
        </w:rPr>
        <w:t xml:space="preserve"> </w:t>
      </w:r>
      <w:r w:rsidR="00B67A5E" w:rsidRPr="00F475BA">
        <w:rPr>
          <w:rFonts w:ascii="Garamond" w:hAnsi="Garamond" w:cs="Calibri"/>
          <w:sz w:val="24"/>
          <w:szCs w:val="24"/>
        </w:rPr>
        <w:t>výdaje</w:t>
      </w:r>
      <w:r w:rsidR="00891A93">
        <w:rPr>
          <w:rFonts w:ascii="Garamond" w:hAnsi="Garamond" w:cs="Calibri"/>
          <w:sz w:val="24"/>
          <w:szCs w:val="24"/>
        </w:rPr>
        <w:t xml:space="preserve"> </w:t>
      </w:r>
      <w:r w:rsidR="00F475BA">
        <w:rPr>
          <w:rFonts w:ascii="Garamond" w:hAnsi="Garamond" w:cs="Calibri"/>
          <w:sz w:val="24"/>
          <w:szCs w:val="24"/>
        </w:rPr>
        <w:t>byly</w:t>
      </w:r>
      <w:r w:rsidR="00891A93">
        <w:rPr>
          <w:rFonts w:ascii="Garamond" w:hAnsi="Garamond" w:cs="Calibri"/>
          <w:sz w:val="24"/>
          <w:szCs w:val="24"/>
        </w:rPr>
        <w:t xml:space="preserve"> </w:t>
      </w:r>
      <w:r w:rsidR="00F475BA">
        <w:rPr>
          <w:rFonts w:ascii="Garamond" w:hAnsi="Garamond" w:cs="Calibri"/>
          <w:sz w:val="24"/>
          <w:szCs w:val="24"/>
        </w:rPr>
        <w:t xml:space="preserve">zapojeny </w:t>
      </w:r>
      <w:r w:rsidR="00B67A5E" w:rsidRPr="00F475BA">
        <w:rPr>
          <w:rFonts w:ascii="Garamond" w:hAnsi="Garamond" w:cs="Calibri"/>
          <w:sz w:val="24"/>
          <w:szCs w:val="24"/>
        </w:rPr>
        <w:t>ve výši</w:t>
      </w:r>
      <w:r w:rsidR="00F475BA">
        <w:rPr>
          <w:rFonts w:ascii="Garamond" w:hAnsi="Garamond" w:cs="Calibri"/>
          <w:sz w:val="24"/>
          <w:szCs w:val="24"/>
        </w:rPr>
        <w:t xml:space="preserve"> </w:t>
      </w:r>
      <w:r w:rsidR="0071624F">
        <w:rPr>
          <w:rFonts w:ascii="Garamond" w:hAnsi="Garamond" w:cs="Calibri"/>
          <w:sz w:val="24"/>
          <w:szCs w:val="24"/>
        </w:rPr>
        <w:t>13 981,94</w:t>
      </w:r>
      <w:r w:rsidR="00A4004A">
        <w:rPr>
          <w:rFonts w:ascii="Garamond" w:hAnsi="Garamond" w:cs="Calibri"/>
          <w:sz w:val="24"/>
          <w:szCs w:val="24"/>
        </w:rPr>
        <w:t xml:space="preserve"> tis.</w:t>
      </w:r>
      <w:r w:rsidR="00EB251F">
        <w:rPr>
          <w:rFonts w:ascii="Garamond" w:hAnsi="Garamond" w:cs="Calibri"/>
          <w:sz w:val="24"/>
          <w:szCs w:val="24"/>
        </w:rPr>
        <w:t xml:space="preserve"> </w:t>
      </w:r>
      <w:r w:rsidR="00A4004A">
        <w:rPr>
          <w:rFonts w:ascii="Garamond" w:hAnsi="Garamond" w:cs="Calibri"/>
          <w:sz w:val="24"/>
          <w:szCs w:val="24"/>
        </w:rPr>
        <w:t>Kč.</w:t>
      </w:r>
      <w:r w:rsidR="0071624F">
        <w:rPr>
          <w:rFonts w:ascii="Garamond" w:hAnsi="Garamond" w:cs="Calibri"/>
          <w:sz w:val="24"/>
          <w:szCs w:val="24"/>
        </w:rPr>
        <w:t xml:space="preserve"> </w:t>
      </w:r>
      <w:r w:rsidRPr="006F408C">
        <w:rPr>
          <w:rFonts w:ascii="Garamond" w:hAnsi="Garamond" w:cs="Calibri"/>
          <w:sz w:val="24"/>
          <w:szCs w:val="24"/>
        </w:rPr>
        <w:t xml:space="preserve">Celkem bylo z nároků nespotřebovaných výdajů zapojeno </w:t>
      </w:r>
      <w:r w:rsidR="00A4004A">
        <w:rPr>
          <w:rFonts w:ascii="Garamond" w:hAnsi="Garamond" w:cs="Calibri"/>
          <w:sz w:val="24"/>
          <w:szCs w:val="24"/>
        </w:rPr>
        <w:t>2</w:t>
      </w:r>
      <w:r w:rsidR="0071624F">
        <w:rPr>
          <w:rFonts w:ascii="Garamond" w:hAnsi="Garamond" w:cs="Calibri"/>
          <w:sz w:val="24"/>
          <w:szCs w:val="24"/>
        </w:rPr>
        <w:t>1</w:t>
      </w:r>
      <w:r w:rsidR="00E61FEA">
        <w:rPr>
          <w:rFonts w:ascii="Garamond" w:hAnsi="Garamond" w:cs="Calibri"/>
          <w:sz w:val="24"/>
          <w:szCs w:val="24"/>
        </w:rPr>
        <w:t> 191,80</w:t>
      </w:r>
      <w:r w:rsidRPr="00E25341">
        <w:rPr>
          <w:rFonts w:ascii="Garamond" w:hAnsi="Garamond" w:cs="Calibri"/>
          <w:sz w:val="24"/>
          <w:szCs w:val="24"/>
        </w:rPr>
        <w:t xml:space="preserve"> tis.</w:t>
      </w:r>
      <w:r w:rsidR="00EB251F">
        <w:rPr>
          <w:rFonts w:ascii="Garamond" w:hAnsi="Garamond" w:cs="Calibri"/>
          <w:sz w:val="24"/>
          <w:szCs w:val="24"/>
        </w:rPr>
        <w:t xml:space="preserve"> </w:t>
      </w:r>
      <w:r w:rsidRPr="00E25341">
        <w:rPr>
          <w:rFonts w:ascii="Garamond" w:hAnsi="Garamond" w:cs="Calibri"/>
          <w:sz w:val="24"/>
          <w:szCs w:val="24"/>
        </w:rPr>
        <w:t>Kč.</w:t>
      </w:r>
      <w:r w:rsidRPr="006F408C">
        <w:rPr>
          <w:rFonts w:ascii="Garamond" w:hAnsi="Garamond" w:cs="Calibri"/>
          <w:b/>
          <w:bCs/>
          <w:sz w:val="24"/>
          <w:szCs w:val="24"/>
        </w:rPr>
        <w:t xml:space="preserve">   </w:t>
      </w:r>
    </w:p>
    <w:p w14:paraId="4324A9B5" w14:textId="63C4BA2A" w:rsidR="00DD136D" w:rsidRDefault="00485207" w:rsidP="00672471">
      <w:pPr>
        <w:pStyle w:val="Nadpis3"/>
        <w:spacing w:line="240" w:lineRule="auto"/>
        <w:rPr>
          <w:color w:val="548DD4" w:themeColor="text2" w:themeTint="99"/>
        </w:rPr>
      </w:pPr>
      <w:bookmarkStart w:id="22" w:name="_Toc155689657"/>
      <w:r w:rsidRPr="00DD136D">
        <w:rPr>
          <w:color w:val="548DD4" w:themeColor="text2" w:themeTint="99"/>
        </w:rPr>
        <w:t>Vázání běžných výdajů bez EDS/SMVS</w:t>
      </w:r>
      <w:bookmarkEnd w:id="22"/>
    </w:p>
    <w:p w14:paraId="0D26BCCB" w14:textId="77777777" w:rsidR="00DD136D" w:rsidRPr="00DD136D" w:rsidRDefault="00DD136D" w:rsidP="00DD136D"/>
    <w:p w14:paraId="387C0C92" w14:textId="1C8E0312" w:rsidR="00C275A2" w:rsidRDefault="00C275A2" w:rsidP="00C275A2">
      <w:pPr>
        <w:pStyle w:val="Odstavecseseznamem"/>
        <w:ind w:left="0"/>
        <w:jc w:val="both"/>
        <w:rPr>
          <w:rFonts w:ascii="Garamond" w:hAnsi="Garamond" w:cstheme="minorHAnsi"/>
          <w:sz w:val="24"/>
          <w:szCs w:val="24"/>
        </w:rPr>
      </w:pPr>
      <w:r w:rsidRPr="001112FE">
        <w:rPr>
          <w:rFonts w:ascii="Garamond" w:hAnsi="Garamond" w:cs="Calibri"/>
          <w:sz w:val="24"/>
          <w:szCs w:val="24"/>
        </w:rPr>
        <w:t>Dle novely zákona</w:t>
      </w:r>
      <w:r w:rsidRPr="001112FE">
        <w:rPr>
          <w:rFonts w:ascii="Garamond" w:hAnsi="Garamond" w:cstheme="minorHAnsi"/>
          <w:sz w:val="24"/>
          <w:szCs w:val="24"/>
        </w:rPr>
        <w:t xml:space="preserve"> ust. § 25a zákona</w:t>
      </w:r>
      <w:r w:rsidRPr="001112FE">
        <w:rPr>
          <w:rFonts w:ascii="Garamond" w:hAnsi="Garamond" w:cs="Calibri"/>
          <w:sz w:val="24"/>
          <w:szCs w:val="24"/>
        </w:rPr>
        <w:t xml:space="preserve"> č. 218/2000 Sb. o rozpočtových pravidlech, ve znění pozdějších předpisů, vznikla organizačním složkám státu od 1. ledna 2021 povinnost vázat prostředky na platy zaměstnanců</w:t>
      </w:r>
      <w:r w:rsidRPr="001112FE">
        <w:rPr>
          <w:rFonts w:ascii="Garamond" w:hAnsi="Garamond" w:cstheme="minorHAnsi"/>
          <w:sz w:val="24"/>
          <w:szCs w:val="24"/>
        </w:rPr>
        <w:t>, které odpovídají volným místům</w:t>
      </w:r>
      <w:r w:rsidRPr="001112FE">
        <w:rPr>
          <w:rFonts w:ascii="Garamond" w:hAnsi="Garamond" w:cs="Calibri"/>
          <w:sz w:val="24"/>
          <w:szCs w:val="24"/>
        </w:rPr>
        <w:t>. Z</w:t>
      </w:r>
      <w:r w:rsidRPr="001112FE">
        <w:rPr>
          <w:rFonts w:ascii="Garamond" w:hAnsi="Garamond" w:cstheme="minorHAnsi"/>
          <w:sz w:val="24"/>
          <w:szCs w:val="24"/>
        </w:rPr>
        <w:t>a období roku 202</w:t>
      </w:r>
      <w:r w:rsidR="00536A69">
        <w:rPr>
          <w:rFonts w:ascii="Garamond" w:hAnsi="Garamond" w:cstheme="minorHAnsi"/>
          <w:sz w:val="24"/>
          <w:szCs w:val="24"/>
        </w:rPr>
        <w:t>5</w:t>
      </w:r>
      <w:r w:rsidRPr="001112FE">
        <w:rPr>
          <w:rFonts w:ascii="Garamond" w:hAnsi="Garamond" w:cstheme="minorHAnsi"/>
          <w:sz w:val="24"/>
          <w:szCs w:val="24"/>
        </w:rPr>
        <w:t xml:space="preserve"> zdejší krajský soud vázal</w:t>
      </w:r>
      <w:r w:rsidR="00FE1BB5" w:rsidRPr="001112FE">
        <w:rPr>
          <w:rFonts w:ascii="Garamond" w:hAnsi="Garamond" w:cstheme="minorHAnsi"/>
          <w:sz w:val="24"/>
          <w:szCs w:val="24"/>
        </w:rPr>
        <w:t xml:space="preserve"> prostředky ve výši </w:t>
      </w:r>
      <w:r w:rsidR="00A97C74">
        <w:rPr>
          <w:rFonts w:ascii="Garamond" w:hAnsi="Garamond" w:cstheme="minorHAnsi"/>
          <w:sz w:val="24"/>
          <w:szCs w:val="24"/>
        </w:rPr>
        <w:t>280,87</w:t>
      </w:r>
      <w:r w:rsidR="00FE1BB5" w:rsidRPr="001112FE">
        <w:rPr>
          <w:rFonts w:ascii="Garamond" w:hAnsi="Garamond" w:cstheme="minorHAnsi"/>
          <w:sz w:val="24"/>
          <w:szCs w:val="24"/>
        </w:rPr>
        <w:t xml:space="preserve"> tis. Kč</w:t>
      </w:r>
      <w:r w:rsidR="00A97C74">
        <w:rPr>
          <w:rFonts w:ascii="Garamond" w:hAnsi="Garamond" w:cstheme="minorHAnsi"/>
          <w:sz w:val="24"/>
          <w:szCs w:val="24"/>
        </w:rPr>
        <w:t>, které byly následně na pokyn MS</w:t>
      </w:r>
      <w:r w:rsidR="00B44A3D">
        <w:rPr>
          <w:rFonts w:ascii="Garamond" w:hAnsi="Garamond" w:cstheme="minorHAnsi"/>
          <w:sz w:val="24"/>
          <w:szCs w:val="24"/>
        </w:rPr>
        <w:t>P</w:t>
      </w:r>
      <w:r w:rsidR="00A97C74">
        <w:rPr>
          <w:rFonts w:ascii="Garamond" w:hAnsi="Garamond" w:cstheme="minorHAnsi"/>
          <w:sz w:val="24"/>
          <w:szCs w:val="24"/>
        </w:rPr>
        <w:t xml:space="preserve"> ze dne 31.10.2025 s A-hlavičkou </w:t>
      </w:r>
      <w:r w:rsidR="000A74E4">
        <w:rPr>
          <w:rFonts w:ascii="Garamond" w:hAnsi="Garamond" w:cstheme="minorHAnsi"/>
          <w:sz w:val="24"/>
          <w:szCs w:val="24"/>
        </w:rPr>
        <w:t xml:space="preserve">č.1000001650 rozvázány a zapojeny na </w:t>
      </w:r>
      <w:proofErr w:type="gramStart"/>
      <w:r w:rsidR="000A74E4">
        <w:rPr>
          <w:rFonts w:ascii="Garamond" w:hAnsi="Garamond" w:cstheme="minorHAnsi"/>
          <w:sz w:val="24"/>
          <w:szCs w:val="24"/>
        </w:rPr>
        <w:t>úhrady  OVV</w:t>
      </w:r>
      <w:proofErr w:type="gramEnd"/>
      <w:r w:rsidR="000A74E4">
        <w:rPr>
          <w:rFonts w:ascii="Garamond" w:hAnsi="Garamond" w:cstheme="minorHAnsi"/>
          <w:sz w:val="24"/>
          <w:szCs w:val="24"/>
        </w:rPr>
        <w:t xml:space="preserve"> - mandatorní výdaje</w:t>
      </w:r>
      <w:r w:rsidRPr="001112FE">
        <w:rPr>
          <w:rFonts w:ascii="Garamond" w:hAnsi="Garamond" w:cstheme="minorHAnsi"/>
          <w:sz w:val="24"/>
          <w:szCs w:val="24"/>
        </w:rPr>
        <w:t xml:space="preserve">. </w:t>
      </w:r>
    </w:p>
    <w:p w14:paraId="3C3C95FF" w14:textId="77777777" w:rsidR="00CB09C7" w:rsidRPr="001112FE" w:rsidRDefault="00CB09C7" w:rsidP="00C275A2">
      <w:pPr>
        <w:pStyle w:val="Odstavecseseznamem"/>
        <w:ind w:left="0"/>
        <w:jc w:val="both"/>
        <w:rPr>
          <w:rFonts w:ascii="Garamond" w:hAnsi="Garamond" w:cs="Calibri"/>
          <w:sz w:val="24"/>
          <w:szCs w:val="24"/>
        </w:rPr>
      </w:pPr>
    </w:p>
    <w:p w14:paraId="3F5377EF" w14:textId="0F5DEA44" w:rsidR="00E863D5" w:rsidRPr="000E2518" w:rsidRDefault="00E863D5" w:rsidP="004F43EF">
      <w:pPr>
        <w:pStyle w:val="Nadpis3"/>
        <w:rPr>
          <w:color w:val="548DD4" w:themeColor="text2" w:themeTint="99"/>
        </w:rPr>
      </w:pPr>
      <w:bookmarkStart w:id="23" w:name="_Toc155689658"/>
      <w:r w:rsidRPr="000E2518">
        <w:rPr>
          <w:color w:val="548DD4" w:themeColor="text2" w:themeTint="99"/>
        </w:rPr>
        <w:t>Mimorozpočtové zdroje</w:t>
      </w:r>
      <w:bookmarkEnd w:id="23"/>
    </w:p>
    <w:p w14:paraId="3DAA8B18" w14:textId="5282A61B" w:rsidR="00A4004A" w:rsidRDefault="00FE1BB5" w:rsidP="00FE1BB5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44BCFAF4" w14:textId="77777777" w:rsidR="00DD136D" w:rsidRDefault="00DD136D" w:rsidP="00FE1BB5">
      <w:pPr>
        <w:pStyle w:val="Garamond12"/>
        <w:rPr>
          <w:rFonts w:cstheme="minorHAnsi"/>
        </w:rPr>
      </w:pPr>
    </w:p>
    <w:p w14:paraId="49246B69" w14:textId="6E79A94C" w:rsidR="005C271A" w:rsidRPr="005C271A" w:rsidRDefault="007965F4" w:rsidP="00C943BD">
      <w:pPr>
        <w:pStyle w:val="Nadpis2"/>
      </w:pPr>
      <w:bookmarkStart w:id="24" w:name="_Toc534878024"/>
      <w:bookmarkStart w:id="25" w:name="_Toc155689659"/>
      <w:r w:rsidRPr="005C271A">
        <w:rPr>
          <w:color w:val="548DD4" w:themeColor="text2" w:themeTint="99"/>
        </w:rPr>
        <w:lastRenderedPageBreak/>
        <w:t>Rozbor zaměstnanosti a čerpání mzdových prostředků</w:t>
      </w:r>
      <w:bookmarkEnd w:id="24"/>
      <w:bookmarkEnd w:id="25"/>
    </w:p>
    <w:p w14:paraId="78932419" w14:textId="77777777" w:rsidR="006E3977" w:rsidRPr="000E2518" w:rsidRDefault="006E3977" w:rsidP="006E3977">
      <w:pPr>
        <w:rPr>
          <w:color w:val="548DD4" w:themeColor="text2" w:themeTint="99"/>
        </w:rPr>
      </w:pPr>
    </w:p>
    <w:p w14:paraId="48A9EDA4" w14:textId="3FDCD622" w:rsidR="007965F4" w:rsidRPr="000E2518" w:rsidRDefault="007965F4" w:rsidP="00A84734">
      <w:pPr>
        <w:pStyle w:val="Odstavecseseznamem"/>
        <w:numPr>
          <w:ilvl w:val="0"/>
          <w:numId w:val="4"/>
        </w:numPr>
        <w:spacing w:after="0"/>
        <w:ind w:left="714" w:hanging="357"/>
        <w:rPr>
          <w:b/>
          <w:color w:val="548DD4" w:themeColor="text2" w:themeTint="99"/>
        </w:rPr>
      </w:pPr>
      <w:r w:rsidRPr="000E2518">
        <w:rPr>
          <w:b/>
          <w:color w:val="548DD4" w:themeColor="text2" w:themeTint="99"/>
        </w:rPr>
        <w:t>Prostředky na platy a ostatní platby za provedenou práci (podseskupení 501 + 502)</w:t>
      </w:r>
    </w:p>
    <w:p w14:paraId="160FA45B" w14:textId="77777777" w:rsidR="006E3977" w:rsidRPr="000E2518" w:rsidRDefault="006E3977" w:rsidP="006E3977">
      <w:pPr>
        <w:pStyle w:val="Odstavecseseznamem"/>
        <w:spacing w:after="0"/>
        <w:ind w:left="714"/>
        <w:rPr>
          <w:b/>
          <w:color w:val="548DD4" w:themeColor="text2" w:themeTint="99"/>
        </w:rPr>
      </w:pPr>
    </w:p>
    <w:p w14:paraId="2CAF7881" w14:textId="1CD920C3" w:rsidR="008B2FE1" w:rsidRPr="00C958D4" w:rsidRDefault="00F40431" w:rsidP="008B2FE1">
      <w:pPr>
        <w:pStyle w:val="Zkladntext"/>
        <w:spacing w:after="0"/>
        <w:jc w:val="both"/>
        <w:rPr>
          <w:rFonts w:ascii="Garamond" w:hAnsi="Garamond" w:cstheme="minorHAnsi"/>
          <w:sz w:val="24"/>
          <w:szCs w:val="24"/>
        </w:rPr>
      </w:pPr>
      <w:r w:rsidRPr="00BF1A3D">
        <w:rPr>
          <w:rFonts w:ascii="Garamond" w:hAnsi="Garamond"/>
          <w:sz w:val="24"/>
          <w:szCs w:val="24"/>
        </w:rPr>
        <w:t xml:space="preserve">Krajský soud </w:t>
      </w:r>
      <w:r w:rsidR="002C63B1" w:rsidRPr="00BF1A3D">
        <w:rPr>
          <w:rFonts w:ascii="Garamond" w:hAnsi="Garamond"/>
          <w:sz w:val="24"/>
          <w:szCs w:val="24"/>
        </w:rPr>
        <w:t>měl</w:t>
      </w:r>
      <w:r w:rsidRPr="00BF1A3D">
        <w:rPr>
          <w:rFonts w:ascii="Garamond" w:hAnsi="Garamond"/>
          <w:sz w:val="24"/>
          <w:szCs w:val="24"/>
        </w:rPr>
        <w:t xml:space="preserve"> rozpisem rozpočtu pro hodnocený rok stanov</w:t>
      </w:r>
      <w:r w:rsidR="002C63B1" w:rsidRPr="00BF1A3D">
        <w:rPr>
          <w:rFonts w:ascii="Garamond" w:hAnsi="Garamond"/>
          <w:sz w:val="24"/>
          <w:szCs w:val="24"/>
        </w:rPr>
        <w:t xml:space="preserve">ený objem </w:t>
      </w:r>
      <w:r w:rsidRPr="00BF1A3D">
        <w:rPr>
          <w:rFonts w:ascii="Garamond" w:hAnsi="Garamond"/>
          <w:sz w:val="24"/>
          <w:szCs w:val="24"/>
        </w:rPr>
        <w:t xml:space="preserve">mzdových prostředků </w:t>
      </w:r>
      <w:r w:rsidR="00BF1A3D">
        <w:rPr>
          <w:rFonts w:ascii="Garamond" w:hAnsi="Garamond"/>
          <w:sz w:val="24"/>
          <w:szCs w:val="24"/>
        </w:rPr>
        <w:t>ve výši 1</w:t>
      </w:r>
      <w:r w:rsidR="00D025CD">
        <w:rPr>
          <w:rFonts w:ascii="Garamond" w:hAnsi="Garamond"/>
          <w:sz w:val="24"/>
          <w:szCs w:val="24"/>
        </w:rPr>
        <w:t>88 042,68</w:t>
      </w:r>
      <w:r w:rsidRPr="00BF1A3D">
        <w:rPr>
          <w:rFonts w:ascii="Garamond" w:hAnsi="Garamond"/>
          <w:sz w:val="24"/>
          <w:szCs w:val="24"/>
        </w:rPr>
        <w:t xml:space="preserve"> tis</w:t>
      </w:r>
      <w:r w:rsidR="00223A54" w:rsidRPr="00BF1A3D">
        <w:rPr>
          <w:rFonts w:ascii="Garamond" w:hAnsi="Garamond"/>
          <w:sz w:val="24"/>
          <w:szCs w:val="24"/>
        </w:rPr>
        <w:t>.</w:t>
      </w:r>
      <w:r w:rsidR="00C81B7B">
        <w:rPr>
          <w:rFonts w:ascii="Garamond" w:hAnsi="Garamond"/>
          <w:sz w:val="24"/>
          <w:szCs w:val="24"/>
        </w:rPr>
        <w:t xml:space="preserve"> </w:t>
      </w:r>
      <w:r w:rsidRPr="00BF1A3D">
        <w:rPr>
          <w:rFonts w:ascii="Garamond" w:hAnsi="Garamond"/>
          <w:sz w:val="24"/>
          <w:szCs w:val="24"/>
        </w:rPr>
        <w:t>Kč</w:t>
      </w:r>
      <w:r w:rsidR="00AA012F">
        <w:rPr>
          <w:rFonts w:ascii="Garamond" w:hAnsi="Garamond"/>
          <w:sz w:val="24"/>
          <w:szCs w:val="24"/>
        </w:rPr>
        <w:t>. V</w:t>
      </w:r>
      <w:r w:rsidRPr="00BF1A3D">
        <w:rPr>
          <w:rFonts w:ascii="Garamond" w:hAnsi="Garamond"/>
          <w:sz w:val="24"/>
          <w:szCs w:val="24"/>
        </w:rPr>
        <w:t xml:space="preserve"> průběhu roku </w:t>
      </w:r>
      <w:r w:rsidR="00C90074">
        <w:rPr>
          <w:rFonts w:ascii="Garamond" w:hAnsi="Garamond"/>
          <w:sz w:val="24"/>
          <w:szCs w:val="24"/>
        </w:rPr>
        <w:t xml:space="preserve">se </w:t>
      </w:r>
      <w:r w:rsidRPr="00BF1A3D">
        <w:rPr>
          <w:rFonts w:ascii="Garamond" w:hAnsi="Garamond"/>
          <w:sz w:val="24"/>
          <w:szCs w:val="24"/>
        </w:rPr>
        <w:t>rozpočtovými opatřeními</w:t>
      </w:r>
      <w:r w:rsidR="00E25341">
        <w:rPr>
          <w:rFonts w:ascii="Garamond" w:hAnsi="Garamond"/>
          <w:sz w:val="24"/>
          <w:szCs w:val="24"/>
        </w:rPr>
        <w:t xml:space="preserve"> </w:t>
      </w:r>
      <w:r w:rsidRPr="00BF1A3D">
        <w:rPr>
          <w:rFonts w:ascii="Garamond" w:hAnsi="Garamond"/>
          <w:sz w:val="24"/>
          <w:szCs w:val="24"/>
        </w:rPr>
        <w:t xml:space="preserve">upravil rozpočet použitelných mzdových prostředků na částku </w:t>
      </w:r>
      <w:r w:rsidR="00D025CD">
        <w:rPr>
          <w:rFonts w:ascii="Garamond" w:hAnsi="Garamond"/>
          <w:sz w:val="24"/>
          <w:szCs w:val="24"/>
        </w:rPr>
        <w:t xml:space="preserve">203 838,73 </w:t>
      </w:r>
      <w:r w:rsidRPr="00BF1A3D">
        <w:rPr>
          <w:rFonts w:ascii="Garamond" w:hAnsi="Garamond"/>
          <w:sz w:val="24"/>
          <w:szCs w:val="24"/>
        </w:rPr>
        <w:t>ti</w:t>
      </w:r>
      <w:r w:rsidR="00F8172D">
        <w:rPr>
          <w:rFonts w:ascii="Garamond" w:hAnsi="Garamond"/>
          <w:sz w:val="24"/>
          <w:szCs w:val="24"/>
        </w:rPr>
        <w:t>s.</w:t>
      </w:r>
      <w:r w:rsidRPr="00BF1A3D">
        <w:rPr>
          <w:rFonts w:ascii="Garamond" w:hAnsi="Garamond"/>
          <w:sz w:val="24"/>
          <w:szCs w:val="24"/>
        </w:rPr>
        <w:t xml:space="preserve"> Kč.</w:t>
      </w:r>
      <w:r w:rsidR="00BF1A3D">
        <w:rPr>
          <w:rFonts w:ascii="Garamond" w:hAnsi="Garamond"/>
          <w:sz w:val="24"/>
          <w:szCs w:val="24"/>
        </w:rPr>
        <w:t xml:space="preserve"> </w:t>
      </w:r>
      <w:r w:rsidRPr="00BF1A3D">
        <w:rPr>
          <w:rFonts w:ascii="Garamond" w:hAnsi="Garamond"/>
          <w:sz w:val="24"/>
          <w:szCs w:val="24"/>
        </w:rPr>
        <w:t xml:space="preserve">Na základě pokynu </w:t>
      </w:r>
      <w:r w:rsidR="002C63B1" w:rsidRPr="00BF1A3D">
        <w:rPr>
          <w:rFonts w:ascii="Garamond" w:hAnsi="Garamond"/>
          <w:sz w:val="24"/>
          <w:szCs w:val="24"/>
        </w:rPr>
        <w:t>z MS</w:t>
      </w:r>
      <w:r w:rsidR="00C81B7B">
        <w:rPr>
          <w:rFonts w:ascii="Garamond" w:hAnsi="Garamond"/>
          <w:sz w:val="24"/>
          <w:szCs w:val="24"/>
        </w:rPr>
        <w:t>P</w:t>
      </w:r>
      <w:r w:rsidRPr="00BF1A3D">
        <w:rPr>
          <w:rFonts w:ascii="Garamond" w:hAnsi="Garamond"/>
          <w:sz w:val="24"/>
          <w:szCs w:val="24"/>
        </w:rPr>
        <w:t xml:space="preserve"> bylo povoleno překročení čerpání rozpočtu</w:t>
      </w:r>
      <w:r w:rsidR="00AA012F">
        <w:rPr>
          <w:rFonts w:ascii="Garamond" w:hAnsi="Garamond"/>
          <w:sz w:val="24"/>
          <w:szCs w:val="24"/>
        </w:rPr>
        <w:t xml:space="preserve"> </w:t>
      </w:r>
      <w:r w:rsidRPr="00BF1A3D">
        <w:rPr>
          <w:rFonts w:ascii="Garamond" w:hAnsi="Garamond"/>
          <w:sz w:val="24"/>
          <w:szCs w:val="24"/>
        </w:rPr>
        <w:t>na</w:t>
      </w:r>
      <w:r w:rsidR="00AA012F">
        <w:rPr>
          <w:rFonts w:ascii="Garamond" w:hAnsi="Garamond"/>
          <w:sz w:val="24"/>
          <w:szCs w:val="24"/>
        </w:rPr>
        <w:t xml:space="preserve"> </w:t>
      </w:r>
      <w:r w:rsidRPr="00BF1A3D">
        <w:rPr>
          <w:rFonts w:ascii="Garamond" w:hAnsi="Garamond"/>
          <w:sz w:val="24"/>
          <w:szCs w:val="24"/>
        </w:rPr>
        <w:t>položce</w:t>
      </w:r>
      <w:r w:rsidR="00AA012F">
        <w:rPr>
          <w:rFonts w:ascii="Garamond" w:hAnsi="Garamond"/>
          <w:sz w:val="24"/>
          <w:szCs w:val="24"/>
        </w:rPr>
        <w:t xml:space="preserve"> </w:t>
      </w:r>
      <w:r w:rsidRPr="00BF1A3D">
        <w:rPr>
          <w:rFonts w:ascii="Garamond" w:hAnsi="Garamond"/>
          <w:sz w:val="24"/>
          <w:szCs w:val="24"/>
        </w:rPr>
        <w:t>5022</w:t>
      </w:r>
      <w:r w:rsidR="00AA012F">
        <w:rPr>
          <w:rFonts w:ascii="Garamond" w:hAnsi="Garamond"/>
          <w:sz w:val="24"/>
          <w:szCs w:val="24"/>
        </w:rPr>
        <w:t xml:space="preserve"> </w:t>
      </w:r>
      <w:r w:rsidR="000F6B8B">
        <w:rPr>
          <w:rFonts w:ascii="Garamond" w:hAnsi="Garamond"/>
          <w:sz w:val="24"/>
          <w:szCs w:val="24"/>
        </w:rPr>
        <w:t>-</w:t>
      </w:r>
      <w:r w:rsidR="00AA012F">
        <w:rPr>
          <w:rFonts w:ascii="Garamond" w:hAnsi="Garamond"/>
          <w:sz w:val="24"/>
          <w:szCs w:val="24"/>
        </w:rPr>
        <w:t xml:space="preserve"> </w:t>
      </w:r>
      <w:r w:rsidRPr="00BF1A3D">
        <w:rPr>
          <w:rFonts w:ascii="Garamond" w:hAnsi="Garamond"/>
          <w:sz w:val="24"/>
          <w:szCs w:val="24"/>
        </w:rPr>
        <w:t>Platy</w:t>
      </w:r>
      <w:r w:rsidR="00AA012F">
        <w:rPr>
          <w:rFonts w:ascii="Garamond" w:hAnsi="Garamond"/>
          <w:sz w:val="24"/>
          <w:szCs w:val="24"/>
        </w:rPr>
        <w:t xml:space="preserve"> </w:t>
      </w:r>
      <w:r w:rsidRPr="00BF1A3D">
        <w:rPr>
          <w:rFonts w:ascii="Garamond" w:hAnsi="Garamond"/>
          <w:sz w:val="24"/>
          <w:szCs w:val="24"/>
        </w:rPr>
        <w:t>představitelů</w:t>
      </w:r>
      <w:r w:rsidR="00AA012F">
        <w:rPr>
          <w:rFonts w:ascii="Garamond" w:hAnsi="Garamond"/>
          <w:sz w:val="24"/>
          <w:szCs w:val="24"/>
        </w:rPr>
        <w:t xml:space="preserve"> </w:t>
      </w:r>
      <w:r w:rsidRPr="00BF1A3D">
        <w:rPr>
          <w:rFonts w:ascii="Garamond" w:hAnsi="Garamond"/>
          <w:sz w:val="24"/>
          <w:szCs w:val="24"/>
        </w:rPr>
        <w:t>státní</w:t>
      </w:r>
      <w:r w:rsidR="00AA012F">
        <w:rPr>
          <w:rFonts w:ascii="Garamond" w:hAnsi="Garamond"/>
          <w:sz w:val="24"/>
          <w:szCs w:val="24"/>
        </w:rPr>
        <w:t xml:space="preserve"> </w:t>
      </w:r>
      <w:r w:rsidRPr="00BF1A3D">
        <w:rPr>
          <w:rFonts w:ascii="Garamond" w:hAnsi="Garamond"/>
          <w:sz w:val="24"/>
          <w:szCs w:val="24"/>
        </w:rPr>
        <w:t>moci</w:t>
      </w:r>
      <w:r w:rsidR="00CB5D17">
        <w:rPr>
          <w:rFonts w:ascii="Garamond" w:hAnsi="Garamond"/>
          <w:sz w:val="24"/>
          <w:szCs w:val="24"/>
        </w:rPr>
        <w:t>,</w:t>
      </w:r>
      <w:r w:rsidR="00AA012F">
        <w:rPr>
          <w:rFonts w:ascii="Garamond" w:hAnsi="Garamond"/>
          <w:sz w:val="24"/>
          <w:szCs w:val="24"/>
        </w:rPr>
        <w:t xml:space="preserve"> </w:t>
      </w:r>
      <w:r w:rsidR="00CB5D17">
        <w:rPr>
          <w:rFonts w:ascii="Garamond" w:hAnsi="Garamond"/>
          <w:sz w:val="24"/>
          <w:szCs w:val="24"/>
        </w:rPr>
        <w:t>5029</w:t>
      </w:r>
      <w:r w:rsidR="00AA012F">
        <w:rPr>
          <w:rFonts w:ascii="Garamond" w:hAnsi="Garamond"/>
          <w:sz w:val="24"/>
          <w:szCs w:val="24"/>
        </w:rPr>
        <w:t xml:space="preserve"> </w:t>
      </w:r>
      <w:r w:rsidR="0076338F">
        <w:rPr>
          <w:rFonts w:ascii="Garamond" w:hAnsi="Garamond"/>
          <w:sz w:val="24"/>
          <w:szCs w:val="24"/>
        </w:rPr>
        <w:t>-</w:t>
      </w:r>
      <w:r w:rsidR="00AA012F">
        <w:rPr>
          <w:rFonts w:ascii="Garamond" w:hAnsi="Garamond"/>
          <w:sz w:val="24"/>
          <w:szCs w:val="24"/>
        </w:rPr>
        <w:t xml:space="preserve"> </w:t>
      </w:r>
      <w:r w:rsidR="00CB5D17">
        <w:rPr>
          <w:rFonts w:ascii="Garamond" w:hAnsi="Garamond"/>
          <w:sz w:val="24"/>
          <w:szCs w:val="24"/>
        </w:rPr>
        <w:t xml:space="preserve">OPZPP </w:t>
      </w:r>
      <w:r w:rsidR="006E3977">
        <w:rPr>
          <w:rFonts w:ascii="Garamond" w:hAnsi="Garamond"/>
          <w:sz w:val="24"/>
          <w:szCs w:val="24"/>
        </w:rPr>
        <w:t xml:space="preserve">celkem </w:t>
      </w:r>
      <w:r w:rsidR="002C63B1" w:rsidRPr="00BF1A3D">
        <w:rPr>
          <w:rFonts w:ascii="Garamond" w:hAnsi="Garamond"/>
          <w:sz w:val="24"/>
          <w:szCs w:val="24"/>
        </w:rPr>
        <w:t xml:space="preserve">ve výši </w:t>
      </w:r>
      <w:r w:rsidR="00D025CD">
        <w:rPr>
          <w:rFonts w:ascii="Garamond" w:hAnsi="Garamond"/>
          <w:sz w:val="24"/>
          <w:szCs w:val="24"/>
        </w:rPr>
        <w:t>663,52</w:t>
      </w:r>
      <w:r w:rsidR="002C63B1" w:rsidRPr="00BF1A3D">
        <w:rPr>
          <w:rFonts w:ascii="Garamond" w:hAnsi="Garamond"/>
          <w:sz w:val="24"/>
          <w:szCs w:val="24"/>
        </w:rPr>
        <w:t xml:space="preserve"> tis. Kč včetně odvodů SP+ZP+FKSP</w:t>
      </w:r>
      <w:r w:rsidR="00223A54" w:rsidRPr="00BF1A3D">
        <w:rPr>
          <w:rFonts w:ascii="Garamond" w:hAnsi="Garamond"/>
          <w:sz w:val="24"/>
          <w:szCs w:val="24"/>
        </w:rPr>
        <w:t>.</w:t>
      </w:r>
      <w:r w:rsidR="00895FA0">
        <w:rPr>
          <w:rFonts w:ascii="Garamond" w:hAnsi="Garamond" w:cstheme="minorHAnsi"/>
          <w:sz w:val="24"/>
          <w:szCs w:val="24"/>
        </w:rPr>
        <w:t xml:space="preserve"> V souvislosti s </w:t>
      </w:r>
      <w:proofErr w:type="gramStart"/>
      <w:r w:rsidR="00895FA0">
        <w:rPr>
          <w:rFonts w:ascii="Garamond" w:hAnsi="Garamond" w:cstheme="minorHAnsi"/>
          <w:sz w:val="24"/>
          <w:szCs w:val="24"/>
        </w:rPr>
        <w:t>nálezem  Ústavního</w:t>
      </w:r>
      <w:proofErr w:type="gramEnd"/>
      <w:r w:rsidR="00895FA0">
        <w:rPr>
          <w:rFonts w:ascii="Garamond" w:hAnsi="Garamond" w:cstheme="minorHAnsi"/>
          <w:sz w:val="24"/>
          <w:szCs w:val="24"/>
        </w:rPr>
        <w:t xml:space="preserve"> soudu PI.</w:t>
      </w:r>
      <w:r w:rsidR="000F6B8B">
        <w:rPr>
          <w:rFonts w:ascii="Garamond" w:hAnsi="Garamond" w:cstheme="minorHAnsi"/>
          <w:sz w:val="24"/>
          <w:szCs w:val="24"/>
        </w:rPr>
        <w:t xml:space="preserve"> </w:t>
      </w:r>
      <w:r w:rsidR="00895FA0">
        <w:rPr>
          <w:rFonts w:ascii="Garamond" w:hAnsi="Garamond" w:cstheme="minorHAnsi"/>
          <w:sz w:val="24"/>
          <w:szCs w:val="24"/>
        </w:rPr>
        <w:t>US 19/25 z 1.10.2025</w:t>
      </w:r>
      <w:r w:rsidR="00992B20">
        <w:rPr>
          <w:rFonts w:ascii="Garamond" w:hAnsi="Garamond" w:cstheme="minorHAnsi"/>
          <w:sz w:val="24"/>
          <w:szCs w:val="24"/>
        </w:rPr>
        <w:t xml:space="preserve"> </w:t>
      </w:r>
      <w:r w:rsidR="00895FA0">
        <w:rPr>
          <w:rFonts w:ascii="Garamond" w:hAnsi="Garamond" w:cstheme="minorHAnsi"/>
          <w:sz w:val="24"/>
          <w:szCs w:val="24"/>
        </w:rPr>
        <w:t>byly rozpočtovým opatřením dne 4.12.2025 zaslány prostředky doplatky  na platy soudců pro rok 2025</w:t>
      </w:r>
      <w:r w:rsidR="00992B20">
        <w:rPr>
          <w:rFonts w:ascii="Garamond" w:hAnsi="Garamond" w:cstheme="minorHAnsi"/>
          <w:sz w:val="24"/>
          <w:szCs w:val="24"/>
        </w:rPr>
        <w:t>. Tyto byly zaslány s</w:t>
      </w:r>
      <w:r w:rsidR="00895FA0">
        <w:rPr>
          <w:rFonts w:ascii="Garamond" w:hAnsi="Garamond" w:cstheme="minorHAnsi"/>
          <w:sz w:val="24"/>
          <w:szCs w:val="24"/>
        </w:rPr>
        <w:t xml:space="preserve"> kódem účelu 243980097</w:t>
      </w:r>
      <w:r w:rsidR="00992B20">
        <w:rPr>
          <w:rFonts w:ascii="Garamond" w:hAnsi="Garamond" w:cstheme="minorHAnsi"/>
          <w:sz w:val="24"/>
          <w:szCs w:val="24"/>
        </w:rPr>
        <w:t xml:space="preserve"> ve </w:t>
      </w:r>
      <w:proofErr w:type="gramStart"/>
      <w:r w:rsidR="00992B20">
        <w:rPr>
          <w:rFonts w:ascii="Garamond" w:hAnsi="Garamond" w:cstheme="minorHAnsi"/>
          <w:sz w:val="24"/>
          <w:szCs w:val="24"/>
        </w:rPr>
        <w:t>výši</w:t>
      </w:r>
      <w:proofErr w:type="gramEnd"/>
      <w:r w:rsidR="00992B20">
        <w:rPr>
          <w:rFonts w:ascii="Garamond" w:hAnsi="Garamond" w:cstheme="minorHAnsi"/>
          <w:sz w:val="24"/>
          <w:szCs w:val="24"/>
        </w:rPr>
        <w:t xml:space="preserve"> aby plně pokryla </w:t>
      </w:r>
      <w:r w:rsidR="000F6B8B">
        <w:rPr>
          <w:rFonts w:ascii="Garamond" w:hAnsi="Garamond" w:cstheme="minorHAnsi"/>
          <w:sz w:val="24"/>
          <w:szCs w:val="24"/>
        </w:rPr>
        <w:t xml:space="preserve">tyto </w:t>
      </w:r>
      <w:r w:rsidR="00992B20">
        <w:rPr>
          <w:rFonts w:ascii="Garamond" w:hAnsi="Garamond" w:cstheme="minorHAnsi"/>
          <w:sz w:val="24"/>
          <w:szCs w:val="24"/>
        </w:rPr>
        <w:t>předpokládané výdaj</w:t>
      </w:r>
      <w:r w:rsidR="000F6B8B">
        <w:rPr>
          <w:rFonts w:ascii="Garamond" w:hAnsi="Garamond" w:cstheme="minorHAnsi"/>
          <w:sz w:val="24"/>
          <w:szCs w:val="24"/>
        </w:rPr>
        <w:t>e</w:t>
      </w:r>
      <w:r w:rsidR="00992B20">
        <w:rPr>
          <w:rFonts w:ascii="Garamond" w:hAnsi="Garamond" w:cstheme="minorHAnsi"/>
          <w:sz w:val="24"/>
          <w:szCs w:val="24"/>
        </w:rPr>
        <w:t>.</w:t>
      </w:r>
      <w:r w:rsidR="00895FA0">
        <w:rPr>
          <w:rFonts w:ascii="Garamond" w:hAnsi="Garamond" w:cstheme="minorHAnsi"/>
          <w:sz w:val="24"/>
          <w:szCs w:val="24"/>
        </w:rPr>
        <w:t xml:space="preserve"> </w:t>
      </w:r>
    </w:p>
    <w:p w14:paraId="23371D8F" w14:textId="62AEA8BB" w:rsidR="00F40431" w:rsidRDefault="00F40431" w:rsidP="00223A54">
      <w:pPr>
        <w:pStyle w:val="Zkladntext"/>
        <w:jc w:val="both"/>
        <w:rPr>
          <w:rFonts w:ascii="Garamond" w:hAnsi="Garamond"/>
          <w:sz w:val="24"/>
          <w:szCs w:val="24"/>
        </w:rPr>
      </w:pPr>
    </w:p>
    <w:p w14:paraId="13F63432" w14:textId="77777777" w:rsidR="00DD136D" w:rsidRPr="00BF1A3D" w:rsidRDefault="00DD136D" w:rsidP="00223A54">
      <w:pPr>
        <w:pStyle w:val="Zkladntext"/>
        <w:jc w:val="both"/>
        <w:rPr>
          <w:b/>
        </w:rPr>
      </w:pPr>
    </w:p>
    <w:p w14:paraId="5C5D683F" w14:textId="7120EDE7" w:rsidR="007965F4" w:rsidRPr="000E2518" w:rsidRDefault="00693BB0" w:rsidP="00A84734">
      <w:pPr>
        <w:pStyle w:val="Odstavecseseznamem"/>
        <w:numPr>
          <w:ilvl w:val="0"/>
          <w:numId w:val="4"/>
        </w:numPr>
        <w:spacing w:before="120" w:after="120"/>
        <w:rPr>
          <w:b/>
          <w:color w:val="548DD4" w:themeColor="text2" w:themeTint="99"/>
        </w:rPr>
      </w:pPr>
      <w:r w:rsidRPr="000E2518">
        <w:rPr>
          <w:b/>
          <w:color w:val="548DD4" w:themeColor="text2" w:themeTint="99"/>
        </w:rPr>
        <w:t>R</w:t>
      </w:r>
      <w:r w:rsidR="007965F4" w:rsidRPr="000E2518">
        <w:rPr>
          <w:b/>
          <w:color w:val="548DD4" w:themeColor="text2" w:themeTint="99"/>
        </w:rPr>
        <w:t>ozbor zaměstnaností</w:t>
      </w:r>
    </w:p>
    <w:p w14:paraId="1753B5A0" w14:textId="77777777" w:rsidR="006E3977" w:rsidRPr="00915E35" w:rsidRDefault="006E3977" w:rsidP="006E3977">
      <w:pPr>
        <w:pStyle w:val="Odstavecseseznamem"/>
        <w:spacing w:before="120" w:after="120"/>
        <w:rPr>
          <w:b/>
        </w:rPr>
      </w:pPr>
    </w:p>
    <w:p w14:paraId="2840962C" w14:textId="675B14D1" w:rsidR="00F40431" w:rsidRPr="00223A54" w:rsidRDefault="00F40431" w:rsidP="00F40431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223A54">
        <w:rPr>
          <w:rFonts w:ascii="Garamond" w:hAnsi="Garamond"/>
          <w:sz w:val="24"/>
          <w:szCs w:val="24"/>
        </w:rPr>
        <w:t xml:space="preserve">Dne </w:t>
      </w:r>
      <w:r w:rsidR="009E6637">
        <w:rPr>
          <w:rFonts w:ascii="Garamond" w:hAnsi="Garamond"/>
          <w:sz w:val="24"/>
          <w:szCs w:val="24"/>
        </w:rPr>
        <w:t>3. prosince</w:t>
      </w:r>
      <w:r w:rsidR="00CB7478">
        <w:rPr>
          <w:rFonts w:ascii="Garamond" w:hAnsi="Garamond"/>
          <w:sz w:val="24"/>
          <w:szCs w:val="24"/>
        </w:rPr>
        <w:t xml:space="preserve"> </w:t>
      </w:r>
      <w:r w:rsidRPr="00223A54">
        <w:rPr>
          <w:rFonts w:ascii="Garamond" w:hAnsi="Garamond"/>
          <w:sz w:val="24"/>
          <w:szCs w:val="24"/>
        </w:rPr>
        <w:t>202</w:t>
      </w:r>
      <w:r w:rsidR="009E6637">
        <w:rPr>
          <w:rFonts w:ascii="Garamond" w:hAnsi="Garamond"/>
          <w:sz w:val="24"/>
          <w:szCs w:val="24"/>
        </w:rPr>
        <w:t>4</w:t>
      </w:r>
      <w:r w:rsidRPr="00223A54">
        <w:rPr>
          <w:rFonts w:ascii="Garamond" w:hAnsi="Garamond"/>
          <w:sz w:val="24"/>
          <w:szCs w:val="24"/>
        </w:rPr>
        <w:t xml:space="preserve"> schválila Poslanecká sněmovna Parlamentu ČR zákon o státním rozpočtu ČR na rok 202</w:t>
      </w:r>
      <w:r w:rsidR="009E6637">
        <w:rPr>
          <w:rFonts w:ascii="Garamond" w:hAnsi="Garamond"/>
          <w:sz w:val="24"/>
          <w:szCs w:val="24"/>
        </w:rPr>
        <w:t>5</w:t>
      </w:r>
      <w:r w:rsidRPr="00223A54">
        <w:rPr>
          <w:rFonts w:ascii="Garamond" w:hAnsi="Garamond"/>
          <w:sz w:val="24"/>
          <w:szCs w:val="24"/>
        </w:rPr>
        <w:t>, včetně závazných objemů prostředků na platy zaměstnanců a platy soudců v návaznosti na schválené počty zaměstnanců soudů stanovené pro rok 202</w:t>
      </w:r>
      <w:r w:rsidR="009E6637">
        <w:rPr>
          <w:rFonts w:ascii="Garamond" w:hAnsi="Garamond"/>
          <w:sz w:val="24"/>
          <w:szCs w:val="24"/>
        </w:rPr>
        <w:t>5</w:t>
      </w:r>
      <w:r w:rsidRPr="00223A54">
        <w:rPr>
          <w:rFonts w:ascii="Garamond" w:hAnsi="Garamond"/>
          <w:sz w:val="24"/>
          <w:szCs w:val="24"/>
        </w:rPr>
        <w:t>. S tím, že rozepsané závazné objemy prostředků na platy soudců pro rok 202</w:t>
      </w:r>
      <w:r w:rsidR="009E6637">
        <w:rPr>
          <w:rFonts w:ascii="Garamond" w:hAnsi="Garamond"/>
          <w:sz w:val="24"/>
          <w:szCs w:val="24"/>
        </w:rPr>
        <w:t>5</w:t>
      </w:r>
      <w:r w:rsidRPr="00223A54">
        <w:rPr>
          <w:rFonts w:ascii="Garamond" w:hAnsi="Garamond"/>
          <w:sz w:val="24"/>
          <w:szCs w:val="24"/>
        </w:rPr>
        <w:t xml:space="preserve"> budou dále upraven</w:t>
      </w:r>
      <w:r w:rsidR="00CD1C8B">
        <w:rPr>
          <w:rFonts w:ascii="Garamond" w:hAnsi="Garamond"/>
          <w:sz w:val="24"/>
          <w:szCs w:val="24"/>
        </w:rPr>
        <w:t>y</w:t>
      </w:r>
      <w:r w:rsidRPr="00223A54">
        <w:rPr>
          <w:rFonts w:ascii="Garamond" w:hAnsi="Garamond"/>
          <w:sz w:val="24"/>
          <w:szCs w:val="24"/>
        </w:rPr>
        <w:t xml:space="preserve"> na základě sdělení MPSV o vyhlášení výše platové základy pro určení platu a některých náhrad výdajů soudců, podle zákona č. 236/1995 Sb. a rozepsané závazné objemy prostředků na platy zaměstnanců budou rozpočtovými opatřením dále upraveny v návaznosti na schválené počty zaměstnanců soudů stanovené pro rok 202</w:t>
      </w:r>
      <w:r w:rsidR="009E6637">
        <w:rPr>
          <w:rFonts w:ascii="Garamond" w:hAnsi="Garamond"/>
          <w:sz w:val="24"/>
          <w:szCs w:val="24"/>
        </w:rPr>
        <w:t>5</w:t>
      </w:r>
      <w:r w:rsidRPr="00223A54">
        <w:rPr>
          <w:rFonts w:ascii="Garamond" w:hAnsi="Garamond"/>
          <w:sz w:val="24"/>
          <w:szCs w:val="24"/>
        </w:rPr>
        <w:t xml:space="preserve">.  U soudců byl stanoven počet </w:t>
      </w:r>
      <w:r w:rsidR="00223A54">
        <w:rPr>
          <w:rFonts w:ascii="Garamond" w:hAnsi="Garamond"/>
          <w:sz w:val="24"/>
          <w:szCs w:val="24"/>
        </w:rPr>
        <w:t>4</w:t>
      </w:r>
      <w:r w:rsidR="009E6637">
        <w:rPr>
          <w:rFonts w:ascii="Garamond" w:hAnsi="Garamond"/>
          <w:sz w:val="24"/>
          <w:szCs w:val="24"/>
        </w:rPr>
        <w:t>3</w:t>
      </w:r>
      <w:r w:rsidRPr="00223A54">
        <w:rPr>
          <w:rFonts w:ascii="Garamond" w:hAnsi="Garamond"/>
          <w:sz w:val="24"/>
          <w:szCs w:val="24"/>
        </w:rPr>
        <w:t>, u zaměstnanců na 1</w:t>
      </w:r>
      <w:r w:rsidR="009E6637">
        <w:rPr>
          <w:rFonts w:ascii="Garamond" w:hAnsi="Garamond"/>
          <w:sz w:val="24"/>
          <w:szCs w:val="24"/>
        </w:rPr>
        <w:t>51</w:t>
      </w:r>
      <w:r w:rsidR="00223A54">
        <w:rPr>
          <w:rFonts w:ascii="Garamond" w:hAnsi="Garamond"/>
          <w:sz w:val="24"/>
          <w:szCs w:val="24"/>
        </w:rPr>
        <w:t xml:space="preserve"> a od 1.</w:t>
      </w:r>
      <w:r w:rsidR="009E6637">
        <w:rPr>
          <w:rFonts w:ascii="Garamond" w:hAnsi="Garamond"/>
          <w:sz w:val="24"/>
          <w:szCs w:val="24"/>
        </w:rPr>
        <w:t>7</w:t>
      </w:r>
      <w:r w:rsidR="00223A54">
        <w:rPr>
          <w:rFonts w:ascii="Garamond" w:hAnsi="Garamond"/>
          <w:sz w:val="24"/>
          <w:szCs w:val="24"/>
        </w:rPr>
        <w:t>.202</w:t>
      </w:r>
      <w:r w:rsidR="009E6637">
        <w:rPr>
          <w:rFonts w:ascii="Garamond" w:hAnsi="Garamond"/>
          <w:sz w:val="24"/>
          <w:szCs w:val="24"/>
        </w:rPr>
        <w:t>5</w:t>
      </w:r>
      <w:r w:rsidR="00223A54">
        <w:rPr>
          <w:rFonts w:ascii="Garamond" w:hAnsi="Garamond"/>
          <w:sz w:val="24"/>
          <w:szCs w:val="24"/>
        </w:rPr>
        <w:t xml:space="preserve"> </w:t>
      </w:r>
      <w:r w:rsidR="00CB7478">
        <w:rPr>
          <w:rFonts w:ascii="Garamond" w:hAnsi="Garamond"/>
          <w:sz w:val="24"/>
          <w:szCs w:val="24"/>
        </w:rPr>
        <w:t xml:space="preserve">snížen </w:t>
      </w:r>
      <w:r w:rsidR="00223A54">
        <w:rPr>
          <w:rFonts w:ascii="Garamond" w:hAnsi="Garamond"/>
          <w:sz w:val="24"/>
          <w:szCs w:val="24"/>
        </w:rPr>
        <w:t>na 1</w:t>
      </w:r>
      <w:r w:rsidR="009E6637">
        <w:rPr>
          <w:rFonts w:ascii="Garamond" w:hAnsi="Garamond"/>
          <w:sz w:val="24"/>
          <w:szCs w:val="24"/>
        </w:rPr>
        <w:t>50</w:t>
      </w:r>
      <w:r w:rsidRPr="00223A54">
        <w:rPr>
          <w:rFonts w:ascii="Garamond" w:hAnsi="Garamond"/>
          <w:sz w:val="24"/>
          <w:szCs w:val="24"/>
        </w:rPr>
        <w:t>.</w:t>
      </w:r>
    </w:p>
    <w:p w14:paraId="059BF8AB" w14:textId="2C3A8F89" w:rsidR="00F40431" w:rsidRPr="001112FE" w:rsidRDefault="001112FE" w:rsidP="00F40431">
      <w:pPr>
        <w:spacing w:before="120" w:after="120"/>
        <w:jc w:val="both"/>
        <w:rPr>
          <w:rFonts w:ascii="Garamond" w:hAnsi="Garamond"/>
          <w:sz w:val="24"/>
          <w:szCs w:val="24"/>
        </w:rPr>
      </w:pPr>
      <w:bookmarkStart w:id="26" w:name="_Hlk220572401"/>
      <w:r>
        <w:rPr>
          <w:rFonts w:ascii="Garamond" w:hAnsi="Garamond"/>
          <w:sz w:val="24"/>
          <w:szCs w:val="24"/>
        </w:rPr>
        <w:t>M</w:t>
      </w:r>
      <w:r w:rsidR="00F40431" w:rsidRPr="001112FE">
        <w:rPr>
          <w:rFonts w:ascii="Garamond" w:hAnsi="Garamond"/>
          <w:sz w:val="24"/>
          <w:szCs w:val="24"/>
        </w:rPr>
        <w:t>zdové prostředky na rok 202</w:t>
      </w:r>
      <w:r w:rsidR="001F754C">
        <w:rPr>
          <w:rFonts w:ascii="Garamond" w:hAnsi="Garamond"/>
          <w:sz w:val="24"/>
          <w:szCs w:val="24"/>
        </w:rPr>
        <w:t>5</w:t>
      </w:r>
      <w:r w:rsidR="00F40431" w:rsidRPr="001112FE">
        <w:rPr>
          <w:rFonts w:ascii="Garamond" w:hAnsi="Garamond"/>
          <w:sz w:val="24"/>
          <w:szCs w:val="24"/>
        </w:rPr>
        <w:t xml:space="preserve"> na platy zaměstnanců byly schváleným rozpočtem stanoveny částkou</w:t>
      </w:r>
      <w:r>
        <w:rPr>
          <w:rFonts w:ascii="Garamond" w:hAnsi="Garamond"/>
          <w:sz w:val="24"/>
          <w:szCs w:val="24"/>
        </w:rPr>
        <w:br/>
        <w:t>ve výši</w:t>
      </w:r>
      <w:r w:rsidR="00CB7478">
        <w:rPr>
          <w:rFonts w:ascii="Garamond" w:hAnsi="Garamond"/>
          <w:sz w:val="24"/>
          <w:szCs w:val="24"/>
        </w:rPr>
        <w:t xml:space="preserve"> </w:t>
      </w:r>
      <w:r w:rsidR="001F754C">
        <w:rPr>
          <w:rFonts w:ascii="Garamond" w:hAnsi="Garamond"/>
          <w:sz w:val="24"/>
          <w:szCs w:val="24"/>
        </w:rPr>
        <w:t>72 356,68</w:t>
      </w:r>
      <w:r w:rsidR="00EA34F4" w:rsidRPr="001112FE">
        <w:rPr>
          <w:rFonts w:ascii="Garamond" w:hAnsi="Garamond"/>
          <w:sz w:val="24"/>
          <w:szCs w:val="24"/>
        </w:rPr>
        <w:t xml:space="preserve"> tis. Kč</w:t>
      </w:r>
      <w:r w:rsidR="00F40431" w:rsidRPr="001112FE">
        <w:rPr>
          <w:rFonts w:ascii="Garamond" w:hAnsi="Garamond"/>
          <w:sz w:val="24"/>
          <w:szCs w:val="24"/>
        </w:rPr>
        <w:t xml:space="preserve">. </w:t>
      </w:r>
      <w:bookmarkEnd w:id="26"/>
      <w:r w:rsidR="00F40431" w:rsidRPr="001112FE">
        <w:rPr>
          <w:rFonts w:ascii="Garamond" w:hAnsi="Garamond"/>
          <w:sz w:val="24"/>
          <w:szCs w:val="24"/>
        </w:rPr>
        <w:t xml:space="preserve">Schválený rozpočet byl upraven na konečný rozpočet ve výši </w:t>
      </w:r>
      <w:r w:rsidR="001F754C">
        <w:rPr>
          <w:rFonts w:ascii="Garamond" w:hAnsi="Garamond"/>
          <w:sz w:val="24"/>
          <w:szCs w:val="24"/>
        </w:rPr>
        <w:t>78 829,75</w:t>
      </w:r>
      <w:r>
        <w:rPr>
          <w:rFonts w:ascii="Garamond" w:hAnsi="Garamond"/>
          <w:sz w:val="24"/>
          <w:szCs w:val="24"/>
        </w:rPr>
        <w:t xml:space="preserve"> </w:t>
      </w:r>
      <w:r w:rsidR="00EA34F4" w:rsidRPr="001112FE">
        <w:rPr>
          <w:rFonts w:ascii="Garamond" w:hAnsi="Garamond"/>
          <w:sz w:val="24"/>
          <w:szCs w:val="24"/>
        </w:rPr>
        <w:t>tis.</w:t>
      </w:r>
      <w:r w:rsidR="00F40431" w:rsidRPr="001112FE">
        <w:rPr>
          <w:rFonts w:ascii="Garamond" w:hAnsi="Garamond"/>
          <w:sz w:val="24"/>
          <w:szCs w:val="24"/>
        </w:rPr>
        <w:t xml:space="preserve"> Kč. Rozpočet byl čerpán částkou </w:t>
      </w:r>
      <w:r w:rsidR="001F754C">
        <w:rPr>
          <w:rFonts w:ascii="Garamond" w:hAnsi="Garamond"/>
          <w:sz w:val="24"/>
          <w:szCs w:val="24"/>
        </w:rPr>
        <w:t>78 829,75</w:t>
      </w:r>
      <w:r w:rsidR="00EA34F4" w:rsidRPr="001112FE">
        <w:rPr>
          <w:rFonts w:ascii="Garamond" w:hAnsi="Garamond"/>
          <w:sz w:val="24"/>
          <w:szCs w:val="24"/>
        </w:rPr>
        <w:t xml:space="preserve"> tis.</w:t>
      </w:r>
      <w:r w:rsidR="00F40431" w:rsidRPr="001112FE">
        <w:rPr>
          <w:rFonts w:ascii="Garamond" w:hAnsi="Garamond"/>
          <w:sz w:val="24"/>
          <w:szCs w:val="24"/>
        </w:rPr>
        <w:t xml:space="preserve"> Kč, tedy ve výši 100,00 %.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1112FE">
        <w:rPr>
          <w:rFonts w:ascii="Garamond" w:hAnsi="Garamond"/>
          <w:sz w:val="24"/>
          <w:szCs w:val="24"/>
        </w:rPr>
        <w:t xml:space="preserve">Rozpočtově zajištěný počet zaměstnanců činil </w:t>
      </w:r>
      <w:r w:rsidR="004A1C7A" w:rsidRPr="001112FE">
        <w:rPr>
          <w:rFonts w:ascii="Garamond" w:hAnsi="Garamond"/>
          <w:sz w:val="24"/>
          <w:szCs w:val="24"/>
        </w:rPr>
        <w:t>1</w:t>
      </w:r>
      <w:r w:rsidR="001F754C">
        <w:rPr>
          <w:rFonts w:ascii="Garamond" w:hAnsi="Garamond"/>
          <w:sz w:val="24"/>
          <w:szCs w:val="24"/>
        </w:rPr>
        <w:t>51</w:t>
      </w:r>
      <w:r w:rsidR="00F40431" w:rsidRPr="001112FE">
        <w:rPr>
          <w:rFonts w:ascii="Garamond" w:hAnsi="Garamond"/>
          <w:sz w:val="24"/>
          <w:szCs w:val="24"/>
        </w:rPr>
        <w:t>, skutečnost</w:t>
      </w:r>
      <w:r w:rsidR="00D42713">
        <w:rPr>
          <w:rFonts w:ascii="Garamond" w:hAnsi="Garamond"/>
          <w:sz w:val="24"/>
          <w:szCs w:val="24"/>
        </w:rPr>
        <w:t xml:space="preserve"> 150,38</w:t>
      </w:r>
      <w:r w:rsidR="00F40431" w:rsidRPr="001112FE">
        <w:rPr>
          <w:rFonts w:ascii="Garamond" w:hAnsi="Garamond"/>
          <w:sz w:val="24"/>
          <w:szCs w:val="24"/>
        </w:rPr>
        <w:t>, tj. plněno na 9</w:t>
      </w:r>
      <w:r w:rsidR="00CB7478">
        <w:rPr>
          <w:rFonts w:ascii="Garamond" w:hAnsi="Garamond"/>
          <w:sz w:val="24"/>
          <w:szCs w:val="24"/>
        </w:rPr>
        <w:t>9,</w:t>
      </w:r>
      <w:r w:rsidR="00D42713">
        <w:rPr>
          <w:rFonts w:ascii="Garamond" w:hAnsi="Garamond"/>
          <w:sz w:val="24"/>
          <w:szCs w:val="24"/>
        </w:rPr>
        <w:t>59</w:t>
      </w:r>
      <w:r w:rsidR="00F40431" w:rsidRPr="001112FE">
        <w:rPr>
          <w:rFonts w:ascii="Garamond" w:hAnsi="Garamond"/>
          <w:sz w:val="24"/>
          <w:szCs w:val="24"/>
        </w:rPr>
        <w:t xml:space="preserve"> %</w:t>
      </w:r>
      <w:r w:rsidR="00A4004A">
        <w:rPr>
          <w:rFonts w:ascii="Garamond" w:hAnsi="Garamond"/>
          <w:sz w:val="24"/>
          <w:szCs w:val="24"/>
        </w:rPr>
        <w:t>.</w:t>
      </w:r>
    </w:p>
    <w:p w14:paraId="5A282F13" w14:textId="214A304F" w:rsidR="00F40431" w:rsidRPr="000A0790" w:rsidRDefault="001112FE" w:rsidP="00F40431">
      <w:pPr>
        <w:spacing w:before="120" w:after="120"/>
        <w:jc w:val="both"/>
        <w:rPr>
          <w:rFonts w:ascii="Garamond" w:hAnsi="Garamond"/>
          <w:sz w:val="24"/>
          <w:szCs w:val="24"/>
        </w:rPr>
      </w:pPr>
      <w:bookmarkStart w:id="27" w:name="_Hlk220572466"/>
      <w:r w:rsidRPr="002E55F6">
        <w:rPr>
          <w:rFonts w:ascii="Garamond" w:hAnsi="Garamond"/>
          <w:sz w:val="24"/>
          <w:szCs w:val="24"/>
        </w:rPr>
        <w:t>S</w:t>
      </w:r>
      <w:r w:rsidR="00F40431" w:rsidRPr="002E55F6">
        <w:rPr>
          <w:rFonts w:ascii="Garamond" w:hAnsi="Garamond"/>
          <w:sz w:val="24"/>
          <w:szCs w:val="24"/>
        </w:rPr>
        <w:t xml:space="preserve">chválené prostředky na platy soudců byly na skutečný počet soudců rozepsány na základě sdělení MSPV č. </w:t>
      </w:r>
      <w:r w:rsidR="00833686">
        <w:rPr>
          <w:rFonts w:ascii="Garamond" w:hAnsi="Garamond"/>
          <w:sz w:val="24"/>
          <w:szCs w:val="24"/>
        </w:rPr>
        <w:t>44</w:t>
      </w:r>
      <w:r w:rsidR="00652A92">
        <w:rPr>
          <w:rFonts w:ascii="Garamond" w:hAnsi="Garamond"/>
          <w:sz w:val="24"/>
          <w:szCs w:val="24"/>
        </w:rPr>
        <w:t>5</w:t>
      </w:r>
      <w:r w:rsidR="00F40431" w:rsidRPr="002E55F6">
        <w:rPr>
          <w:rFonts w:ascii="Garamond" w:hAnsi="Garamond"/>
          <w:sz w:val="24"/>
          <w:szCs w:val="24"/>
        </w:rPr>
        <w:t>/202</w:t>
      </w:r>
      <w:r w:rsidR="00652A92">
        <w:rPr>
          <w:rFonts w:ascii="Garamond" w:hAnsi="Garamond"/>
          <w:sz w:val="24"/>
          <w:szCs w:val="24"/>
        </w:rPr>
        <w:t>4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2E55F6">
        <w:rPr>
          <w:rFonts w:ascii="Garamond" w:hAnsi="Garamond"/>
          <w:sz w:val="24"/>
          <w:szCs w:val="24"/>
        </w:rPr>
        <w:t>ze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2E55F6">
        <w:rPr>
          <w:rFonts w:ascii="Garamond" w:hAnsi="Garamond"/>
          <w:sz w:val="24"/>
          <w:szCs w:val="24"/>
        </w:rPr>
        <w:t>dn</w:t>
      </w:r>
      <w:r w:rsidR="00CD1C8B">
        <w:rPr>
          <w:rFonts w:ascii="Garamond" w:hAnsi="Garamond"/>
          <w:sz w:val="24"/>
          <w:szCs w:val="24"/>
        </w:rPr>
        <w:t xml:space="preserve">e </w:t>
      </w:r>
      <w:r w:rsidR="00652A92">
        <w:rPr>
          <w:rFonts w:ascii="Garamond" w:hAnsi="Garamond"/>
          <w:sz w:val="24"/>
          <w:szCs w:val="24"/>
        </w:rPr>
        <w:t>27.11</w:t>
      </w:r>
      <w:r w:rsidR="00833686">
        <w:rPr>
          <w:rFonts w:ascii="Garamond" w:hAnsi="Garamond"/>
          <w:sz w:val="24"/>
          <w:szCs w:val="24"/>
        </w:rPr>
        <w:t>.202</w:t>
      </w:r>
      <w:r w:rsidR="00652A92">
        <w:rPr>
          <w:rFonts w:ascii="Garamond" w:hAnsi="Garamond"/>
          <w:sz w:val="24"/>
          <w:szCs w:val="24"/>
        </w:rPr>
        <w:t>4</w:t>
      </w:r>
      <w:r w:rsidR="00CD1C8B">
        <w:rPr>
          <w:rFonts w:ascii="Garamond" w:hAnsi="Garamond"/>
          <w:sz w:val="24"/>
          <w:szCs w:val="24"/>
        </w:rPr>
        <w:t xml:space="preserve">. Jedná se </w:t>
      </w:r>
      <w:r w:rsidR="00F40431" w:rsidRPr="002E55F6">
        <w:rPr>
          <w:rFonts w:ascii="Garamond" w:hAnsi="Garamond"/>
          <w:sz w:val="24"/>
          <w:szCs w:val="24"/>
        </w:rPr>
        <w:t>o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2E55F6">
        <w:rPr>
          <w:rFonts w:ascii="Garamond" w:hAnsi="Garamond"/>
          <w:sz w:val="24"/>
          <w:szCs w:val="24"/>
        </w:rPr>
        <w:t>vyhlášení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2E55F6">
        <w:rPr>
          <w:rFonts w:ascii="Garamond" w:hAnsi="Garamond"/>
          <w:sz w:val="24"/>
          <w:szCs w:val="24"/>
        </w:rPr>
        <w:t>výše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2E55F6">
        <w:rPr>
          <w:rFonts w:ascii="Garamond" w:hAnsi="Garamond"/>
          <w:sz w:val="24"/>
          <w:szCs w:val="24"/>
        </w:rPr>
        <w:t>platové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2E55F6">
        <w:rPr>
          <w:rFonts w:ascii="Garamond" w:hAnsi="Garamond"/>
          <w:sz w:val="24"/>
          <w:szCs w:val="24"/>
        </w:rPr>
        <w:t>základ</w:t>
      </w:r>
      <w:r w:rsidR="005C271A" w:rsidRPr="002E55F6">
        <w:rPr>
          <w:rFonts w:ascii="Garamond" w:hAnsi="Garamond"/>
          <w:sz w:val="24"/>
          <w:szCs w:val="24"/>
        </w:rPr>
        <w:t>n</w:t>
      </w:r>
      <w:r w:rsidR="00F40431" w:rsidRPr="002E55F6">
        <w:rPr>
          <w:rFonts w:ascii="Garamond" w:hAnsi="Garamond"/>
          <w:sz w:val="24"/>
          <w:szCs w:val="24"/>
        </w:rPr>
        <w:t>y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2E55F6">
        <w:rPr>
          <w:rFonts w:ascii="Garamond" w:hAnsi="Garamond"/>
          <w:sz w:val="24"/>
          <w:szCs w:val="24"/>
        </w:rPr>
        <w:t>pro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2E55F6">
        <w:rPr>
          <w:rFonts w:ascii="Garamond" w:hAnsi="Garamond"/>
          <w:sz w:val="24"/>
          <w:szCs w:val="24"/>
        </w:rPr>
        <w:t>určení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2E55F6">
        <w:rPr>
          <w:rFonts w:ascii="Garamond" w:hAnsi="Garamond"/>
          <w:sz w:val="24"/>
          <w:szCs w:val="24"/>
        </w:rPr>
        <w:t>platu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2E55F6">
        <w:rPr>
          <w:rFonts w:ascii="Garamond" w:hAnsi="Garamond"/>
          <w:sz w:val="24"/>
          <w:szCs w:val="24"/>
        </w:rPr>
        <w:t xml:space="preserve">a některých náhrad výdajů soudců podle zákona č. 236/1995 Sb., o platu a dalších náležitostech spojených s výkon funkce představitelů státní moci a některých státních orgánů a soudců a poslanců Evropského parlamentu, ve znění pozdějších předpisů, dle kterého vyhlašuje podle § 3 odst. 3 zákona č. 236/1995 </w:t>
      </w:r>
      <w:proofErr w:type="gramStart"/>
      <w:r w:rsidR="00F40431" w:rsidRPr="002E55F6">
        <w:rPr>
          <w:rFonts w:ascii="Garamond" w:hAnsi="Garamond"/>
          <w:sz w:val="24"/>
          <w:szCs w:val="24"/>
        </w:rPr>
        <w:t>Sb.</w:t>
      </w:r>
      <w:r w:rsidR="00CD1C8B">
        <w:rPr>
          <w:rFonts w:ascii="Garamond" w:hAnsi="Garamond"/>
          <w:sz w:val="24"/>
          <w:szCs w:val="24"/>
        </w:rPr>
        <w:t>.</w:t>
      </w:r>
      <w:proofErr w:type="gramEnd"/>
      <w:r w:rsidR="00CD1C8B">
        <w:rPr>
          <w:rFonts w:ascii="Garamond" w:hAnsi="Garamond"/>
          <w:sz w:val="24"/>
          <w:szCs w:val="24"/>
        </w:rPr>
        <w:t xml:space="preserve"> P</w:t>
      </w:r>
      <w:r w:rsidR="00F40431" w:rsidRPr="002E55F6">
        <w:rPr>
          <w:rFonts w:ascii="Garamond" w:hAnsi="Garamond"/>
          <w:sz w:val="24"/>
          <w:szCs w:val="24"/>
        </w:rPr>
        <w:t>ro rok 202</w:t>
      </w:r>
      <w:r w:rsidR="00652A92">
        <w:rPr>
          <w:rFonts w:ascii="Garamond" w:hAnsi="Garamond"/>
          <w:sz w:val="24"/>
          <w:szCs w:val="24"/>
        </w:rPr>
        <w:t>5</w:t>
      </w:r>
      <w:r w:rsidR="00CD1C8B">
        <w:rPr>
          <w:rFonts w:ascii="Garamond" w:hAnsi="Garamond"/>
          <w:sz w:val="24"/>
          <w:szCs w:val="24"/>
        </w:rPr>
        <w:t xml:space="preserve"> </w:t>
      </w:r>
      <w:proofErr w:type="gramStart"/>
      <w:r w:rsidR="00CD1C8B">
        <w:rPr>
          <w:rFonts w:ascii="Garamond" w:hAnsi="Garamond"/>
          <w:sz w:val="24"/>
          <w:szCs w:val="24"/>
        </w:rPr>
        <w:t xml:space="preserve">byl </w:t>
      </w:r>
      <w:r w:rsidR="00F40431" w:rsidRPr="002E55F6">
        <w:rPr>
          <w:rFonts w:ascii="Garamond" w:hAnsi="Garamond"/>
          <w:sz w:val="24"/>
          <w:szCs w:val="24"/>
        </w:rPr>
        <w:t xml:space="preserve"> platov</w:t>
      </w:r>
      <w:r w:rsidR="005C271A" w:rsidRPr="002E55F6">
        <w:rPr>
          <w:rFonts w:ascii="Garamond" w:hAnsi="Garamond"/>
          <w:sz w:val="24"/>
          <w:szCs w:val="24"/>
        </w:rPr>
        <w:t>ý</w:t>
      </w:r>
      <w:proofErr w:type="gramEnd"/>
      <w:r w:rsidR="00F40431" w:rsidRPr="002E55F6">
        <w:rPr>
          <w:rFonts w:ascii="Garamond" w:hAnsi="Garamond"/>
          <w:sz w:val="24"/>
          <w:szCs w:val="24"/>
        </w:rPr>
        <w:t xml:space="preserve"> základ pro soudce</w:t>
      </w:r>
      <w:r w:rsidR="00CD1C8B">
        <w:rPr>
          <w:rFonts w:ascii="Garamond" w:hAnsi="Garamond"/>
          <w:sz w:val="24"/>
          <w:szCs w:val="24"/>
        </w:rPr>
        <w:t xml:space="preserve"> stanoven </w:t>
      </w:r>
      <w:r w:rsidR="00F40431" w:rsidRPr="002E55F6">
        <w:rPr>
          <w:rFonts w:ascii="Garamond" w:hAnsi="Garamond"/>
          <w:sz w:val="24"/>
          <w:szCs w:val="24"/>
        </w:rPr>
        <w:t>ve výši 1</w:t>
      </w:r>
      <w:r w:rsidR="00652A92">
        <w:rPr>
          <w:rFonts w:ascii="Garamond" w:hAnsi="Garamond"/>
          <w:sz w:val="24"/>
          <w:szCs w:val="24"/>
        </w:rPr>
        <w:t>21 685</w:t>
      </w:r>
      <w:r w:rsidR="00F40431" w:rsidRPr="002E55F6">
        <w:rPr>
          <w:rFonts w:ascii="Garamond" w:hAnsi="Garamond"/>
          <w:sz w:val="24"/>
          <w:szCs w:val="24"/>
        </w:rPr>
        <w:t>,- Kč.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0A0790">
        <w:rPr>
          <w:rFonts w:ascii="Garamond" w:hAnsi="Garamond"/>
          <w:sz w:val="24"/>
          <w:szCs w:val="24"/>
        </w:rPr>
        <w:t>Na platy soudců činil schválený rozpočet 1</w:t>
      </w:r>
      <w:r w:rsidR="00CB7478">
        <w:rPr>
          <w:rFonts w:ascii="Garamond" w:hAnsi="Garamond"/>
          <w:sz w:val="24"/>
          <w:szCs w:val="24"/>
        </w:rPr>
        <w:t>1</w:t>
      </w:r>
      <w:r w:rsidR="00652A92">
        <w:rPr>
          <w:rFonts w:ascii="Garamond" w:hAnsi="Garamond"/>
          <w:sz w:val="24"/>
          <w:szCs w:val="24"/>
        </w:rPr>
        <w:t>5 465,00</w:t>
      </w:r>
      <w:r w:rsidR="00C3615D" w:rsidRPr="000A0790">
        <w:rPr>
          <w:rFonts w:ascii="Garamond" w:hAnsi="Garamond"/>
          <w:sz w:val="24"/>
          <w:szCs w:val="24"/>
        </w:rPr>
        <w:t xml:space="preserve"> tis.</w:t>
      </w:r>
      <w:r w:rsidR="00F40431" w:rsidRPr="000A0790">
        <w:rPr>
          <w:rFonts w:ascii="Garamond" w:hAnsi="Garamond"/>
          <w:sz w:val="24"/>
          <w:szCs w:val="24"/>
        </w:rPr>
        <w:t xml:space="preserve"> Kč. Upravený rozpočet pak byl na částku </w:t>
      </w:r>
      <w:r w:rsidR="00CB7478">
        <w:rPr>
          <w:rFonts w:ascii="Garamond" w:hAnsi="Garamond"/>
          <w:sz w:val="24"/>
          <w:szCs w:val="24"/>
        </w:rPr>
        <w:t>1</w:t>
      </w:r>
      <w:r w:rsidR="00652A92">
        <w:rPr>
          <w:rFonts w:ascii="Garamond" w:hAnsi="Garamond"/>
          <w:sz w:val="24"/>
          <w:szCs w:val="24"/>
        </w:rPr>
        <w:t>24 760,00</w:t>
      </w:r>
      <w:r w:rsidR="00C3615D" w:rsidRPr="000A0790">
        <w:rPr>
          <w:rFonts w:ascii="Garamond" w:hAnsi="Garamond"/>
          <w:sz w:val="24"/>
          <w:szCs w:val="24"/>
        </w:rPr>
        <w:t xml:space="preserve"> tis.</w:t>
      </w:r>
      <w:r w:rsidR="00F40431" w:rsidRPr="000A0790">
        <w:rPr>
          <w:rFonts w:ascii="Garamond" w:hAnsi="Garamond"/>
          <w:sz w:val="24"/>
          <w:szCs w:val="24"/>
        </w:rPr>
        <w:t xml:space="preserve"> Kč a čerpán částkou 1</w:t>
      </w:r>
      <w:r w:rsidR="00652A92">
        <w:rPr>
          <w:rFonts w:ascii="Garamond" w:hAnsi="Garamond"/>
          <w:sz w:val="24"/>
          <w:szCs w:val="24"/>
        </w:rPr>
        <w:t>24 275,48</w:t>
      </w:r>
      <w:r w:rsidR="00C3615D" w:rsidRPr="000A0790">
        <w:rPr>
          <w:rFonts w:ascii="Garamond" w:hAnsi="Garamond"/>
          <w:sz w:val="24"/>
          <w:szCs w:val="24"/>
        </w:rPr>
        <w:t xml:space="preserve"> tis.</w:t>
      </w:r>
      <w:r w:rsidR="00F40431" w:rsidRPr="000A0790">
        <w:rPr>
          <w:rFonts w:ascii="Garamond" w:hAnsi="Garamond"/>
          <w:sz w:val="24"/>
          <w:szCs w:val="24"/>
        </w:rPr>
        <w:t xml:space="preserve"> Kč, tedy na 9</w:t>
      </w:r>
      <w:r w:rsidR="005F5FFC">
        <w:rPr>
          <w:rFonts w:ascii="Garamond" w:hAnsi="Garamond"/>
          <w:sz w:val="24"/>
          <w:szCs w:val="24"/>
        </w:rPr>
        <w:t>9,</w:t>
      </w:r>
      <w:r w:rsidR="00652A92">
        <w:rPr>
          <w:rFonts w:ascii="Garamond" w:hAnsi="Garamond"/>
          <w:sz w:val="24"/>
          <w:szCs w:val="24"/>
        </w:rPr>
        <w:t>61</w:t>
      </w:r>
      <w:r w:rsidR="00F40431" w:rsidRPr="000A0790">
        <w:rPr>
          <w:rFonts w:ascii="Garamond" w:hAnsi="Garamond"/>
          <w:sz w:val="24"/>
          <w:szCs w:val="24"/>
        </w:rPr>
        <w:t xml:space="preserve"> %.</w:t>
      </w:r>
      <w:r w:rsidR="00CD1C8B">
        <w:rPr>
          <w:rFonts w:ascii="Garamond" w:hAnsi="Garamond"/>
          <w:sz w:val="24"/>
          <w:szCs w:val="24"/>
        </w:rPr>
        <w:t xml:space="preserve"> </w:t>
      </w:r>
      <w:r w:rsidR="00F40431" w:rsidRPr="000A0790">
        <w:rPr>
          <w:rFonts w:ascii="Garamond" w:hAnsi="Garamond"/>
          <w:sz w:val="24"/>
          <w:szCs w:val="24"/>
        </w:rPr>
        <w:t xml:space="preserve">Rozpočtově zajištění počet soudců činil </w:t>
      </w:r>
      <w:r w:rsidR="00C3615D" w:rsidRPr="000A0790">
        <w:rPr>
          <w:rFonts w:ascii="Garamond" w:hAnsi="Garamond"/>
          <w:sz w:val="24"/>
          <w:szCs w:val="24"/>
        </w:rPr>
        <w:t>4</w:t>
      </w:r>
      <w:r w:rsidR="00652A92">
        <w:rPr>
          <w:rFonts w:ascii="Garamond" w:hAnsi="Garamond"/>
          <w:sz w:val="24"/>
          <w:szCs w:val="24"/>
        </w:rPr>
        <w:t>3</w:t>
      </w:r>
      <w:r w:rsidR="00F40431" w:rsidRPr="000A0790">
        <w:rPr>
          <w:rFonts w:ascii="Garamond" w:hAnsi="Garamond"/>
          <w:sz w:val="24"/>
          <w:szCs w:val="24"/>
        </w:rPr>
        <w:t xml:space="preserve">, skutečnost </w:t>
      </w:r>
      <w:r w:rsidR="00C3615D" w:rsidRPr="000A0790">
        <w:rPr>
          <w:rFonts w:ascii="Garamond" w:hAnsi="Garamond"/>
          <w:sz w:val="24"/>
          <w:szCs w:val="24"/>
        </w:rPr>
        <w:t>4</w:t>
      </w:r>
      <w:r w:rsidR="00652A92">
        <w:rPr>
          <w:rFonts w:ascii="Garamond" w:hAnsi="Garamond"/>
          <w:sz w:val="24"/>
          <w:szCs w:val="24"/>
        </w:rPr>
        <w:t>6</w:t>
      </w:r>
      <w:r w:rsidR="005F5FFC">
        <w:rPr>
          <w:rFonts w:ascii="Garamond" w:hAnsi="Garamond"/>
          <w:sz w:val="24"/>
          <w:szCs w:val="24"/>
        </w:rPr>
        <w:t>,</w:t>
      </w:r>
      <w:r w:rsidR="00652A92">
        <w:rPr>
          <w:rFonts w:ascii="Garamond" w:hAnsi="Garamond"/>
          <w:sz w:val="24"/>
          <w:szCs w:val="24"/>
        </w:rPr>
        <w:t>50</w:t>
      </w:r>
      <w:r w:rsidR="005F5FFC">
        <w:rPr>
          <w:rFonts w:ascii="Garamond" w:hAnsi="Garamond"/>
          <w:sz w:val="24"/>
          <w:szCs w:val="24"/>
        </w:rPr>
        <w:t xml:space="preserve"> </w:t>
      </w:r>
      <w:r w:rsidR="00F40431" w:rsidRPr="000A0790">
        <w:rPr>
          <w:rFonts w:ascii="Garamond" w:hAnsi="Garamond"/>
          <w:sz w:val="24"/>
          <w:szCs w:val="24"/>
        </w:rPr>
        <w:t xml:space="preserve">tj. plněno na </w:t>
      </w:r>
      <w:r w:rsidR="00C3615D" w:rsidRPr="000A0790">
        <w:rPr>
          <w:rFonts w:ascii="Garamond" w:hAnsi="Garamond"/>
          <w:sz w:val="24"/>
          <w:szCs w:val="24"/>
        </w:rPr>
        <w:t>10</w:t>
      </w:r>
      <w:r w:rsidR="005F5FFC">
        <w:rPr>
          <w:rFonts w:ascii="Garamond" w:hAnsi="Garamond"/>
          <w:sz w:val="24"/>
          <w:szCs w:val="24"/>
        </w:rPr>
        <w:t>8,13</w:t>
      </w:r>
      <w:r w:rsidR="00F40431" w:rsidRPr="000A0790">
        <w:rPr>
          <w:rFonts w:ascii="Garamond" w:hAnsi="Garamond"/>
          <w:sz w:val="24"/>
          <w:szCs w:val="24"/>
        </w:rPr>
        <w:t xml:space="preserve"> %</w:t>
      </w:r>
      <w:r w:rsidR="00BA661D">
        <w:rPr>
          <w:rFonts w:ascii="Garamond" w:hAnsi="Garamond"/>
          <w:sz w:val="24"/>
          <w:szCs w:val="24"/>
        </w:rPr>
        <w:t>.</w:t>
      </w:r>
    </w:p>
    <w:p w14:paraId="3343F648" w14:textId="62F5BC16" w:rsidR="000607C0" w:rsidRPr="00915E35" w:rsidRDefault="00F40431" w:rsidP="00D1657E">
      <w:pPr>
        <w:spacing w:before="120" w:after="120"/>
        <w:jc w:val="both"/>
      </w:pPr>
      <w:r w:rsidRPr="000A0790">
        <w:rPr>
          <w:rFonts w:ascii="Garamond" w:hAnsi="Garamond"/>
          <w:sz w:val="24"/>
          <w:szCs w:val="24"/>
        </w:rPr>
        <w:t xml:space="preserve">Ostatní osobní </w:t>
      </w:r>
      <w:proofErr w:type="gramStart"/>
      <w:r w:rsidRPr="000A0790">
        <w:rPr>
          <w:rFonts w:ascii="Garamond" w:hAnsi="Garamond"/>
          <w:sz w:val="24"/>
          <w:szCs w:val="24"/>
        </w:rPr>
        <w:t xml:space="preserve">výdaje </w:t>
      </w:r>
      <w:r w:rsidR="00C3615D" w:rsidRPr="000A0790">
        <w:rPr>
          <w:rFonts w:ascii="Garamond" w:hAnsi="Garamond"/>
          <w:sz w:val="24"/>
          <w:szCs w:val="24"/>
        </w:rPr>
        <w:t>-</w:t>
      </w:r>
      <w:r w:rsidR="0076338F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>původně</w:t>
      </w:r>
      <w:proofErr w:type="gramEnd"/>
      <w:r w:rsidRPr="000A0790">
        <w:rPr>
          <w:rFonts w:ascii="Garamond" w:hAnsi="Garamond"/>
          <w:sz w:val="24"/>
          <w:szCs w:val="24"/>
        </w:rPr>
        <w:t xml:space="preserve"> byly rozpočtem rozepsány ve výši </w:t>
      </w:r>
      <w:r w:rsidR="00652A92">
        <w:rPr>
          <w:rFonts w:ascii="Garamond" w:hAnsi="Garamond"/>
          <w:sz w:val="24"/>
          <w:szCs w:val="24"/>
        </w:rPr>
        <w:t xml:space="preserve">221,00 </w:t>
      </w:r>
      <w:r w:rsidR="00C3615D" w:rsidRPr="000A0790">
        <w:rPr>
          <w:rFonts w:ascii="Garamond" w:hAnsi="Garamond"/>
          <w:sz w:val="24"/>
          <w:szCs w:val="24"/>
        </w:rPr>
        <w:t>tis.</w:t>
      </w:r>
      <w:r w:rsidRPr="000A0790">
        <w:rPr>
          <w:rFonts w:ascii="Garamond" w:hAnsi="Garamond"/>
          <w:sz w:val="24"/>
          <w:szCs w:val="24"/>
        </w:rPr>
        <w:t xml:space="preserve"> Kč</w:t>
      </w:r>
      <w:r w:rsidR="00E25341">
        <w:rPr>
          <w:rFonts w:ascii="Garamond" w:hAnsi="Garamond"/>
          <w:sz w:val="24"/>
          <w:szCs w:val="24"/>
        </w:rPr>
        <w:t>. V průběhu roku</w:t>
      </w:r>
      <w:r w:rsidRPr="000A0790">
        <w:rPr>
          <w:rFonts w:ascii="Garamond" w:hAnsi="Garamond"/>
          <w:sz w:val="24"/>
          <w:szCs w:val="24"/>
        </w:rPr>
        <w:t xml:space="preserve"> byl</w:t>
      </w:r>
      <w:r w:rsidR="0076338F">
        <w:rPr>
          <w:rFonts w:ascii="Garamond" w:hAnsi="Garamond"/>
          <w:sz w:val="24"/>
          <w:szCs w:val="24"/>
        </w:rPr>
        <w:t>y</w:t>
      </w:r>
      <w:r w:rsidRPr="000A0790">
        <w:rPr>
          <w:rFonts w:ascii="Garamond" w:hAnsi="Garamond"/>
          <w:sz w:val="24"/>
          <w:szCs w:val="24"/>
        </w:rPr>
        <w:t xml:space="preserve"> rozpočtovým opatřením přesunut</w:t>
      </w:r>
      <w:r w:rsidR="0076338F">
        <w:rPr>
          <w:rFonts w:ascii="Garamond" w:hAnsi="Garamond"/>
          <w:sz w:val="24"/>
          <w:szCs w:val="24"/>
        </w:rPr>
        <w:t>y</w:t>
      </w:r>
      <w:r w:rsidRPr="000A0790">
        <w:rPr>
          <w:rFonts w:ascii="Garamond" w:hAnsi="Garamond"/>
          <w:sz w:val="24"/>
          <w:szCs w:val="24"/>
        </w:rPr>
        <w:t xml:space="preserve"> na položku Ostatní platby za provedenou práci v celkové výši </w:t>
      </w:r>
      <w:r w:rsidR="00C3615D" w:rsidRPr="000A0790">
        <w:rPr>
          <w:rFonts w:ascii="Garamond" w:hAnsi="Garamond"/>
          <w:sz w:val="24"/>
          <w:szCs w:val="24"/>
        </w:rPr>
        <w:t>2</w:t>
      </w:r>
      <w:r w:rsidR="00652A92">
        <w:rPr>
          <w:rFonts w:ascii="Garamond" w:hAnsi="Garamond"/>
          <w:sz w:val="24"/>
          <w:szCs w:val="24"/>
        </w:rPr>
        <w:t>48,98</w:t>
      </w:r>
      <w:r w:rsidR="00C3615D" w:rsidRPr="000A0790">
        <w:rPr>
          <w:rFonts w:ascii="Garamond" w:hAnsi="Garamond"/>
          <w:sz w:val="24"/>
          <w:szCs w:val="24"/>
        </w:rPr>
        <w:t xml:space="preserve"> tis. Kč</w:t>
      </w:r>
      <w:r w:rsidRPr="000A0790">
        <w:rPr>
          <w:rFonts w:ascii="Garamond" w:hAnsi="Garamond"/>
          <w:sz w:val="24"/>
          <w:szCs w:val="24"/>
        </w:rPr>
        <w:t>. Konečný rozp</w:t>
      </w:r>
      <w:r w:rsidR="00497B15" w:rsidRPr="000A0790">
        <w:rPr>
          <w:rFonts w:ascii="Garamond" w:hAnsi="Garamond"/>
          <w:sz w:val="24"/>
          <w:szCs w:val="24"/>
        </w:rPr>
        <w:t>o</w:t>
      </w:r>
      <w:r w:rsidRPr="000A0790">
        <w:rPr>
          <w:rFonts w:ascii="Garamond" w:hAnsi="Garamond"/>
          <w:sz w:val="24"/>
          <w:szCs w:val="24"/>
        </w:rPr>
        <w:t>če</w:t>
      </w:r>
      <w:r w:rsidR="00497B15" w:rsidRPr="000A0790">
        <w:rPr>
          <w:rFonts w:ascii="Garamond" w:hAnsi="Garamond"/>
          <w:sz w:val="24"/>
          <w:szCs w:val="24"/>
        </w:rPr>
        <w:t>t za položky 5021 a 5029</w:t>
      </w:r>
      <w:r w:rsidRPr="000A0790">
        <w:rPr>
          <w:rFonts w:ascii="Garamond" w:hAnsi="Garamond"/>
          <w:sz w:val="24"/>
          <w:szCs w:val="24"/>
        </w:rPr>
        <w:t xml:space="preserve"> činil </w:t>
      </w:r>
      <w:r w:rsidR="00652A92">
        <w:rPr>
          <w:rFonts w:ascii="Garamond" w:hAnsi="Garamond"/>
          <w:sz w:val="24"/>
          <w:szCs w:val="24"/>
        </w:rPr>
        <w:t xml:space="preserve">774,90 </w:t>
      </w:r>
      <w:r w:rsidR="00497B15" w:rsidRPr="000A0790">
        <w:rPr>
          <w:rFonts w:ascii="Garamond" w:hAnsi="Garamond"/>
          <w:sz w:val="24"/>
          <w:szCs w:val="24"/>
        </w:rPr>
        <w:t>tis.</w:t>
      </w:r>
      <w:r w:rsidRPr="000A0790">
        <w:rPr>
          <w:rFonts w:ascii="Garamond" w:hAnsi="Garamond"/>
          <w:sz w:val="24"/>
          <w:szCs w:val="24"/>
        </w:rPr>
        <w:t xml:space="preserve"> Kč, skutečnost</w:t>
      </w:r>
      <w:r w:rsidR="00497B15" w:rsidRPr="000A0790">
        <w:rPr>
          <w:rFonts w:ascii="Garamond" w:hAnsi="Garamond"/>
          <w:sz w:val="24"/>
          <w:szCs w:val="24"/>
        </w:rPr>
        <w:t xml:space="preserve"> za tyto položky </w:t>
      </w:r>
      <w:r w:rsidR="00F8172D">
        <w:rPr>
          <w:rFonts w:ascii="Garamond" w:hAnsi="Garamond"/>
          <w:sz w:val="24"/>
          <w:szCs w:val="24"/>
        </w:rPr>
        <w:br/>
      </w:r>
      <w:r w:rsidR="00652A92" w:rsidRPr="002E3C7B">
        <w:rPr>
          <w:rFonts w:ascii="Garamond" w:hAnsi="Garamond"/>
          <w:sz w:val="24"/>
          <w:szCs w:val="24"/>
        </w:rPr>
        <w:t>443,90</w:t>
      </w:r>
      <w:r w:rsidR="00497B15" w:rsidRPr="002E3C7B">
        <w:rPr>
          <w:rFonts w:ascii="Garamond" w:hAnsi="Garamond"/>
          <w:sz w:val="24"/>
          <w:szCs w:val="24"/>
        </w:rPr>
        <w:t xml:space="preserve"> tis</w:t>
      </w:r>
      <w:r w:rsidR="00F8172D" w:rsidRPr="002E3C7B">
        <w:rPr>
          <w:rFonts w:ascii="Garamond" w:hAnsi="Garamond"/>
          <w:sz w:val="24"/>
          <w:szCs w:val="24"/>
        </w:rPr>
        <w:t>.</w:t>
      </w:r>
      <w:r w:rsidR="00497B15" w:rsidRPr="002E3C7B">
        <w:rPr>
          <w:rFonts w:ascii="Garamond" w:hAnsi="Garamond"/>
          <w:sz w:val="24"/>
          <w:szCs w:val="24"/>
        </w:rPr>
        <w:t xml:space="preserve">Kč. </w:t>
      </w:r>
      <w:r w:rsidRPr="002E3C7B">
        <w:rPr>
          <w:rFonts w:ascii="Garamond" w:hAnsi="Garamond"/>
          <w:sz w:val="24"/>
          <w:szCs w:val="24"/>
        </w:rPr>
        <w:t>Jedná se o meziročn</w:t>
      </w:r>
      <w:r w:rsidR="00F6436D">
        <w:rPr>
          <w:rFonts w:ascii="Garamond" w:hAnsi="Garamond"/>
          <w:sz w:val="24"/>
          <w:szCs w:val="24"/>
        </w:rPr>
        <w:t>í nárůst</w:t>
      </w:r>
      <w:r w:rsidR="005F5FFC" w:rsidRPr="002E3C7B">
        <w:rPr>
          <w:rFonts w:ascii="Garamond" w:hAnsi="Garamond"/>
          <w:sz w:val="24"/>
          <w:szCs w:val="24"/>
        </w:rPr>
        <w:t xml:space="preserve"> o</w:t>
      </w:r>
      <w:r w:rsidR="004879CE" w:rsidRPr="002E3C7B">
        <w:rPr>
          <w:rFonts w:ascii="Garamond" w:hAnsi="Garamond"/>
          <w:sz w:val="24"/>
          <w:szCs w:val="24"/>
        </w:rPr>
        <w:t xml:space="preserve"> 256,88</w:t>
      </w:r>
      <w:r w:rsidR="005F5FFC" w:rsidRPr="002E3C7B">
        <w:rPr>
          <w:rFonts w:ascii="Garamond" w:hAnsi="Garamond"/>
          <w:sz w:val="24"/>
          <w:szCs w:val="24"/>
        </w:rPr>
        <w:t xml:space="preserve"> tis.Kč</w:t>
      </w:r>
      <w:r w:rsidRPr="002E3C7B">
        <w:rPr>
          <w:rFonts w:ascii="Garamond" w:hAnsi="Garamond"/>
          <w:sz w:val="24"/>
          <w:szCs w:val="24"/>
        </w:rPr>
        <w:t>.</w:t>
      </w:r>
      <w:r w:rsidRPr="000A0790">
        <w:rPr>
          <w:rFonts w:ascii="Garamond" w:hAnsi="Garamond"/>
          <w:sz w:val="24"/>
          <w:szCs w:val="24"/>
        </w:rPr>
        <w:t xml:space="preserve"> </w:t>
      </w:r>
      <w:r w:rsidR="002E3C7B">
        <w:rPr>
          <w:rFonts w:ascii="Garamond" w:hAnsi="Garamond"/>
          <w:sz w:val="24"/>
          <w:szCs w:val="24"/>
        </w:rPr>
        <w:t xml:space="preserve">Vyšší výdaje </w:t>
      </w:r>
      <w:r w:rsidR="00F6436D">
        <w:rPr>
          <w:rFonts w:ascii="Garamond" w:hAnsi="Garamond"/>
          <w:sz w:val="24"/>
          <w:szCs w:val="24"/>
        </w:rPr>
        <w:t xml:space="preserve">jsou </w:t>
      </w:r>
      <w:r w:rsidR="002E3C7B">
        <w:rPr>
          <w:rFonts w:ascii="Garamond" w:hAnsi="Garamond"/>
          <w:sz w:val="24"/>
          <w:szCs w:val="24"/>
        </w:rPr>
        <w:t>za paušální náhrady</w:t>
      </w:r>
      <w:r w:rsidR="00F6436D">
        <w:rPr>
          <w:rFonts w:ascii="Garamond" w:hAnsi="Garamond"/>
          <w:sz w:val="24"/>
          <w:szCs w:val="24"/>
        </w:rPr>
        <w:t xml:space="preserve"> </w:t>
      </w:r>
      <w:proofErr w:type="gramStart"/>
      <w:r w:rsidR="00F6436D">
        <w:rPr>
          <w:rFonts w:ascii="Garamond" w:hAnsi="Garamond"/>
          <w:sz w:val="24"/>
          <w:szCs w:val="24"/>
        </w:rPr>
        <w:t xml:space="preserve">přísedícím </w:t>
      </w:r>
      <w:r w:rsidR="002E3C7B">
        <w:rPr>
          <w:rFonts w:ascii="Garamond" w:hAnsi="Garamond"/>
          <w:sz w:val="24"/>
          <w:szCs w:val="24"/>
        </w:rPr>
        <w:t xml:space="preserve"> za</w:t>
      </w:r>
      <w:proofErr w:type="gramEnd"/>
      <w:r w:rsidR="002E3C7B">
        <w:rPr>
          <w:rFonts w:ascii="Garamond" w:hAnsi="Garamond"/>
          <w:sz w:val="24"/>
          <w:szCs w:val="24"/>
        </w:rPr>
        <w:t xml:space="preserve"> výkon jejich funkce </w:t>
      </w:r>
      <w:r w:rsidR="00F6436D">
        <w:rPr>
          <w:rFonts w:ascii="Garamond" w:hAnsi="Garamond"/>
          <w:sz w:val="24"/>
          <w:szCs w:val="24"/>
        </w:rPr>
        <w:t xml:space="preserve">a to na základě nové vyhlášky č. 402/2024 Sb. , která nabyla platnosti </w:t>
      </w:r>
      <w:r w:rsidR="002E3C7B">
        <w:rPr>
          <w:rFonts w:ascii="Garamond" w:hAnsi="Garamond"/>
          <w:sz w:val="24"/>
          <w:szCs w:val="24"/>
        </w:rPr>
        <w:t>od roku 2025</w:t>
      </w:r>
      <w:r w:rsidR="007B107B">
        <w:rPr>
          <w:rFonts w:ascii="Garamond" w:hAnsi="Garamond"/>
          <w:sz w:val="24"/>
          <w:szCs w:val="24"/>
        </w:rPr>
        <w:t>.</w:t>
      </w:r>
      <w:r w:rsidR="002E3C7B">
        <w:rPr>
          <w:rFonts w:ascii="Garamond" w:hAnsi="Garamond"/>
          <w:sz w:val="24"/>
          <w:szCs w:val="24"/>
        </w:rPr>
        <w:t xml:space="preserve"> Zde se </w:t>
      </w:r>
      <w:r w:rsidR="007B107B">
        <w:rPr>
          <w:rFonts w:ascii="Garamond" w:hAnsi="Garamond"/>
          <w:sz w:val="24"/>
          <w:szCs w:val="24"/>
        </w:rPr>
        <w:t xml:space="preserve">výrazně </w:t>
      </w:r>
      <w:r w:rsidR="002E3C7B">
        <w:rPr>
          <w:rFonts w:ascii="Garamond" w:hAnsi="Garamond"/>
          <w:sz w:val="24"/>
          <w:szCs w:val="24"/>
        </w:rPr>
        <w:t xml:space="preserve">navýšila </w:t>
      </w:r>
      <w:proofErr w:type="gramStart"/>
      <w:r w:rsidR="002E3C7B">
        <w:rPr>
          <w:rFonts w:ascii="Garamond" w:hAnsi="Garamond"/>
          <w:sz w:val="24"/>
          <w:szCs w:val="24"/>
        </w:rPr>
        <w:t>částka</w:t>
      </w:r>
      <w:proofErr w:type="gramEnd"/>
      <w:r w:rsidR="002E3C7B">
        <w:rPr>
          <w:rFonts w:ascii="Garamond" w:hAnsi="Garamond"/>
          <w:sz w:val="24"/>
          <w:szCs w:val="24"/>
        </w:rPr>
        <w:t xml:space="preserve"> která přísluší přísedícím za</w:t>
      </w:r>
      <w:r w:rsidR="00C93CA6">
        <w:rPr>
          <w:rFonts w:ascii="Garamond" w:hAnsi="Garamond"/>
          <w:sz w:val="24"/>
          <w:szCs w:val="24"/>
        </w:rPr>
        <w:t xml:space="preserve"> výkon jejich funkce</w:t>
      </w:r>
      <w:r w:rsidR="00F6436D">
        <w:rPr>
          <w:rFonts w:ascii="Garamond" w:hAnsi="Garamond"/>
          <w:sz w:val="24"/>
          <w:szCs w:val="24"/>
        </w:rPr>
        <w:t xml:space="preserve">, </w:t>
      </w:r>
      <w:r w:rsidR="002E3C7B">
        <w:rPr>
          <w:rFonts w:ascii="Garamond" w:hAnsi="Garamond"/>
          <w:sz w:val="24"/>
          <w:szCs w:val="24"/>
        </w:rPr>
        <w:t>z</w:t>
      </w:r>
      <w:r w:rsidR="00F6436D">
        <w:rPr>
          <w:rFonts w:ascii="Garamond" w:hAnsi="Garamond"/>
          <w:sz w:val="24"/>
          <w:szCs w:val="24"/>
        </w:rPr>
        <w:t xml:space="preserve"> původních </w:t>
      </w:r>
      <w:r w:rsidR="002E3C7B">
        <w:rPr>
          <w:rFonts w:ascii="Garamond" w:hAnsi="Garamond"/>
          <w:sz w:val="24"/>
          <w:szCs w:val="24"/>
        </w:rPr>
        <w:t>150 K</w:t>
      </w:r>
      <w:r w:rsidR="007B107B">
        <w:rPr>
          <w:rFonts w:ascii="Garamond" w:hAnsi="Garamond"/>
          <w:sz w:val="24"/>
          <w:szCs w:val="24"/>
        </w:rPr>
        <w:t>č</w:t>
      </w:r>
      <w:r w:rsidR="002E3C7B">
        <w:rPr>
          <w:rFonts w:ascii="Garamond" w:hAnsi="Garamond"/>
          <w:sz w:val="24"/>
          <w:szCs w:val="24"/>
        </w:rPr>
        <w:t> na 500</w:t>
      </w:r>
      <w:r w:rsidR="007B107B">
        <w:rPr>
          <w:rFonts w:ascii="Garamond" w:hAnsi="Garamond"/>
          <w:sz w:val="24"/>
          <w:szCs w:val="24"/>
        </w:rPr>
        <w:t xml:space="preserve"> </w:t>
      </w:r>
      <w:r w:rsidR="002E3C7B">
        <w:rPr>
          <w:rFonts w:ascii="Garamond" w:hAnsi="Garamond"/>
          <w:sz w:val="24"/>
          <w:szCs w:val="24"/>
        </w:rPr>
        <w:t>Kč</w:t>
      </w:r>
      <w:r w:rsidR="00F6436D">
        <w:rPr>
          <w:rFonts w:ascii="Garamond" w:hAnsi="Garamond"/>
          <w:sz w:val="24"/>
          <w:szCs w:val="24"/>
        </w:rPr>
        <w:t xml:space="preserve"> za </w:t>
      </w:r>
      <w:r w:rsidR="00C93CA6">
        <w:rPr>
          <w:rFonts w:ascii="Garamond" w:hAnsi="Garamond"/>
          <w:sz w:val="24"/>
          <w:szCs w:val="24"/>
        </w:rPr>
        <w:t xml:space="preserve">každý </w:t>
      </w:r>
      <w:r w:rsidR="00F6436D">
        <w:rPr>
          <w:rFonts w:ascii="Garamond" w:hAnsi="Garamond"/>
          <w:sz w:val="24"/>
          <w:szCs w:val="24"/>
        </w:rPr>
        <w:t>den</w:t>
      </w:r>
      <w:r w:rsidR="00C93CA6">
        <w:rPr>
          <w:rFonts w:ascii="Garamond" w:hAnsi="Garamond"/>
          <w:sz w:val="24"/>
          <w:szCs w:val="24"/>
        </w:rPr>
        <w:t xml:space="preserve"> jednání</w:t>
      </w:r>
      <w:r w:rsidR="007B107B">
        <w:rPr>
          <w:rFonts w:ascii="Garamond" w:hAnsi="Garamond"/>
          <w:sz w:val="24"/>
          <w:szCs w:val="24"/>
        </w:rPr>
        <w:t>.</w:t>
      </w:r>
      <w:r w:rsidR="00967FFD">
        <w:rPr>
          <w:rFonts w:ascii="Garamond" w:hAnsi="Garamond"/>
          <w:sz w:val="24"/>
          <w:szCs w:val="24"/>
        </w:rPr>
        <w:t xml:space="preserve"> Dalším důvodem nárůstu je i změna věcné příslušnosti kdy trestné činy byly přeneseny z okresních soudů na soudy krajské. Na základě této skutečnosti bude u okresních soudů nákladů na přísedící výrazně ubývat.</w:t>
      </w:r>
    </w:p>
    <w:p w14:paraId="638F5494" w14:textId="7528E1F8" w:rsidR="0076338F" w:rsidRDefault="00F373F5" w:rsidP="00082803">
      <w:pPr>
        <w:pStyle w:val="Nadpis2"/>
        <w:rPr>
          <w:color w:val="548DD4" w:themeColor="text2" w:themeTint="99"/>
        </w:rPr>
      </w:pPr>
      <w:bookmarkStart w:id="28" w:name="_Toc534878026"/>
      <w:bookmarkStart w:id="29" w:name="_Toc155689660"/>
      <w:bookmarkEnd w:id="27"/>
      <w:r w:rsidRPr="00DD136D">
        <w:rPr>
          <w:color w:val="548DD4" w:themeColor="text2" w:themeTint="99"/>
        </w:rPr>
        <w:lastRenderedPageBreak/>
        <w:t>Hodnocení hospodárnosti, efektivnosti a účelnosti vynakládání výdajů</w:t>
      </w:r>
      <w:bookmarkEnd w:id="28"/>
      <w:bookmarkEnd w:id="29"/>
    </w:p>
    <w:p w14:paraId="6DE57702" w14:textId="77777777" w:rsidR="00BA661D" w:rsidRPr="00BA661D" w:rsidRDefault="00BA661D" w:rsidP="00BA661D"/>
    <w:p w14:paraId="1B55E7F9" w14:textId="47E73EAE" w:rsidR="000607C0" w:rsidRDefault="000607C0" w:rsidP="000607C0">
      <w:pPr>
        <w:jc w:val="both"/>
        <w:rPr>
          <w:rFonts w:ascii="Garamond" w:hAnsi="Garamond"/>
          <w:iCs/>
        </w:rPr>
      </w:pPr>
      <w:proofErr w:type="gramStart"/>
      <w:r w:rsidRPr="000A0790">
        <w:rPr>
          <w:rFonts w:ascii="Garamond" w:hAnsi="Garamond"/>
          <w:sz w:val="24"/>
          <w:szCs w:val="24"/>
        </w:rPr>
        <w:t xml:space="preserve">Všechny </w:t>
      </w:r>
      <w:r w:rsidR="00104922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>rozpočtové</w:t>
      </w:r>
      <w:proofErr w:type="gramEnd"/>
      <w:r w:rsidR="00104922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 xml:space="preserve"> prostředky byly </w:t>
      </w:r>
      <w:r w:rsidR="00104922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>využity</w:t>
      </w:r>
      <w:r w:rsidR="00104922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 xml:space="preserve"> hospodárně, </w:t>
      </w:r>
      <w:r w:rsidR="00E713D4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>efektivně</w:t>
      </w:r>
      <w:r w:rsidR="00104922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 xml:space="preserve"> a účelně,</w:t>
      </w:r>
      <w:r w:rsidR="00E713D4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 xml:space="preserve"> výdaje byly uskutečňovány pouze</w:t>
      </w:r>
      <w:r w:rsidR="00104922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 xml:space="preserve"> na </w:t>
      </w:r>
      <w:r w:rsidR="00104922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 xml:space="preserve">nejnutnější </w:t>
      </w:r>
      <w:r w:rsidR="00104922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 xml:space="preserve">nákupy k zabezpečení </w:t>
      </w:r>
      <w:r w:rsidR="00104922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 xml:space="preserve">bezproblémového </w:t>
      </w:r>
      <w:r w:rsidR="0076350B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>chodu</w:t>
      </w:r>
      <w:r w:rsidR="0076350B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 xml:space="preserve"> soudu. </w:t>
      </w:r>
      <w:r w:rsidR="00E713D4">
        <w:rPr>
          <w:rFonts w:ascii="Garamond" w:hAnsi="Garamond"/>
          <w:sz w:val="24"/>
          <w:szCs w:val="24"/>
        </w:rPr>
        <w:t xml:space="preserve"> </w:t>
      </w:r>
      <w:r w:rsidRPr="000A0790">
        <w:rPr>
          <w:rFonts w:ascii="Garamond" w:hAnsi="Garamond"/>
          <w:sz w:val="24"/>
          <w:szCs w:val="24"/>
        </w:rPr>
        <w:t xml:space="preserve">Ochrana svěřeného majetku </w:t>
      </w:r>
      <w:r w:rsidR="000A0790">
        <w:rPr>
          <w:rFonts w:ascii="Garamond" w:hAnsi="Garamond"/>
          <w:sz w:val="24"/>
          <w:szCs w:val="24"/>
        </w:rPr>
        <w:br/>
      </w:r>
      <w:r w:rsidRPr="000A0790">
        <w:rPr>
          <w:rFonts w:ascii="Garamond" w:hAnsi="Garamond"/>
          <w:sz w:val="24"/>
          <w:szCs w:val="24"/>
        </w:rPr>
        <w:t>je zajištěna řádnou a prokazatelnou evidencí a inventarizací majetku.</w:t>
      </w:r>
      <w:r>
        <w:rPr>
          <w:rFonts w:ascii="Garamond" w:hAnsi="Garamond"/>
          <w:iCs/>
        </w:rPr>
        <w:t xml:space="preserve">  </w:t>
      </w:r>
      <w:r w:rsidR="000A143A" w:rsidRPr="000A143A">
        <w:rPr>
          <w:noProof/>
        </w:rPr>
        <w:drawing>
          <wp:inline distT="0" distB="0" distL="0" distR="0" wp14:anchorId="2F2A4929" wp14:editId="61F1BC09">
            <wp:extent cx="5897880" cy="1623060"/>
            <wp:effectExtent l="0" t="0" r="7620" b="0"/>
            <wp:docPr id="10115147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9891" w14:textId="4251557A" w:rsidR="000A143A" w:rsidRDefault="000A143A" w:rsidP="000607C0">
      <w:pPr>
        <w:jc w:val="both"/>
        <w:rPr>
          <w:rFonts w:ascii="Garamond" w:hAnsi="Garamond"/>
          <w:iCs/>
        </w:rPr>
      </w:pPr>
      <w:r w:rsidRPr="000A143A">
        <w:rPr>
          <w:noProof/>
        </w:rPr>
        <w:drawing>
          <wp:inline distT="0" distB="0" distL="0" distR="0" wp14:anchorId="5013F819" wp14:editId="4E4EDBC1">
            <wp:extent cx="5897880" cy="762000"/>
            <wp:effectExtent l="0" t="0" r="7620" b="0"/>
            <wp:docPr id="5111696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DAA78" w14:textId="7EAEA755" w:rsidR="000A143A" w:rsidRDefault="001F1AE9" w:rsidP="000607C0">
      <w:pPr>
        <w:jc w:val="both"/>
        <w:rPr>
          <w:rFonts w:ascii="Garamond" w:hAnsi="Garamond"/>
          <w:iCs/>
        </w:rPr>
      </w:pPr>
      <w:r w:rsidRPr="001F1AE9">
        <w:rPr>
          <w:noProof/>
        </w:rPr>
        <w:drawing>
          <wp:inline distT="0" distB="0" distL="0" distR="0" wp14:anchorId="473B6C41" wp14:editId="6C5B1E84">
            <wp:extent cx="5897880" cy="4922520"/>
            <wp:effectExtent l="0" t="0" r="7620" b="0"/>
            <wp:docPr id="57645528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4A17F" w14:textId="3D6BBA38" w:rsidR="00031A2C" w:rsidRPr="006F4392" w:rsidRDefault="00031A2C" w:rsidP="0076338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6338F">
        <w:rPr>
          <w:rFonts w:ascii="Garamond" w:hAnsi="Garamond"/>
          <w:sz w:val="24"/>
          <w:szCs w:val="24"/>
          <w:u w:val="single"/>
        </w:rPr>
        <w:lastRenderedPageBreak/>
        <w:t xml:space="preserve">513 </w:t>
      </w:r>
      <w:r w:rsidR="0076338F">
        <w:rPr>
          <w:rFonts w:ascii="Garamond" w:hAnsi="Garamond"/>
          <w:sz w:val="24"/>
          <w:szCs w:val="24"/>
          <w:u w:val="single"/>
        </w:rPr>
        <w:t>-</w:t>
      </w:r>
      <w:r w:rsidRPr="0076338F">
        <w:rPr>
          <w:rFonts w:ascii="Garamond" w:hAnsi="Garamond"/>
          <w:sz w:val="24"/>
          <w:szCs w:val="24"/>
          <w:u w:val="single"/>
        </w:rPr>
        <w:t xml:space="preserve"> Nákup materiálu,</w:t>
      </w:r>
      <w:r w:rsidRPr="0076338F">
        <w:rPr>
          <w:rFonts w:ascii="Garamond" w:hAnsi="Garamond"/>
          <w:sz w:val="24"/>
          <w:szCs w:val="24"/>
        </w:rPr>
        <w:t xml:space="preserve"> skutečné čerpání k 31.12.202</w:t>
      </w:r>
      <w:r w:rsidR="001F1AE9">
        <w:rPr>
          <w:rFonts w:ascii="Garamond" w:hAnsi="Garamond"/>
          <w:sz w:val="24"/>
          <w:szCs w:val="24"/>
        </w:rPr>
        <w:t>5</w:t>
      </w:r>
      <w:r w:rsidRPr="0076338F">
        <w:rPr>
          <w:rFonts w:ascii="Garamond" w:hAnsi="Garamond"/>
          <w:sz w:val="24"/>
          <w:szCs w:val="24"/>
        </w:rPr>
        <w:t xml:space="preserve"> činí </w:t>
      </w:r>
      <w:r w:rsidR="001F1AE9">
        <w:rPr>
          <w:rFonts w:ascii="Garamond" w:hAnsi="Garamond"/>
          <w:sz w:val="24"/>
          <w:szCs w:val="24"/>
        </w:rPr>
        <w:t>8 273,86</w:t>
      </w:r>
      <w:r w:rsidRPr="0076338F">
        <w:rPr>
          <w:rFonts w:ascii="Garamond" w:hAnsi="Garamond"/>
          <w:sz w:val="24"/>
          <w:szCs w:val="24"/>
        </w:rPr>
        <w:t xml:space="preserve"> tis. Kč, konečný rozpočet činí </w:t>
      </w:r>
      <w:r w:rsidR="001F1AE9">
        <w:rPr>
          <w:rFonts w:ascii="Garamond" w:hAnsi="Garamond"/>
          <w:sz w:val="24"/>
          <w:szCs w:val="24"/>
        </w:rPr>
        <w:t>9 847,33</w:t>
      </w:r>
      <w:r w:rsidRPr="0076338F">
        <w:rPr>
          <w:rFonts w:ascii="Garamond" w:hAnsi="Garamond"/>
          <w:sz w:val="24"/>
          <w:szCs w:val="24"/>
        </w:rPr>
        <w:t xml:space="preserve"> tis. Kč, tj. </w:t>
      </w:r>
      <w:r w:rsidR="001F1AE9">
        <w:rPr>
          <w:rFonts w:ascii="Garamond" w:hAnsi="Garamond"/>
          <w:sz w:val="24"/>
          <w:szCs w:val="24"/>
        </w:rPr>
        <w:t>84,02</w:t>
      </w:r>
      <w:r w:rsidRPr="0076338F">
        <w:rPr>
          <w:rFonts w:ascii="Garamond" w:hAnsi="Garamond"/>
          <w:sz w:val="24"/>
          <w:szCs w:val="24"/>
        </w:rPr>
        <w:t xml:space="preserve"> %. Mezi nejvýznamnější výdaje tohoto podseskupení patří nákupy výpočetní techniky (počítače,</w:t>
      </w:r>
      <w:r w:rsidR="005C271A">
        <w:rPr>
          <w:rFonts w:ascii="Garamond" w:hAnsi="Garamond"/>
          <w:sz w:val="24"/>
          <w:szCs w:val="24"/>
        </w:rPr>
        <w:t xml:space="preserve"> </w:t>
      </w:r>
      <w:r w:rsidR="00EB6EF5">
        <w:rPr>
          <w:rFonts w:ascii="Garamond" w:hAnsi="Garamond"/>
          <w:sz w:val="24"/>
          <w:szCs w:val="24"/>
        </w:rPr>
        <w:t xml:space="preserve">monitory, </w:t>
      </w:r>
      <w:r w:rsidR="00E25341">
        <w:rPr>
          <w:rFonts w:ascii="Garamond" w:hAnsi="Garamond"/>
          <w:sz w:val="24"/>
          <w:szCs w:val="24"/>
        </w:rPr>
        <w:t>notebooky,</w:t>
      </w:r>
      <w:r w:rsidRPr="0076338F">
        <w:rPr>
          <w:rFonts w:ascii="Garamond" w:hAnsi="Garamond"/>
          <w:sz w:val="24"/>
          <w:szCs w:val="24"/>
        </w:rPr>
        <w:t xml:space="preserve"> klávesnice k PC), pořízení pneu pro služební vozidlo, nákupy kancelářského papíru, kancelářského materiálu, tonerů, čisticích prostředků, spisových obalů. </w:t>
      </w:r>
      <w:r w:rsidR="00A813D6">
        <w:rPr>
          <w:rFonts w:ascii="Garamond" w:hAnsi="Garamond"/>
          <w:sz w:val="24"/>
          <w:szCs w:val="24"/>
        </w:rPr>
        <w:t>V </w:t>
      </w:r>
      <w:r w:rsidR="001F1AE9">
        <w:rPr>
          <w:rFonts w:ascii="Garamond" w:hAnsi="Garamond"/>
          <w:sz w:val="24"/>
          <w:szCs w:val="24"/>
        </w:rPr>
        <w:t>roce</w:t>
      </w:r>
      <w:r w:rsidR="00A813D6">
        <w:rPr>
          <w:rFonts w:ascii="Garamond" w:hAnsi="Garamond"/>
          <w:sz w:val="24"/>
          <w:szCs w:val="24"/>
        </w:rPr>
        <w:t xml:space="preserve"> 202</w:t>
      </w:r>
      <w:r w:rsidR="001F1AE9">
        <w:rPr>
          <w:rFonts w:ascii="Garamond" w:hAnsi="Garamond"/>
          <w:sz w:val="24"/>
          <w:szCs w:val="24"/>
        </w:rPr>
        <w:t>5</w:t>
      </w:r>
      <w:r w:rsidR="00A813D6">
        <w:rPr>
          <w:rFonts w:ascii="Garamond" w:hAnsi="Garamond"/>
          <w:sz w:val="24"/>
          <w:szCs w:val="24"/>
        </w:rPr>
        <w:t xml:space="preserve"> </w:t>
      </w:r>
      <w:r w:rsidR="001F1AE9">
        <w:rPr>
          <w:rFonts w:ascii="Garamond" w:hAnsi="Garamond"/>
          <w:sz w:val="24"/>
          <w:szCs w:val="24"/>
        </w:rPr>
        <w:t>čerpání</w:t>
      </w:r>
      <w:r w:rsidR="00A813D6">
        <w:rPr>
          <w:rFonts w:ascii="Garamond" w:hAnsi="Garamond"/>
          <w:sz w:val="24"/>
          <w:szCs w:val="24"/>
        </w:rPr>
        <w:t xml:space="preserve"> rozpočtu OI s účelem 243980057 ve výši 6 056,-</w:t>
      </w:r>
      <w:r w:rsidR="00EB6EF5">
        <w:rPr>
          <w:rFonts w:ascii="Garamond" w:hAnsi="Garamond"/>
          <w:sz w:val="24"/>
          <w:szCs w:val="24"/>
        </w:rPr>
        <w:t xml:space="preserve"> </w:t>
      </w:r>
      <w:r w:rsidR="00A813D6">
        <w:rPr>
          <w:rFonts w:ascii="Garamond" w:hAnsi="Garamond"/>
          <w:sz w:val="24"/>
          <w:szCs w:val="24"/>
        </w:rPr>
        <w:t>tis.</w:t>
      </w:r>
      <w:r w:rsidR="00EB6EF5">
        <w:rPr>
          <w:rFonts w:ascii="Garamond" w:hAnsi="Garamond"/>
          <w:sz w:val="24"/>
          <w:szCs w:val="24"/>
        </w:rPr>
        <w:t xml:space="preserve"> </w:t>
      </w:r>
      <w:r w:rsidR="00A813D6">
        <w:rPr>
          <w:rFonts w:ascii="Garamond" w:hAnsi="Garamond"/>
          <w:sz w:val="24"/>
          <w:szCs w:val="24"/>
        </w:rPr>
        <w:t xml:space="preserve">Kč </w:t>
      </w:r>
      <w:r w:rsidR="00EB6EF5">
        <w:rPr>
          <w:rFonts w:ascii="Garamond" w:hAnsi="Garamond"/>
          <w:sz w:val="24"/>
          <w:szCs w:val="24"/>
        </w:rPr>
        <w:t>n</w:t>
      </w:r>
      <w:r w:rsidR="00A813D6">
        <w:rPr>
          <w:rFonts w:ascii="Garamond" w:hAnsi="Garamond"/>
          <w:sz w:val="24"/>
          <w:szCs w:val="24"/>
        </w:rPr>
        <w:t xml:space="preserve">a nákup počítačů </w:t>
      </w:r>
      <w:r w:rsidR="001F1AE9">
        <w:rPr>
          <w:rFonts w:ascii="Garamond" w:hAnsi="Garamond"/>
          <w:sz w:val="24"/>
          <w:szCs w:val="24"/>
        </w:rPr>
        <w:t>a notebooků z prostředků zaslaných v prosinci 2024.</w:t>
      </w:r>
      <w:r w:rsidR="0014261C">
        <w:rPr>
          <w:rFonts w:ascii="Garamond" w:hAnsi="Garamond"/>
          <w:sz w:val="24"/>
          <w:szCs w:val="24"/>
        </w:rPr>
        <w:t xml:space="preserve"> </w:t>
      </w:r>
      <w:r w:rsidRPr="006F4392">
        <w:rPr>
          <w:rFonts w:ascii="Garamond" w:hAnsi="Garamond"/>
          <w:sz w:val="24"/>
          <w:szCs w:val="24"/>
        </w:rPr>
        <w:t>V roce 202</w:t>
      </w:r>
      <w:r w:rsidR="001F1AE9">
        <w:rPr>
          <w:rFonts w:ascii="Garamond" w:hAnsi="Garamond"/>
          <w:sz w:val="24"/>
          <w:szCs w:val="24"/>
        </w:rPr>
        <w:t>4</w:t>
      </w:r>
      <w:r w:rsidRPr="006F4392">
        <w:rPr>
          <w:rFonts w:ascii="Garamond" w:hAnsi="Garamond"/>
          <w:sz w:val="24"/>
          <w:szCs w:val="24"/>
        </w:rPr>
        <w:t xml:space="preserve"> činilo skutečné čerpání </w:t>
      </w:r>
      <w:r w:rsidR="001F1AE9">
        <w:rPr>
          <w:rFonts w:ascii="Garamond" w:hAnsi="Garamond"/>
          <w:sz w:val="24"/>
          <w:szCs w:val="24"/>
        </w:rPr>
        <w:t>6 966,34</w:t>
      </w:r>
      <w:r w:rsidR="003E79FE">
        <w:rPr>
          <w:rFonts w:ascii="Garamond" w:hAnsi="Garamond"/>
          <w:sz w:val="24"/>
          <w:szCs w:val="24"/>
        </w:rPr>
        <w:t xml:space="preserve"> </w:t>
      </w:r>
      <w:r w:rsidRPr="006F4392">
        <w:rPr>
          <w:rFonts w:ascii="Garamond" w:hAnsi="Garamond"/>
          <w:sz w:val="24"/>
          <w:szCs w:val="24"/>
        </w:rPr>
        <w:t>tis.</w:t>
      </w:r>
      <w:r w:rsidR="003E79FE">
        <w:rPr>
          <w:rFonts w:ascii="Garamond" w:hAnsi="Garamond"/>
          <w:sz w:val="24"/>
          <w:szCs w:val="24"/>
        </w:rPr>
        <w:t xml:space="preserve"> </w:t>
      </w:r>
      <w:r w:rsidRPr="006F4392">
        <w:rPr>
          <w:rFonts w:ascii="Garamond" w:hAnsi="Garamond"/>
          <w:sz w:val="24"/>
          <w:szCs w:val="24"/>
        </w:rPr>
        <w:t xml:space="preserve">Kč (nákupy </w:t>
      </w:r>
      <w:r w:rsidR="00A813D6" w:rsidRPr="006F4392">
        <w:rPr>
          <w:rFonts w:ascii="Garamond" w:hAnsi="Garamond"/>
          <w:sz w:val="24"/>
          <w:szCs w:val="24"/>
        </w:rPr>
        <w:t>menšího</w:t>
      </w:r>
      <w:r w:rsidRPr="006F4392">
        <w:rPr>
          <w:rFonts w:ascii="Garamond" w:hAnsi="Garamond"/>
          <w:sz w:val="24"/>
          <w:szCs w:val="24"/>
        </w:rPr>
        <w:t xml:space="preserve"> </w:t>
      </w:r>
      <w:proofErr w:type="gramStart"/>
      <w:r w:rsidRPr="006F4392">
        <w:rPr>
          <w:rFonts w:ascii="Garamond" w:hAnsi="Garamond"/>
          <w:sz w:val="24"/>
          <w:szCs w:val="24"/>
        </w:rPr>
        <w:t>množství  počítačů</w:t>
      </w:r>
      <w:proofErr w:type="gramEnd"/>
      <w:r w:rsidRPr="006F4392">
        <w:rPr>
          <w:rFonts w:ascii="Garamond" w:hAnsi="Garamond"/>
          <w:sz w:val="24"/>
          <w:szCs w:val="24"/>
        </w:rPr>
        <w:t>).</w:t>
      </w:r>
    </w:p>
    <w:p w14:paraId="7F0235ED" w14:textId="20A464DF" w:rsidR="00031A2C" w:rsidRPr="006F4392" w:rsidRDefault="00031A2C" w:rsidP="0076338F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6338F">
        <w:rPr>
          <w:rFonts w:ascii="Garamond" w:hAnsi="Garamond"/>
          <w:sz w:val="24"/>
          <w:szCs w:val="24"/>
          <w:u w:val="single"/>
        </w:rPr>
        <w:t xml:space="preserve">515 </w:t>
      </w:r>
      <w:r w:rsidR="0076338F">
        <w:rPr>
          <w:rFonts w:ascii="Garamond" w:hAnsi="Garamond"/>
          <w:sz w:val="24"/>
          <w:szCs w:val="24"/>
          <w:u w:val="single"/>
        </w:rPr>
        <w:t>-</w:t>
      </w:r>
      <w:r w:rsidRPr="0076338F">
        <w:rPr>
          <w:rFonts w:ascii="Garamond" w:hAnsi="Garamond"/>
          <w:sz w:val="24"/>
          <w:szCs w:val="24"/>
          <w:u w:val="single"/>
        </w:rPr>
        <w:t xml:space="preserve"> Nákup vody, paliv a energie,</w:t>
      </w:r>
      <w:r w:rsidRPr="0076338F">
        <w:rPr>
          <w:rFonts w:ascii="Garamond" w:hAnsi="Garamond"/>
          <w:sz w:val="24"/>
          <w:szCs w:val="24"/>
        </w:rPr>
        <w:t xml:space="preserve"> skutečné čerpání k 31.12.202</w:t>
      </w:r>
      <w:r w:rsidR="001F1AE9">
        <w:rPr>
          <w:rFonts w:ascii="Garamond" w:hAnsi="Garamond"/>
          <w:sz w:val="24"/>
          <w:szCs w:val="24"/>
        </w:rPr>
        <w:t>5</w:t>
      </w:r>
      <w:r w:rsidRPr="0076338F">
        <w:rPr>
          <w:rFonts w:ascii="Garamond" w:hAnsi="Garamond"/>
          <w:sz w:val="24"/>
          <w:szCs w:val="24"/>
        </w:rPr>
        <w:t xml:space="preserve"> činí 4</w:t>
      </w:r>
      <w:r w:rsidR="001F1AE9">
        <w:rPr>
          <w:rFonts w:ascii="Garamond" w:hAnsi="Garamond"/>
          <w:sz w:val="24"/>
          <w:szCs w:val="24"/>
        </w:rPr>
        <w:t> </w:t>
      </w:r>
      <w:r w:rsidR="006F4392">
        <w:rPr>
          <w:rFonts w:ascii="Garamond" w:hAnsi="Garamond"/>
          <w:sz w:val="24"/>
          <w:szCs w:val="24"/>
        </w:rPr>
        <w:t>89</w:t>
      </w:r>
      <w:r w:rsidR="001F1AE9">
        <w:rPr>
          <w:rFonts w:ascii="Garamond" w:hAnsi="Garamond"/>
          <w:sz w:val="24"/>
          <w:szCs w:val="24"/>
        </w:rPr>
        <w:t>0,87</w:t>
      </w:r>
      <w:r w:rsidRPr="0076338F">
        <w:rPr>
          <w:rFonts w:ascii="Garamond" w:hAnsi="Garamond"/>
          <w:sz w:val="24"/>
          <w:szCs w:val="24"/>
        </w:rPr>
        <w:t xml:space="preserve"> tis. Kč, konečný rozpočet činí 5</w:t>
      </w:r>
      <w:r w:rsidR="001F1AE9">
        <w:rPr>
          <w:rFonts w:ascii="Garamond" w:hAnsi="Garamond"/>
          <w:sz w:val="24"/>
          <w:szCs w:val="24"/>
        </w:rPr>
        <w:t> </w:t>
      </w:r>
      <w:r w:rsidR="006F4392">
        <w:rPr>
          <w:rFonts w:ascii="Garamond" w:hAnsi="Garamond"/>
          <w:sz w:val="24"/>
          <w:szCs w:val="24"/>
        </w:rPr>
        <w:t>3</w:t>
      </w:r>
      <w:r w:rsidR="001F1AE9">
        <w:rPr>
          <w:rFonts w:ascii="Garamond" w:hAnsi="Garamond"/>
          <w:sz w:val="24"/>
          <w:szCs w:val="24"/>
        </w:rPr>
        <w:t>72,98</w:t>
      </w:r>
      <w:r w:rsidRPr="0076338F">
        <w:rPr>
          <w:rFonts w:ascii="Garamond" w:hAnsi="Garamond"/>
          <w:sz w:val="24"/>
          <w:szCs w:val="24"/>
        </w:rPr>
        <w:t xml:space="preserve"> tis. Kč, tj. </w:t>
      </w:r>
      <w:r w:rsidR="006F4392">
        <w:rPr>
          <w:rFonts w:ascii="Garamond" w:hAnsi="Garamond"/>
          <w:sz w:val="24"/>
          <w:szCs w:val="24"/>
        </w:rPr>
        <w:t>91,</w:t>
      </w:r>
      <w:r w:rsidR="001F1AE9">
        <w:rPr>
          <w:rFonts w:ascii="Garamond" w:hAnsi="Garamond"/>
          <w:sz w:val="24"/>
          <w:szCs w:val="24"/>
        </w:rPr>
        <w:t>03</w:t>
      </w:r>
      <w:r w:rsidRPr="0076338F">
        <w:rPr>
          <w:rFonts w:ascii="Garamond" w:hAnsi="Garamond"/>
          <w:sz w:val="24"/>
          <w:szCs w:val="24"/>
        </w:rPr>
        <w:t xml:space="preserve"> %. Mezi výdaje tohoto seskupení patří zálohové platby na dodávku vody, tepla, elektrické energie. Dále nákup pohonných </w:t>
      </w:r>
      <w:proofErr w:type="gramStart"/>
      <w:r w:rsidRPr="0076338F">
        <w:rPr>
          <w:rFonts w:ascii="Garamond" w:hAnsi="Garamond"/>
          <w:sz w:val="24"/>
          <w:szCs w:val="24"/>
        </w:rPr>
        <w:t>hmot</w:t>
      </w:r>
      <w:r w:rsidR="008011F8">
        <w:rPr>
          <w:rFonts w:ascii="Garamond" w:hAnsi="Garamond"/>
          <w:sz w:val="24"/>
          <w:szCs w:val="24"/>
        </w:rPr>
        <w:t>- nižší</w:t>
      </w:r>
      <w:proofErr w:type="gramEnd"/>
      <w:r w:rsidR="008011F8">
        <w:rPr>
          <w:rFonts w:ascii="Garamond" w:hAnsi="Garamond"/>
          <w:sz w:val="24"/>
          <w:szCs w:val="24"/>
        </w:rPr>
        <w:t xml:space="preserve"> o 75,- tis Kč oproti roku 2024</w:t>
      </w:r>
      <w:r w:rsidRPr="006F4392">
        <w:rPr>
          <w:rFonts w:ascii="Garamond" w:hAnsi="Garamond"/>
          <w:sz w:val="24"/>
          <w:szCs w:val="24"/>
        </w:rPr>
        <w:t>. V roce 202</w:t>
      </w:r>
      <w:r w:rsidR="001F1AE9">
        <w:rPr>
          <w:rFonts w:ascii="Garamond" w:hAnsi="Garamond"/>
          <w:sz w:val="24"/>
          <w:szCs w:val="24"/>
        </w:rPr>
        <w:t>4</w:t>
      </w:r>
      <w:r w:rsidRPr="006F4392">
        <w:rPr>
          <w:rFonts w:ascii="Garamond" w:hAnsi="Garamond"/>
          <w:sz w:val="24"/>
          <w:szCs w:val="24"/>
        </w:rPr>
        <w:t xml:space="preserve"> činilo skutečné čerpání </w:t>
      </w:r>
      <w:r w:rsidR="006F4392" w:rsidRPr="006F4392">
        <w:rPr>
          <w:rFonts w:ascii="Garamond" w:hAnsi="Garamond"/>
          <w:sz w:val="24"/>
          <w:szCs w:val="24"/>
        </w:rPr>
        <w:t>4</w:t>
      </w:r>
      <w:r w:rsidR="001F1AE9">
        <w:rPr>
          <w:rFonts w:ascii="Garamond" w:hAnsi="Garamond"/>
          <w:sz w:val="24"/>
          <w:szCs w:val="24"/>
        </w:rPr>
        <w:t> 859,32</w:t>
      </w:r>
      <w:r w:rsidR="006F4392" w:rsidRPr="006F4392">
        <w:rPr>
          <w:rFonts w:ascii="Garamond" w:hAnsi="Garamond"/>
          <w:sz w:val="24"/>
          <w:szCs w:val="24"/>
        </w:rPr>
        <w:t xml:space="preserve"> </w:t>
      </w:r>
      <w:r w:rsidRPr="006F4392">
        <w:rPr>
          <w:rFonts w:ascii="Garamond" w:hAnsi="Garamond"/>
          <w:sz w:val="24"/>
          <w:szCs w:val="24"/>
        </w:rPr>
        <w:t>tis. Kč</w:t>
      </w:r>
      <w:r w:rsidR="00846DFC">
        <w:rPr>
          <w:rFonts w:ascii="Garamond" w:hAnsi="Garamond"/>
          <w:sz w:val="24"/>
          <w:szCs w:val="24"/>
        </w:rPr>
        <w:t xml:space="preserve"> – </w:t>
      </w:r>
      <w:r w:rsidR="00846DFC" w:rsidRPr="008011F8">
        <w:rPr>
          <w:rFonts w:ascii="Garamond" w:hAnsi="Garamond"/>
          <w:sz w:val="24"/>
          <w:szCs w:val="24"/>
        </w:rPr>
        <w:t>v roce 202</w:t>
      </w:r>
      <w:r w:rsidR="008011F8">
        <w:rPr>
          <w:rFonts w:ascii="Garamond" w:hAnsi="Garamond"/>
          <w:sz w:val="24"/>
          <w:szCs w:val="24"/>
        </w:rPr>
        <w:t>5</w:t>
      </w:r>
      <w:r w:rsidR="00846DFC" w:rsidRPr="008011F8">
        <w:rPr>
          <w:rFonts w:ascii="Garamond" w:hAnsi="Garamond"/>
          <w:sz w:val="24"/>
          <w:szCs w:val="24"/>
        </w:rPr>
        <w:t xml:space="preserve"> </w:t>
      </w:r>
      <w:r w:rsidR="008011F8">
        <w:rPr>
          <w:rFonts w:ascii="Garamond" w:hAnsi="Garamond"/>
          <w:sz w:val="24"/>
          <w:szCs w:val="24"/>
        </w:rPr>
        <w:t>nižší</w:t>
      </w:r>
      <w:r w:rsidR="00846DFC" w:rsidRPr="008011F8">
        <w:rPr>
          <w:rFonts w:ascii="Garamond" w:hAnsi="Garamond"/>
          <w:sz w:val="24"/>
          <w:szCs w:val="24"/>
        </w:rPr>
        <w:t xml:space="preserve"> náklady na elektrickou energii o </w:t>
      </w:r>
      <w:r w:rsidR="008011F8">
        <w:rPr>
          <w:rFonts w:ascii="Garamond" w:hAnsi="Garamond"/>
          <w:sz w:val="24"/>
          <w:szCs w:val="24"/>
        </w:rPr>
        <w:t>106</w:t>
      </w:r>
      <w:r w:rsidR="00846DFC" w:rsidRPr="008011F8">
        <w:rPr>
          <w:rFonts w:ascii="Garamond" w:hAnsi="Garamond"/>
          <w:sz w:val="24"/>
          <w:szCs w:val="24"/>
        </w:rPr>
        <w:t>,- tis.</w:t>
      </w:r>
      <w:r w:rsidR="0014261C">
        <w:rPr>
          <w:rFonts w:ascii="Garamond" w:hAnsi="Garamond"/>
          <w:sz w:val="24"/>
          <w:szCs w:val="24"/>
        </w:rPr>
        <w:t xml:space="preserve"> </w:t>
      </w:r>
      <w:r w:rsidR="00846DFC" w:rsidRPr="008011F8">
        <w:rPr>
          <w:rFonts w:ascii="Garamond" w:hAnsi="Garamond"/>
          <w:sz w:val="24"/>
          <w:szCs w:val="24"/>
        </w:rPr>
        <w:t>Kč oproti roku 202</w:t>
      </w:r>
      <w:r w:rsidR="008011F8">
        <w:rPr>
          <w:rFonts w:ascii="Garamond" w:hAnsi="Garamond"/>
          <w:sz w:val="24"/>
          <w:szCs w:val="24"/>
        </w:rPr>
        <w:t>4</w:t>
      </w:r>
      <w:r w:rsidRPr="008011F8">
        <w:rPr>
          <w:rFonts w:ascii="Garamond" w:hAnsi="Garamond"/>
          <w:sz w:val="24"/>
          <w:szCs w:val="24"/>
        </w:rPr>
        <w:t xml:space="preserve">. </w:t>
      </w:r>
      <w:r w:rsidR="00EB6EF5" w:rsidRPr="008011F8">
        <w:rPr>
          <w:rFonts w:ascii="Garamond" w:hAnsi="Garamond"/>
          <w:sz w:val="24"/>
          <w:szCs w:val="24"/>
        </w:rPr>
        <w:t xml:space="preserve">Spotřeba v MWh obdobná jako v minulých letech, </w:t>
      </w:r>
      <w:r w:rsidR="008011F8">
        <w:rPr>
          <w:rFonts w:ascii="Garamond" w:hAnsi="Garamond"/>
          <w:sz w:val="24"/>
          <w:szCs w:val="24"/>
        </w:rPr>
        <w:t>nižší</w:t>
      </w:r>
      <w:r w:rsidR="00340F91" w:rsidRPr="008011F8">
        <w:rPr>
          <w:rFonts w:ascii="Garamond" w:hAnsi="Garamond"/>
          <w:sz w:val="24"/>
          <w:szCs w:val="24"/>
        </w:rPr>
        <w:t xml:space="preserve"> </w:t>
      </w:r>
      <w:r w:rsidR="00EB6EF5" w:rsidRPr="008011F8">
        <w:rPr>
          <w:rFonts w:ascii="Garamond" w:hAnsi="Garamond"/>
          <w:sz w:val="24"/>
          <w:szCs w:val="24"/>
        </w:rPr>
        <w:t>nárůst ceny na burze</w:t>
      </w:r>
      <w:r w:rsidR="00340F91" w:rsidRPr="008011F8">
        <w:rPr>
          <w:rFonts w:ascii="Garamond" w:hAnsi="Garamond"/>
          <w:sz w:val="24"/>
          <w:szCs w:val="24"/>
        </w:rPr>
        <w:t xml:space="preserve"> pro rok 2024</w:t>
      </w:r>
      <w:r w:rsidR="004D4DC2" w:rsidRPr="008011F8">
        <w:rPr>
          <w:rFonts w:ascii="Garamond" w:hAnsi="Garamond"/>
          <w:sz w:val="24"/>
          <w:szCs w:val="24"/>
        </w:rPr>
        <w:t>.</w:t>
      </w:r>
    </w:p>
    <w:p w14:paraId="12DBBDCF" w14:textId="6F68C980" w:rsidR="00031A2C" w:rsidRPr="0076338F" w:rsidRDefault="00031A2C" w:rsidP="0076338F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76338F">
        <w:rPr>
          <w:rFonts w:ascii="Garamond" w:hAnsi="Garamond"/>
          <w:sz w:val="24"/>
          <w:szCs w:val="24"/>
          <w:u w:val="single"/>
        </w:rPr>
        <w:t>516</w:t>
      </w:r>
      <w:r w:rsidR="0076338F">
        <w:rPr>
          <w:rFonts w:ascii="Garamond" w:hAnsi="Garamond"/>
          <w:sz w:val="24"/>
          <w:szCs w:val="24"/>
          <w:u w:val="single"/>
        </w:rPr>
        <w:t xml:space="preserve"> -</w:t>
      </w:r>
      <w:r w:rsidRPr="0076338F">
        <w:rPr>
          <w:rFonts w:ascii="Garamond" w:hAnsi="Garamond"/>
          <w:sz w:val="24"/>
          <w:szCs w:val="24"/>
          <w:u w:val="single"/>
        </w:rPr>
        <w:t xml:space="preserve"> Nákup služeb,</w:t>
      </w:r>
      <w:r w:rsidRPr="0076338F">
        <w:rPr>
          <w:rFonts w:ascii="Garamond" w:hAnsi="Garamond"/>
          <w:sz w:val="24"/>
          <w:szCs w:val="24"/>
        </w:rPr>
        <w:t xml:space="preserve"> skutečné čerpání k 31.12.202</w:t>
      </w:r>
      <w:r w:rsidR="001F1AE9">
        <w:rPr>
          <w:rFonts w:ascii="Garamond" w:hAnsi="Garamond"/>
          <w:sz w:val="24"/>
          <w:szCs w:val="24"/>
        </w:rPr>
        <w:t>5</w:t>
      </w:r>
      <w:r w:rsidRPr="0076338F">
        <w:rPr>
          <w:rFonts w:ascii="Garamond" w:hAnsi="Garamond"/>
          <w:sz w:val="24"/>
          <w:szCs w:val="24"/>
        </w:rPr>
        <w:t xml:space="preserve"> 2 činí </w:t>
      </w:r>
      <w:r w:rsidR="001F1AE9">
        <w:rPr>
          <w:rFonts w:ascii="Garamond" w:hAnsi="Garamond"/>
          <w:sz w:val="24"/>
          <w:szCs w:val="24"/>
        </w:rPr>
        <w:t>8 396,74</w:t>
      </w:r>
      <w:r w:rsidRPr="0076338F">
        <w:rPr>
          <w:rFonts w:ascii="Garamond" w:hAnsi="Garamond"/>
          <w:sz w:val="24"/>
          <w:szCs w:val="24"/>
        </w:rPr>
        <w:t xml:space="preserve"> </w:t>
      </w:r>
      <w:r w:rsidR="006F4392">
        <w:rPr>
          <w:rFonts w:ascii="Garamond" w:hAnsi="Garamond"/>
          <w:sz w:val="24"/>
          <w:szCs w:val="24"/>
        </w:rPr>
        <w:t>tis.</w:t>
      </w:r>
      <w:r w:rsidR="0014261C">
        <w:rPr>
          <w:rFonts w:ascii="Garamond" w:hAnsi="Garamond"/>
          <w:sz w:val="24"/>
          <w:szCs w:val="24"/>
        </w:rPr>
        <w:t xml:space="preserve"> </w:t>
      </w:r>
      <w:r w:rsidRPr="0076338F">
        <w:rPr>
          <w:rFonts w:ascii="Garamond" w:hAnsi="Garamond"/>
          <w:sz w:val="24"/>
          <w:szCs w:val="24"/>
        </w:rPr>
        <w:t xml:space="preserve">Kč, konečný rozpočet </w:t>
      </w:r>
      <w:r w:rsidR="001F1AE9">
        <w:rPr>
          <w:rFonts w:ascii="Garamond" w:hAnsi="Garamond"/>
          <w:sz w:val="24"/>
          <w:szCs w:val="24"/>
        </w:rPr>
        <w:t>8 814,83</w:t>
      </w:r>
      <w:r w:rsidRPr="0076338F">
        <w:rPr>
          <w:rFonts w:ascii="Garamond" w:hAnsi="Garamond"/>
          <w:sz w:val="24"/>
          <w:szCs w:val="24"/>
        </w:rPr>
        <w:t xml:space="preserve"> tis. Kč, tj. </w:t>
      </w:r>
      <w:r w:rsidR="0062268A">
        <w:rPr>
          <w:rFonts w:ascii="Garamond" w:hAnsi="Garamond"/>
          <w:sz w:val="24"/>
          <w:szCs w:val="24"/>
        </w:rPr>
        <w:t>95,26</w:t>
      </w:r>
      <w:r w:rsidRPr="0076338F">
        <w:rPr>
          <w:rFonts w:ascii="Garamond" w:hAnsi="Garamond"/>
          <w:sz w:val="24"/>
          <w:szCs w:val="24"/>
        </w:rPr>
        <w:t xml:space="preserve"> %. V roce 202</w:t>
      </w:r>
      <w:r w:rsidR="0062268A">
        <w:rPr>
          <w:rFonts w:ascii="Garamond" w:hAnsi="Garamond"/>
          <w:sz w:val="24"/>
          <w:szCs w:val="24"/>
        </w:rPr>
        <w:t>4</w:t>
      </w:r>
      <w:r w:rsidRPr="0076338F">
        <w:rPr>
          <w:rFonts w:ascii="Garamond" w:hAnsi="Garamond"/>
          <w:sz w:val="24"/>
          <w:szCs w:val="24"/>
        </w:rPr>
        <w:t xml:space="preserve"> činilo skutečné čerpání </w:t>
      </w:r>
      <w:r w:rsidR="006F4392" w:rsidRPr="0076338F">
        <w:rPr>
          <w:rFonts w:ascii="Garamond" w:hAnsi="Garamond"/>
          <w:sz w:val="24"/>
          <w:szCs w:val="24"/>
        </w:rPr>
        <w:t>7</w:t>
      </w:r>
      <w:r w:rsidR="0062268A">
        <w:rPr>
          <w:rFonts w:ascii="Garamond" w:hAnsi="Garamond"/>
          <w:sz w:val="24"/>
          <w:szCs w:val="24"/>
        </w:rPr>
        <w:t> 029,36</w:t>
      </w:r>
      <w:r w:rsidR="006F4392">
        <w:rPr>
          <w:rFonts w:ascii="Garamond" w:hAnsi="Garamond"/>
          <w:sz w:val="24"/>
          <w:szCs w:val="24"/>
        </w:rPr>
        <w:t xml:space="preserve"> tis.</w:t>
      </w:r>
      <w:r w:rsidR="006F4392" w:rsidRPr="0076338F">
        <w:rPr>
          <w:rFonts w:ascii="Garamond" w:hAnsi="Garamond"/>
          <w:sz w:val="24"/>
          <w:szCs w:val="24"/>
        </w:rPr>
        <w:t xml:space="preserve"> Kč</w:t>
      </w:r>
      <w:r w:rsidR="006F4392">
        <w:rPr>
          <w:rFonts w:ascii="Garamond" w:hAnsi="Garamond"/>
          <w:sz w:val="24"/>
          <w:szCs w:val="24"/>
        </w:rPr>
        <w:t>.</w:t>
      </w:r>
      <w:r w:rsidRPr="0076338F">
        <w:rPr>
          <w:rFonts w:ascii="Garamond" w:hAnsi="Garamond"/>
          <w:sz w:val="24"/>
          <w:szCs w:val="24"/>
        </w:rPr>
        <w:t xml:space="preserve"> V roce 202</w:t>
      </w:r>
      <w:r w:rsidR="0062268A">
        <w:rPr>
          <w:rFonts w:ascii="Garamond" w:hAnsi="Garamond"/>
          <w:sz w:val="24"/>
          <w:szCs w:val="24"/>
        </w:rPr>
        <w:t>5</w:t>
      </w:r>
      <w:r w:rsidRPr="0076338F">
        <w:rPr>
          <w:rFonts w:ascii="Garamond" w:hAnsi="Garamond"/>
          <w:sz w:val="24"/>
          <w:szCs w:val="24"/>
        </w:rPr>
        <w:t xml:space="preserve"> se zde promítlo zvýšení cen poštovních služeb</w:t>
      </w:r>
      <w:r w:rsidR="0062268A">
        <w:rPr>
          <w:rFonts w:ascii="Garamond" w:hAnsi="Garamond"/>
          <w:sz w:val="24"/>
          <w:szCs w:val="24"/>
        </w:rPr>
        <w:t xml:space="preserve"> a služeb souvisejících s ICT</w:t>
      </w:r>
      <w:r w:rsidRPr="0076338F">
        <w:rPr>
          <w:rFonts w:ascii="Garamond" w:hAnsi="Garamond"/>
          <w:sz w:val="24"/>
          <w:szCs w:val="24"/>
        </w:rPr>
        <w:t>.</w:t>
      </w:r>
    </w:p>
    <w:p w14:paraId="19CBFB7E" w14:textId="5CD0129A" w:rsidR="00CA29F8" w:rsidRDefault="00031A2C" w:rsidP="00DD136D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76338F">
        <w:rPr>
          <w:rFonts w:ascii="Garamond" w:hAnsi="Garamond"/>
          <w:sz w:val="24"/>
          <w:szCs w:val="24"/>
          <w:u w:val="single"/>
        </w:rPr>
        <w:t xml:space="preserve">517 </w:t>
      </w:r>
      <w:r w:rsidR="0076338F">
        <w:rPr>
          <w:rFonts w:ascii="Garamond" w:hAnsi="Garamond"/>
          <w:sz w:val="24"/>
          <w:szCs w:val="24"/>
          <w:u w:val="single"/>
        </w:rPr>
        <w:t>-</w:t>
      </w:r>
      <w:r w:rsidRPr="0076338F">
        <w:rPr>
          <w:rFonts w:ascii="Garamond" w:hAnsi="Garamond"/>
          <w:sz w:val="24"/>
          <w:szCs w:val="24"/>
          <w:u w:val="single"/>
        </w:rPr>
        <w:t xml:space="preserve"> Ostatní nákupy,</w:t>
      </w:r>
      <w:r w:rsidRPr="0076338F">
        <w:rPr>
          <w:rFonts w:ascii="Garamond" w:hAnsi="Garamond"/>
          <w:sz w:val="24"/>
          <w:szCs w:val="24"/>
        </w:rPr>
        <w:t xml:space="preserve"> skutečné čerpání k 31.12.202</w:t>
      </w:r>
      <w:r w:rsidR="0062268A">
        <w:rPr>
          <w:rFonts w:ascii="Garamond" w:hAnsi="Garamond"/>
          <w:sz w:val="24"/>
          <w:szCs w:val="24"/>
        </w:rPr>
        <w:t>5</w:t>
      </w:r>
      <w:r w:rsidRPr="0076338F">
        <w:rPr>
          <w:rFonts w:ascii="Garamond" w:hAnsi="Garamond"/>
          <w:sz w:val="24"/>
          <w:szCs w:val="24"/>
        </w:rPr>
        <w:t xml:space="preserve"> činí 1</w:t>
      </w:r>
      <w:r w:rsidR="0062268A">
        <w:rPr>
          <w:rFonts w:ascii="Garamond" w:hAnsi="Garamond"/>
          <w:sz w:val="24"/>
          <w:szCs w:val="24"/>
        </w:rPr>
        <w:t xml:space="preserve"> 086,98</w:t>
      </w:r>
      <w:r w:rsidRPr="0076338F">
        <w:rPr>
          <w:rFonts w:ascii="Garamond" w:hAnsi="Garamond"/>
          <w:sz w:val="24"/>
          <w:szCs w:val="24"/>
        </w:rPr>
        <w:t xml:space="preserve"> tis. Kč, konečný rozpočet</w:t>
      </w:r>
      <w:r w:rsidR="00DB41C7" w:rsidRPr="0076338F">
        <w:rPr>
          <w:rFonts w:ascii="Garamond" w:hAnsi="Garamond"/>
          <w:sz w:val="24"/>
          <w:szCs w:val="24"/>
        </w:rPr>
        <w:t xml:space="preserve"> </w:t>
      </w:r>
      <w:r w:rsidRPr="0076338F">
        <w:rPr>
          <w:rFonts w:ascii="Garamond" w:hAnsi="Garamond"/>
          <w:sz w:val="24"/>
          <w:szCs w:val="24"/>
        </w:rPr>
        <w:t>1</w:t>
      </w:r>
      <w:r w:rsidR="0062268A">
        <w:rPr>
          <w:rFonts w:ascii="Garamond" w:hAnsi="Garamond"/>
          <w:sz w:val="24"/>
          <w:szCs w:val="24"/>
        </w:rPr>
        <w:t> 234,08</w:t>
      </w:r>
      <w:r w:rsidRPr="0076338F">
        <w:rPr>
          <w:rFonts w:ascii="Garamond" w:hAnsi="Garamond"/>
          <w:sz w:val="24"/>
          <w:szCs w:val="24"/>
        </w:rPr>
        <w:t xml:space="preserve"> tis. Kč, tj. </w:t>
      </w:r>
      <w:r w:rsidR="006F4392">
        <w:rPr>
          <w:rFonts w:ascii="Garamond" w:hAnsi="Garamond"/>
          <w:sz w:val="24"/>
          <w:szCs w:val="24"/>
        </w:rPr>
        <w:t>8</w:t>
      </w:r>
      <w:r w:rsidR="0062268A">
        <w:rPr>
          <w:rFonts w:ascii="Garamond" w:hAnsi="Garamond"/>
          <w:sz w:val="24"/>
          <w:szCs w:val="24"/>
        </w:rPr>
        <w:t>8,08</w:t>
      </w:r>
      <w:r w:rsidRPr="0076338F">
        <w:rPr>
          <w:rFonts w:ascii="Garamond" w:hAnsi="Garamond"/>
          <w:sz w:val="24"/>
          <w:szCs w:val="24"/>
        </w:rPr>
        <w:t xml:space="preserve"> %. Čerpání v roce 202</w:t>
      </w:r>
      <w:r w:rsidR="0062268A">
        <w:rPr>
          <w:rFonts w:ascii="Garamond" w:hAnsi="Garamond"/>
          <w:sz w:val="24"/>
          <w:szCs w:val="24"/>
        </w:rPr>
        <w:t>4</w:t>
      </w:r>
      <w:r w:rsidRPr="0076338F">
        <w:rPr>
          <w:rFonts w:ascii="Garamond" w:hAnsi="Garamond"/>
          <w:sz w:val="24"/>
          <w:szCs w:val="24"/>
        </w:rPr>
        <w:t xml:space="preserve"> činilo </w:t>
      </w:r>
      <w:r w:rsidR="006F4392">
        <w:rPr>
          <w:rFonts w:ascii="Garamond" w:hAnsi="Garamond"/>
          <w:sz w:val="24"/>
          <w:szCs w:val="24"/>
        </w:rPr>
        <w:t>1</w:t>
      </w:r>
      <w:r w:rsidR="0062268A">
        <w:rPr>
          <w:rFonts w:ascii="Garamond" w:hAnsi="Garamond"/>
          <w:sz w:val="24"/>
          <w:szCs w:val="24"/>
        </w:rPr>
        <w:t> 245,44</w:t>
      </w:r>
      <w:r w:rsidRPr="0076338F">
        <w:rPr>
          <w:rFonts w:ascii="Garamond" w:hAnsi="Garamond"/>
          <w:sz w:val="24"/>
          <w:szCs w:val="24"/>
        </w:rPr>
        <w:t xml:space="preserve"> tis. </w:t>
      </w:r>
      <w:r w:rsidRPr="00520A73">
        <w:rPr>
          <w:rFonts w:ascii="Garamond" w:hAnsi="Garamond"/>
          <w:sz w:val="24"/>
          <w:szCs w:val="24"/>
        </w:rPr>
        <w:t>Kč</w:t>
      </w:r>
      <w:r w:rsidR="00DB41C7" w:rsidRPr="00520A73">
        <w:rPr>
          <w:rFonts w:ascii="Garamond" w:hAnsi="Garamond"/>
          <w:sz w:val="24"/>
          <w:szCs w:val="24"/>
        </w:rPr>
        <w:t xml:space="preserve"> (v roce 202</w:t>
      </w:r>
      <w:r w:rsidR="0062268A" w:rsidRPr="00520A73">
        <w:rPr>
          <w:rFonts w:ascii="Garamond" w:hAnsi="Garamond"/>
          <w:sz w:val="24"/>
          <w:szCs w:val="24"/>
        </w:rPr>
        <w:t>4</w:t>
      </w:r>
      <w:r w:rsidR="00DB41C7" w:rsidRPr="00520A73">
        <w:rPr>
          <w:rFonts w:ascii="Garamond" w:hAnsi="Garamond"/>
          <w:sz w:val="24"/>
          <w:szCs w:val="24"/>
        </w:rPr>
        <w:t xml:space="preserve"> vyšší částky za oprav</w:t>
      </w:r>
      <w:r w:rsidR="00043193" w:rsidRPr="00520A73">
        <w:rPr>
          <w:rFonts w:ascii="Garamond" w:hAnsi="Garamond"/>
          <w:sz w:val="24"/>
          <w:szCs w:val="24"/>
        </w:rPr>
        <w:t xml:space="preserve">y topení, kanalizace, podlah a </w:t>
      </w:r>
      <w:r w:rsidR="00520A73">
        <w:rPr>
          <w:rFonts w:ascii="Garamond" w:hAnsi="Garamond"/>
          <w:sz w:val="24"/>
          <w:szCs w:val="24"/>
        </w:rPr>
        <w:t>klimatizace</w:t>
      </w:r>
      <w:r w:rsidR="00DB41C7" w:rsidRPr="00520A73">
        <w:rPr>
          <w:rFonts w:ascii="Garamond" w:hAnsi="Garamond"/>
          <w:sz w:val="24"/>
          <w:szCs w:val="24"/>
        </w:rPr>
        <w:t>)</w:t>
      </w:r>
      <w:r w:rsidRPr="00520A73">
        <w:rPr>
          <w:rFonts w:ascii="Garamond" w:hAnsi="Garamond"/>
          <w:sz w:val="24"/>
          <w:szCs w:val="24"/>
        </w:rPr>
        <w:t>.</w:t>
      </w:r>
    </w:p>
    <w:p w14:paraId="0C1CF8BA" w14:textId="77777777" w:rsidR="00043193" w:rsidRPr="00915E35" w:rsidRDefault="00043193" w:rsidP="00DD136D">
      <w:pPr>
        <w:spacing w:before="120" w:after="120"/>
        <w:jc w:val="both"/>
      </w:pPr>
    </w:p>
    <w:p w14:paraId="669E2C1C" w14:textId="13865772" w:rsidR="002E6DC3" w:rsidRDefault="007E68B1" w:rsidP="00CB73F8">
      <w:pPr>
        <w:pStyle w:val="Nadpis2"/>
        <w:rPr>
          <w:color w:val="548DD4" w:themeColor="text2" w:themeTint="99"/>
        </w:rPr>
      </w:pPr>
      <w:bookmarkStart w:id="30" w:name="_Toc155689661"/>
      <w:r w:rsidRPr="000E2518">
        <w:rPr>
          <w:color w:val="548DD4" w:themeColor="text2" w:themeTint="99"/>
        </w:rPr>
        <w:t>Stravování</w:t>
      </w:r>
      <w:r w:rsidR="00637AA2" w:rsidRPr="000E2518">
        <w:rPr>
          <w:color w:val="548DD4" w:themeColor="text2" w:themeTint="99"/>
        </w:rPr>
        <w:t xml:space="preserve"> zaměstnanců</w:t>
      </w:r>
      <w:bookmarkEnd w:id="30"/>
    </w:p>
    <w:p w14:paraId="23D57760" w14:textId="77777777" w:rsidR="00043193" w:rsidRPr="00043193" w:rsidRDefault="00043193" w:rsidP="00043193"/>
    <w:p w14:paraId="42A904FD" w14:textId="7768B798" w:rsidR="000607C0" w:rsidRDefault="000607C0" w:rsidP="000607C0">
      <w:pPr>
        <w:pStyle w:val="Garamond12"/>
        <w:rPr>
          <w:rFonts w:cstheme="minorHAnsi"/>
        </w:rPr>
      </w:pPr>
      <w:r>
        <w:rPr>
          <w:rFonts w:cs="Calibri"/>
        </w:rPr>
        <w:t xml:space="preserve">KS České Budějovice </w:t>
      </w:r>
      <w:r w:rsidRPr="00F210CB">
        <w:rPr>
          <w:rFonts w:cs="Calibri"/>
        </w:rPr>
        <w:t>využív</w:t>
      </w:r>
      <w:r>
        <w:rPr>
          <w:rFonts w:cs="Calibri"/>
        </w:rPr>
        <w:t>á</w:t>
      </w:r>
      <w:r w:rsidR="005C0E43">
        <w:rPr>
          <w:rFonts w:cs="Calibri"/>
        </w:rPr>
        <w:t xml:space="preserve"> s</w:t>
      </w:r>
      <w:r w:rsidRPr="00F210CB">
        <w:rPr>
          <w:rFonts w:cs="Calibri"/>
        </w:rPr>
        <w:t>travenky</w:t>
      </w:r>
      <w:r>
        <w:rPr>
          <w:rFonts w:cs="Calibri"/>
        </w:rPr>
        <w:t xml:space="preserve"> a stravenkové karty od společnosti </w:t>
      </w:r>
      <w:r w:rsidR="005C0E43" w:rsidRPr="00FC0116">
        <w:rPr>
          <w:rFonts w:cstheme="minorHAnsi"/>
        </w:rPr>
        <w:t xml:space="preserve">Pluxee Česká republika, </w:t>
      </w:r>
      <w:proofErr w:type="gramStart"/>
      <w:r w:rsidR="005C0E43" w:rsidRPr="00FC0116">
        <w:rPr>
          <w:rFonts w:cstheme="minorHAnsi"/>
        </w:rPr>
        <w:t>a.s.</w:t>
      </w:r>
      <w:r w:rsidR="005C0E43">
        <w:rPr>
          <w:rFonts w:cstheme="minorHAnsi"/>
        </w:rPr>
        <w:t>.</w:t>
      </w:r>
      <w:proofErr w:type="gramEnd"/>
      <w:r w:rsidRPr="00F210CB">
        <w:rPr>
          <w:rFonts w:cs="Calibri"/>
        </w:rPr>
        <w:t xml:space="preserve"> </w:t>
      </w:r>
      <w:r>
        <w:rPr>
          <w:rFonts w:cs="Calibri"/>
        </w:rPr>
        <w:t>V tabulce</w:t>
      </w:r>
      <w:r w:rsidRPr="00F210CB">
        <w:rPr>
          <w:rFonts w:cs="Calibri"/>
        </w:rPr>
        <w:t xml:space="preserve"> </w:t>
      </w:r>
      <w:r>
        <w:rPr>
          <w:rFonts w:cs="Calibri"/>
        </w:rPr>
        <w:t>je doplněna</w:t>
      </w:r>
      <w:r w:rsidRPr="00F210CB">
        <w:rPr>
          <w:rFonts w:cs="Calibri"/>
        </w:rPr>
        <w:t xml:space="preserve"> nominální hodnot</w:t>
      </w:r>
      <w:r>
        <w:rPr>
          <w:rFonts w:cs="Calibri"/>
        </w:rPr>
        <w:t>a</w:t>
      </w:r>
      <w:r w:rsidRPr="00F210CB">
        <w:rPr>
          <w:rFonts w:cs="Calibri"/>
        </w:rPr>
        <w:t xml:space="preserve"> stravenky a rozpad na jednotlivé příspěvky. </w:t>
      </w:r>
    </w:p>
    <w:p w14:paraId="6EF5C030" w14:textId="77777777" w:rsidR="00043193" w:rsidRDefault="00043193" w:rsidP="000607C0">
      <w:pPr>
        <w:pStyle w:val="Garamond12"/>
        <w:rPr>
          <w:rFonts w:cstheme="minorHAnsi"/>
        </w:rPr>
      </w:pPr>
    </w:p>
    <w:p w14:paraId="652606B1" w14:textId="77777777" w:rsidR="00DD136D" w:rsidRPr="00F210CB" w:rsidRDefault="00DD136D" w:rsidP="000607C0">
      <w:pPr>
        <w:jc w:val="both"/>
        <w:rPr>
          <w:rFonts w:ascii="Garamond" w:hAnsi="Garamond"/>
          <w:b/>
          <w:color w:val="365F91" w:themeColor="accent1" w:themeShade="BF"/>
          <w:sz w:val="28"/>
          <w:szCs w:val="28"/>
          <w:u w:val="single"/>
        </w:rPr>
      </w:pPr>
    </w:p>
    <w:p w14:paraId="1080B42B" w14:textId="1CE4C176" w:rsidR="009852E0" w:rsidRDefault="00F05F52" w:rsidP="009852E0">
      <w:pPr>
        <w:pStyle w:val="Nadpis2"/>
        <w:rPr>
          <w:color w:val="548DD4" w:themeColor="text2" w:themeTint="99"/>
        </w:rPr>
      </w:pPr>
      <w:bookmarkStart w:id="31" w:name="_Toc155689662"/>
      <w:r w:rsidRPr="000E2518">
        <w:rPr>
          <w:color w:val="548DD4" w:themeColor="text2" w:themeTint="99"/>
        </w:rPr>
        <w:t>Rozlišovací znaky</w:t>
      </w:r>
      <w:r w:rsidR="00ED651D" w:rsidRPr="000E2518">
        <w:rPr>
          <w:color w:val="548DD4" w:themeColor="text2" w:themeTint="99"/>
        </w:rPr>
        <w:t xml:space="preserve"> </w:t>
      </w:r>
      <w:r w:rsidR="0038099D" w:rsidRPr="000E2518">
        <w:rPr>
          <w:color w:val="548DD4" w:themeColor="text2" w:themeTint="99"/>
        </w:rPr>
        <w:t>(</w:t>
      </w:r>
      <w:r w:rsidR="00596E4E" w:rsidRPr="000E2518">
        <w:rPr>
          <w:color w:val="548DD4" w:themeColor="text2" w:themeTint="99"/>
        </w:rPr>
        <w:t>soudy, státní zastupitelství, malé organizace, aparát MSp</w:t>
      </w:r>
      <w:r w:rsidR="0038099D" w:rsidRPr="000E2518">
        <w:rPr>
          <w:color w:val="548DD4" w:themeColor="text2" w:themeTint="99"/>
        </w:rPr>
        <w:t>)</w:t>
      </w:r>
      <w:bookmarkEnd w:id="31"/>
    </w:p>
    <w:p w14:paraId="0EDE863D" w14:textId="77777777" w:rsidR="00D524C0" w:rsidRPr="00D524C0" w:rsidRDefault="00D524C0" w:rsidP="00D524C0"/>
    <w:p w14:paraId="55B49D95" w14:textId="265D8329" w:rsidR="00822B9F" w:rsidRPr="000E2518" w:rsidRDefault="00822B9F" w:rsidP="00822B9F">
      <w:pPr>
        <w:pStyle w:val="Odstavecseseznamem"/>
        <w:numPr>
          <w:ilvl w:val="0"/>
          <w:numId w:val="18"/>
        </w:numPr>
        <w:rPr>
          <w:rFonts w:asciiTheme="majorHAnsi" w:hAnsiTheme="majorHAnsi"/>
          <w:b/>
          <w:bCs/>
          <w:color w:val="548DD4" w:themeColor="text2" w:themeTint="99"/>
        </w:rPr>
      </w:pPr>
      <w:r w:rsidRPr="000E2518">
        <w:rPr>
          <w:rFonts w:asciiTheme="majorHAnsi" w:hAnsiTheme="majorHAnsi"/>
          <w:b/>
          <w:bCs/>
          <w:color w:val="548DD4" w:themeColor="text2" w:themeTint="99"/>
        </w:rPr>
        <w:t>Bagatelní exekuce (pouze Městský a krajské soudy) – rozlišovací znaky 519282 a 519283)</w:t>
      </w:r>
    </w:p>
    <w:p w14:paraId="0D0E50F9" w14:textId="4477F92C" w:rsidR="00822B9F" w:rsidRPr="00915E35" w:rsidRDefault="001C60D6" w:rsidP="00F73DBF">
      <w:pPr>
        <w:spacing w:before="120" w:after="120"/>
        <w:jc w:val="both"/>
      </w:pPr>
      <w:r w:rsidRPr="001C60D6">
        <w:t xml:space="preserve">  </w:t>
      </w:r>
      <w:r w:rsidR="002E6DC3" w:rsidRPr="001C60D6">
        <w:t xml:space="preserve">Krajský soud </w:t>
      </w:r>
      <w:r>
        <w:t>na těchto nemá plnění.</w:t>
      </w:r>
    </w:p>
    <w:p w14:paraId="49C82C1E" w14:textId="0CF2213E" w:rsidR="00A45CBF" w:rsidRDefault="00A45CBF" w:rsidP="002E6DC3">
      <w:pPr>
        <w:pStyle w:val="Garamond12"/>
        <w:numPr>
          <w:ilvl w:val="0"/>
          <w:numId w:val="18"/>
        </w:numPr>
        <w:spacing w:before="100" w:after="60"/>
        <w:rPr>
          <w:b/>
          <w:bCs/>
          <w:color w:val="548DD4" w:themeColor="text2" w:themeTint="99"/>
        </w:rPr>
      </w:pPr>
      <w:r w:rsidRPr="000E2518">
        <w:rPr>
          <w:b/>
          <w:bCs/>
          <w:color w:val="548DD4" w:themeColor="text2" w:themeTint="99"/>
        </w:rPr>
        <w:t>Ostatní rozlišovací znaky podseskupení 519</w:t>
      </w:r>
    </w:p>
    <w:p w14:paraId="2E8A6B66" w14:textId="77777777" w:rsidR="008B2FE1" w:rsidRPr="000E2518" w:rsidRDefault="008B2FE1" w:rsidP="008B2FE1">
      <w:pPr>
        <w:pStyle w:val="Garamond12"/>
        <w:spacing w:before="100" w:after="60"/>
        <w:ind w:left="644"/>
        <w:rPr>
          <w:b/>
          <w:bCs/>
          <w:color w:val="548DD4" w:themeColor="text2" w:themeTint="99"/>
        </w:rPr>
      </w:pPr>
    </w:p>
    <w:p w14:paraId="0F46F3E3" w14:textId="2F939E48" w:rsidR="008B2FE1" w:rsidRPr="00FF1DF2" w:rsidRDefault="008B2FE1" w:rsidP="00FF1DF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F1DF2">
        <w:rPr>
          <w:rFonts w:ascii="Garamond" w:hAnsi="Garamond"/>
          <w:sz w:val="24"/>
          <w:szCs w:val="24"/>
        </w:rPr>
        <w:t xml:space="preserve">Mandatorní výdaje stále narůstají. Zvýšené výdaje jsou již od roku 2021 spojeny především s vyhláškou </w:t>
      </w:r>
      <w:r w:rsidR="00F13C0D" w:rsidRPr="00FF1DF2">
        <w:rPr>
          <w:rFonts w:ascii="Garamond" w:hAnsi="Garamond"/>
          <w:sz w:val="24"/>
          <w:szCs w:val="24"/>
        </w:rPr>
        <w:br/>
      </w:r>
      <w:r w:rsidRPr="00FF1DF2">
        <w:rPr>
          <w:rFonts w:ascii="Garamond" w:hAnsi="Garamond"/>
          <w:sz w:val="24"/>
          <w:szCs w:val="24"/>
        </w:rPr>
        <w:t>č. 504/2020 Sb., o znalečném, a vyhláškou č. 507/2020 Sb., o odměně a náhradách soudního tlumočníka</w:t>
      </w:r>
      <w:r w:rsidR="00F13C0D" w:rsidRPr="00FF1DF2">
        <w:rPr>
          <w:rFonts w:ascii="Garamond" w:hAnsi="Garamond"/>
          <w:sz w:val="24"/>
          <w:szCs w:val="24"/>
        </w:rPr>
        <w:br/>
      </w:r>
      <w:r w:rsidRPr="00FF1DF2">
        <w:rPr>
          <w:rFonts w:ascii="Garamond" w:hAnsi="Garamond"/>
          <w:sz w:val="24"/>
          <w:szCs w:val="24"/>
        </w:rPr>
        <w:t xml:space="preserve">a soudního překladatele, z důvodu zvýšení odměn za výkon znalecké činnosti a zvýšení odměn tlumočníků a překladatelů. Od 01. 01. 2022 rovněž vstoupila v účinnost novela vyhlášky Ministerstva spravedlnosti </w:t>
      </w:r>
      <w:r w:rsidR="00F13C0D" w:rsidRPr="00FF1DF2">
        <w:rPr>
          <w:rFonts w:ascii="Garamond" w:hAnsi="Garamond"/>
          <w:sz w:val="24"/>
          <w:szCs w:val="24"/>
        </w:rPr>
        <w:br/>
      </w:r>
      <w:r w:rsidRPr="00FF1DF2">
        <w:rPr>
          <w:rFonts w:ascii="Garamond" w:hAnsi="Garamond"/>
          <w:sz w:val="24"/>
          <w:szCs w:val="24"/>
        </w:rPr>
        <w:t>č. 177/1996 Sb., o odměnách advokátů a náhradách advokátů za poskytování právních služeb (advokátní tarif), která zrušila § 12a o snížení mimosmluvní odměny ustanoveného zástupce o 20 % („povodňová daň“). Rovněž bylo touto novelou zrušeno zastropování sazby mimosmluvní odměny za jeden úkon právní služby ustanoveného zástupce na částce 5 000,00 Kč.</w:t>
      </w:r>
    </w:p>
    <w:p w14:paraId="3006F80C" w14:textId="77777777" w:rsidR="008B2FE1" w:rsidRPr="00507376" w:rsidRDefault="008B2FE1" w:rsidP="00FF1DF2">
      <w:pPr>
        <w:pStyle w:val="Bezmezer"/>
        <w:jc w:val="both"/>
        <w:rPr>
          <w:rFonts w:ascii="Garamond" w:hAnsi="Garamond"/>
          <w:sz w:val="24"/>
          <w:szCs w:val="24"/>
        </w:rPr>
      </w:pPr>
      <w:r w:rsidRPr="00FF1DF2">
        <w:rPr>
          <w:rFonts w:ascii="Garamond" w:hAnsi="Garamond"/>
          <w:sz w:val="24"/>
          <w:szCs w:val="24"/>
        </w:rPr>
        <w:t xml:space="preserve">Zároveň byl na základě nálezu Ústavního soudu sp. zn. Pl. ÚS 17/21 dne 19. října 2021 zrušen § 9 odst. 5 advokátního tarifu, podle něhož byla při výkonu funkce opatrovníka ustanoveného správním orgánem účastníku řízení, nebo ustanoveného soudem účastníku řízení, jemuž se nepodařilo doručit na známou adresu v cizině, který byl stižen duševní poruchou nebo který není schopen srozumitelně se vyjadřovat, </w:t>
      </w:r>
      <w:r w:rsidRPr="00FF1DF2">
        <w:rPr>
          <w:rFonts w:ascii="Garamond" w:hAnsi="Garamond"/>
          <w:sz w:val="24"/>
          <w:szCs w:val="24"/>
        </w:rPr>
        <w:lastRenderedPageBreak/>
        <w:t>tarifní hodnotou částka</w:t>
      </w:r>
      <w:r w:rsidRPr="00507376">
        <w:rPr>
          <w:rFonts w:ascii="Garamond" w:hAnsi="Garamond"/>
          <w:sz w:val="24"/>
          <w:szCs w:val="24"/>
        </w:rPr>
        <w:t xml:space="preserve"> 1 000 Kč. Advokáti – opatrovníci proto od konce roku 2021 mohou účtovat mimosmluvní odměnu ve stejné výši jako ostatní soudem ustanovení advokáti. </w:t>
      </w:r>
    </w:p>
    <w:p w14:paraId="1666C120" w14:textId="77777777" w:rsidR="008B2FE1" w:rsidRPr="00507376" w:rsidRDefault="008B2FE1" w:rsidP="00FF1DF2">
      <w:pPr>
        <w:pStyle w:val="Bezmezer"/>
        <w:jc w:val="both"/>
        <w:rPr>
          <w:rFonts w:ascii="Garamond" w:hAnsi="Garamond"/>
          <w:sz w:val="24"/>
          <w:szCs w:val="24"/>
        </w:rPr>
      </w:pPr>
      <w:r w:rsidRPr="00507376">
        <w:rPr>
          <w:rFonts w:ascii="Garamond" w:hAnsi="Garamond"/>
          <w:sz w:val="24"/>
          <w:szCs w:val="24"/>
        </w:rPr>
        <w:t xml:space="preserve">Od 01. 01. 2023 dále došlo k úpravě hodinové odměny za výkon znalecké činnosti ve vyhlášce č. 504/2020 Sb., kdy tato byla navýšena z původní sazby 300 až 450,00 Kč na 800 až 1 000,00 Kč. Obdobně byla od 01. 01. 2023 upravena i vyhláška č. 507/2020 Sb., kdy odměna za normostranu byla navýšena z 300 až 450,00 Kč na 550,00 Kč a odměna za hodinu tlumočení z 300 až 450,00 Kč na 750,00 Kč. </w:t>
      </w:r>
    </w:p>
    <w:p w14:paraId="1483521F" w14:textId="1F38C1FB" w:rsidR="002E6DC3" w:rsidRPr="00507376" w:rsidRDefault="008B2FE1" w:rsidP="00FF1DF2">
      <w:pPr>
        <w:pStyle w:val="Bezmezer"/>
        <w:jc w:val="both"/>
        <w:rPr>
          <w:rFonts w:ascii="Garamond" w:hAnsi="Garamond"/>
          <w:b/>
          <w:bCs/>
          <w:color w:val="548DD4" w:themeColor="text2" w:themeTint="99"/>
          <w:sz w:val="24"/>
          <w:szCs w:val="24"/>
        </w:rPr>
      </w:pPr>
      <w:r w:rsidRPr="00507376">
        <w:rPr>
          <w:rFonts w:ascii="Garamond" w:hAnsi="Garamond"/>
          <w:sz w:val="24"/>
          <w:szCs w:val="24"/>
        </w:rPr>
        <w:t>Od 1. 1. 2025 byly rovněž znatelně zvýšeny tarifní hodnoty v advokátním tarifu (např. v insolvenčních věcech z 50 000 Kč na 113 000 Kč), čímž došlo k výraznému růstu mimosmluvních odměn advokátů (např. v insolvenčních věcech z 3 100 Kč na 5 620 Kč za jeden úkon právní služby). Vzrostl i tzv. režijní paušál</w:t>
      </w:r>
      <w:r w:rsidR="00DE30B1" w:rsidRPr="00507376">
        <w:rPr>
          <w:rFonts w:ascii="Garamond" w:hAnsi="Garamond"/>
          <w:sz w:val="24"/>
          <w:szCs w:val="24"/>
        </w:rPr>
        <w:br/>
      </w:r>
      <w:r w:rsidRPr="00507376">
        <w:rPr>
          <w:rFonts w:ascii="Garamond" w:hAnsi="Garamond"/>
          <w:sz w:val="24"/>
          <w:szCs w:val="24"/>
        </w:rPr>
        <w:t>na náhradu hotových výdajů, a to z</w:t>
      </w:r>
      <w:r w:rsidR="00EB5185">
        <w:rPr>
          <w:rFonts w:ascii="Garamond" w:hAnsi="Garamond"/>
          <w:sz w:val="24"/>
          <w:szCs w:val="24"/>
        </w:rPr>
        <w:t> </w:t>
      </w:r>
      <w:r w:rsidRPr="00507376">
        <w:rPr>
          <w:rFonts w:ascii="Garamond" w:hAnsi="Garamond"/>
          <w:sz w:val="24"/>
          <w:szCs w:val="24"/>
        </w:rPr>
        <w:t>300</w:t>
      </w:r>
      <w:r w:rsidR="00EB5185">
        <w:rPr>
          <w:rFonts w:ascii="Garamond" w:hAnsi="Garamond"/>
          <w:sz w:val="24"/>
          <w:szCs w:val="24"/>
        </w:rPr>
        <w:t xml:space="preserve"> </w:t>
      </w:r>
      <w:r w:rsidRPr="00507376">
        <w:rPr>
          <w:rFonts w:ascii="Garamond" w:hAnsi="Garamond"/>
          <w:sz w:val="24"/>
          <w:szCs w:val="24"/>
        </w:rPr>
        <w:t xml:space="preserve">Kč na 450 Kč. Vzhledem k tomu, že tyto změny se plně projeví až v tomto roce, lze očekávat, že mandatorní výdaje budou dále růst i v roce 2026. </w:t>
      </w:r>
    </w:p>
    <w:p w14:paraId="1F51562A" w14:textId="10A882DB" w:rsidR="00A45CBF" w:rsidRPr="00507376" w:rsidRDefault="00A45CBF" w:rsidP="00FF1DF2">
      <w:pPr>
        <w:pStyle w:val="Bezmezer"/>
        <w:jc w:val="both"/>
        <w:rPr>
          <w:rFonts w:ascii="Garamond" w:hAnsi="Garamond" w:cstheme="minorHAnsi"/>
          <w:sz w:val="24"/>
          <w:szCs w:val="24"/>
        </w:rPr>
      </w:pPr>
      <w:r w:rsidRPr="00507376">
        <w:rPr>
          <w:rFonts w:ascii="Garamond" w:hAnsi="Garamond" w:cstheme="minorHAnsi"/>
          <w:sz w:val="24"/>
          <w:szCs w:val="24"/>
        </w:rPr>
        <w:t>U podseskupení 519 a to u mandatorních výdajů s rozlišovacími znaky 51920, 51921, 51922 a 51923 došlo meziročně k</w:t>
      </w:r>
      <w:r w:rsidR="00702C4E">
        <w:rPr>
          <w:rFonts w:ascii="Garamond" w:hAnsi="Garamond" w:cstheme="minorHAnsi"/>
          <w:sz w:val="24"/>
          <w:szCs w:val="24"/>
        </w:rPr>
        <w:t> těmto změnám</w:t>
      </w:r>
      <w:r w:rsidRPr="00507376">
        <w:rPr>
          <w:rFonts w:ascii="Garamond" w:hAnsi="Garamond" w:cstheme="minorHAnsi"/>
          <w:sz w:val="24"/>
          <w:szCs w:val="24"/>
        </w:rPr>
        <w:t>:</w:t>
      </w:r>
    </w:p>
    <w:p w14:paraId="0E6345E1" w14:textId="5185D1F0" w:rsidR="00A45CBF" w:rsidRPr="00551553" w:rsidRDefault="00A45CBF" w:rsidP="00FF1DF2">
      <w:pPr>
        <w:pStyle w:val="Garamond12"/>
        <w:spacing w:before="60"/>
        <w:jc w:val="both"/>
        <w:rPr>
          <w:rFonts w:cstheme="minorHAnsi"/>
        </w:rPr>
      </w:pPr>
      <w:r w:rsidRPr="00551553">
        <w:rPr>
          <w:rFonts w:cstheme="minorHAnsi"/>
        </w:rPr>
        <w:t xml:space="preserve">51920 Mandatorní výdaje advokátů </w:t>
      </w:r>
      <w:proofErr w:type="gramStart"/>
      <w:r w:rsidRPr="00551553">
        <w:rPr>
          <w:rFonts w:cstheme="minorHAnsi"/>
        </w:rPr>
        <w:t xml:space="preserve">civil </w:t>
      </w:r>
      <w:r w:rsidR="00551553">
        <w:rPr>
          <w:rFonts w:cstheme="minorHAnsi"/>
        </w:rPr>
        <w:t>-</w:t>
      </w:r>
      <w:r w:rsidRPr="00551553">
        <w:rPr>
          <w:rFonts w:cstheme="minorHAnsi"/>
        </w:rPr>
        <w:t xml:space="preserve"> došlo</w:t>
      </w:r>
      <w:proofErr w:type="gramEnd"/>
      <w:r w:rsidRPr="00551553">
        <w:rPr>
          <w:rFonts w:cstheme="minorHAnsi"/>
        </w:rPr>
        <w:t xml:space="preserve"> k meziročnímu </w:t>
      </w:r>
      <w:r w:rsidR="00702C4E">
        <w:rPr>
          <w:rFonts w:cstheme="minorHAnsi"/>
        </w:rPr>
        <w:t xml:space="preserve">nepatrnému </w:t>
      </w:r>
      <w:r w:rsidR="00421AFA">
        <w:rPr>
          <w:rFonts w:cstheme="minorHAnsi"/>
        </w:rPr>
        <w:t>snížení</w:t>
      </w:r>
      <w:r w:rsidRPr="00551553">
        <w:rPr>
          <w:rFonts w:cstheme="minorHAnsi"/>
        </w:rPr>
        <w:t xml:space="preserve"> čerpání o </w:t>
      </w:r>
      <w:r w:rsidR="00793D2E">
        <w:rPr>
          <w:rFonts w:cstheme="minorHAnsi"/>
        </w:rPr>
        <w:t>83,87</w:t>
      </w:r>
      <w:r w:rsidRPr="00551553">
        <w:rPr>
          <w:rFonts w:cstheme="minorHAnsi"/>
        </w:rPr>
        <w:t xml:space="preserve"> tis</w:t>
      </w:r>
      <w:r w:rsidR="00DF6733">
        <w:rPr>
          <w:rFonts w:cstheme="minorHAnsi"/>
        </w:rPr>
        <w:t>.</w:t>
      </w:r>
      <w:r w:rsidRPr="00551553">
        <w:rPr>
          <w:rFonts w:cstheme="minorHAnsi"/>
        </w:rPr>
        <w:t xml:space="preserve"> Kč,</w:t>
      </w:r>
      <w:r w:rsidRPr="00551553">
        <w:rPr>
          <w:rFonts w:cstheme="minorHAnsi"/>
        </w:rPr>
        <w:br/>
      </w:r>
      <w:r w:rsidR="00551553">
        <w:rPr>
          <w:rFonts w:cstheme="minorHAnsi"/>
        </w:rPr>
        <w:t xml:space="preserve">v roce </w:t>
      </w:r>
      <w:r w:rsidR="00702C4E">
        <w:rPr>
          <w:rFonts w:cstheme="minorHAnsi"/>
        </w:rPr>
        <w:t xml:space="preserve">2025 - 549,73 tis. Kč / </w:t>
      </w:r>
      <w:r w:rsidR="00551553">
        <w:rPr>
          <w:rFonts w:cstheme="minorHAnsi"/>
        </w:rPr>
        <w:t>202</w:t>
      </w:r>
      <w:r w:rsidR="00793D2E">
        <w:rPr>
          <w:rFonts w:cstheme="minorHAnsi"/>
        </w:rPr>
        <w:t>4</w:t>
      </w:r>
      <w:r w:rsidR="00551553">
        <w:rPr>
          <w:rFonts w:cstheme="minorHAnsi"/>
        </w:rPr>
        <w:t xml:space="preserve"> - </w:t>
      </w:r>
      <w:r w:rsidR="00793D2E">
        <w:rPr>
          <w:rFonts w:cstheme="minorHAnsi"/>
        </w:rPr>
        <w:t>633,60</w:t>
      </w:r>
      <w:r w:rsidR="00551553">
        <w:rPr>
          <w:rFonts w:cstheme="minorHAnsi"/>
        </w:rPr>
        <w:t xml:space="preserve"> tis.</w:t>
      </w:r>
      <w:r w:rsidR="001212C5">
        <w:rPr>
          <w:rFonts w:cstheme="minorHAnsi"/>
        </w:rPr>
        <w:t xml:space="preserve"> </w:t>
      </w:r>
      <w:r w:rsidR="00551553">
        <w:rPr>
          <w:rFonts w:cstheme="minorHAnsi"/>
        </w:rPr>
        <w:t>Kč.</w:t>
      </w:r>
      <w:r w:rsidRPr="00551553">
        <w:rPr>
          <w:rFonts w:cstheme="minorHAnsi"/>
        </w:rPr>
        <w:t xml:space="preserve"> Důvodem bylo </w:t>
      </w:r>
      <w:r w:rsidR="00421AFA">
        <w:rPr>
          <w:rFonts w:cstheme="minorHAnsi"/>
        </w:rPr>
        <w:t>snížení</w:t>
      </w:r>
      <w:r w:rsidRPr="00551553">
        <w:rPr>
          <w:rFonts w:cstheme="minorHAnsi"/>
        </w:rPr>
        <w:t xml:space="preserve"> počtu platebních poukazů</w:t>
      </w:r>
      <w:r w:rsidR="00551553">
        <w:rPr>
          <w:rFonts w:cstheme="minorHAnsi"/>
        </w:rPr>
        <w:t xml:space="preserve"> </w:t>
      </w:r>
      <w:r w:rsidR="00421AFA">
        <w:rPr>
          <w:rFonts w:cstheme="minorHAnsi"/>
        </w:rPr>
        <w:t>oproti roku 202</w:t>
      </w:r>
      <w:r w:rsidR="00793D2E">
        <w:rPr>
          <w:rFonts w:cstheme="minorHAnsi"/>
        </w:rPr>
        <w:t>4</w:t>
      </w:r>
      <w:r w:rsidRPr="00551553">
        <w:rPr>
          <w:rFonts w:cstheme="minorHAnsi"/>
        </w:rPr>
        <w:t>.</w:t>
      </w:r>
    </w:p>
    <w:p w14:paraId="6F687F24" w14:textId="2F082A56" w:rsidR="00A45CBF" w:rsidRDefault="00A45CBF" w:rsidP="00FF1DF2">
      <w:pPr>
        <w:pStyle w:val="Garamond12"/>
        <w:spacing w:before="60"/>
        <w:jc w:val="both"/>
        <w:rPr>
          <w:rFonts w:cstheme="minorHAnsi"/>
        </w:rPr>
      </w:pPr>
      <w:r w:rsidRPr="00551553">
        <w:rPr>
          <w:rFonts w:cstheme="minorHAnsi"/>
        </w:rPr>
        <w:t xml:space="preserve">51921 Mandatorní výdaje </w:t>
      </w:r>
      <w:proofErr w:type="gramStart"/>
      <w:r w:rsidRPr="00551553">
        <w:rPr>
          <w:rFonts w:cstheme="minorHAnsi"/>
        </w:rPr>
        <w:t>advokátů</w:t>
      </w:r>
      <w:r w:rsidR="00421AFA">
        <w:rPr>
          <w:rFonts w:cstheme="minorHAnsi"/>
        </w:rPr>
        <w:t xml:space="preserve"> </w:t>
      </w:r>
      <w:r w:rsidR="00EB5185">
        <w:rPr>
          <w:rFonts w:cstheme="minorHAnsi"/>
        </w:rPr>
        <w:t xml:space="preserve"> -</w:t>
      </w:r>
      <w:proofErr w:type="gramEnd"/>
      <w:r w:rsidR="00421AFA">
        <w:rPr>
          <w:rFonts w:cstheme="minorHAnsi"/>
        </w:rPr>
        <w:t xml:space="preserve"> </w:t>
      </w:r>
      <w:r w:rsidRPr="00551553">
        <w:rPr>
          <w:rFonts w:cstheme="minorHAnsi"/>
        </w:rPr>
        <w:t>trest</w:t>
      </w:r>
      <w:r w:rsidR="00421AFA">
        <w:rPr>
          <w:rFonts w:cstheme="minorHAnsi"/>
        </w:rPr>
        <w:t xml:space="preserve"> </w:t>
      </w:r>
      <w:r w:rsidRPr="00551553">
        <w:rPr>
          <w:rFonts w:cstheme="minorHAnsi"/>
        </w:rPr>
        <w:t>došlo k</w:t>
      </w:r>
      <w:r w:rsidR="00421AFA">
        <w:rPr>
          <w:rFonts w:cstheme="minorHAnsi"/>
        </w:rPr>
        <w:t xml:space="preserve">  </w:t>
      </w:r>
      <w:r w:rsidRPr="00551553">
        <w:rPr>
          <w:rFonts w:cstheme="minorHAnsi"/>
        </w:rPr>
        <w:t xml:space="preserve">meziročnímu </w:t>
      </w:r>
      <w:r w:rsidR="00421AFA">
        <w:rPr>
          <w:rFonts w:cstheme="minorHAnsi"/>
        </w:rPr>
        <w:t xml:space="preserve">navýšení o </w:t>
      </w:r>
      <w:r w:rsidR="00793D2E">
        <w:rPr>
          <w:rFonts w:cstheme="minorHAnsi"/>
        </w:rPr>
        <w:t>387,05</w:t>
      </w:r>
      <w:r w:rsidR="00421AFA">
        <w:rPr>
          <w:rFonts w:cstheme="minorHAnsi"/>
        </w:rPr>
        <w:t xml:space="preserve"> </w:t>
      </w:r>
      <w:r w:rsidR="00DF6733">
        <w:rPr>
          <w:rFonts w:cstheme="minorHAnsi"/>
        </w:rPr>
        <w:t>t</w:t>
      </w:r>
      <w:r w:rsidRPr="00551553">
        <w:rPr>
          <w:rFonts w:cstheme="minorHAnsi"/>
        </w:rPr>
        <w:t>is</w:t>
      </w:r>
      <w:r w:rsidR="00DF6733">
        <w:rPr>
          <w:rFonts w:cstheme="minorHAnsi"/>
        </w:rPr>
        <w:t>.</w:t>
      </w:r>
      <w:r w:rsidRPr="00551553">
        <w:rPr>
          <w:rFonts w:cstheme="minorHAnsi"/>
        </w:rPr>
        <w:t xml:space="preserve"> Kč,</w:t>
      </w:r>
      <w:r w:rsidR="00421AFA">
        <w:rPr>
          <w:rFonts w:cstheme="minorHAnsi"/>
        </w:rPr>
        <w:t xml:space="preserve"> vyšší </w:t>
      </w:r>
      <w:r w:rsidR="00DF6733">
        <w:rPr>
          <w:rFonts w:cstheme="minorHAnsi"/>
        </w:rPr>
        <w:t xml:space="preserve"> </w:t>
      </w:r>
      <w:r w:rsidRPr="00551553">
        <w:rPr>
          <w:rFonts w:cstheme="minorHAnsi"/>
        </w:rPr>
        <w:t>přiznané částky na základě předložených vyúčtování</w:t>
      </w:r>
      <w:r w:rsidR="00DF6733">
        <w:rPr>
          <w:rFonts w:cstheme="minorHAnsi"/>
        </w:rPr>
        <w:t>.</w:t>
      </w:r>
    </w:p>
    <w:p w14:paraId="6B1FBFEB" w14:textId="7D6026B2" w:rsidR="00C17F36" w:rsidRDefault="00C17F36" w:rsidP="00FF1DF2">
      <w:pPr>
        <w:pStyle w:val="Garamond12"/>
        <w:spacing w:before="60"/>
        <w:jc w:val="both"/>
        <w:rPr>
          <w:rFonts w:cstheme="minorHAnsi"/>
        </w:rPr>
      </w:pPr>
      <w:r>
        <w:rPr>
          <w:rFonts w:cstheme="minorHAnsi"/>
        </w:rPr>
        <w:t xml:space="preserve">51922 Mandatorní výdaje </w:t>
      </w:r>
      <w:proofErr w:type="gramStart"/>
      <w:r>
        <w:rPr>
          <w:rFonts w:cstheme="minorHAnsi"/>
        </w:rPr>
        <w:t xml:space="preserve">znalečné </w:t>
      </w:r>
      <w:r w:rsidR="00EB5185">
        <w:rPr>
          <w:rFonts w:cstheme="minorHAnsi"/>
        </w:rPr>
        <w:t>-</w:t>
      </w:r>
      <w:r>
        <w:rPr>
          <w:rFonts w:cstheme="minorHAnsi"/>
        </w:rPr>
        <w:t xml:space="preserve"> došlo</w:t>
      </w:r>
      <w:proofErr w:type="gramEnd"/>
      <w:r>
        <w:rPr>
          <w:rFonts w:cstheme="minorHAnsi"/>
        </w:rPr>
        <w:t xml:space="preserve"> k meziročnímu snížení o 162,96 tis.</w:t>
      </w:r>
      <w:r w:rsidR="001212C5">
        <w:rPr>
          <w:rFonts w:cstheme="minorHAnsi"/>
        </w:rPr>
        <w:t xml:space="preserve"> </w:t>
      </w:r>
      <w:r>
        <w:rPr>
          <w:rFonts w:cstheme="minorHAnsi"/>
        </w:rPr>
        <w:t>Kč</w:t>
      </w:r>
    </w:p>
    <w:p w14:paraId="41E9112D" w14:textId="6CB98641" w:rsidR="00C17F36" w:rsidRDefault="00C17F36" w:rsidP="00FF1DF2">
      <w:pPr>
        <w:pStyle w:val="Garamond12"/>
        <w:spacing w:before="60"/>
        <w:jc w:val="both"/>
        <w:rPr>
          <w:rFonts w:cstheme="minorHAnsi"/>
        </w:rPr>
      </w:pPr>
      <w:r>
        <w:rPr>
          <w:rFonts w:cstheme="minorHAnsi"/>
        </w:rPr>
        <w:t>51923 Ma</w:t>
      </w:r>
      <w:r w:rsidR="001212C5">
        <w:rPr>
          <w:rFonts w:cstheme="minorHAnsi"/>
        </w:rPr>
        <w:t>n</w:t>
      </w:r>
      <w:r>
        <w:rPr>
          <w:rFonts w:cstheme="minorHAnsi"/>
        </w:rPr>
        <w:t xml:space="preserve">datorní výdaje tlumočné </w:t>
      </w:r>
      <w:r w:rsidR="00EB5185">
        <w:rPr>
          <w:rFonts w:cstheme="minorHAnsi"/>
        </w:rPr>
        <w:t>-</w:t>
      </w:r>
      <w:r>
        <w:rPr>
          <w:rFonts w:cstheme="minorHAnsi"/>
        </w:rPr>
        <w:t xml:space="preserve"> došlo k meziročnímu snížení o 139,25 </w:t>
      </w:r>
      <w:proofErr w:type="gramStart"/>
      <w:r>
        <w:rPr>
          <w:rFonts w:cstheme="minorHAnsi"/>
        </w:rPr>
        <w:t>tis.Kč</w:t>
      </w:r>
      <w:proofErr w:type="gramEnd"/>
    </w:p>
    <w:p w14:paraId="622B85E6" w14:textId="77777777" w:rsidR="00507376" w:rsidRPr="00551553" w:rsidRDefault="00507376" w:rsidP="00FF1DF2">
      <w:pPr>
        <w:pStyle w:val="Garamond12"/>
        <w:spacing w:before="60"/>
        <w:jc w:val="both"/>
        <w:rPr>
          <w:rFonts w:cstheme="minorHAnsi"/>
        </w:rPr>
      </w:pPr>
    </w:p>
    <w:p w14:paraId="02800CE4" w14:textId="659AD372" w:rsidR="002E6DC3" w:rsidRDefault="00A45CBF" w:rsidP="000678BE">
      <w:pPr>
        <w:pStyle w:val="Garamond12"/>
        <w:numPr>
          <w:ilvl w:val="0"/>
          <w:numId w:val="18"/>
        </w:numPr>
        <w:spacing w:before="100" w:after="60"/>
        <w:rPr>
          <w:b/>
          <w:bCs/>
          <w:color w:val="548DD4"/>
        </w:rPr>
      </w:pPr>
      <w:r w:rsidRPr="00793D2E">
        <w:rPr>
          <w:b/>
          <w:bCs/>
          <w:color w:val="548DD4"/>
        </w:rPr>
        <w:t>Ostatní rozlišovací znaky</w:t>
      </w:r>
    </w:p>
    <w:p w14:paraId="3DB2A46C" w14:textId="77777777" w:rsidR="00FF0F84" w:rsidRDefault="00FF0F84" w:rsidP="00FF0F84">
      <w:pPr>
        <w:pStyle w:val="Garamond12"/>
        <w:spacing w:before="100" w:after="60"/>
        <w:ind w:left="644"/>
        <w:rPr>
          <w:b/>
          <w:bCs/>
          <w:color w:val="548DD4"/>
        </w:rPr>
      </w:pPr>
    </w:p>
    <w:p w14:paraId="1282E46E" w14:textId="246054BD" w:rsidR="000678BE" w:rsidRPr="00FF0F84" w:rsidRDefault="000678BE" w:rsidP="000678BE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FF0F84">
        <w:rPr>
          <w:rFonts w:ascii="Garamond" w:hAnsi="Garamond" w:cstheme="minorHAnsi"/>
          <w:sz w:val="24"/>
          <w:szCs w:val="24"/>
        </w:rPr>
        <w:t>Od roku 2024 zanikla RP 5424</w:t>
      </w:r>
      <w:r w:rsidR="00C17F36">
        <w:rPr>
          <w:rFonts w:ascii="Garamond" w:hAnsi="Garamond" w:cstheme="minorHAnsi"/>
          <w:sz w:val="24"/>
          <w:szCs w:val="24"/>
        </w:rPr>
        <w:t xml:space="preserve"> Náhrady v době nemoci</w:t>
      </w:r>
      <w:r w:rsidRPr="00FF0F84">
        <w:rPr>
          <w:rFonts w:ascii="Garamond" w:hAnsi="Garamond" w:cstheme="minorHAnsi"/>
          <w:sz w:val="24"/>
          <w:szCs w:val="24"/>
        </w:rPr>
        <w:t xml:space="preserve">, náhrady </w:t>
      </w:r>
      <w:r w:rsidR="00C17F36">
        <w:rPr>
          <w:rFonts w:ascii="Garamond" w:hAnsi="Garamond" w:cstheme="minorHAnsi"/>
          <w:sz w:val="24"/>
          <w:szCs w:val="24"/>
        </w:rPr>
        <w:t>za nemoc</w:t>
      </w:r>
      <w:r w:rsidRPr="00FF0F84">
        <w:rPr>
          <w:rFonts w:ascii="Garamond" w:hAnsi="Garamond" w:cstheme="minorHAnsi"/>
          <w:sz w:val="24"/>
          <w:szCs w:val="24"/>
        </w:rPr>
        <w:t xml:space="preserve"> jsou vypláceny z RP 5011 a 5022</w:t>
      </w:r>
      <w:r w:rsidR="00C17F36">
        <w:rPr>
          <w:rFonts w:ascii="Garamond" w:hAnsi="Garamond" w:cstheme="minorHAnsi"/>
          <w:sz w:val="24"/>
          <w:szCs w:val="24"/>
        </w:rPr>
        <w:t xml:space="preserve"> – platy zaměstna</w:t>
      </w:r>
      <w:r w:rsidR="001212C5">
        <w:rPr>
          <w:rFonts w:ascii="Garamond" w:hAnsi="Garamond" w:cstheme="minorHAnsi"/>
          <w:sz w:val="24"/>
          <w:szCs w:val="24"/>
        </w:rPr>
        <w:t>n</w:t>
      </w:r>
      <w:r w:rsidR="00C17F36">
        <w:rPr>
          <w:rFonts w:ascii="Garamond" w:hAnsi="Garamond" w:cstheme="minorHAnsi"/>
          <w:sz w:val="24"/>
          <w:szCs w:val="24"/>
        </w:rPr>
        <w:t>ců a platy soudců</w:t>
      </w:r>
      <w:r w:rsidRPr="00FF0F84">
        <w:rPr>
          <w:rFonts w:ascii="Garamond" w:hAnsi="Garamond" w:cstheme="minorHAnsi"/>
          <w:sz w:val="24"/>
          <w:szCs w:val="24"/>
        </w:rPr>
        <w:t xml:space="preserve">. </w:t>
      </w:r>
    </w:p>
    <w:p w14:paraId="42821D70" w14:textId="5341142E" w:rsidR="000678BE" w:rsidRPr="00FF0F84" w:rsidRDefault="000678BE" w:rsidP="000678BE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FF0F84">
        <w:rPr>
          <w:rFonts w:ascii="Garamond" w:hAnsi="Garamond" w:cstheme="minorHAnsi"/>
          <w:sz w:val="24"/>
          <w:szCs w:val="24"/>
        </w:rPr>
        <w:t>Nově byl zaveden rozlišovací znak u výdajů s parametrem OBK</w:t>
      </w:r>
      <w:r w:rsidR="00EB5185">
        <w:rPr>
          <w:rFonts w:ascii="Garamond" w:hAnsi="Garamond" w:cstheme="minorHAnsi"/>
          <w:sz w:val="24"/>
          <w:szCs w:val="24"/>
        </w:rPr>
        <w:t>Ř</w:t>
      </w:r>
      <w:r w:rsidRPr="00FF0F84">
        <w:rPr>
          <w:rFonts w:ascii="Garamond" w:hAnsi="Garamond" w:cstheme="minorHAnsi"/>
          <w:sz w:val="24"/>
          <w:szCs w:val="24"/>
        </w:rPr>
        <w:t xml:space="preserve">, BRS pro revize smluvní a BRM pro revize mimosmluvní. </w:t>
      </w:r>
    </w:p>
    <w:p w14:paraId="3C4449A6" w14:textId="41F7F3E2" w:rsidR="00793D2E" w:rsidRDefault="00A45CBF" w:rsidP="00793D2E">
      <w:pPr>
        <w:pStyle w:val="Garamond12"/>
        <w:jc w:val="both"/>
        <w:rPr>
          <w:rFonts w:cstheme="minorHAnsi"/>
        </w:rPr>
      </w:pPr>
      <w:r w:rsidRPr="00651C36">
        <w:rPr>
          <w:rFonts w:cstheme="minorHAnsi"/>
        </w:rPr>
        <w:t>Položky s rozlišovacími znaky, jejichž meziroční změna oproti roku 202</w:t>
      </w:r>
      <w:r w:rsidR="00887600">
        <w:rPr>
          <w:rFonts w:cstheme="minorHAnsi"/>
        </w:rPr>
        <w:t>4</w:t>
      </w:r>
      <w:r w:rsidRPr="00651C36">
        <w:rPr>
          <w:rFonts w:cstheme="minorHAnsi"/>
        </w:rPr>
        <w:t xml:space="preserve"> byla většího nebo podstatného charakterů:</w:t>
      </w:r>
    </w:p>
    <w:p w14:paraId="145EE162" w14:textId="1E9FAA82" w:rsidR="00A45CBF" w:rsidRPr="00871B16" w:rsidRDefault="00A45CBF" w:rsidP="00871B16">
      <w:pPr>
        <w:pStyle w:val="Bezmezer"/>
        <w:jc w:val="both"/>
        <w:rPr>
          <w:rFonts w:ascii="Garamond" w:hAnsi="Garamond"/>
          <w:sz w:val="24"/>
          <w:szCs w:val="24"/>
        </w:rPr>
      </w:pPr>
      <w:r w:rsidRPr="00871B16">
        <w:rPr>
          <w:rFonts w:ascii="Garamond" w:hAnsi="Garamond"/>
          <w:sz w:val="24"/>
          <w:szCs w:val="24"/>
        </w:rPr>
        <w:t xml:space="preserve">513701 </w:t>
      </w:r>
      <w:r w:rsidR="00B139D5" w:rsidRPr="00871B16">
        <w:rPr>
          <w:rFonts w:ascii="Garamond" w:hAnsi="Garamond"/>
          <w:sz w:val="24"/>
          <w:szCs w:val="24"/>
        </w:rPr>
        <w:t xml:space="preserve">- </w:t>
      </w:r>
      <w:proofErr w:type="gramStart"/>
      <w:r w:rsidRPr="00871B16">
        <w:rPr>
          <w:rFonts w:ascii="Garamond" w:hAnsi="Garamond"/>
          <w:sz w:val="24"/>
          <w:szCs w:val="24"/>
        </w:rPr>
        <w:t xml:space="preserve">Počítače </w:t>
      </w:r>
      <w:bookmarkStart w:id="32" w:name="_Hlk156905060"/>
      <w:r w:rsidR="00651C36" w:rsidRPr="00871B16">
        <w:rPr>
          <w:rFonts w:ascii="Garamond" w:hAnsi="Garamond"/>
          <w:sz w:val="24"/>
          <w:szCs w:val="24"/>
        </w:rPr>
        <w:t>-</w:t>
      </w:r>
      <w:r w:rsidRPr="00871B16">
        <w:rPr>
          <w:rFonts w:ascii="Garamond" w:hAnsi="Garamond"/>
          <w:sz w:val="24"/>
          <w:szCs w:val="24"/>
        </w:rPr>
        <w:t xml:space="preserve"> došlo</w:t>
      </w:r>
      <w:proofErr w:type="gramEnd"/>
      <w:r w:rsidRPr="00871B16">
        <w:rPr>
          <w:rFonts w:ascii="Garamond" w:hAnsi="Garamond"/>
          <w:sz w:val="24"/>
          <w:szCs w:val="24"/>
        </w:rPr>
        <w:t xml:space="preserve"> k meziročnímu </w:t>
      </w:r>
      <w:r w:rsidR="00053DFE" w:rsidRPr="00871B16">
        <w:rPr>
          <w:rFonts w:ascii="Garamond" w:hAnsi="Garamond"/>
          <w:sz w:val="24"/>
          <w:szCs w:val="24"/>
        </w:rPr>
        <w:t xml:space="preserve">navýšení </w:t>
      </w:r>
      <w:r w:rsidRPr="00871B16">
        <w:rPr>
          <w:rFonts w:ascii="Garamond" w:hAnsi="Garamond"/>
          <w:sz w:val="24"/>
          <w:szCs w:val="24"/>
        </w:rPr>
        <w:t>čerpání</w:t>
      </w:r>
      <w:r w:rsidR="00651C36" w:rsidRPr="00871B16">
        <w:rPr>
          <w:rFonts w:ascii="Garamond" w:hAnsi="Garamond"/>
          <w:sz w:val="24"/>
          <w:szCs w:val="24"/>
        </w:rPr>
        <w:t>, neboť v roce 202</w:t>
      </w:r>
      <w:r w:rsidR="00FF0F84" w:rsidRPr="00871B16">
        <w:rPr>
          <w:rFonts w:ascii="Garamond" w:hAnsi="Garamond"/>
          <w:sz w:val="24"/>
          <w:szCs w:val="24"/>
        </w:rPr>
        <w:t>5</w:t>
      </w:r>
      <w:r w:rsidR="00651C36" w:rsidRPr="00871B16">
        <w:rPr>
          <w:rFonts w:ascii="Garamond" w:hAnsi="Garamond"/>
          <w:sz w:val="24"/>
          <w:szCs w:val="24"/>
        </w:rPr>
        <w:t xml:space="preserve"> byly počítače nakupovány</w:t>
      </w:r>
      <w:r w:rsidR="00C17F36" w:rsidRPr="00871B16">
        <w:rPr>
          <w:rFonts w:ascii="Garamond" w:hAnsi="Garamond"/>
          <w:sz w:val="24"/>
          <w:szCs w:val="24"/>
        </w:rPr>
        <w:t xml:space="preserve"> pro celý kraj</w:t>
      </w:r>
      <w:r w:rsidR="00651C36" w:rsidRPr="00871B16">
        <w:rPr>
          <w:rFonts w:ascii="Garamond" w:hAnsi="Garamond"/>
          <w:sz w:val="24"/>
          <w:szCs w:val="24"/>
        </w:rPr>
        <w:t xml:space="preserve">. </w:t>
      </w:r>
      <w:r w:rsidRPr="00871B16">
        <w:rPr>
          <w:rFonts w:ascii="Garamond" w:hAnsi="Garamond"/>
          <w:sz w:val="24"/>
          <w:szCs w:val="24"/>
        </w:rPr>
        <w:t xml:space="preserve"> Důvodem bylo </w:t>
      </w:r>
      <w:bookmarkEnd w:id="32"/>
      <w:r w:rsidRPr="00871B16">
        <w:rPr>
          <w:rFonts w:ascii="Garamond" w:hAnsi="Garamond"/>
          <w:sz w:val="24"/>
          <w:szCs w:val="24"/>
        </w:rPr>
        <w:t>pořízení vyššího počtu PC z rámcové smlouvy v roce 202</w:t>
      </w:r>
      <w:r w:rsidR="00FF0F84" w:rsidRPr="00871B16">
        <w:rPr>
          <w:rFonts w:ascii="Garamond" w:hAnsi="Garamond"/>
          <w:sz w:val="24"/>
          <w:szCs w:val="24"/>
        </w:rPr>
        <w:t>5</w:t>
      </w:r>
      <w:r w:rsidRPr="00871B16">
        <w:rPr>
          <w:rFonts w:ascii="Garamond" w:hAnsi="Garamond"/>
          <w:sz w:val="24"/>
          <w:szCs w:val="24"/>
        </w:rPr>
        <w:t>.</w:t>
      </w:r>
    </w:p>
    <w:p w14:paraId="16F91D3C" w14:textId="2D1F330D" w:rsidR="00A45CBF" w:rsidRDefault="00A45CBF" w:rsidP="00871B16">
      <w:pPr>
        <w:pStyle w:val="Bezmezer"/>
        <w:jc w:val="both"/>
        <w:rPr>
          <w:rFonts w:ascii="Garamond" w:hAnsi="Garamond"/>
          <w:sz w:val="24"/>
          <w:szCs w:val="24"/>
        </w:rPr>
      </w:pPr>
      <w:r w:rsidRPr="00871B16">
        <w:rPr>
          <w:rFonts w:ascii="Garamond" w:hAnsi="Garamond"/>
          <w:sz w:val="24"/>
          <w:szCs w:val="24"/>
        </w:rPr>
        <w:t>513901</w:t>
      </w:r>
      <w:r w:rsidR="000E2518" w:rsidRPr="00871B16">
        <w:rPr>
          <w:rFonts w:ascii="Garamond" w:hAnsi="Garamond"/>
          <w:sz w:val="24"/>
          <w:szCs w:val="24"/>
        </w:rPr>
        <w:t xml:space="preserve"> </w:t>
      </w:r>
      <w:r w:rsidR="00353402" w:rsidRPr="00871B16">
        <w:rPr>
          <w:rFonts w:ascii="Garamond" w:hAnsi="Garamond"/>
          <w:sz w:val="24"/>
          <w:szCs w:val="24"/>
        </w:rPr>
        <w:t xml:space="preserve">- </w:t>
      </w:r>
      <w:r w:rsidRPr="00871B16">
        <w:rPr>
          <w:rFonts w:ascii="Garamond" w:hAnsi="Garamond"/>
          <w:sz w:val="24"/>
          <w:szCs w:val="24"/>
        </w:rPr>
        <w:t xml:space="preserve">Tonery a spotřební materiál do tiskáren (mimo papír) </w:t>
      </w:r>
      <w:r w:rsidR="00CA29F8" w:rsidRPr="00871B16">
        <w:rPr>
          <w:rFonts w:ascii="Garamond" w:hAnsi="Garamond"/>
          <w:sz w:val="24"/>
          <w:szCs w:val="24"/>
        </w:rPr>
        <w:t>-</w:t>
      </w:r>
      <w:r w:rsidRPr="00871B16">
        <w:rPr>
          <w:rFonts w:ascii="Garamond" w:hAnsi="Garamond"/>
          <w:sz w:val="24"/>
          <w:szCs w:val="24"/>
        </w:rPr>
        <w:t xml:space="preserve"> došlo k meziročnímu </w:t>
      </w:r>
      <w:r w:rsidR="0091348D">
        <w:rPr>
          <w:rFonts w:ascii="Garamond" w:hAnsi="Garamond"/>
          <w:sz w:val="24"/>
          <w:szCs w:val="24"/>
        </w:rPr>
        <w:t>navýšení</w:t>
      </w:r>
      <w:r w:rsidRPr="00871B16">
        <w:rPr>
          <w:rFonts w:ascii="Garamond" w:hAnsi="Garamond"/>
          <w:sz w:val="24"/>
          <w:szCs w:val="24"/>
        </w:rPr>
        <w:t xml:space="preserve"> čerpání. </w:t>
      </w:r>
      <w:r w:rsidR="00793D2E" w:rsidRPr="00871B16">
        <w:rPr>
          <w:rFonts w:ascii="Garamond" w:hAnsi="Garamond"/>
          <w:sz w:val="24"/>
          <w:szCs w:val="24"/>
        </w:rPr>
        <w:t xml:space="preserve">  </w:t>
      </w:r>
      <w:r w:rsidRPr="00871B16">
        <w:rPr>
          <w:rFonts w:ascii="Garamond" w:hAnsi="Garamond"/>
          <w:sz w:val="24"/>
          <w:szCs w:val="24"/>
        </w:rPr>
        <w:t>Důvodem</w:t>
      </w:r>
      <w:r w:rsidR="00053DFE" w:rsidRPr="00871B16">
        <w:rPr>
          <w:rFonts w:ascii="Garamond" w:hAnsi="Garamond"/>
          <w:sz w:val="24"/>
          <w:szCs w:val="24"/>
        </w:rPr>
        <w:t xml:space="preserve"> je </w:t>
      </w:r>
      <w:r w:rsidR="00F46B63">
        <w:rPr>
          <w:rFonts w:ascii="Garamond" w:hAnsi="Garamond"/>
          <w:sz w:val="24"/>
          <w:szCs w:val="24"/>
        </w:rPr>
        <w:t>kromě nákupu tonerů také obměna spotřebního materiálu a údržbových sad</w:t>
      </w:r>
      <w:r w:rsidR="004626DD">
        <w:rPr>
          <w:rFonts w:ascii="Garamond" w:hAnsi="Garamond"/>
          <w:sz w:val="24"/>
          <w:szCs w:val="24"/>
        </w:rPr>
        <w:t xml:space="preserve"> do tiskáren,</w:t>
      </w:r>
      <w:r w:rsidR="00F46B63">
        <w:rPr>
          <w:rFonts w:ascii="Garamond" w:hAnsi="Garamond"/>
          <w:sz w:val="24"/>
          <w:szCs w:val="24"/>
        </w:rPr>
        <w:t xml:space="preserve"> která je vždy potřebná </w:t>
      </w:r>
      <w:r w:rsidR="004626DD">
        <w:rPr>
          <w:rFonts w:ascii="Garamond" w:hAnsi="Garamond"/>
          <w:sz w:val="24"/>
          <w:szCs w:val="24"/>
        </w:rPr>
        <w:t>v rozmezí 3 - 5let.</w:t>
      </w:r>
    </w:p>
    <w:p w14:paraId="4C48DF27" w14:textId="622A52C4" w:rsidR="00871B16" w:rsidRPr="00871B16" w:rsidRDefault="00871B16" w:rsidP="00871B16">
      <w:pPr>
        <w:pStyle w:val="Bezmezer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513704 </w:t>
      </w:r>
      <w:r w:rsidR="00EB5185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Nákup mobilních </w:t>
      </w:r>
      <w:proofErr w:type="gramStart"/>
      <w:r>
        <w:rPr>
          <w:rFonts w:ascii="Garamond" w:hAnsi="Garamond"/>
          <w:sz w:val="24"/>
          <w:szCs w:val="24"/>
        </w:rPr>
        <w:t xml:space="preserve">přístrojů </w:t>
      </w:r>
      <w:r w:rsidR="00EB5185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v</w:t>
      </w:r>
      <w:proofErr w:type="gramEnd"/>
      <w:r>
        <w:rPr>
          <w:rFonts w:ascii="Garamond" w:hAnsi="Garamond"/>
          <w:sz w:val="24"/>
          <w:szCs w:val="24"/>
        </w:rPr>
        <w:t> roce 202</w:t>
      </w:r>
      <w:r w:rsidR="00370E7C">
        <w:rPr>
          <w:rFonts w:ascii="Garamond" w:hAnsi="Garamond"/>
          <w:sz w:val="24"/>
          <w:szCs w:val="24"/>
        </w:rPr>
        <w:t>5 nižší výdaje o 212,00 tis Kč, v roce 2024</w:t>
      </w:r>
      <w:r>
        <w:rPr>
          <w:rFonts w:ascii="Garamond" w:hAnsi="Garamond"/>
          <w:sz w:val="24"/>
          <w:szCs w:val="24"/>
        </w:rPr>
        <w:t xml:space="preserve"> proběhla obměna většího počtu mobilních telefonů</w:t>
      </w:r>
      <w:r w:rsidR="00370E7C">
        <w:rPr>
          <w:rFonts w:ascii="Garamond" w:hAnsi="Garamond"/>
          <w:sz w:val="24"/>
          <w:szCs w:val="24"/>
        </w:rPr>
        <w:t>.</w:t>
      </w:r>
    </w:p>
    <w:p w14:paraId="2991C534" w14:textId="6E5CFA84" w:rsidR="00C17F36" w:rsidRPr="00871B16" w:rsidRDefault="00C17F36" w:rsidP="00871B16">
      <w:pPr>
        <w:pStyle w:val="Bezmezer"/>
        <w:jc w:val="both"/>
        <w:rPr>
          <w:rFonts w:ascii="Garamond" w:hAnsi="Garamond"/>
          <w:sz w:val="24"/>
          <w:szCs w:val="24"/>
        </w:rPr>
      </w:pPr>
      <w:r w:rsidRPr="00871B16">
        <w:rPr>
          <w:rFonts w:ascii="Garamond" w:hAnsi="Garamond"/>
          <w:sz w:val="24"/>
          <w:szCs w:val="24"/>
        </w:rPr>
        <w:t xml:space="preserve">51692 </w:t>
      </w:r>
      <w:r w:rsidR="00871B16" w:rsidRPr="00871B16">
        <w:rPr>
          <w:rFonts w:ascii="Garamond" w:hAnsi="Garamond"/>
          <w:sz w:val="24"/>
          <w:szCs w:val="24"/>
        </w:rPr>
        <w:t xml:space="preserve">- Dodavatelsky zajišťovaný úklid </w:t>
      </w:r>
      <w:proofErr w:type="gramStart"/>
      <w:r w:rsidR="00871B16" w:rsidRPr="00871B16">
        <w:rPr>
          <w:rFonts w:ascii="Garamond" w:hAnsi="Garamond"/>
          <w:sz w:val="24"/>
          <w:szCs w:val="24"/>
        </w:rPr>
        <w:t xml:space="preserve">- </w:t>
      </w:r>
      <w:r w:rsidRPr="00871B16">
        <w:rPr>
          <w:rFonts w:ascii="Garamond" w:hAnsi="Garamond"/>
          <w:sz w:val="24"/>
          <w:szCs w:val="24"/>
        </w:rPr>
        <w:t xml:space="preserve"> navýšení</w:t>
      </w:r>
      <w:proofErr w:type="gramEnd"/>
      <w:r w:rsidR="00871B16" w:rsidRPr="00871B16">
        <w:rPr>
          <w:rFonts w:ascii="Garamond" w:hAnsi="Garamond"/>
          <w:sz w:val="24"/>
          <w:szCs w:val="24"/>
        </w:rPr>
        <w:t xml:space="preserve"> o 82,49 tis. Kč</w:t>
      </w:r>
      <w:r w:rsidRPr="00871B16">
        <w:rPr>
          <w:rFonts w:ascii="Garamond" w:hAnsi="Garamond"/>
          <w:sz w:val="24"/>
          <w:szCs w:val="24"/>
        </w:rPr>
        <w:t xml:space="preserve"> souvisí s nárůstem cen těchto služeb</w:t>
      </w:r>
      <w:r w:rsidR="00871B16" w:rsidRPr="00871B16">
        <w:rPr>
          <w:rFonts w:ascii="Garamond" w:hAnsi="Garamond"/>
          <w:sz w:val="24"/>
          <w:szCs w:val="24"/>
        </w:rPr>
        <w:t>.</w:t>
      </w:r>
    </w:p>
    <w:p w14:paraId="6DE335D9" w14:textId="22D69DF5" w:rsidR="00A45CBF" w:rsidRPr="00871B16" w:rsidRDefault="00A45CBF" w:rsidP="00871B16">
      <w:pPr>
        <w:pStyle w:val="Bezmezer"/>
        <w:jc w:val="both"/>
        <w:rPr>
          <w:rFonts w:ascii="Garamond" w:hAnsi="Garamond"/>
          <w:sz w:val="24"/>
          <w:szCs w:val="24"/>
        </w:rPr>
      </w:pPr>
      <w:r w:rsidRPr="00871B16">
        <w:rPr>
          <w:rFonts w:ascii="Garamond" w:hAnsi="Garamond"/>
          <w:sz w:val="24"/>
          <w:szCs w:val="24"/>
        </w:rPr>
        <w:t xml:space="preserve">51395 Obálky </w:t>
      </w:r>
      <w:r w:rsidR="00353402" w:rsidRPr="00871B16">
        <w:rPr>
          <w:rFonts w:ascii="Garamond" w:hAnsi="Garamond"/>
          <w:sz w:val="24"/>
          <w:szCs w:val="24"/>
        </w:rPr>
        <w:t>-</w:t>
      </w:r>
      <w:r w:rsidRPr="00871B16">
        <w:rPr>
          <w:rFonts w:ascii="Garamond" w:hAnsi="Garamond"/>
          <w:sz w:val="24"/>
          <w:szCs w:val="24"/>
        </w:rPr>
        <w:t xml:space="preserve"> čerpání</w:t>
      </w:r>
      <w:r w:rsidR="00353402" w:rsidRPr="00871B16">
        <w:rPr>
          <w:rFonts w:ascii="Garamond" w:hAnsi="Garamond"/>
          <w:sz w:val="24"/>
          <w:szCs w:val="24"/>
        </w:rPr>
        <w:t xml:space="preserve"> </w:t>
      </w:r>
      <w:r w:rsidR="00CA29F8" w:rsidRPr="00871B16">
        <w:rPr>
          <w:rFonts w:ascii="Garamond" w:hAnsi="Garamond"/>
          <w:sz w:val="24"/>
          <w:szCs w:val="24"/>
        </w:rPr>
        <w:t xml:space="preserve">v tomto roce </w:t>
      </w:r>
      <w:r w:rsidRPr="00871B16">
        <w:rPr>
          <w:rFonts w:ascii="Garamond" w:hAnsi="Garamond"/>
          <w:sz w:val="24"/>
          <w:szCs w:val="24"/>
        </w:rPr>
        <w:t xml:space="preserve">bylo </w:t>
      </w:r>
      <w:r w:rsidR="00FF0F84" w:rsidRPr="00871B16">
        <w:rPr>
          <w:rFonts w:ascii="Garamond" w:hAnsi="Garamond"/>
          <w:sz w:val="24"/>
          <w:szCs w:val="24"/>
        </w:rPr>
        <w:t>nižší</w:t>
      </w:r>
      <w:r w:rsidRPr="00871B16">
        <w:rPr>
          <w:rFonts w:ascii="Garamond" w:hAnsi="Garamond"/>
          <w:sz w:val="24"/>
          <w:szCs w:val="24"/>
        </w:rPr>
        <w:t xml:space="preserve"> </w:t>
      </w:r>
      <w:r w:rsidR="00EF45ED" w:rsidRPr="00871B16">
        <w:rPr>
          <w:rFonts w:ascii="Garamond" w:hAnsi="Garamond"/>
          <w:sz w:val="24"/>
          <w:szCs w:val="24"/>
        </w:rPr>
        <w:t>oproti roku 202</w:t>
      </w:r>
      <w:r w:rsidR="00FF0F84" w:rsidRPr="00871B16">
        <w:rPr>
          <w:rFonts w:ascii="Garamond" w:hAnsi="Garamond"/>
          <w:sz w:val="24"/>
          <w:szCs w:val="24"/>
        </w:rPr>
        <w:t>4</w:t>
      </w:r>
      <w:r w:rsidR="00EF45ED" w:rsidRPr="00871B16">
        <w:rPr>
          <w:rFonts w:ascii="Garamond" w:hAnsi="Garamond"/>
          <w:sz w:val="24"/>
          <w:szCs w:val="24"/>
        </w:rPr>
        <w:t xml:space="preserve">, a to </w:t>
      </w:r>
      <w:r w:rsidRPr="00871B16">
        <w:rPr>
          <w:rFonts w:ascii="Garamond" w:hAnsi="Garamond"/>
          <w:sz w:val="24"/>
          <w:szCs w:val="24"/>
        </w:rPr>
        <w:t>vzhledem k tomu, že v </w:t>
      </w:r>
      <w:proofErr w:type="gramStart"/>
      <w:r w:rsidRPr="00871B16">
        <w:rPr>
          <w:rFonts w:ascii="Garamond" w:hAnsi="Garamond"/>
          <w:sz w:val="24"/>
          <w:szCs w:val="24"/>
        </w:rPr>
        <w:t xml:space="preserve">roce </w:t>
      </w:r>
      <w:r w:rsidR="00EF45ED" w:rsidRPr="00871B16">
        <w:rPr>
          <w:rFonts w:ascii="Garamond" w:hAnsi="Garamond"/>
          <w:sz w:val="24"/>
          <w:szCs w:val="24"/>
        </w:rPr>
        <w:t xml:space="preserve"> 2024</w:t>
      </w:r>
      <w:proofErr w:type="gramEnd"/>
      <w:r w:rsidR="00EF45ED" w:rsidRPr="00871B16">
        <w:rPr>
          <w:rFonts w:ascii="Garamond" w:hAnsi="Garamond"/>
          <w:sz w:val="24"/>
          <w:szCs w:val="24"/>
        </w:rPr>
        <w:t xml:space="preserve"> byly </w:t>
      </w:r>
      <w:r w:rsidRPr="00871B16">
        <w:rPr>
          <w:rFonts w:ascii="Garamond" w:hAnsi="Garamond"/>
          <w:sz w:val="24"/>
          <w:szCs w:val="24"/>
        </w:rPr>
        <w:t xml:space="preserve"> </w:t>
      </w:r>
      <w:r w:rsidR="005D6220" w:rsidRPr="00871B16">
        <w:rPr>
          <w:rFonts w:ascii="Garamond" w:hAnsi="Garamond"/>
          <w:sz w:val="24"/>
          <w:szCs w:val="24"/>
        </w:rPr>
        <w:t xml:space="preserve">krajským soudem nakoupeny  obálky </w:t>
      </w:r>
      <w:r w:rsidR="00CA29F8" w:rsidRPr="00871B16">
        <w:rPr>
          <w:rFonts w:ascii="Garamond" w:hAnsi="Garamond"/>
          <w:sz w:val="24"/>
          <w:szCs w:val="24"/>
        </w:rPr>
        <w:t xml:space="preserve"> ve větším množství </w:t>
      </w:r>
      <w:r w:rsidR="005D6220" w:rsidRPr="00871B16">
        <w:rPr>
          <w:rFonts w:ascii="Garamond" w:hAnsi="Garamond"/>
          <w:sz w:val="24"/>
          <w:szCs w:val="24"/>
        </w:rPr>
        <w:t>i pro okresní soudy v naší působnosti</w:t>
      </w:r>
      <w:r w:rsidRPr="00871B16">
        <w:rPr>
          <w:rFonts w:ascii="Garamond" w:hAnsi="Garamond"/>
          <w:sz w:val="24"/>
          <w:szCs w:val="24"/>
        </w:rPr>
        <w:t>.</w:t>
      </w:r>
    </w:p>
    <w:p w14:paraId="4D42945C" w14:textId="725E4C5C" w:rsidR="00A45CBF" w:rsidRPr="00871B16" w:rsidRDefault="00A45CBF" w:rsidP="00871B16">
      <w:pPr>
        <w:pStyle w:val="Bezmezer"/>
        <w:jc w:val="both"/>
        <w:rPr>
          <w:rFonts w:ascii="Garamond" w:hAnsi="Garamond"/>
          <w:sz w:val="24"/>
          <w:szCs w:val="24"/>
        </w:rPr>
      </w:pPr>
      <w:r w:rsidRPr="00871B16">
        <w:rPr>
          <w:rFonts w:ascii="Garamond" w:hAnsi="Garamond"/>
          <w:sz w:val="24"/>
          <w:szCs w:val="24"/>
        </w:rPr>
        <w:t>51710</w:t>
      </w:r>
      <w:r w:rsidR="004626DD">
        <w:rPr>
          <w:rFonts w:ascii="Garamond" w:hAnsi="Garamond"/>
          <w:sz w:val="24"/>
          <w:szCs w:val="24"/>
        </w:rPr>
        <w:t xml:space="preserve"> -</w:t>
      </w:r>
      <w:r w:rsidR="0031703E">
        <w:rPr>
          <w:rFonts w:ascii="Garamond" w:hAnsi="Garamond"/>
          <w:sz w:val="24"/>
          <w:szCs w:val="24"/>
        </w:rPr>
        <w:t xml:space="preserve"> </w:t>
      </w:r>
      <w:r w:rsidRPr="00871B16">
        <w:rPr>
          <w:rFonts w:ascii="Garamond" w:hAnsi="Garamond"/>
          <w:sz w:val="24"/>
          <w:szCs w:val="24"/>
        </w:rPr>
        <w:t>Opravy</w:t>
      </w:r>
      <w:r w:rsidR="0031703E">
        <w:rPr>
          <w:rFonts w:ascii="Garamond" w:hAnsi="Garamond"/>
          <w:sz w:val="24"/>
          <w:szCs w:val="24"/>
        </w:rPr>
        <w:t xml:space="preserve"> </w:t>
      </w:r>
      <w:r w:rsidRPr="00871B16">
        <w:rPr>
          <w:rFonts w:ascii="Garamond" w:hAnsi="Garamond"/>
          <w:sz w:val="24"/>
          <w:szCs w:val="24"/>
        </w:rPr>
        <w:t>a</w:t>
      </w:r>
      <w:r w:rsidR="0031703E">
        <w:rPr>
          <w:rFonts w:ascii="Garamond" w:hAnsi="Garamond"/>
          <w:sz w:val="24"/>
          <w:szCs w:val="24"/>
        </w:rPr>
        <w:t xml:space="preserve"> </w:t>
      </w:r>
      <w:r w:rsidRPr="00871B16">
        <w:rPr>
          <w:rFonts w:ascii="Garamond" w:hAnsi="Garamond"/>
          <w:sz w:val="24"/>
          <w:szCs w:val="24"/>
        </w:rPr>
        <w:t>udržování</w:t>
      </w:r>
      <w:r w:rsidR="0031703E">
        <w:rPr>
          <w:rFonts w:ascii="Garamond" w:hAnsi="Garamond"/>
          <w:sz w:val="24"/>
          <w:szCs w:val="24"/>
        </w:rPr>
        <w:t xml:space="preserve"> </w:t>
      </w:r>
      <w:r w:rsidRPr="00871B16">
        <w:rPr>
          <w:rFonts w:ascii="Garamond" w:hAnsi="Garamond"/>
          <w:sz w:val="24"/>
          <w:szCs w:val="24"/>
        </w:rPr>
        <w:t>nemovitostí</w:t>
      </w:r>
      <w:r w:rsidR="0031703E">
        <w:rPr>
          <w:rFonts w:ascii="Garamond" w:hAnsi="Garamond"/>
          <w:sz w:val="24"/>
          <w:szCs w:val="24"/>
        </w:rPr>
        <w:t xml:space="preserve"> – d</w:t>
      </w:r>
      <w:r w:rsidRPr="00871B16">
        <w:rPr>
          <w:rFonts w:ascii="Garamond" w:hAnsi="Garamond"/>
          <w:sz w:val="24"/>
          <w:szCs w:val="24"/>
        </w:rPr>
        <w:t>ošlo</w:t>
      </w:r>
      <w:r w:rsidR="0031703E">
        <w:rPr>
          <w:rFonts w:ascii="Garamond" w:hAnsi="Garamond"/>
          <w:sz w:val="24"/>
          <w:szCs w:val="24"/>
        </w:rPr>
        <w:t xml:space="preserve"> </w:t>
      </w:r>
      <w:r w:rsidRPr="00871B16">
        <w:rPr>
          <w:rFonts w:ascii="Garamond" w:hAnsi="Garamond"/>
          <w:sz w:val="24"/>
          <w:szCs w:val="24"/>
        </w:rPr>
        <w:t>k</w:t>
      </w:r>
      <w:r w:rsidR="0031703E">
        <w:rPr>
          <w:rFonts w:ascii="Garamond" w:hAnsi="Garamond"/>
          <w:sz w:val="24"/>
          <w:szCs w:val="24"/>
        </w:rPr>
        <w:t> </w:t>
      </w:r>
      <w:r w:rsidRPr="00871B16">
        <w:rPr>
          <w:rFonts w:ascii="Garamond" w:hAnsi="Garamond"/>
          <w:sz w:val="24"/>
          <w:szCs w:val="24"/>
        </w:rPr>
        <w:t>meziročnímu</w:t>
      </w:r>
      <w:r w:rsidR="0031703E">
        <w:rPr>
          <w:rFonts w:ascii="Garamond" w:hAnsi="Garamond"/>
          <w:sz w:val="24"/>
          <w:szCs w:val="24"/>
        </w:rPr>
        <w:t xml:space="preserve"> </w:t>
      </w:r>
      <w:r w:rsidR="00EF45ED" w:rsidRPr="00871B16">
        <w:rPr>
          <w:rFonts w:ascii="Garamond" w:hAnsi="Garamond"/>
          <w:sz w:val="24"/>
          <w:szCs w:val="24"/>
        </w:rPr>
        <w:t>snížení</w:t>
      </w:r>
      <w:r w:rsidR="0031703E">
        <w:rPr>
          <w:rFonts w:ascii="Garamond" w:hAnsi="Garamond"/>
          <w:sz w:val="24"/>
          <w:szCs w:val="24"/>
        </w:rPr>
        <w:t xml:space="preserve"> </w:t>
      </w:r>
      <w:r w:rsidRPr="00871B16">
        <w:rPr>
          <w:rFonts w:ascii="Garamond" w:hAnsi="Garamond"/>
          <w:sz w:val="24"/>
          <w:szCs w:val="24"/>
        </w:rPr>
        <w:t>čerpání</w:t>
      </w:r>
      <w:r w:rsidR="00EF45ED" w:rsidRPr="00871B16">
        <w:rPr>
          <w:rFonts w:ascii="Garamond" w:hAnsi="Garamond"/>
          <w:sz w:val="24"/>
          <w:szCs w:val="24"/>
        </w:rPr>
        <w:t xml:space="preserve"> o </w:t>
      </w:r>
      <w:r w:rsidR="00FF0F84" w:rsidRPr="00871B16">
        <w:rPr>
          <w:rFonts w:ascii="Garamond" w:hAnsi="Garamond"/>
          <w:sz w:val="24"/>
          <w:szCs w:val="24"/>
        </w:rPr>
        <w:t>201</w:t>
      </w:r>
      <w:r w:rsidR="00EF45ED" w:rsidRPr="00871B16">
        <w:rPr>
          <w:rFonts w:ascii="Garamond" w:hAnsi="Garamond"/>
          <w:sz w:val="24"/>
          <w:szCs w:val="24"/>
        </w:rPr>
        <w:t>,- tis. Kč</w:t>
      </w:r>
      <w:r w:rsidRPr="00871B16">
        <w:rPr>
          <w:rFonts w:ascii="Garamond" w:hAnsi="Garamond"/>
          <w:sz w:val="24"/>
          <w:szCs w:val="24"/>
        </w:rPr>
        <w:t xml:space="preserve">. Důvodem byl </w:t>
      </w:r>
      <w:r w:rsidR="00EF45ED" w:rsidRPr="00871B16">
        <w:rPr>
          <w:rFonts w:ascii="Garamond" w:hAnsi="Garamond"/>
          <w:sz w:val="24"/>
          <w:szCs w:val="24"/>
        </w:rPr>
        <w:t>menší objem</w:t>
      </w:r>
      <w:r w:rsidRPr="00871B16">
        <w:rPr>
          <w:rFonts w:ascii="Garamond" w:hAnsi="Garamond"/>
          <w:sz w:val="24"/>
          <w:szCs w:val="24"/>
        </w:rPr>
        <w:t xml:space="preserve"> bezodkladných oprav</w:t>
      </w:r>
      <w:r w:rsidR="00EF45ED" w:rsidRPr="00871B16">
        <w:rPr>
          <w:rFonts w:ascii="Garamond" w:hAnsi="Garamond"/>
          <w:sz w:val="24"/>
          <w:szCs w:val="24"/>
        </w:rPr>
        <w:t>.</w:t>
      </w:r>
    </w:p>
    <w:p w14:paraId="309539BA" w14:textId="736808D2" w:rsidR="002E6DC3" w:rsidRPr="00871B16" w:rsidRDefault="00A45CBF" w:rsidP="00871B16">
      <w:pPr>
        <w:pStyle w:val="Bezmezer"/>
        <w:jc w:val="both"/>
        <w:rPr>
          <w:rFonts w:ascii="Garamond" w:hAnsi="Garamond"/>
          <w:sz w:val="24"/>
          <w:szCs w:val="24"/>
        </w:rPr>
      </w:pPr>
      <w:r w:rsidRPr="00871B16">
        <w:rPr>
          <w:rFonts w:ascii="Garamond" w:hAnsi="Garamond"/>
          <w:sz w:val="24"/>
          <w:szCs w:val="24"/>
        </w:rPr>
        <w:t>5171</w:t>
      </w:r>
      <w:r w:rsidR="005D6220" w:rsidRPr="00871B16">
        <w:rPr>
          <w:rFonts w:ascii="Garamond" w:hAnsi="Garamond"/>
          <w:sz w:val="24"/>
          <w:szCs w:val="24"/>
        </w:rPr>
        <w:t>2</w:t>
      </w:r>
      <w:r w:rsidR="00CB09C7" w:rsidRPr="00871B16">
        <w:rPr>
          <w:rFonts w:ascii="Garamond" w:hAnsi="Garamond"/>
          <w:sz w:val="24"/>
          <w:szCs w:val="24"/>
        </w:rPr>
        <w:t xml:space="preserve"> </w:t>
      </w:r>
      <w:r w:rsidR="00353402" w:rsidRPr="00871B16">
        <w:rPr>
          <w:rFonts w:ascii="Garamond" w:hAnsi="Garamond"/>
          <w:sz w:val="24"/>
          <w:szCs w:val="24"/>
        </w:rPr>
        <w:t>-</w:t>
      </w:r>
      <w:r w:rsidRPr="00871B16">
        <w:rPr>
          <w:rFonts w:ascii="Garamond" w:hAnsi="Garamond"/>
          <w:sz w:val="24"/>
          <w:szCs w:val="24"/>
        </w:rPr>
        <w:t xml:space="preserve"> Opravy a udržování </w:t>
      </w:r>
      <w:r w:rsidR="005D6220" w:rsidRPr="00871B16">
        <w:rPr>
          <w:rFonts w:ascii="Garamond" w:hAnsi="Garamond"/>
          <w:sz w:val="24"/>
          <w:szCs w:val="24"/>
        </w:rPr>
        <w:t xml:space="preserve">motorových </w:t>
      </w:r>
      <w:proofErr w:type="gramStart"/>
      <w:r w:rsidR="005D6220" w:rsidRPr="00871B16">
        <w:rPr>
          <w:rFonts w:ascii="Garamond" w:hAnsi="Garamond"/>
          <w:sz w:val="24"/>
          <w:szCs w:val="24"/>
        </w:rPr>
        <w:t>vozidel</w:t>
      </w:r>
      <w:r w:rsidR="00FF0F84" w:rsidRPr="00871B16">
        <w:rPr>
          <w:rFonts w:ascii="Garamond" w:hAnsi="Garamond"/>
          <w:sz w:val="24"/>
          <w:szCs w:val="24"/>
        </w:rPr>
        <w:t xml:space="preserve"> -</w:t>
      </w:r>
      <w:r w:rsidRPr="00871B16">
        <w:rPr>
          <w:rFonts w:ascii="Garamond" w:hAnsi="Garamond"/>
          <w:sz w:val="24"/>
          <w:szCs w:val="24"/>
        </w:rPr>
        <w:t xml:space="preserve"> </w:t>
      </w:r>
      <w:r w:rsidR="00FF0F84" w:rsidRPr="00871B16">
        <w:rPr>
          <w:rFonts w:ascii="Garamond" w:hAnsi="Garamond"/>
          <w:sz w:val="24"/>
          <w:szCs w:val="24"/>
        </w:rPr>
        <w:t>nepatrný</w:t>
      </w:r>
      <w:proofErr w:type="gramEnd"/>
      <w:r w:rsidR="00FF0F84" w:rsidRPr="00871B16">
        <w:rPr>
          <w:rFonts w:ascii="Garamond" w:hAnsi="Garamond"/>
          <w:sz w:val="24"/>
          <w:szCs w:val="24"/>
        </w:rPr>
        <w:t xml:space="preserve"> nárůst oproti roku 2024</w:t>
      </w:r>
      <w:r w:rsidRPr="00871B16">
        <w:rPr>
          <w:rFonts w:ascii="Garamond" w:hAnsi="Garamond"/>
          <w:sz w:val="24"/>
          <w:szCs w:val="24"/>
        </w:rPr>
        <w:t>.</w:t>
      </w:r>
    </w:p>
    <w:p w14:paraId="236DC900" w14:textId="77777777" w:rsidR="008935A5" w:rsidRPr="00651C36" w:rsidRDefault="008935A5" w:rsidP="008935A5">
      <w:pPr>
        <w:pStyle w:val="Garamond12"/>
        <w:spacing w:before="60"/>
        <w:ind w:left="644"/>
        <w:jc w:val="both"/>
        <w:rPr>
          <w:rFonts w:cstheme="minorHAnsi"/>
        </w:rPr>
      </w:pPr>
    </w:p>
    <w:p w14:paraId="792ED539" w14:textId="5F28AC6D" w:rsidR="002715A9" w:rsidRPr="008B2FE1" w:rsidRDefault="00822B9F" w:rsidP="008B2FE1">
      <w:pPr>
        <w:pStyle w:val="Odstavecseseznamem"/>
        <w:numPr>
          <w:ilvl w:val="0"/>
          <w:numId w:val="46"/>
        </w:numPr>
        <w:rPr>
          <w:rFonts w:asciiTheme="majorHAnsi" w:hAnsiTheme="majorHAnsi"/>
          <w:b/>
          <w:bCs/>
          <w:color w:val="548DD4" w:themeColor="text2" w:themeTint="99"/>
        </w:rPr>
      </w:pPr>
      <w:r w:rsidRPr="008B2FE1">
        <w:rPr>
          <w:rFonts w:asciiTheme="majorHAnsi" w:hAnsiTheme="majorHAnsi"/>
          <w:b/>
          <w:bCs/>
          <w:color w:val="548DD4" w:themeColor="text2" w:themeTint="99"/>
        </w:rPr>
        <w:t>Ostatní r</w:t>
      </w:r>
      <w:r w:rsidR="00B95660" w:rsidRPr="008B2FE1">
        <w:rPr>
          <w:rFonts w:asciiTheme="majorHAnsi" w:hAnsiTheme="majorHAnsi"/>
          <w:b/>
          <w:bCs/>
          <w:color w:val="548DD4" w:themeColor="text2" w:themeTint="99"/>
        </w:rPr>
        <w:t>ozlišovací znaky podseskupení 519</w:t>
      </w:r>
      <w:r w:rsidR="008104DA" w:rsidRPr="008B2FE1">
        <w:rPr>
          <w:rFonts w:asciiTheme="majorHAnsi" w:hAnsiTheme="majorHAnsi"/>
          <w:b/>
          <w:bCs/>
          <w:color w:val="548DD4" w:themeColor="text2" w:themeTint="99"/>
        </w:rPr>
        <w:t xml:space="preserve"> (tzn. </w:t>
      </w:r>
      <w:r w:rsidR="00DA0FE7" w:rsidRPr="008B2FE1">
        <w:rPr>
          <w:rFonts w:asciiTheme="majorHAnsi" w:hAnsiTheme="majorHAnsi"/>
          <w:b/>
          <w:bCs/>
          <w:color w:val="548DD4" w:themeColor="text2" w:themeTint="99"/>
        </w:rPr>
        <w:t xml:space="preserve">5196* a </w:t>
      </w:r>
      <w:r w:rsidR="008104DA" w:rsidRPr="008B2FE1">
        <w:rPr>
          <w:rFonts w:asciiTheme="majorHAnsi" w:hAnsiTheme="majorHAnsi"/>
          <w:b/>
          <w:bCs/>
          <w:color w:val="548DD4" w:themeColor="text2" w:themeTint="99"/>
        </w:rPr>
        <w:t>5192* bez bagatelních exekucí)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4012"/>
        <w:gridCol w:w="1527"/>
        <w:gridCol w:w="1875"/>
      </w:tblGrid>
      <w:tr w:rsidR="00FF0F84" w:rsidRPr="004B3164" w14:paraId="67960174" w14:textId="77777777" w:rsidTr="007259FD">
        <w:tc>
          <w:tcPr>
            <w:tcW w:w="2112" w:type="dxa"/>
            <w:shd w:val="clear" w:color="auto" w:fill="A6A6A6"/>
          </w:tcPr>
          <w:p w14:paraId="554C9037" w14:textId="77777777" w:rsidR="008935A5" w:rsidRPr="00BB3081" w:rsidRDefault="008935A5" w:rsidP="001B1582">
            <w:pPr>
              <w:spacing w:after="0"/>
              <w:ind w:left="360"/>
              <w:rPr>
                <w:rFonts w:ascii="Garamond" w:hAnsi="Garamond"/>
                <w:b/>
                <w:bCs/>
                <w:iCs/>
              </w:rPr>
            </w:pPr>
            <w:r w:rsidRPr="00BB3081">
              <w:rPr>
                <w:rFonts w:ascii="Garamond" w:hAnsi="Garamond"/>
                <w:b/>
                <w:bCs/>
                <w:iCs/>
              </w:rPr>
              <w:t>Rozlišovací znak</w:t>
            </w:r>
          </w:p>
        </w:tc>
        <w:tc>
          <w:tcPr>
            <w:tcW w:w="4012" w:type="dxa"/>
            <w:shd w:val="clear" w:color="auto" w:fill="A6A6A6"/>
          </w:tcPr>
          <w:p w14:paraId="75456F29" w14:textId="77777777" w:rsidR="008935A5" w:rsidRPr="004B3164" w:rsidRDefault="008935A5" w:rsidP="001B1582">
            <w:pPr>
              <w:spacing w:after="0"/>
              <w:rPr>
                <w:rFonts w:ascii="Garamond" w:hAnsi="Garamond"/>
                <w:b/>
                <w:bCs/>
                <w:iCs/>
              </w:rPr>
            </w:pPr>
            <w:r w:rsidRPr="004B3164">
              <w:rPr>
                <w:rFonts w:ascii="Garamond" w:hAnsi="Garamond"/>
                <w:b/>
                <w:bCs/>
                <w:iCs/>
              </w:rPr>
              <w:t>Název</w:t>
            </w:r>
          </w:p>
          <w:p w14:paraId="03C6684A" w14:textId="77777777" w:rsidR="008935A5" w:rsidRPr="004B3164" w:rsidRDefault="008935A5" w:rsidP="001B1582">
            <w:pPr>
              <w:spacing w:after="0"/>
              <w:ind w:left="708"/>
              <w:jc w:val="both"/>
              <w:rPr>
                <w:rFonts w:ascii="Garamond" w:hAnsi="Garamond"/>
                <w:bCs/>
                <w:iCs/>
              </w:rPr>
            </w:pPr>
          </w:p>
        </w:tc>
        <w:tc>
          <w:tcPr>
            <w:tcW w:w="1527" w:type="dxa"/>
            <w:shd w:val="clear" w:color="auto" w:fill="A6A6A6"/>
            <w:hideMark/>
          </w:tcPr>
          <w:p w14:paraId="6D9BA40A" w14:textId="336E025B" w:rsidR="008935A5" w:rsidRPr="004B3164" w:rsidRDefault="008935A5" w:rsidP="001B1582">
            <w:pPr>
              <w:spacing w:after="0"/>
              <w:jc w:val="center"/>
              <w:rPr>
                <w:rFonts w:ascii="Garamond" w:hAnsi="Garamond"/>
                <w:b/>
                <w:bCs/>
                <w:iCs/>
              </w:rPr>
            </w:pPr>
            <w:r w:rsidRPr="004B3164">
              <w:rPr>
                <w:rFonts w:ascii="Garamond" w:hAnsi="Garamond"/>
                <w:b/>
                <w:bCs/>
                <w:iCs/>
              </w:rPr>
              <w:t>Skutečnost 202</w:t>
            </w:r>
            <w:r w:rsidR="00FF0F84">
              <w:rPr>
                <w:rFonts w:ascii="Garamond" w:hAnsi="Garamond"/>
                <w:b/>
                <w:bCs/>
                <w:iCs/>
              </w:rPr>
              <w:t>4</w:t>
            </w:r>
            <w:r w:rsidRPr="004B3164">
              <w:rPr>
                <w:rFonts w:ascii="Garamond" w:hAnsi="Garamond"/>
                <w:b/>
                <w:bCs/>
                <w:iCs/>
              </w:rPr>
              <w:t xml:space="preserve"> v Kč </w:t>
            </w:r>
          </w:p>
        </w:tc>
        <w:tc>
          <w:tcPr>
            <w:tcW w:w="1875" w:type="dxa"/>
            <w:shd w:val="clear" w:color="auto" w:fill="A6A6A6"/>
          </w:tcPr>
          <w:p w14:paraId="06F10694" w14:textId="74BD3904" w:rsidR="008935A5" w:rsidRPr="004B3164" w:rsidRDefault="008935A5" w:rsidP="001B1582">
            <w:pPr>
              <w:spacing w:after="0"/>
              <w:jc w:val="center"/>
              <w:rPr>
                <w:rFonts w:ascii="Garamond" w:hAnsi="Garamond"/>
                <w:b/>
                <w:bCs/>
                <w:iCs/>
              </w:rPr>
            </w:pPr>
            <w:r w:rsidRPr="004B3164">
              <w:rPr>
                <w:rFonts w:ascii="Garamond" w:hAnsi="Garamond"/>
                <w:b/>
                <w:bCs/>
                <w:iCs/>
              </w:rPr>
              <w:t>Skutečnost 202</w:t>
            </w:r>
            <w:r w:rsidR="00FF0F84">
              <w:rPr>
                <w:rFonts w:ascii="Garamond" w:hAnsi="Garamond"/>
                <w:b/>
                <w:bCs/>
                <w:iCs/>
              </w:rPr>
              <w:t>5</w:t>
            </w:r>
            <w:r w:rsidRPr="004B3164">
              <w:rPr>
                <w:rFonts w:ascii="Garamond" w:hAnsi="Garamond"/>
                <w:b/>
                <w:bCs/>
                <w:iCs/>
              </w:rPr>
              <w:t xml:space="preserve"> v Kč </w:t>
            </w:r>
          </w:p>
        </w:tc>
      </w:tr>
      <w:tr w:rsidR="007E7A0B" w:rsidRPr="004B3164" w14:paraId="08D54ED6" w14:textId="77777777" w:rsidTr="007259FD">
        <w:tc>
          <w:tcPr>
            <w:tcW w:w="2112" w:type="dxa"/>
          </w:tcPr>
          <w:p w14:paraId="00C2A6FF" w14:textId="77777777" w:rsidR="008935A5" w:rsidRPr="004B3164" w:rsidRDefault="008935A5" w:rsidP="001B1582">
            <w:pPr>
              <w:spacing w:after="0"/>
              <w:rPr>
                <w:rFonts w:ascii="Garamond" w:hAnsi="Garamond"/>
                <w:bCs/>
                <w:iCs/>
              </w:rPr>
            </w:pPr>
            <w:r w:rsidRPr="004B3164">
              <w:rPr>
                <w:rFonts w:ascii="Garamond" w:hAnsi="Garamond"/>
                <w:bCs/>
                <w:iCs/>
              </w:rPr>
              <w:t>5192</w:t>
            </w:r>
            <w:r>
              <w:rPr>
                <w:rFonts w:ascii="Garamond" w:hAnsi="Garamond"/>
                <w:bCs/>
                <w:iCs/>
              </w:rPr>
              <w:t>61</w:t>
            </w:r>
          </w:p>
        </w:tc>
        <w:tc>
          <w:tcPr>
            <w:tcW w:w="4012" w:type="dxa"/>
          </w:tcPr>
          <w:p w14:paraId="468D2EAC" w14:textId="77777777" w:rsidR="008935A5" w:rsidRPr="004B3164" w:rsidRDefault="008935A5" w:rsidP="001B1582">
            <w:pPr>
              <w:spacing w:after="0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</w:rPr>
              <w:t>Mandatorní výdaje insolvenčnímu správci</w:t>
            </w:r>
          </w:p>
        </w:tc>
        <w:tc>
          <w:tcPr>
            <w:tcW w:w="1527" w:type="dxa"/>
          </w:tcPr>
          <w:p w14:paraId="31445281" w14:textId="240D1EBD" w:rsidR="008935A5" w:rsidRPr="004B3164" w:rsidRDefault="008935A5" w:rsidP="001B1582">
            <w:pPr>
              <w:spacing w:after="0"/>
              <w:jc w:val="right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</w:rPr>
              <w:t>1</w:t>
            </w:r>
            <w:r w:rsidR="00FF0F84">
              <w:rPr>
                <w:rFonts w:ascii="Garamond" w:hAnsi="Garamond"/>
                <w:bCs/>
                <w:iCs/>
              </w:rPr>
              <w:t> </w:t>
            </w:r>
            <w:r w:rsidR="007259FD">
              <w:rPr>
                <w:rFonts w:ascii="Garamond" w:hAnsi="Garamond"/>
                <w:bCs/>
                <w:iCs/>
              </w:rPr>
              <w:t>9</w:t>
            </w:r>
            <w:r w:rsidR="00FF0F84">
              <w:rPr>
                <w:rFonts w:ascii="Garamond" w:hAnsi="Garamond"/>
                <w:bCs/>
                <w:iCs/>
              </w:rPr>
              <w:t>17 242,43</w:t>
            </w:r>
          </w:p>
        </w:tc>
        <w:tc>
          <w:tcPr>
            <w:tcW w:w="1875" w:type="dxa"/>
          </w:tcPr>
          <w:p w14:paraId="251DF1E3" w14:textId="1FCD6556" w:rsidR="008935A5" w:rsidRPr="004B3164" w:rsidRDefault="008935A5" w:rsidP="001B1582">
            <w:pPr>
              <w:spacing w:after="0"/>
              <w:jc w:val="right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</w:rPr>
              <w:t>1</w:t>
            </w:r>
            <w:r w:rsidR="00FF0F84">
              <w:rPr>
                <w:rFonts w:ascii="Garamond" w:hAnsi="Garamond"/>
                <w:bCs/>
                <w:iCs/>
              </w:rPr>
              <w:t> </w:t>
            </w:r>
            <w:r>
              <w:rPr>
                <w:rFonts w:ascii="Garamond" w:hAnsi="Garamond"/>
                <w:bCs/>
                <w:iCs/>
              </w:rPr>
              <w:t>9</w:t>
            </w:r>
            <w:r w:rsidR="00FF0F84">
              <w:rPr>
                <w:rFonts w:ascii="Garamond" w:hAnsi="Garamond"/>
                <w:bCs/>
                <w:iCs/>
              </w:rPr>
              <w:t>60 883,26</w:t>
            </w:r>
          </w:p>
        </w:tc>
      </w:tr>
      <w:tr w:rsidR="007E7A0B" w:rsidRPr="004B3164" w14:paraId="793CADA8" w14:textId="77777777" w:rsidTr="007259FD">
        <w:tc>
          <w:tcPr>
            <w:tcW w:w="2112" w:type="dxa"/>
          </w:tcPr>
          <w:p w14:paraId="7A3E1226" w14:textId="77777777" w:rsidR="008935A5" w:rsidRPr="004B3164" w:rsidRDefault="008935A5" w:rsidP="001B1582">
            <w:pPr>
              <w:spacing w:after="0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</w:rPr>
              <w:t>51927</w:t>
            </w:r>
          </w:p>
        </w:tc>
        <w:tc>
          <w:tcPr>
            <w:tcW w:w="4012" w:type="dxa"/>
          </w:tcPr>
          <w:p w14:paraId="3A4B34AA" w14:textId="77777777" w:rsidR="008935A5" w:rsidRPr="004B3164" w:rsidRDefault="008935A5" w:rsidP="001B1582">
            <w:pPr>
              <w:spacing w:after="0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</w:rPr>
              <w:t>Mandatorní výdaje likvidátor podniku</w:t>
            </w:r>
          </w:p>
        </w:tc>
        <w:tc>
          <w:tcPr>
            <w:tcW w:w="1527" w:type="dxa"/>
          </w:tcPr>
          <w:p w14:paraId="72303725" w14:textId="6BBABCC4" w:rsidR="008935A5" w:rsidRPr="004B3164" w:rsidRDefault="00FF0F84" w:rsidP="001B1582">
            <w:pPr>
              <w:spacing w:after="0"/>
              <w:jc w:val="right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</w:rPr>
              <w:t>2 633 182,98</w:t>
            </w:r>
          </w:p>
        </w:tc>
        <w:tc>
          <w:tcPr>
            <w:tcW w:w="1875" w:type="dxa"/>
          </w:tcPr>
          <w:p w14:paraId="3EC07B08" w14:textId="7EA80D52" w:rsidR="008935A5" w:rsidRPr="004B3164" w:rsidRDefault="007259FD" w:rsidP="001B1582">
            <w:pPr>
              <w:spacing w:after="0"/>
              <w:jc w:val="right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</w:rPr>
              <w:t>2</w:t>
            </w:r>
            <w:r w:rsidR="007E7A0B">
              <w:rPr>
                <w:rFonts w:ascii="Garamond" w:hAnsi="Garamond"/>
                <w:bCs/>
                <w:iCs/>
              </w:rPr>
              <w:t> 332 803,90</w:t>
            </w:r>
          </w:p>
        </w:tc>
      </w:tr>
      <w:tr w:rsidR="007E7A0B" w:rsidRPr="004B3164" w14:paraId="2AC786E6" w14:textId="77777777" w:rsidTr="007259FD">
        <w:trPr>
          <w:trHeight w:val="282"/>
        </w:trPr>
        <w:tc>
          <w:tcPr>
            <w:tcW w:w="2112" w:type="dxa"/>
          </w:tcPr>
          <w:p w14:paraId="27DEF860" w14:textId="77777777" w:rsidR="008935A5" w:rsidRPr="004B3164" w:rsidRDefault="008935A5" w:rsidP="001B1582">
            <w:pPr>
              <w:spacing w:after="0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</w:rPr>
              <w:t>51962</w:t>
            </w:r>
          </w:p>
        </w:tc>
        <w:tc>
          <w:tcPr>
            <w:tcW w:w="4012" w:type="dxa"/>
          </w:tcPr>
          <w:p w14:paraId="2FEB358C" w14:textId="77777777" w:rsidR="008935A5" w:rsidRDefault="008935A5" w:rsidP="001B1582">
            <w:pPr>
              <w:spacing w:after="0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</w:rPr>
              <w:t>Paušální náhrady soudcům</w:t>
            </w:r>
          </w:p>
        </w:tc>
        <w:tc>
          <w:tcPr>
            <w:tcW w:w="1527" w:type="dxa"/>
          </w:tcPr>
          <w:p w14:paraId="6D71F7F3" w14:textId="06593E9D" w:rsidR="008935A5" w:rsidRPr="004B3164" w:rsidRDefault="007259FD" w:rsidP="001B1582">
            <w:pPr>
              <w:spacing w:after="0"/>
              <w:jc w:val="right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</w:rPr>
              <w:t>3</w:t>
            </w:r>
            <w:r w:rsidR="00FF0F84">
              <w:rPr>
                <w:rFonts w:ascii="Garamond" w:hAnsi="Garamond"/>
                <w:bCs/>
                <w:iCs/>
              </w:rPr>
              <w:t> 808 859,00</w:t>
            </w:r>
          </w:p>
        </w:tc>
        <w:tc>
          <w:tcPr>
            <w:tcW w:w="1875" w:type="dxa"/>
          </w:tcPr>
          <w:p w14:paraId="4842190B" w14:textId="57CC86F0" w:rsidR="008935A5" w:rsidRPr="004B3164" w:rsidRDefault="007E7A0B" w:rsidP="001B1582">
            <w:pPr>
              <w:spacing w:after="0"/>
              <w:jc w:val="right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</w:rPr>
              <w:t>4 </w:t>
            </w:r>
            <w:proofErr w:type="gramStart"/>
            <w:r>
              <w:rPr>
                <w:rFonts w:ascii="Garamond" w:hAnsi="Garamond"/>
                <w:bCs/>
                <w:iCs/>
              </w:rPr>
              <w:t>008  841</w:t>
            </w:r>
            <w:proofErr w:type="gramEnd"/>
            <w:r>
              <w:rPr>
                <w:rFonts w:ascii="Garamond" w:hAnsi="Garamond"/>
                <w:bCs/>
                <w:iCs/>
              </w:rPr>
              <w:t>,00</w:t>
            </w:r>
          </w:p>
        </w:tc>
      </w:tr>
    </w:tbl>
    <w:p w14:paraId="31BB5D2F" w14:textId="77777777" w:rsidR="00C5523D" w:rsidRDefault="00C5523D" w:rsidP="00C552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   </w:t>
      </w:r>
    </w:p>
    <w:p w14:paraId="370DA32F" w14:textId="53AEB424" w:rsidR="00C5523D" w:rsidRPr="001511DA" w:rsidRDefault="00C5523D" w:rsidP="00C552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511DA">
        <w:rPr>
          <w:rFonts w:ascii="Garamond" w:hAnsi="Garamond"/>
          <w:sz w:val="24"/>
          <w:szCs w:val="24"/>
        </w:rPr>
        <w:t>RZ 51962</w:t>
      </w:r>
      <w:r w:rsidR="00CB09C7">
        <w:rPr>
          <w:rFonts w:ascii="Garamond" w:hAnsi="Garamond"/>
          <w:sz w:val="24"/>
          <w:szCs w:val="24"/>
        </w:rPr>
        <w:t xml:space="preserve"> -</w:t>
      </w:r>
      <w:r w:rsidRPr="001511DA">
        <w:rPr>
          <w:rFonts w:ascii="Garamond" w:hAnsi="Garamond" w:cstheme="minorHAnsi"/>
          <w:sz w:val="24"/>
          <w:szCs w:val="24"/>
        </w:rPr>
        <w:t xml:space="preserve"> paušální náhrady soudců. V roce 202</w:t>
      </w:r>
      <w:r w:rsidR="00507376">
        <w:rPr>
          <w:rFonts w:ascii="Garamond" w:hAnsi="Garamond" w:cstheme="minorHAnsi"/>
          <w:sz w:val="24"/>
          <w:szCs w:val="24"/>
        </w:rPr>
        <w:t>4</w:t>
      </w:r>
      <w:r w:rsidRPr="001511DA">
        <w:rPr>
          <w:rFonts w:ascii="Garamond" w:hAnsi="Garamond" w:cstheme="minorHAnsi"/>
          <w:sz w:val="24"/>
          <w:szCs w:val="24"/>
        </w:rPr>
        <w:t xml:space="preserve"> činily náhrady</w:t>
      </w:r>
      <w:r w:rsidR="00337D44">
        <w:rPr>
          <w:rFonts w:ascii="Garamond" w:hAnsi="Garamond" w:cstheme="minorHAnsi"/>
          <w:sz w:val="24"/>
          <w:szCs w:val="24"/>
        </w:rPr>
        <w:t xml:space="preserve"> 6 </w:t>
      </w:r>
      <w:r w:rsidR="00507376">
        <w:rPr>
          <w:rFonts w:ascii="Garamond" w:hAnsi="Garamond" w:cstheme="minorHAnsi"/>
          <w:sz w:val="24"/>
          <w:szCs w:val="24"/>
        </w:rPr>
        <w:t>7</w:t>
      </w:r>
      <w:r w:rsidR="00337D44">
        <w:rPr>
          <w:rFonts w:ascii="Garamond" w:hAnsi="Garamond" w:cstheme="minorHAnsi"/>
          <w:sz w:val="24"/>
          <w:szCs w:val="24"/>
        </w:rPr>
        <w:t>00</w:t>
      </w:r>
      <w:r w:rsidRPr="001511DA">
        <w:rPr>
          <w:rFonts w:ascii="Garamond" w:hAnsi="Garamond" w:cstheme="minorHAnsi"/>
          <w:sz w:val="24"/>
          <w:szCs w:val="24"/>
        </w:rPr>
        <w:t xml:space="preserve"> Kč měsíčně na jednoho soudce. </w:t>
      </w:r>
      <w:r>
        <w:rPr>
          <w:rFonts w:ascii="Garamond" w:hAnsi="Garamond" w:cstheme="minorHAnsi"/>
          <w:sz w:val="24"/>
          <w:szCs w:val="24"/>
        </w:rPr>
        <w:t xml:space="preserve">       </w:t>
      </w:r>
      <w:r w:rsidR="00000038">
        <w:rPr>
          <w:rFonts w:ascii="Garamond" w:hAnsi="Garamond" w:cstheme="minorHAnsi"/>
          <w:sz w:val="24"/>
          <w:szCs w:val="24"/>
        </w:rPr>
        <w:t xml:space="preserve">   </w:t>
      </w:r>
      <w:r w:rsidRPr="001511DA">
        <w:rPr>
          <w:rFonts w:ascii="Garamond" w:hAnsi="Garamond" w:cstheme="minorHAnsi"/>
          <w:sz w:val="24"/>
          <w:szCs w:val="24"/>
        </w:rPr>
        <w:t>Od roku 202</w:t>
      </w:r>
      <w:r w:rsidR="00507376">
        <w:rPr>
          <w:rFonts w:ascii="Garamond" w:hAnsi="Garamond" w:cstheme="minorHAnsi"/>
          <w:sz w:val="24"/>
          <w:szCs w:val="24"/>
        </w:rPr>
        <w:t>5</w:t>
      </w:r>
      <w:r w:rsidRPr="001511DA">
        <w:rPr>
          <w:rFonts w:ascii="Garamond" w:hAnsi="Garamond" w:cstheme="minorHAnsi"/>
          <w:sz w:val="24"/>
          <w:szCs w:val="24"/>
        </w:rPr>
        <w:t xml:space="preserve"> byly tyto náhrady navýšeny na částku </w:t>
      </w:r>
      <w:r w:rsidR="00507376">
        <w:rPr>
          <w:rFonts w:ascii="Garamond" w:hAnsi="Garamond" w:cstheme="minorHAnsi"/>
          <w:sz w:val="24"/>
          <w:szCs w:val="24"/>
        </w:rPr>
        <w:t>7 200</w:t>
      </w:r>
      <w:r w:rsidRPr="001511DA">
        <w:rPr>
          <w:rFonts w:ascii="Garamond" w:hAnsi="Garamond" w:cstheme="minorHAnsi"/>
          <w:sz w:val="24"/>
          <w:szCs w:val="24"/>
        </w:rPr>
        <w:t xml:space="preserve"> Kč. </w:t>
      </w:r>
      <w:r w:rsidRPr="001511DA">
        <w:rPr>
          <w:rFonts w:ascii="Garamond" w:hAnsi="Garamond"/>
          <w:sz w:val="24"/>
          <w:szCs w:val="24"/>
        </w:rPr>
        <w:t xml:space="preserve"> </w:t>
      </w:r>
    </w:p>
    <w:p w14:paraId="2C1C67D7" w14:textId="77777777" w:rsidR="00043193" w:rsidRDefault="00043193" w:rsidP="002E6DC3">
      <w:pPr>
        <w:pStyle w:val="Odstavecseseznamem"/>
        <w:ind w:left="644"/>
        <w:rPr>
          <w:rFonts w:asciiTheme="majorHAnsi" w:hAnsiTheme="majorHAnsi"/>
          <w:b/>
          <w:bCs/>
        </w:rPr>
      </w:pPr>
    </w:p>
    <w:p w14:paraId="53AB181F" w14:textId="58C87321" w:rsidR="00984472" w:rsidRDefault="00AE1E17" w:rsidP="001270D6">
      <w:pPr>
        <w:pStyle w:val="Nadpis2"/>
        <w:rPr>
          <w:color w:val="548DD4" w:themeColor="text2" w:themeTint="99"/>
        </w:rPr>
      </w:pPr>
      <w:bookmarkStart w:id="33" w:name="_Toc155689663"/>
      <w:r w:rsidRPr="00043193">
        <w:rPr>
          <w:color w:val="548DD4" w:themeColor="text2" w:themeTint="99"/>
        </w:rPr>
        <w:t>Rozbor IT</w:t>
      </w:r>
      <w:bookmarkEnd w:id="33"/>
      <w:r w:rsidRPr="00043193">
        <w:rPr>
          <w:color w:val="548DD4" w:themeColor="text2" w:themeTint="99"/>
        </w:rPr>
        <w:t xml:space="preserve"> </w:t>
      </w:r>
    </w:p>
    <w:p w14:paraId="5041F155" w14:textId="1E76798D" w:rsidR="00C401BA" w:rsidRPr="00C401BA" w:rsidRDefault="00E34FBC" w:rsidP="00C401BA">
      <w:pPr>
        <w:jc w:val="both"/>
        <w:rPr>
          <w:rFonts w:ascii="Garamond" w:hAnsi="Garamond"/>
          <w:sz w:val="24"/>
          <w:szCs w:val="24"/>
        </w:rPr>
      </w:pPr>
      <w:r w:rsidRPr="00C401BA">
        <w:rPr>
          <w:rFonts w:ascii="Garamond" w:hAnsi="Garamond" w:cstheme="minorHAnsi"/>
          <w:sz w:val="24"/>
          <w:szCs w:val="24"/>
        </w:rPr>
        <w:t>Nejvyšší a nerovnoměrné čerpání finančních prostředků na IT</w:t>
      </w:r>
      <w:r w:rsidR="00CF5348" w:rsidRPr="00C401BA">
        <w:rPr>
          <w:rFonts w:ascii="Garamond" w:hAnsi="Garamond" w:cstheme="minorHAnsi"/>
          <w:sz w:val="24"/>
          <w:szCs w:val="24"/>
        </w:rPr>
        <w:t xml:space="preserve"> ve srovnání s rokem 202</w:t>
      </w:r>
      <w:r w:rsidR="00727CAD" w:rsidRPr="00C401BA">
        <w:rPr>
          <w:rFonts w:ascii="Garamond" w:hAnsi="Garamond" w:cstheme="minorHAnsi"/>
          <w:sz w:val="24"/>
          <w:szCs w:val="24"/>
        </w:rPr>
        <w:t>4</w:t>
      </w:r>
      <w:r w:rsidRPr="00C401BA">
        <w:rPr>
          <w:rFonts w:ascii="Garamond" w:hAnsi="Garamond" w:cstheme="minorHAnsi"/>
          <w:sz w:val="24"/>
          <w:szCs w:val="24"/>
        </w:rPr>
        <w:t xml:space="preserve"> bylo na položce </w:t>
      </w:r>
      <w:r w:rsidR="00727CAD" w:rsidRPr="00C401BA">
        <w:rPr>
          <w:rFonts w:ascii="Garamond" w:hAnsi="Garamond" w:cstheme="minorHAnsi"/>
          <w:sz w:val="24"/>
          <w:szCs w:val="24"/>
        </w:rPr>
        <w:t xml:space="preserve">5042 - Odměny za užití počítačových programů </w:t>
      </w:r>
      <w:r w:rsidR="00E0787B" w:rsidRPr="00C401BA">
        <w:rPr>
          <w:rFonts w:ascii="Garamond" w:hAnsi="Garamond" w:cstheme="minorHAnsi"/>
          <w:sz w:val="24"/>
          <w:szCs w:val="24"/>
        </w:rPr>
        <w:t>meziročně činil rozdíl 2 740,35 tis.</w:t>
      </w:r>
      <w:r w:rsidR="001212C5">
        <w:rPr>
          <w:rFonts w:ascii="Garamond" w:hAnsi="Garamond" w:cstheme="minorHAnsi"/>
          <w:sz w:val="24"/>
          <w:szCs w:val="24"/>
        </w:rPr>
        <w:t xml:space="preserve"> </w:t>
      </w:r>
      <w:r w:rsidR="00E0787B" w:rsidRPr="00C401BA">
        <w:rPr>
          <w:rFonts w:ascii="Garamond" w:hAnsi="Garamond" w:cstheme="minorHAnsi"/>
          <w:sz w:val="24"/>
          <w:szCs w:val="24"/>
        </w:rPr>
        <w:t xml:space="preserve">Kč </w:t>
      </w:r>
      <w:r w:rsidR="00727CAD" w:rsidRPr="00C401BA">
        <w:rPr>
          <w:rFonts w:ascii="Garamond" w:hAnsi="Garamond" w:cstheme="minorHAnsi"/>
          <w:sz w:val="24"/>
          <w:szCs w:val="24"/>
        </w:rPr>
        <w:t xml:space="preserve">a </w:t>
      </w:r>
      <w:r w:rsidRPr="00C401BA">
        <w:rPr>
          <w:rFonts w:ascii="Garamond" w:hAnsi="Garamond" w:cstheme="minorHAnsi"/>
          <w:sz w:val="24"/>
          <w:szCs w:val="24"/>
        </w:rPr>
        <w:t>5137</w:t>
      </w:r>
      <w:r w:rsidR="00CF5348" w:rsidRPr="00C401BA">
        <w:rPr>
          <w:rFonts w:ascii="Garamond" w:hAnsi="Garamond" w:cstheme="minorHAnsi"/>
          <w:sz w:val="24"/>
          <w:szCs w:val="24"/>
        </w:rPr>
        <w:t xml:space="preserve"> </w:t>
      </w:r>
      <w:proofErr w:type="gramStart"/>
      <w:r w:rsidR="00CF5348" w:rsidRPr="00C401BA">
        <w:rPr>
          <w:rFonts w:ascii="Garamond" w:hAnsi="Garamond" w:cstheme="minorHAnsi"/>
          <w:sz w:val="24"/>
          <w:szCs w:val="24"/>
        </w:rPr>
        <w:t xml:space="preserve">- </w:t>
      </w:r>
      <w:r w:rsidRPr="00C401BA">
        <w:rPr>
          <w:rFonts w:ascii="Garamond" w:hAnsi="Garamond" w:cstheme="minorHAnsi"/>
          <w:sz w:val="24"/>
          <w:szCs w:val="24"/>
        </w:rPr>
        <w:t xml:space="preserve"> Drobný</w:t>
      </w:r>
      <w:proofErr w:type="gramEnd"/>
      <w:r w:rsidRPr="00C401BA">
        <w:rPr>
          <w:rFonts w:ascii="Garamond" w:hAnsi="Garamond" w:cstheme="minorHAnsi"/>
          <w:sz w:val="24"/>
          <w:szCs w:val="24"/>
        </w:rPr>
        <w:t xml:space="preserve"> dlouhodobý hmotný majetek.</w:t>
      </w:r>
      <w:r w:rsidR="00CF5348" w:rsidRPr="00C401BA">
        <w:rPr>
          <w:rFonts w:ascii="Garamond" w:hAnsi="Garamond" w:cstheme="minorHAnsi"/>
          <w:sz w:val="24"/>
          <w:szCs w:val="24"/>
        </w:rPr>
        <w:t xml:space="preserve">  </w:t>
      </w:r>
    </w:p>
    <w:p w14:paraId="07D36A18" w14:textId="4BB5421E" w:rsidR="00E34FBC" w:rsidRPr="00C401BA" w:rsidRDefault="00C401BA" w:rsidP="00C401BA">
      <w:pPr>
        <w:pStyle w:val="Garamond12"/>
        <w:jc w:val="both"/>
        <w:rPr>
          <w:rFonts w:cstheme="minorHAnsi"/>
        </w:rPr>
      </w:pPr>
      <w:r w:rsidRPr="00C401BA">
        <w:rPr>
          <w:rFonts w:cstheme="minorHAnsi"/>
          <w:color w:val="000000" w:themeColor="text1"/>
        </w:rPr>
        <w:t xml:space="preserve">Čerpány byly finanční prostředky OI – z rozpočtové položky 5137 a 5139 ve </w:t>
      </w:r>
      <w:proofErr w:type="gramStart"/>
      <w:r w:rsidRPr="00C401BA">
        <w:rPr>
          <w:rFonts w:cstheme="minorHAnsi"/>
          <w:color w:val="000000" w:themeColor="text1"/>
        </w:rPr>
        <w:t>výši  6</w:t>
      </w:r>
      <w:proofErr w:type="gramEnd"/>
      <w:r w:rsidRPr="00C401BA">
        <w:rPr>
          <w:rFonts w:cstheme="minorHAnsi"/>
          <w:color w:val="000000" w:themeColor="text1"/>
        </w:rPr>
        <w:t> 056 tis. Kč s kódem účelu 243980057.Tyto prostředky byly určeny na nákupy  počítačů v souvislosti s přechodem z Windows 10 na Windows 11 v roce 2025</w:t>
      </w:r>
      <w:r>
        <w:rPr>
          <w:rFonts w:cstheme="minorHAnsi"/>
          <w:color w:val="000000" w:themeColor="text1"/>
        </w:rPr>
        <w:t>.</w:t>
      </w:r>
      <w:r w:rsidR="00CF5348" w:rsidRPr="00C401BA">
        <w:rPr>
          <w:rFonts w:cstheme="minorHAnsi"/>
        </w:rPr>
        <w:t xml:space="preserve"> Meziroční rozdíl </w:t>
      </w:r>
      <w:r w:rsidR="002B1DEE" w:rsidRPr="00C401BA">
        <w:rPr>
          <w:rFonts w:cstheme="minorHAnsi"/>
        </w:rPr>
        <w:t>činil částku</w:t>
      </w:r>
      <w:r w:rsidR="00CF5348" w:rsidRPr="00C401BA">
        <w:rPr>
          <w:rFonts w:cstheme="minorHAnsi"/>
        </w:rPr>
        <w:t xml:space="preserve"> </w:t>
      </w:r>
      <w:r w:rsidR="00E0787B" w:rsidRPr="00C401BA">
        <w:rPr>
          <w:rFonts w:cstheme="minorHAnsi"/>
        </w:rPr>
        <w:t>5 067,17</w:t>
      </w:r>
      <w:r w:rsidR="00CF5348" w:rsidRPr="00C401BA">
        <w:rPr>
          <w:rFonts w:cstheme="minorHAnsi"/>
        </w:rPr>
        <w:t xml:space="preserve"> tis.</w:t>
      </w:r>
      <w:r w:rsidR="00E34FBC" w:rsidRPr="00C401BA">
        <w:rPr>
          <w:rFonts w:cstheme="minorHAnsi"/>
        </w:rPr>
        <w:t xml:space="preserve"> Kč.</w:t>
      </w:r>
    </w:p>
    <w:p w14:paraId="2A7CD1DD" w14:textId="2A35E0BC" w:rsidR="00E34FBC" w:rsidRPr="00C401BA" w:rsidRDefault="00E34FBC" w:rsidP="00C401BA">
      <w:pPr>
        <w:pStyle w:val="Garamond12"/>
        <w:spacing w:after="60"/>
        <w:jc w:val="both"/>
        <w:rPr>
          <w:rFonts w:cstheme="minorHAnsi"/>
        </w:rPr>
      </w:pPr>
      <w:r w:rsidRPr="00C401BA">
        <w:rPr>
          <w:rFonts w:cstheme="minorHAnsi"/>
        </w:rPr>
        <w:t xml:space="preserve">Rozpočtová položka 5139 </w:t>
      </w:r>
      <w:proofErr w:type="gramStart"/>
      <w:r w:rsidRPr="00C401BA">
        <w:rPr>
          <w:rFonts w:cstheme="minorHAnsi"/>
        </w:rPr>
        <w:t xml:space="preserve">OI </w:t>
      </w:r>
      <w:r w:rsidR="00AF2A28" w:rsidRPr="00C401BA">
        <w:rPr>
          <w:rFonts w:cstheme="minorHAnsi"/>
        </w:rPr>
        <w:t>-</w:t>
      </w:r>
      <w:r w:rsidRPr="00C401BA">
        <w:rPr>
          <w:rFonts w:cstheme="minorHAnsi"/>
        </w:rPr>
        <w:t xml:space="preserve"> Nákup</w:t>
      </w:r>
      <w:proofErr w:type="gramEnd"/>
      <w:r w:rsidRPr="00C401BA">
        <w:rPr>
          <w:rFonts w:cstheme="minorHAnsi"/>
        </w:rPr>
        <w:t xml:space="preserve"> materiálu jinde nezařazený</w:t>
      </w:r>
      <w:r w:rsidR="004D4DC2" w:rsidRPr="00C401BA">
        <w:rPr>
          <w:rFonts w:cstheme="minorHAnsi"/>
        </w:rPr>
        <w:t xml:space="preserve"> - </w:t>
      </w:r>
      <w:r w:rsidRPr="00C401BA">
        <w:rPr>
          <w:rFonts w:cstheme="minorHAnsi"/>
        </w:rPr>
        <w:t>byly čerpány finanční prostředky především na pořízení tonerů. Dále byly z těchto prostředků hrazeny nákupy sluchátek pro zapisovatelky, spotřební materiál (CD datové nosiče)</w:t>
      </w:r>
      <w:r w:rsidR="00E0787B" w:rsidRPr="00C401BA">
        <w:rPr>
          <w:rFonts w:cstheme="minorHAnsi"/>
        </w:rPr>
        <w:t>,</w:t>
      </w:r>
      <w:r w:rsidR="001212C5">
        <w:rPr>
          <w:rFonts w:cstheme="minorHAnsi"/>
        </w:rPr>
        <w:t xml:space="preserve"> </w:t>
      </w:r>
      <w:proofErr w:type="gramStart"/>
      <w:r w:rsidR="00E0787B" w:rsidRPr="00C401BA">
        <w:rPr>
          <w:rFonts w:cstheme="minorHAnsi"/>
        </w:rPr>
        <w:t xml:space="preserve">klávesnice </w:t>
      </w:r>
      <w:r w:rsidRPr="00C401BA">
        <w:rPr>
          <w:rFonts w:cstheme="minorHAnsi"/>
        </w:rPr>
        <w:t xml:space="preserve"> a</w:t>
      </w:r>
      <w:proofErr w:type="gramEnd"/>
      <w:r w:rsidRPr="00C401BA">
        <w:rPr>
          <w:rFonts w:cstheme="minorHAnsi"/>
        </w:rPr>
        <w:t xml:space="preserve"> počítačové myši. Čerpání z položky bylo </w:t>
      </w:r>
      <w:r w:rsidR="00610BE5" w:rsidRPr="00C401BA">
        <w:rPr>
          <w:rFonts w:cstheme="minorHAnsi"/>
        </w:rPr>
        <w:t xml:space="preserve">vyšší </w:t>
      </w:r>
      <w:r w:rsidR="006E50D3" w:rsidRPr="00C401BA">
        <w:rPr>
          <w:rFonts w:cstheme="minorHAnsi"/>
        </w:rPr>
        <w:t>oproti předchozímu roku</w:t>
      </w:r>
      <w:r w:rsidR="00E0787B" w:rsidRPr="00C401BA">
        <w:rPr>
          <w:rFonts w:cstheme="minorHAnsi"/>
        </w:rPr>
        <w:t xml:space="preserve"> o 457,16 tis.</w:t>
      </w:r>
      <w:r w:rsidR="001212C5">
        <w:rPr>
          <w:rFonts w:cstheme="minorHAnsi"/>
        </w:rPr>
        <w:t xml:space="preserve"> </w:t>
      </w:r>
      <w:r w:rsidR="00E0787B" w:rsidRPr="00C401BA">
        <w:rPr>
          <w:rFonts w:cstheme="minorHAnsi"/>
        </w:rPr>
        <w:t>Kč</w:t>
      </w:r>
      <w:r w:rsidRPr="00C401BA">
        <w:rPr>
          <w:rFonts w:cstheme="minorHAnsi"/>
        </w:rPr>
        <w:t>.</w:t>
      </w:r>
    </w:p>
    <w:p w14:paraId="118BE44E" w14:textId="15C4755A" w:rsidR="00E34FBC" w:rsidRPr="00C401BA" w:rsidRDefault="00E34FBC" w:rsidP="00C401BA">
      <w:pPr>
        <w:pStyle w:val="Garamond12"/>
        <w:spacing w:after="60"/>
        <w:jc w:val="both"/>
        <w:rPr>
          <w:rFonts w:cstheme="minorHAnsi"/>
        </w:rPr>
      </w:pPr>
      <w:r w:rsidRPr="00C401BA">
        <w:rPr>
          <w:rFonts w:cstheme="minorHAnsi"/>
        </w:rPr>
        <w:t xml:space="preserve">Položka 5168 </w:t>
      </w:r>
      <w:proofErr w:type="gramStart"/>
      <w:r w:rsidRPr="00C401BA">
        <w:rPr>
          <w:rFonts w:cstheme="minorHAnsi"/>
        </w:rPr>
        <w:t xml:space="preserve">OI </w:t>
      </w:r>
      <w:r w:rsidR="00AF2A28" w:rsidRPr="00C401BA">
        <w:rPr>
          <w:rFonts w:cstheme="minorHAnsi"/>
        </w:rPr>
        <w:t>-</w:t>
      </w:r>
      <w:r w:rsidRPr="00C401BA">
        <w:rPr>
          <w:rFonts w:cstheme="minorHAnsi"/>
        </w:rPr>
        <w:t xml:space="preserve"> Zpracování</w:t>
      </w:r>
      <w:proofErr w:type="gramEnd"/>
      <w:r w:rsidRPr="00C401BA">
        <w:rPr>
          <w:rFonts w:cstheme="minorHAnsi"/>
        </w:rPr>
        <w:t xml:space="preserve"> dat a služby související s informačními a komunikačními technologiemi (výpočetní technika). Z této položky byl hrazen servis</w:t>
      </w:r>
      <w:r w:rsidR="002B1DEE" w:rsidRPr="00C401BA">
        <w:rPr>
          <w:rFonts w:cstheme="minorHAnsi"/>
        </w:rPr>
        <w:t xml:space="preserve"> skenerů, technické podpory, služby síťového monit</w:t>
      </w:r>
      <w:r w:rsidR="009E3E4E" w:rsidRPr="00C401BA">
        <w:rPr>
          <w:rFonts w:cstheme="minorHAnsi"/>
        </w:rPr>
        <w:t>o</w:t>
      </w:r>
      <w:r w:rsidR="002B1DEE" w:rsidRPr="00C401BA">
        <w:rPr>
          <w:rFonts w:cstheme="minorHAnsi"/>
        </w:rPr>
        <w:t>rinku</w:t>
      </w:r>
      <w:r w:rsidR="009E3E4E" w:rsidRPr="00C401BA">
        <w:rPr>
          <w:rFonts w:cstheme="minorHAnsi"/>
        </w:rPr>
        <w:t xml:space="preserve"> a servis </w:t>
      </w:r>
      <w:r w:rsidRPr="00C401BA">
        <w:rPr>
          <w:rFonts w:cstheme="minorHAnsi"/>
        </w:rPr>
        <w:t xml:space="preserve">elektronické úřední desky. </w:t>
      </w:r>
      <w:bookmarkStart w:id="34" w:name="_Hlk156910312"/>
      <w:r w:rsidRPr="00C401BA">
        <w:rPr>
          <w:rFonts w:cstheme="minorHAnsi"/>
        </w:rPr>
        <w:t xml:space="preserve">Tyto výdaje byly čerpány </w:t>
      </w:r>
      <w:r w:rsidR="006E50D3" w:rsidRPr="00C401BA">
        <w:rPr>
          <w:rFonts w:cstheme="minorHAnsi"/>
        </w:rPr>
        <w:t xml:space="preserve">v nižší částce </w:t>
      </w:r>
      <w:r w:rsidR="002D306E" w:rsidRPr="00C401BA">
        <w:rPr>
          <w:rFonts w:cstheme="minorHAnsi"/>
        </w:rPr>
        <w:t>o 201,73 tis.</w:t>
      </w:r>
      <w:r w:rsidR="001212C5">
        <w:rPr>
          <w:rFonts w:cstheme="minorHAnsi"/>
        </w:rPr>
        <w:t xml:space="preserve"> </w:t>
      </w:r>
      <w:r w:rsidR="002D306E" w:rsidRPr="00C401BA">
        <w:rPr>
          <w:rFonts w:cstheme="minorHAnsi"/>
        </w:rPr>
        <w:t xml:space="preserve">Kč </w:t>
      </w:r>
      <w:r w:rsidR="002D306E" w:rsidRPr="00C401BA">
        <w:rPr>
          <w:rFonts w:cstheme="minorHAnsi"/>
        </w:rPr>
        <w:br/>
      </w:r>
      <w:r w:rsidR="006E50D3" w:rsidRPr="00C401BA">
        <w:rPr>
          <w:rFonts w:cstheme="minorHAnsi"/>
        </w:rPr>
        <w:t>ve srovnání s rokem předchozím</w:t>
      </w:r>
      <w:r w:rsidRPr="00C401BA">
        <w:rPr>
          <w:rFonts w:cstheme="minorHAnsi"/>
        </w:rPr>
        <w:t>.</w:t>
      </w:r>
      <w:bookmarkEnd w:id="34"/>
      <w:r w:rsidRPr="00C401BA">
        <w:rPr>
          <w:rFonts w:cstheme="minorHAnsi"/>
        </w:rPr>
        <w:t xml:space="preserve"> </w:t>
      </w:r>
    </w:p>
    <w:p w14:paraId="3EC22FB8" w14:textId="308C7B7C" w:rsidR="00E34FBC" w:rsidRPr="00C401BA" w:rsidRDefault="00E34FBC" w:rsidP="00C401BA">
      <w:pPr>
        <w:pStyle w:val="Garamond12"/>
        <w:spacing w:after="60"/>
        <w:jc w:val="both"/>
      </w:pPr>
      <w:r w:rsidRPr="00C401BA">
        <w:t xml:space="preserve">Položka 5169 </w:t>
      </w:r>
      <w:proofErr w:type="gramStart"/>
      <w:r w:rsidRPr="00C401BA">
        <w:t xml:space="preserve">OI </w:t>
      </w:r>
      <w:r w:rsidR="009E3E4E" w:rsidRPr="00C401BA">
        <w:t>-</w:t>
      </w:r>
      <w:r w:rsidRPr="00C401BA">
        <w:t xml:space="preserve"> Nákup</w:t>
      </w:r>
      <w:proofErr w:type="gramEnd"/>
      <w:r w:rsidRPr="00C401BA">
        <w:t xml:space="preserve"> ostatních služeb (výpočetní technika.). Na základě servisní</w:t>
      </w:r>
      <w:r w:rsidR="009E3E4E" w:rsidRPr="00C401BA">
        <w:t>ch</w:t>
      </w:r>
      <w:r w:rsidRPr="00C401BA">
        <w:t xml:space="preserve"> a materiálov</w:t>
      </w:r>
      <w:r w:rsidR="009E3E4E" w:rsidRPr="00C401BA">
        <w:t>ých</w:t>
      </w:r>
      <w:r w:rsidRPr="00C401BA">
        <w:t xml:space="preserve"> smluv</w:t>
      </w:r>
      <w:r w:rsidR="009E3E4E" w:rsidRPr="00C401BA">
        <w:t xml:space="preserve"> jsou hrazeny faktury za tyto </w:t>
      </w:r>
      <w:proofErr w:type="gramStart"/>
      <w:r w:rsidR="009E3E4E" w:rsidRPr="00C401BA">
        <w:t>služby  -</w:t>
      </w:r>
      <w:proofErr w:type="gramEnd"/>
      <w:r w:rsidR="009E3E4E" w:rsidRPr="00C401BA">
        <w:t xml:space="preserve"> firma ZM SERVIS a KONICA.</w:t>
      </w:r>
      <w:r w:rsidRPr="00C401BA">
        <w:t xml:space="preserve"> Tyto výdaje byly čerpány plynule a rovnoměrně.</w:t>
      </w:r>
    </w:p>
    <w:p w14:paraId="16A9208C" w14:textId="2E0EFD09" w:rsidR="006E50D3" w:rsidRPr="00C401BA" w:rsidRDefault="00E34FBC" w:rsidP="00C401BA">
      <w:pPr>
        <w:pStyle w:val="Garamond12"/>
        <w:spacing w:after="60"/>
        <w:jc w:val="both"/>
      </w:pPr>
      <w:r w:rsidRPr="00C401BA">
        <w:t xml:space="preserve">Položka 5171 </w:t>
      </w:r>
      <w:proofErr w:type="gramStart"/>
      <w:r w:rsidRPr="00C401BA">
        <w:t xml:space="preserve">OI </w:t>
      </w:r>
      <w:r w:rsidR="00984472" w:rsidRPr="00C401BA">
        <w:t>-</w:t>
      </w:r>
      <w:r w:rsidRPr="00C401BA">
        <w:t xml:space="preserve"> Opravy</w:t>
      </w:r>
      <w:proofErr w:type="gramEnd"/>
      <w:r w:rsidRPr="00C401BA">
        <w:t xml:space="preserve"> a udržování (výpočetní technika). V roce 202</w:t>
      </w:r>
      <w:r w:rsidR="002D306E" w:rsidRPr="00C401BA">
        <w:t>5</w:t>
      </w:r>
      <w:r w:rsidRPr="00C401BA">
        <w:t xml:space="preserve"> byla z této položky hrazena oprava a servis </w:t>
      </w:r>
      <w:proofErr w:type="gramStart"/>
      <w:r w:rsidR="009E3E4E" w:rsidRPr="00C401BA">
        <w:t xml:space="preserve">tiskáren </w:t>
      </w:r>
      <w:r w:rsidRPr="00C401BA">
        <w:t xml:space="preserve"> a</w:t>
      </w:r>
      <w:proofErr w:type="gramEnd"/>
      <w:r w:rsidRPr="00C401BA">
        <w:t xml:space="preserve"> opravy diktafonů .</w:t>
      </w:r>
      <w:r w:rsidR="006E50D3" w:rsidRPr="00C401BA">
        <w:t xml:space="preserve"> Tyto výdaje byly </w:t>
      </w:r>
      <w:r w:rsidR="002D306E" w:rsidRPr="00C401BA">
        <w:t>nižší ooproti roku 2024 o 53,90 tis.Kč</w:t>
      </w:r>
      <w:r w:rsidR="006E50D3" w:rsidRPr="00C401BA">
        <w:t>.</w:t>
      </w:r>
    </w:p>
    <w:p w14:paraId="3AAD8634" w14:textId="715266FC" w:rsidR="00E34FBC" w:rsidRPr="00C401BA" w:rsidRDefault="00E34FBC" w:rsidP="00C401BA">
      <w:pPr>
        <w:pStyle w:val="Garamond12"/>
        <w:spacing w:after="60"/>
        <w:jc w:val="both"/>
      </w:pPr>
    </w:p>
    <w:p w14:paraId="67EE70BD" w14:textId="77777777" w:rsidR="00DD136D" w:rsidRPr="00AC0CB4" w:rsidRDefault="00DD136D" w:rsidP="00E34FBC">
      <w:pPr>
        <w:pStyle w:val="Garamond12"/>
        <w:spacing w:after="60"/>
        <w:jc w:val="both"/>
        <w:rPr>
          <w:rFonts w:cstheme="minorHAnsi"/>
        </w:rPr>
      </w:pPr>
    </w:p>
    <w:p w14:paraId="0C8ECE01" w14:textId="0D3D75D5" w:rsidR="00984472" w:rsidRPr="00984472" w:rsidRDefault="001B19D8" w:rsidP="00AF1AE0">
      <w:pPr>
        <w:pStyle w:val="Nadpis2"/>
      </w:pPr>
      <w:bookmarkStart w:id="35" w:name="_Toc155689664"/>
      <w:r w:rsidRPr="00043193">
        <w:rPr>
          <w:color w:val="548DD4" w:themeColor="text2" w:themeTint="99"/>
        </w:rPr>
        <w:t xml:space="preserve">Rozbor </w:t>
      </w:r>
      <w:r w:rsidR="00637AA2" w:rsidRPr="00043193">
        <w:rPr>
          <w:color w:val="548DD4" w:themeColor="text2" w:themeTint="99"/>
        </w:rPr>
        <w:t>OBKŘ</w:t>
      </w:r>
      <w:bookmarkEnd w:id="35"/>
      <w:r w:rsidRPr="00043193">
        <w:rPr>
          <w:color w:val="548DD4" w:themeColor="text2" w:themeTint="99"/>
        </w:rPr>
        <w:t xml:space="preserve"> </w:t>
      </w:r>
    </w:p>
    <w:p w14:paraId="5A4C8B12" w14:textId="21B9A01E" w:rsidR="004F2B04" w:rsidRDefault="004F2B04" w:rsidP="00BB5870">
      <w:pPr>
        <w:pStyle w:val="Garamond12"/>
        <w:spacing w:after="60"/>
        <w:jc w:val="both"/>
        <w:rPr>
          <w:rFonts w:cstheme="minorHAnsi"/>
        </w:rPr>
      </w:pPr>
      <w:r>
        <w:rPr>
          <w:rFonts w:cstheme="minorHAnsi"/>
        </w:rPr>
        <w:t>Čerpání rozpočtových prostředků bylo v roce 202</w:t>
      </w:r>
      <w:r w:rsidR="00BA29CF">
        <w:rPr>
          <w:rFonts w:cstheme="minorHAnsi"/>
        </w:rPr>
        <w:t>4</w:t>
      </w:r>
      <w:r>
        <w:rPr>
          <w:rFonts w:cstheme="minorHAnsi"/>
        </w:rPr>
        <w:t xml:space="preserve"> </w:t>
      </w:r>
      <w:r w:rsidR="00BB5870">
        <w:rPr>
          <w:rFonts w:cstheme="minorHAnsi"/>
        </w:rPr>
        <w:t>téměř vyrovnané s rokem 202</w:t>
      </w:r>
      <w:r w:rsidR="001F7F9F">
        <w:rPr>
          <w:rFonts w:cstheme="minorHAnsi"/>
        </w:rPr>
        <w:t>4</w:t>
      </w:r>
      <w:r>
        <w:rPr>
          <w:rFonts w:cstheme="minorHAnsi"/>
        </w:rPr>
        <w:t xml:space="preserve">. </w:t>
      </w:r>
      <w:r w:rsidR="00BB5870">
        <w:rPr>
          <w:rFonts w:cstheme="minorHAnsi"/>
        </w:rPr>
        <w:t xml:space="preserve">Větší rozdíly </w:t>
      </w:r>
      <w:proofErr w:type="gramStart"/>
      <w:r w:rsidR="00BB5870">
        <w:rPr>
          <w:rFonts w:cstheme="minorHAnsi"/>
        </w:rPr>
        <w:t xml:space="preserve">byly </w:t>
      </w:r>
      <w:r w:rsidR="007047CC">
        <w:rPr>
          <w:rFonts w:cstheme="minorHAnsi"/>
        </w:rPr>
        <w:t xml:space="preserve"> pouze</w:t>
      </w:r>
      <w:proofErr w:type="gramEnd"/>
      <w:r w:rsidR="007047CC">
        <w:rPr>
          <w:rFonts w:cstheme="minorHAnsi"/>
        </w:rPr>
        <w:t xml:space="preserve"> </w:t>
      </w:r>
      <w:r w:rsidR="00BB5870">
        <w:rPr>
          <w:rFonts w:cstheme="minorHAnsi"/>
        </w:rPr>
        <w:t>na polož</w:t>
      </w:r>
      <w:r w:rsidR="007047CC">
        <w:rPr>
          <w:rFonts w:cstheme="minorHAnsi"/>
        </w:rPr>
        <w:t>ce</w:t>
      </w:r>
      <w:r w:rsidR="00BB5870">
        <w:rPr>
          <w:rFonts w:cstheme="minorHAnsi"/>
        </w:rPr>
        <w:t xml:space="preserve"> 51</w:t>
      </w:r>
      <w:r w:rsidR="001F7F9F">
        <w:rPr>
          <w:rFonts w:cstheme="minorHAnsi"/>
        </w:rPr>
        <w:t>71</w:t>
      </w:r>
      <w:r w:rsidR="00BA29CF">
        <w:rPr>
          <w:rFonts w:cstheme="minorHAnsi"/>
        </w:rPr>
        <w:t xml:space="preserve">- </w:t>
      </w:r>
      <w:r w:rsidR="001F7F9F">
        <w:rPr>
          <w:rFonts w:cstheme="minorHAnsi"/>
        </w:rPr>
        <w:t>opravy a udržování</w:t>
      </w:r>
      <w:r w:rsidR="00F16E0D">
        <w:rPr>
          <w:rFonts w:cstheme="minorHAnsi"/>
        </w:rPr>
        <w:t xml:space="preserve">, které souvisely s </w:t>
      </w:r>
      <w:r w:rsidR="0054552E">
        <w:rPr>
          <w:rFonts w:cstheme="minorHAnsi"/>
        </w:rPr>
        <w:t xml:space="preserve"> oprav</w:t>
      </w:r>
      <w:r w:rsidR="00F16E0D">
        <w:rPr>
          <w:rFonts w:cstheme="minorHAnsi"/>
        </w:rPr>
        <w:t>ou</w:t>
      </w:r>
      <w:r w:rsidR="0054552E">
        <w:rPr>
          <w:rFonts w:cstheme="minorHAnsi"/>
        </w:rPr>
        <w:t xml:space="preserve"> kamerového systému CCTV</w:t>
      </w:r>
      <w:r w:rsidR="00AF2A28">
        <w:rPr>
          <w:rFonts w:cstheme="minorHAnsi"/>
        </w:rPr>
        <w:t>.</w:t>
      </w:r>
    </w:p>
    <w:p w14:paraId="51B1655F" w14:textId="77777777" w:rsidR="004D4DC2" w:rsidRDefault="004D4DC2" w:rsidP="00BB5870">
      <w:pPr>
        <w:pStyle w:val="Garamond12"/>
        <w:spacing w:after="60"/>
        <w:jc w:val="both"/>
      </w:pPr>
    </w:p>
    <w:p w14:paraId="77AD057B" w14:textId="56335FCC" w:rsidR="001C32E3" w:rsidRPr="000E2518" w:rsidRDefault="001C32E3" w:rsidP="001C32E3">
      <w:pPr>
        <w:pStyle w:val="Nadpis2"/>
        <w:rPr>
          <w:color w:val="548DD4" w:themeColor="text2" w:themeTint="99"/>
        </w:rPr>
      </w:pPr>
      <w:bookmarkStart w:id="36" w:name="_Toc155689665"/>
      <w:r w:rsidRPr="000E2518">
        <w:rPr>
          <w:color w:val="548DD4" w:themeColor="text2" w:themeTint="99"/>
        </w:rPr>
        <w:t>Dávky sociálního zabezpečení</w:t>
      </w:r>
      <w:r w:rsidR="0087409D" w:rsidRPr="000E2518">
        <w:rPr>
          <w:color w:val="548DD4" w:themeColor="text2" w:themeTint="99"/>
        </w:rPr>
        <w:t xml:space="preserve"> </w:t>
      </w:r>
      <w:r w:rsidR="00C15111" w:rsidRPr="000E2518">
        <w:rPr>
          <w:color w:val="548DD4" w:themeColor="text2" w:themeTint="99"/>
        </w:rPr>
        <w:t>(vyplňuje VS ČR)</w:t>
      </w:r>
      <w:bookmarkEnd w:id="36"/>
    </w:p>
    <w:p w14:paraId="6A353356" w14:textId="4419234E" w:rsidR="0028748B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136C44ED" w14:textId="77777777" w:rsidR="00984472" w:rsidRDefault="00984472" w:rsidP="0028748B">
      <w:pPr>
        <w:pStyle w:val="Garamond12"/>
        <w:rPr>
          <w:rFonts w:cstheme="minorHAnsi"/>
        </w:rPr>
      </w:pPr>
    </w:p>
    <w:p w14:paraId="16C1D192" w14:textId="77777777" w:rsidR="004D36BB" w:rsidRPr="000E2518" w:rsidRDefault="004D36BB" w:rsidP="004D36BB">
      <w:pPr>
        <w:pStyle w:val="Nadpis2"/>
        <w:rPr>
          <w:color w:val="548DD4" w:themeColor="text2" w:themeTint="99"/>
        </w:rPr>
      </w:pPr>
      <w:bookmarkStart w:id="37" w:name="_Toc155689666"/>
      <w:r w:rsidRPr="000E2518">
        <w:rPr>
          <w:color w:val="548DD4" w:themeColor="text2" w:themeTint="99"/>
        </w:rPr>
        <w:t>Projekty spolufinancované z EU/FM</w:t>
      </w:r>
      <w:bookmarkEnd w:id="37"/>
    </w:p>
    <w:p w14:paraId="0F05BD20" w14:textId="65C93BBF" w:rsidR="0028748B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7405EA19" w14:textId="77777777" w:rsidR="00984472" w:rsidRDefault="00984472" w:rsidP="0028748B">
      <w:pPr>
        <w:pStyle w:val="Garamond12"/>
        <w:rPr>
          <w:rFonts w:cstheme="minorHAnsi"/>
        </w:rPr>
      </w:pPr>
    </w:p>
    <w:p w14:paraId="05966A1D" w14:textId="3F93B460" w:rsidR="000301B2" w:rsidRPr="000E2518" w:rsidRDefault="000301B2" w:rsidP="002021FE">
      <w:pPr>
        <w:pStyle w:val="Nadpis2"/>
        <w:spacing w:before="120" w:after="120"/>
        <w:rPr>
          <w:color w:val="548DD4" w:themeColor="text2" w:themeTint="99"/>
        </w:rPr>
      </w:pPr>
      <w:bookmarkStart w:id="38" w:name="_Toc534878027"/>
      <w:bookmarkStart w:id="39" w:name="_Toc155689667"/>
      <w:r w:rsidRPr="000E2518">
        <w:rPr>
          <w:color w:val="548DD4" w:themeColor="text2" w:themeTint="99"/>
        </w:rPr>
        <w:t>Hodnocení a vývoj transfer</w:t>
      </w:r>
      <w:r w:rsidR="00984CC8" w:rsidRPr="000E2518">
        <w:rPr>
          <w:color w:val="548DD4" w:themeColor="text2" w:themeTint="99"/>
        </w:rPr>
        <w:t>ů poskytnutých příspěvkovým a podobným</w:t>
      </w:r>
      <w:r w:rsidRPr="000E2518">
        <w:rPr>
          <w:color w:val="548DD4" w:themeColor="text2" w:themeTint="99"/>
        </w:rPr>
        <w:t xml:space="preserve"> organizacím</w:t>
      </w:r>
      <w:bookmarkEnd w:id="38"/>
      <w:r w:rsidR="0087409D" w:rsidRPr="000E2518">
        <w:rPr>
          <w:color w:val="548DD4" w:themeColor="text2" w:themeTint="99"/>
        </w:rPr>
        <w:t xml:space="preserve"> </w:t>
      </w:r>
      <w:r w:rsidR="00C15111" w:rsidRPr="000E2518">
        <w:rPr>
          <w:color w:val="548DD4" w:themeColor="text2" w:themeTint="99"/>
        </w:rPr>
        <w:t>(vyplňuje Aparát)</w:t>
      </w:r>
      <w:bookmarkEnd w:id="39"/>
    </w:p>
    <w:p w14:paraId="5C4B2B5D" w14:textId="1659915C" w:rsidR="00E52FE2" w:rsidRDefault="0028748B" w:rsidP="003E4436">
      <w:pPr>
        <w:pStyle w:val="Garamond12"/>
        <w:rPr>
          <w:b/>
          <w:bCs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6B06E4C1" w14:textId="77777777" w:rsidR="004D4DC2" w:rsidRPr="00915E35" w:rsidRDefault="004D4DC2" w:rsidP="003E4436">
      <w:pPr>
        <w:pStyle w:val="Garamond12"/>
        <w:rPr>
          <w:b/>
          <w:bCs/>
        </w:rPr>
      </w:pPr>
    </w:p>
    <w:p w14:paraId="7876B3EC" w14:textId="708CEAE5" w:rsidR="00A10BE6" w:rsidRPr="000E2518" w:rsidRDefault="00A10BE6" w:rsidP="00A10BE6">
      <w:pPr>
        <w:pStyle w:val="Nadpis2"/>
        <w:rPr>
          <w:color w:val="548DD4" w:themeColor="text2" w:themeTint="99"/>
        </w:rPr>
      </w:pPr>
      <w:bookmarkStart w:id="40" w:name="_Toc155689668"/>
      <w:r w:rsidRPr="000E2518">
        <w:rPr>
          <w:color w:val="548DD4" w:themeColor="text2" w:themeTint="99"/>
        </w:rPr>
        <w:t>Neinvestiční transfery a související platby do zahraničí</w:t>
      </w:r>
      <w:r w:rsidR="00A534AA" w:rsidRPr="000E2518">
        <w:rPr>
          <w:color w:val="548DD4" w:themeColor="text2" w:themeTint="99"/>
        </w:rPr>
        <w:t xml:space="preserve"> (seskupení 55)</w:t>
      </w:r>
      <w:bookmarkEnd w:id="40"/>
      <w:r w:rsidR="00D440CC" w:rsidRPr="000E2518">
        <w:rPr>
          <w:color w:val="548DD4" w:themeColor="text2" w:themeTint="99"/>
        </w:rPr>
        <w:t xml:space="preserve"> </w:t>
      </w:r>
    </w:p>
    <w:p w14:paraId="5EA540EB" w14:textId="0526C89A" w:rsidR="00DD136D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789EA9EB" w14:textId="77777777" w:rsidR="00551553" w:rsidRDefault="00551553" w:rsidP="0028748B">
      <w:pPr>
        <w:pStyle w:val="Garamond12"/>
        <w:rPr>
          <w:rFonts w:cstheme="minorHAnsi"/>
        </w:rPr>
      </w:pPr>
    </w:p>
    <w:p w14:paraId="3FCC74C0" w14:textId="77777777" w:rsidR="004D4DC2" w:rsidRDefault="004D4DC2" w:rsidP="0028748B">
      <w:pPr>
        <w:pStyle w:val="Garamond12"/>
        <w:rPr>
          <w:rFonts w:cstheme="minorHAnsi"/>
        </w:rPr>
      </w:pPr>
    </w:p>
    <w:p w14:paraId="64DC4207" w14:textId="399B1DA9" w:rsidR="000301B2" w:rsidRPr="000E2518" w:rsidRDefault="000301B2" w:rsidP="002021FE">
      <w:pPr>
        <w:pStyle w:val="Nadpis2"/>
        <w:spacing w:before="120" w:after="120"/>
        <w:rPr>
          <w:color w:val="548DD4" w:themeColor="text2" w:themeTint="99"/>
        </w:rPr>
      </w:pPr>
      <w:bookmarkStart w:id="41" w:name="_Toc534878028"/>
      <w:bookmarkStart w:id="42" w:name="_Toc155689669"/>
      <w:r w:rsidRPr="000E2518">
        <w:rPr>
          <w:color w:val="548DD4" w:themeColor="text2" w:themeTint="99"/>
        </w:rPr>
        <w:lastRenderedPageBreak/>
        <w:t>Čerpá</w:t>
      </w:r>
      <w:r w:rsidR="00AC0767" w:rsidRPr="000E2518">
        <w:rPr>
          <w:color w:val="548DD4" w:themeColor="text2" w:themeTint="99"/>
        </w:rPr>
        <w:t>ní a vývoj transferů poskytnutých</w:t>
      </w:r>
      <w:r w:rsidRPr="000E2518">
        <w:rPr>
          <w:color w:val="548DD4" w:themeColor="text2" w:themeTint="99"/>
        </w:rPr>
        <w:t xml:space="preserve"> neziskovým </w:t>
      </w:r>
      <w:r w:rsidR="00AC0767" w:rsidRPr="000E2518">
        <w:rPr>
          <w:color w:val="548DD4" w:themeColor="text2" w:themeTint="99"/>
        </w:rPr>
        <w:t xml:space="preserve">a podobným </w:t>
      </w:r>
      <w:r w:rsidRPr="000E2518">
        <w:rPr>
          <w:color w:val="548DD4" w:themeColor="text2" w:themeTint="99"/>
        </w:rPr>
        <w:t>org</w:t>
      </w:r>
      <w:r w:rsidR="00AC0767" w:rsidRPr="000E2518">
        <w:rPr>
          <w:color w:val="548DD4" w:themeColor="text2" w:themeTint="99"/>
        </w:rPr>
        <w:t>anizacím</w:t>
      </w:r>
      <w:bookmarkEnd w:id="41"/>
      <w:r w:rsidR="00C15111" w:rsidRPr="000E2518">
        <w:rPr>
          <w:color w:val="548DD4" w:themeColor="text2" w:themeTint="99"/>
        </w:rPr>
        <w:t xml:space="preserve"> (vyplňuje Aparát MSp)</w:t>
      </w:r>
      <w:bookmarkEnd w:id="42"/>
    </w:p>
    <w:p w14:paraId="4978AFE3" w14:textId="6848FF3E" w:rsidR="00984472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7654094E" w14:textId="77777777" w:rsidR="00DD136D" w:rsidRDefault="00DD136D" w:rsidP="0028748B">
      <w:pPr>
        <w:pStyle w:val="Garamond12"/>
        <w:rPr>
          <w:rFonts w:cstheme="minorHAnsi"/>
        </w:rPr>
      </w:pPr>
    </w:p>
    <w:p w14:paraId="518D2AD3" w14:textId="3C313DC4" w:rsidR="00285F62" w:rsidRPr="000E2518" w:rsidRDefault="00213658" w:rsidP="004F4901">
      <w:pPr>
        <w:pStyle w:val="Nadpis2"/>
        <w:spacing w:before="120"/>
        <w:rPr>
          <w:color w:val="548DD4" w:themeColor="text2" w:themeTint="99"/>
        </w:rPr>
      </w:pPr>
      <w:bookmarkStart w:id="43" w:name="_Toc155689670"/>
      <w:r w:rsidRPr="000E2518">
        <w:rPr>
          <w:color w:val="548DD4" w:themeColor="text2" w:themeTint="99"/>
        </w:rPr>
        <w:t>Předsednictví v Radě EU (CZ PRES)</w:t>
      </w:r>
      <w:bookmarkEnd w:id="43"/>
    </w:p>
    <w:p w14:paraId="59E79B9E" w14:textId="14032135" w:rsidR="00984472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3B07750A" w14:textId="77777777" w:rsidR="004D4DC2" w:rsidRDefault="004D4DC2" w:rsidP="0028748B">
      <w:pPr>
        <w:pStyle w:val="Garamond12"/>
        <w:rPr>
          <w:rFonts w:cstheme="minorHAnsi"/>
        </w:rPr>
      </w:pPr>
    </w:p>
    <w:p w14:paraId="272644F5" w14:textId="77777777" w:rsidR="00DD136D" w:rsidRDefault="00DD136D" w:rsidP="0028748B">
      <w:pPr>
        <w:pStyle w:val="Garamond12"/>
        <w:rPr>
          <w:rFonts w:cstheme="minorHAnsi"/>
        </w:rPr>
      </w:pPr>
    </w:p>
    <w:p w14:paraId="2FB0B087" w14:textId="77777777" w:rsidR="001A709F" w:rsidRPr="000E2518" w:rsidRDefault="001A709F" w:rsidP="002021FE">
      <w:pPr>
        <w:pStyle w:val="Nadpis2"/>
        <w:spacing w:before="120" w:after="120"/>
        <w:rPr>
          <w:color w:val="548DD4" w:themeColor="text2" w:themeTint="99"/>
        </w:rPr>
      </w:pPr>
      <w:bookmarkStart w:id="44" w:name="_Toc155689671"/>
      <w:bookmarkStart w:id="45" w:name="_Toc534878031"/>
      <w:r w:rsidRPr="000E2518">
        <w:rPr>
          <w:color w:val="548DD4" w:themeColor="text2" w:themeTint="99"/>
        </w:rPr>
        <w:t>Program</w:t>
      </w:r>
      <w:r w:rsidR="00751267" w:rsidRPr="000E2518">
        <w:rPr>
          <w:color w:val="548DD4" w:themeColor="text2" w:themeTint="99"/>
        </w:rPr>
        <w:t>ové</w:t>
      </w:r>
      <w:r w:rsidR="00934DAC" w:rsidRPr="000E2518">
        <w:rPr>
          <w:color w:val="548DD4" w:themeColor="text2" w:themeTint="99"/>
        </w:rPr>
        <w:t xml:space="preserve"> </w:t>
      </w:r>
      <w:r w:rsidR="00751267" w:rsidRPr="000E2518">
        <w:rPr>
          <w:color w:val="548DD4" w:themeColor="text2" w:themeTint="99"/>
        </w:rPr>
        <w:t>financování</w:t>
      </w:r>
      <w:bookmarkEnd w:id="44"/>
      <w:r w:rsidR="00934DAC" w:rsidRPr="000E2518">
        <w:rPr>
          <w:color w:val="548DD4" w:themeColor="text2" w:themeTint="99"/>
        </w:rPr>
        <w:t xml:space="preserve"> </w:t>
      </w:r>
      <w:bookmarkEnd w:id="45"/>
    </w:p>
    <w:p w14:paraId="2870F6A6" w14:textId="7DD56012" w:rsidR="00751267" w:rsidRPr="000E2518" w:rsidRDefault="00751267" w:rsidP="00801BED">
      <w:pPr>
        <w:pStyle w:val="Nadpis3"/>
        <w:rPr>
          <w:rFonts w:cstheme="minorHAnsi"/>
          <w:color w:val="548DD4" w:themeColor="text2" w:themeTint="99"/>
        </w:rPr>
      </w:pPr>
      <w:bookmarkStart w:id="46" w:name="_Toc155689672"/>
      <w:bookmarkStart w:id="47" w:name="_Hlk157424215"/>
      <w:r w:rsidRPr="000E2518">
        <w:rPr>
          <w:rFonts w:cstheme="minorHAnsi"/>
          <w:color w:val="548DD4" w:themeColor="text2" w:themeTint="99"/>
        </w:rPr>
        <w:t>Hodnocení výdajů programového financování</w:t>
      </w:r>
      <w:bookmarkEnd w:id="46"/>
    </w:p>
    <w:p w14:paraId="7DD3864D" w14:textId="77777777" w:rsidR="00F45280" w:rsidRPr="00F45280" w:rsidRDefault="00F45280" w:rsidP="00F45280">
      <w:pPr>
        <w:rPr>
          <w:rFonts w:ascii="Garamond" w:hAnsi="Garamond"/>
          <w:sz w:val="24"/>
          <w:szCs w:val="24"/>
        </w:rPr>
      </w:pPr>
    </w:p>
    <w:p w14:paraId="681BE2C1" w14:textId="2CD6C9E6" w:rsidR="00B3718E" w:rsidRPr="00F45280" w:rsidRDefault="00B3718E" w:rsidP="00B3718E">
      <w:pPr>
        <w:ind w:right="-108"/>
        <w:jc w:val="both"/>
        <w:outlineLvl w:val="0"/>
        <w:rPr>
          <w:rFonts w:ascii="Garamond" w:hAnsi="Garamond"/>
          <w:iCs/>
          <w:sz w:val="24"/>
          <w:szCs w:val="24"/>
        </w:rPr>
      </w:pPr>
      <w:r w:rsidRPr="00F45280">
        <w:rPr>
          <w:rFonts w:ascii="Garamond" w:hAnsi="Garamond"/>
          <w:iCs/>
          <w:sz w:val="24"/>
          <w:szCs w:val="24"/>
        </w:rPr>
        <w:t>V průběhu roku 202</w:t>
      </w:r>
      <w:r w:rsidR="00E07728">
        <w:rPr>
          <w:rFonts w:ascii="Garamond" w:hAnsi="Garamond"/>
          <w:iCs/>
          <w:sz w:val="24"/>
          <w:szCs w:val="24"/>
        </w:rPr>
        <w:t>5</w:t>
      </w:r>
      <w:r w:rsidRPr="00F45280">
        <w:rPr>
          <w:rFonts w:ascii="Garamond" w:hAnsi="Garamond"/>
          <w:iCs/>
          <w:sz w:val="24"/>
          <w:szCs w:val="24"/>
        </w:rPr>
        <w:t xml:space="preserve"> byly na Krajském soudě v Českých Budějovicích zahájeny programové akce ISPROFIN v celkové částce</w:t>
      </w:r>
      <w:r w:rsidR="00696777">
        <w:rPr>
          <w:rFonts w:ascii="Garamond" w:hAnsi="Garamond"/>
          <w:iCs/>
          <w:sz w:val="24"/>
          <w:szCs w:val="24"/>
        </w:rPr>
        <w:t xml:space="preserve"> </w:t>
      </w:r>
      <w:r w:rsidR="00E07728">
        <w:rPr>
          <w:rFonts w:ascii="Garamond" w:hAnsi="Garamond"/>
          <w:iCs/>
          <w:sz w:val="24"/>
          <w:szCs w:val="24"/>
        </w:rPr>
        <w:t>3 433,87</w:t>
      </w:r>
      <w:r w:rsidRPr="00043193">
        <w:rPr>
          <w:rFonts w:ascii="Garamond" w:hAnsi="Garamond"/>
          <w:bCs/>
          <w:iCs/>
          <w:sz w:val="24"/>
          <w:szCs w:val="24"/>
        </w:rPr>
        <w:t xml:space="preserve"> tis. Kč.</w:t>
      </w:r>
      <w:r w:rsidRPr="00F45280">
        <w:rPr>
          <w:rFonts w:ascii="Garamond" w:hAnsi="Garamond"/>
          <w:b/>
          <w:iCs/>
          <w:sz w:val="24"/>
          <w:szCs w:val="24"/>
        </w:rPr>
        <w:t xml:space="preserve"> </w:t>
      </w:r>
      <w:r w:rsidRPr="00F45280">
        <w:rPr>
          <w:rFonts w:ascii="Garamond" w:hAnsi="Garamond"/>
          <w:iCs/>
          <w:sz w:val="24"/>
          <w:szCs w:val="24"/>
        </w:rPr>
        <w:t xml:space="preserve">V oblasti investičních výdajů byl rozpočet navýšen ve </w:t>
      </w:r>
      <w:proofErr w:type="gramStart"/>
      <w:r w:rsidRPr="00F45280">
        <w:rPr>
          <w:rFonts w:ascii="Garamond" w:hAnsi="Garamond"/>
          <w:iCs/>
          <w:sz w:val="24"/>
          <w:szCs w:val="24"/>
        </w:rPr>
        <w:t xml:space="preserve">výši </w:t>
      </w:r>
      <w:r w:rsidR="00903D8C" w:rsidRPr="00F45280">
        <w:rPr>
          <w:rFonts w:ascii="Garamond" w:hAnsi="Garamond"/>
          <w:iCs/>
          <w:sz w:val="24"/>
          <w:szCs w:val="24"/>
        </w:rPr>
        <w:t xml:space="preserve"> </w:t>
      </w:r>
      <w:r w:rsidR="00696777">
        <w:rPr>
          <w:rFonts w:ascii="Garamond" w:hAnsi="Garamond"/>
          <w:iCs/>
          <w:sz w:val="24"/>
          <w:szCs w:val="24"/>
        </w:rPr>
        <w:t>2</w:t>
      </w:r>
      <w:proofErr w:type="gramEnd"/>
      <w:r w:rsidR="00E07728">
        <w:rPr>
          <w:rFonts w:ascii="Garamond" w:hAnsi="Garamond"/>
          <w:iCs/>
          <w:sz w:val="24"/>
          <w:szCs w:val="24"/>
        </w:rPr>
        <w:t> 566,33</w:t>
      </w:r>
      <w:r w:rsidRPr="00F45280">
        <w:rPr>
          <w:rFonts w:ascii="Garamond" w:hAnsi="Garamond"/>
          <w:iCs/>
          <w:sz w:val="24"/>
          <w:szCs w:val="24"/>
        </w:rPr>
        <w:t xml:space="preserve"> tis. Kč </w:t>
      </w:r>
      <w:r w:rsidR="00696777">
        <w:rPr>
          <w:rFonts w:ascii="Garamond" w:hAnsi="Garamond"/>
          <w:iCs/>
          <w:sz w:val="24"/>
          <w:szCs w:val="24"/>
        </w:rPr>
        <w:t xml:space="preserve"> , neinvestiční výdaje ve výši </w:t>
      </w:r>
      <w:r w:rsidR="00E07728">
        <w:rPr>
          <w:rFonts w:ascii="Garamond" w:hAnsi="Garamond"/>
          <w:iCs/>
          <w:sz w:val="24"/>
          <w:szCs w:val="24"/>
        </w:rPr>
        <w:t>867,53</w:t>
      </w:r>
      <w:r w:rsidR="00696777">
        <w:rPr>
          <w:rFonts w:ascii="Garamond" w:hAnsi="Garamond"/>
          <w:iCs/>
          <w:sz w:val="24"/>
          <w:szCs w:val="24"/>
        </w:rPr>
        <w:t xml:space="preserve"> tis.</w:t>
      </w:r>
      <w:r w:rsidR="001212C5">
        <w:rPr>
          <w:rFonts w:ascii="Garamond" w:hAnsi="Garamond"/>
          <w:iCs/>
          <w:sz w:val="24"/>
          <w:szCs w:val="24"/>
        </w:rPr>
        <w:t xml:space="preserve"> </w:t>
      </w:r>
      <w:r w:rsidR="00696777">
        <w:rPr>
          <w:rFonts w:ascii="Garamond" w:hAnsi="Garamond"/>
          <w:iCs/>
          <w:sz w:val="24"/>
          <w:szCs w:val="24"/>
        </w:rPr>
        <w:t xml:space="preserve">Kč </w:t>
      </w:r>
      <w:r w:rsidRPr="00F45280">
        <w:rPr>
          <w:rFonts w:ascii="Garamond" w:hAnsi="Garamond"/>
          <w:iCs/>
          <w:sz w:val="24"/>
          <w:szCs w:val="24"/>
        </w:rPr>
        <w:t xml:space="preserve">- celkem </w:t>
      </w:r>
      <w:r w:rsidR="00E07728">
        <w:rPr>
          <w:rFonts w:ascii="Garamond" w:hAnsi="Garamond"/>
          <w:iCs/>
          <w:sz w:val="24"/>
          <w:szCs w:val="24"/>
        </w:rPr>
        <w:t>6</w:t>
      </w:r>
      <w:r w:rsidR="00696777">
        <w:rPr>
          <w:rFonts w:ascii="Garamond" w:hAnsi="Garamond"/>
          <w:iCs/>
          <w:sz w:val="24"/>
          <w:szCs w:val="24"/>
        </w:rPr>
        <w:t xml:space="preserve"> akcí</w:t>
      </w:r>
      <w:r w:rsidR="00903D8C" w:rsidRPr="00F45280">
        <w:rPr>
          <w:rFonts w:ascii="Garamond" w:hAnsi="Garamond"/>
          <w:iCs/>
          <w:sz w:val="24"/>
          <w:szCs w:val="24"/>
        </w:rPr>
        <w:t>.</w:t>
      </w:r>
      <w:r w:rsidR="00E07728">
        <w:rPr>
          <w:rFonts w:ascii="Garamond" w:hAnsi="Garamond"/>
          <w:iCs/>
          <w:sz w:val="24"/>
          <w:szCs w:val="24"/>
        </w:rPr>
        <w:t xml:space="preserve"> Dále byla dokončena akce z roku 2024 </w:t>
      </w:r>
      <w:proofErr w:type="gramStart"/>
      <w:r w:rsidR="00E07728">
        <w:rPr>
          <w:rFonts w:ascii="Garamond" w:hAnsi="Garamond"/>
          <w:iCs/>
          <w:sz w:val="24"/>
          <w:szCs w:val="24"/>
        </w:rPr>
        <w:t>-  pořízení</w:t>
      </w:r>
      <w:proofErr w:type="gramEnd"/>
      <w:r w:rsidR="00E07728">
        <w:rPr>
          <w:rFonts w:ascii="Garamond" w:hAnsi="Garamond"/>
          <w:iCs/>
          <w:sz w:val="24"/>
          <w:szCs w:val="24"/>
        </w:rPr>
        <w:t xml:space="preserve"> stacionárních regálů do spisovny</w:t>
      </w:r>
      <w:r w:rsidR="00696777">
        <w:rPr>
          <w:rFonts w:ascii="Garamond" w:hAnsi="Garamond"/>
          <w:iCs/>
          <w:sz w:val="24"/>
          <w:szCs w:val="24"/>
        </w:rPr>
        <w:t xml:space="preserve"> </w:t>
      </w:r>
      <w:r w:rsidR="00E07728">
        <w:rPr>
          <w:rFonts w:ascii="Garamond" w:hAnsi="Garamond"/>
          <w:iCs/>
          <w:sz w:val="24"/>
          <w:szCs w:val="24"/>
        </w:rPr>
        <w:t xml:space="preserve"> - placeno z NNV. </w:t>
      </w:r>
      <w:r w:rsidR="00696777">
        <w:rPr>
          <w:rFonts w:ascii="Garamond" w:hAnsi="Garamond"/>
          <w:iCs/>
          <w:sz w:val="24"/>
          <w:szCs w:val="24"/>
        </w:rPr>
        <w:t xml:space="preserve"> Nedokončen</w:t>
      </w:r>
      <w:r w:rsidR="00E07728">
        <w:rPr>
          <w:rFonts w:ascii="Garamond" w:hAnsi="Garamond"/>
          <w:iCs/>
          <w:sz w:val="24"/>
          <w:szCs w:val="24"/>
        </w:rPr>
        <w:t>y</w:t>
      </w:r>
      <w:r w:rsidR="00696777">
        <w:rPr>
          <w:rFonts w:ascii="Garamond" w:hAnsi="Garamond"/>
          <w:iCs/>
          <w:sz w:val="24"/>
          <w:szCs w:val="24"/>
        </w:rPr>
        <w:t xml:space="preserve"> </w:t>
      </w:r>
      <w:r w:rsidR="00A6308C">
        <w:rPr>
          <w:rFonts w:ascii="Garamond" w:hAnsi="Garamond"/>
          <w:iCs/>
          <w:sz w:val="24"/>
          <w:szCs w:val="24"/>
        </w:rPr>
        <w:t>k 31.12.202</w:t>
      </w:r>
      <w:r w:rsidR="00E07728">
        <w:rPr>
          <w:rFonts w:ascii="Garamond" w:hAnsi="Garamond"/>
          <w:iCs/>
          <w:sz w:val="24"/>
          <w:szCs w:val="24"/>
        </w:rPr>
        <w:t>5</w:t>
      </w:r>
      <w:r w:rsidR="00A6308C">
        <w:rPr>
          <w:rFonts w:ascii="Garamond" w:hAnsi="Garamond"/>
          <w:iCs/>
          <w:sz w:val="24"/>
          <w:szCs w:val="24"/>
        </w:rPr>
        <w:t xml:space="preserve"> </w:t>
      </w:r>
      <w:r w:rsidR="00E07728">
        <w:rPr>
          <w:rFonts w:ascii="Garamond" w:hAnsi="Garamond"/>
          <w:iCs/>
          <w:sz w:val="24"/>
          <w:szCs w:val="24"/>
        </w:rPr>
        <w:t xml:space="preserve">jsou </w:t>
      </w:r>
      <w:r w:rsidR="00897DA9">
        <w:rPr>
          <w:rFonts w:ascii="Garamond" w:hAnsi="Garamond"/>
          <w:iCs/>
          <w:sz w:val="24"/>
          <w:szCs w:val="24"/>
        </w:rPr>
        <w:t>3</w:t>
      </w:r>
      <w:r w:rsidR="00E07728">
        <w:rPr>
          <w:rFonts w:ascii="Garamond" w:hAnsi="Garamond"/>
          <w:iCs/>
          <w:sz w:val="24"/>
          <w:szCs w:val="24"/>
        </w:rPr>
        <w:t xml:space="preserve"> akce </w:t>
      </w:r>
      <w:r w:rsidR="00897DA9">
        <w:rPr>
          <w:rFonts w:ascii="Garamond" w:hAnsi="Garamond"/>
          <w:iCs/>
          <w:sz w:val="24"/>
          <w:szCs w:val="24"/>
        </w:rPr>
        <w:t>-</w:t>
      </w:r>
      <w:r w:rsidR="00E07728">
        <w:rPr>
          <w:rFonts w:ascii="Garamond" w:hAnsi="Garamond"/>
          <w:iCs/>
          <w:sz w:val="24"/>
          <w:szCs w:val="24"/>
        </w:rPr>
        <w:t xml:space="preserve"> nákup switchů a informační systém pro </w:t>
      </w:r>
      <w:proofErr w:type="gramStart"/>
      <w:r w:rsidR="00E07728">
        <w:rPr>
          <w:rFonts w:ascii="Garamond" w:hAnsi="Garamond"/>
          <w:iCs/>
          <w:sz w:val="24"/>
          <w:szCs w:val="24"/>
        </w:rPr>
        <w:t>JS</w:t>
      </w:r>
      <w:r w:rsidR="00696777">
        <w:rPr>
          <w:rFonts w:ascii="Garamond" w:hAnsi="Garamond"/>
          <w:iCs/>
          <w:sz w:val="24"/>
          <w:szCs w:val="24"/>
        </w:rPr>
        <w:t xml:space="preserve"> </w:t>
      </w:r>
      <w:r w:rsidR="00897DA9">
        <w:rPr>
          <w:rFonts w:ascii="Garamond" w:hAnsi="Garamond"/>
          <w:iCs/>
          <w:sz w:val="24"/>
          <w:szCs w:val="24"/>
        </w:rPr>
        <w:t>,</w:t>
      </w:r>
      <w:proofErr w:type="gramEnd"/>
      <w:r w:rsidR="00897DA9">
        <w:rPr>
          <w:rFonts w:ascii="Garamond" w:hAnsi="Garamond"/>
          <w:iCs/>
          <w:sz w:val="24"/>
          <w:szCs w:val="24"/>
        </w:rPr>
        <w:t xml:space="preserve"> dále prostředky zaslané v prosinci 2025 odborem IT ve výši 900 tis.Kč na nákup IT techniky v roce 2026</w:t>
      </w:r>
      <w:r w:rsidR="00696777">
        <w:rPr>
          <w:rFonts w:ascii="Garamond" w:hAnsi="Garamond"/>
          <w:iCs/>
          <w:sz w:val="24"/>
          <w:szCs w:val="24"/>
        </w:rPr>
        <w:t>.</w:t>
      </w:r>
      <w:r w:rsidRPr="00F45280">
        <w:rPr>
          <w:rFonts w:ascii="Garamond" w:hAnsi="Garamond"/>
          <w:iCs/>
          <w:sz w:val="24"/>
          <w:szCs w:val="24"/>
        </w:rPr>
        <w:t xml:space="preserve"> V programech zařazených v systému ISPROFIN byly v roce 202</w:t>
      </w:r>
      <w:r w:rsidR="00897DA9">
        <w:rPr>
          <w:rFonts w:ascii="Garamond" w:hAnsi="Garamond"/>
          <w:iCs/>
          <w:sz w:val="24"/>
          <w:szCs w:val="24"/>
        </w:rPr>
        <w:t>5</w:t>
      </w:r>
      <w:r w:rsidRPr="00F45280">
        <w:rPr>
          <w:rFonts w:ascii="Garamond" w:hAnsi="Garamond"/>
          <w:iCs/>
          <w:sz w:val="24"/>
          <w:szCs w:val="24"/>
        </w:rPr>
        <w:t xml:space="preserve"> použity nespotřebované výdaje ve výši celkem</w:t>
      </w:r>
      <w:r w:rsidR="00903D8C" w:rsidRPr="00F45280">
        <w:rPr>
          <w:rFonts w:ascii="Garamond" w:hAnsi="Garamond"/>
          <w:iCs/>
          <w:sz w:val="24"/>
          <w:szCs w:val="24"/>
        </w:rPr>
        <w:t xml:space="preserve"> </w:t>
      </w:r>
      <w:r w:rsidR="00897DA9">
        <w:rPr>
          <w:rFonts w:ascii="Garamond" w:hAnsi="Garamond"/>
          <w:iCs/>
          <w:sz w:val="24"/>
          <w:szCs w:val="24"/>
        </w:rPr>
        <w:t>577,95</w:t>
      </w:r>
      <w:r w:rsidRPr="00F45280">
        <w:rPr>
          <w:rFonts w:ascii="Garamond" w:hAnsi="Garamond"/>
          <w:iCs/>
          <w:sz w:val="24"/>
          <w:szCs w:val="24"/>
        </w:rPr>
        <w:t xml:space="preserve"> tis. Kč.</w:t>
      </w:r>
    </w:p>
    <w:p w14:paraId="15FF85DC" w14:textId="77777777" w:rsidR="00903D8C" w:rsidRPr="00F45280" w:rsidRDefault="00903D8C" w:rsidP="00903D8C">
      <w:pPr>
        <w:spacing w:after="0"/>
        <w:ind w:firstLine="284"/>
        <w:contextualSpacing/>
        <w:rPr>
          <w:rFonts w:ascii="Garamond" w:hAnsi="Garamond"/>
          <w:sz w:val="24"/>
          <w:szCs w:val="24"/>
        </w:rPr>
      </w:pPr>
      <w:r w:rsidRPr="00F45280">
        <w:rPr>
          <w:rFonts w:ascii="Garamond" w:hAnsi="Garamond"/>
          <w:sz w:val="24"/>
          <w:szCs w:val="24"/>
        </w:rPr>
        <w:t>V rámci programového financování bylo v hodnoceném roce:</w:t>
      </w:r>
    </w:p>
    <w:p w14:paraId="06BEFAD4" w14:textId="2372F33D" w:rsidR="00903D8C" w:rsidRPr="00F45280" w:rsidRDefault="00903D8C" w:rsidP="00903D8C">
      <w:pPr>
        <w:pStyle w:val="Odstavecseseznamem"/>
        <w:numPr>
          <w:ilvl w:val="0"/>
          <w:numId w:val="6"/>
        </w:numPr>
        <w:spacing w:after="160" w:line="259" w:lineRule="auto"/>
        <w:rPr>
          <w:rFonts w:ascii="Garamond" w:hAnsi="Garamond"/>
          <w:sz w:val="24"/>
          <w:szCs w:val="24"/>
        </w:rPr>
      </w:pPr>
      <w:r w:rsidRPr="00F45280">
        <w:rPr>
          <w:rFonts w:ascii="Garamond" w:hAnsi="Garamond" w:cstheme="minorHAnsi"/>
          <w:sz w:val="24"/>
          <w:szCs w:val="24"/>
        </w:rPr>
        <w:t>Realizováno</w:t>
      </w:r>
      <w:r w:rsidRPr="00F45280">
        <w:rPr>
          <w:rFonts w:ascii="Garamond" w:hAnsi="Garamond"/>
          <w:sz w:val="24"/>
          <w:szCs w:val="24"/>
        </w:rPr>
        <w:t xml:space="preserve"> (vč. registrovaných akcí)</w:t>
      </w:r>
      <w:r w:rsidRPr="00F45280">
        <w:rPr>
          <w:rFonts w:ascii="Garamond" w:hAnsi="Garamond"/>
          <w:sz w:val="24"/>
          <w:szCs w:val="24"/>
        </w:rPr>
        <w:tab/>
      </w:r>
      <w:r w:rsidRPr="00F45280">
        <w:rPr>
          <w:rFonts w:ascii="Garamond" w:hAnsi="Garamond"/>
          <w:sz w:val="24"/>
          <w:szCs w:val="24"/>
        </w:rPr>
        <w:tab/>
      </w:r>
      <w:r w:rsidRPr="00F45280">
        <w:rPr>
          <w:rFonts w:ascii="Garamond" w:hAnsi="Garamond"/>
          <w:sz w:val="24"/>
          <w:szCs w:val="24"/>
        </w:rPr>
        <w:tab/>
      </w:r>
      <w:r w:rsidR="00A6308C">
        <w:rPr>
          <w:rFonts w:ascii="Garamond" w:hAnsi="Garamond"/>
          <w:sz w:val="24"/>
          <w:szCs w:val="24"/>
        </w:rPr>
        <w:t xml:space="preserve">            </w:t>
      </w:r>
      <w:r w:rsidRPr="00F45280">
        <w:rPr>
          <w:rFonts w:ascii="Garamond" w:hAnsi="Garamond"/>
          <w:sz w:val="24"/>
          <w:szCs w:val="24"/>
        </w:rPr>
        <w:tab/>
      </w:r>
      <w:r w:rsidR="009826E0">
        <w:rPr>
          <w:rFonts w:ascii="Garamond" w:hAnsi="Garamond"/>
          <w:sz w:val="24"/>
          <w:szCs w:val="24"/>
        </w:rPr>
        <w:t>7</w:t>
      </w:r>
      <w:r w:rsidRPr="00F45280">
        <w:rPr>
          <w:rFonts w:ascii="Garamond" w:hAnsi="Garamond"/>
          <w:sz w:val="24"/>
          <w:szCs w:val="24"/>
        </w:rPr>
        <w:t xml:space="preserve"> akcí</w:t>
      </w:r>
    </w:p>
    <w:p w14:paraId="10D6F6BC" w14:textId="6039DDE1" w:rsidR="00B3718E" w:rsidRPr="004D4DC2" w:rsidRDefault="00903D8C" w:rsidP="00CA1847">
      <w:pPr>
        <w:pStyle w:val="Odstavecseseznamem"/>
        <w:numPr>
          <w:ilvl w:val="0"/>
          <w:numId w:val="6"/>
        </w:numPr>
        <w:spacing w:after="160" w:line="259" w:lineRule="auto"/>
        <w:ind w:right="-108"/>
        <w:jc w:val="both"/>
        <w:outlineLvl w:val="0"/>
        <w:rPr>
          <w:rFonts w:ascii="Garamond" w:hAnsi="Garamond"/>
          <w:iCs/>
        </w:rPr>
      </w:pPr>
      <w:r w:rsidRPr="00984472">
        <w:rPr>
          <w:rFonts w:ascii="Garamond" w:hAnsi="Garamond" w:cstheme="minorHAnsi"/>
          <w:sz w:val="24"/>
          <w:szCs w:val="24"/>
        </w:rPr>
        <w:t>Dokončeno</w:t>
      </w:r>
      <w:r w:rsidRPr="00984472">
        <w:rPr>
          <w:rFonts w:ascii="Garamond" w:hAnsi="Garamond"/>
          <w:sz w:val="24"/>
          <w:szCs w:val="24"/>
        </w:rPr>
        <w:t xml:space="preserve"> (termín realizace do 31.12.202</w:t>
      </w:r>
      <w:r w:rsidR="00897DA9">
        <w:rPr>
          <w:rFonts w:ascii="Garamond" w:hAnsi="Garamond"/>
          <w:sz w:val="24"/>
          <w:szCs w:val="24"/>
        </w:rPr>
        <w:t>5</w:t>
      </w:r>
      <w:r w:rsidRPr="00984472">
        <w:rPr>
          <w:rFonts w:ascii="Garamond" w:hAnsi="Garamond"/>
          <w:sz w:val="24"/>
          <w:szCs w:val="24"/>
        </w:rPr>
        <w:t>)</w:t>
      </w:r>
      <w:r w:rsidRPr="00984472">
        <w:rPr>
          <w:rFonts w:ascii="Garamond" w:hAnsi="Garamond"/>
          <w:sz w:val="24"/>
          <w:szCs w:val="24"/>
        </w:rPr>
        <w:tab/>
        <w:t xml:space="preserve">      </w:t>
      </w:r>
      <w:r w:rsidRPr="00984472">
        <w:rPr>
          <w:rFonts w:ascii="Garamond" w:hAnsi="Garamond"/>
          <w:sz w:val="24"/>
          <w:szCs w:val="24"/>
        </w:rPr>
        <w:tab/>
      </w:r>
      <w:r w:rsidRPr="00984472">
        <w:rPr>
          <w:rFonts w:ascii="Garamond" w:hAnsi="Garamond"/>
          <w:sz w:val="24"/>
          <w:szCs w:val="24"/>
        </w:rPr>
        <w:tab/>
      </w:r>
      <w:r w:rsidR="00F45280" w:rsidRPr="00984472">
        <w:rPr>
          <w:rFonts w:ascii="Garamond" w:hAnsi="Garamond"/>
          <w:sz w:val="24"/>
          <w:szCs w:val="24"/>
        </w:rPr>
        <w:t xml:space="preserve">            </w:t>
      </w:r>
      <w:r w:rsidR="00897DA9">
        <w:rPr>
          <w:rFonts w:ascii="Garamond" w:hAnsi="Garamond"/>
          <w:sz w:val="24"/>
          <w:szCs w:val="24"/>
        </w:rPr>
        <w:t>4</w:t>
      </w:r>
      <w:r w:rsidRPr="00984472">
        <w:rPr>
          <w:rFonts w:ascii="Garamond" w:hAnsi="Garamond"/>
          <w:sz w:val="24"/>
          <w:szCs w:val="24"/>
        </w:rPr>
        <w:t xml:space="preserve"> akc</w:t>
      </w:r>
      <w:r w:rsidR="004D4DC2">
        <w:rPr>
          <w:rFonts w:ascii="Garamond" w:hAnsi="Garamond"/>
          <w:sz w:val="24"/>
          <w:szCs w:val="24"/>
        </w:rPr>
        <w:t>í</w:t>
      </w:r>
      <w:bookmarkEnd w:id="47"/>
    </w:p>
    <w:p w14:paraId="6B5C043E" w14:textId="77777777" w:rsidR="004D4DC2" w:rsidRPr="00984472" w:rsidRDefault="004D4DC2" w:rsidP="004D4DC2">
      <w:pPr>
        <w:pStyle w:val="Odstavecseseznamem"/>
        <w:spacing w:after="160" w:line="259" w:lineRule="auto"/>
        <w:ind w:right="-108"/>
        <w:jc w:val="both"/>
        <w:outlineLvl w:val="0"/>
        <w:rPr>
          <w:rFonts w:ascii="Garamond" w:hAnsi="Garamond"/>
          <w:iCs/>
        </w:rPr>
      </w:pPr>
    </w:p>
    <w:p w14:paraId="7DF4A4DC" w14:textId="757427B7" w:rsidR="00751267" w:rsidRPr="000E2518" w:rsidRDefault="00751267" w:rsidP="00801BED">
      <w:pPr>
        <w:pStyle w:val="Nadpis3"/>
        <w:rPr>
          <w:rFonts w:cstheme="minorHAnsi"/>
          <w:color w:val="548DD4" w:themeColor="text2" w:themeTint="99"/>
        </w:rPr>
      </w:pPr>
      <w:bookmarkStart w:id="48" w:name="_Toc155689673"/>
      <w:r w:rsidRPr="000E2518">
        <w:rPr>
          <w:rFonts w:cstheme="minorHAnsi"/>
          <w:color w:val="548DD4" w:themeColor="text2" w:themeTint="99"/>
        </w:rPr>
        <w:t>Nároky z nespotřebovaných výdajů</w:t>
      </w:r>
      <w:bookmarkEnd w:id="48"/>
    </w:p>
    <w:p w14:paraId="04249058" w14:textId="77777777" w:rsidR="00984472" w:rsidRPr="000E2518" w:rsidRDefault="00984472" w:rsidP="00984472">
      <w:pPr>
        <w:rPr>
          <w:color w:val="548DD4" w:themeColor="text2" w:themeTint="99"/>
        </w:rPr>
      </w:pPr>
    </w:p>
    <w:p w14:paraId="2AA69B4F" w14:textId="7DF52FB3" w:rsidR="00A84509" w:rsidRDefault="00A84509" w:rsidP="00567D61">
      <w:pPr>
        <w:pStyle w:val="Bezmezer"/>
        <w:jc w:val="both"/>
        <w:rPr>
          <w:rFonts w:ascii="Garamond" w:hAnsi="Garamond"/>
          <w:sz w:val="24"/>
          <w:szCs w:val="24"/>
        </w:rPr>
      </w:pPr>
      <w:r w:rsidRPr="00984472">
        <w:rPr>
          <w:rFonts w:ascii="Garamond" w:hAnsi="Garamond"/>
          <w:sz w:val="24"/>
          <w:szCs w:val="24"/>
        </w:rPr>
        <w:t xml:space="preserve">Čerpání nároků z nespotřebovaných výdajů </w:t>
      </w:r>
      <w:r w:rsidR="00567D61">
        <w:rPr>
          <w:rFonts w:ascii="Garamond" w:hAnsi="Garamond"/>
          <w:sz w:val="24"/>
          <w:szCs w:val="24"/>
        </w:rPr>
        <w:t xml:space="preserve">z oblasti investic bylo použito </w:t>
      </w:r>
      <w:r w:rsidRPr="00984472">
        <w:rPr>
          <w:rFonts w:ascii="Garamond" w:hAnsi="Garamond"/>
          <w:sz w:val="24"/>
          <w:szCs w:val="24"/>
        </w:rPr>
        <w:t xml:space="preserve">ve výši </w:t>
      </w:r>
      <w:r w:rsidR="00C401BA">
        <w:rPr>
          <w:rFonts w:ascii="Garamond" w:hAnsi="Garamond"/>
          <w:sz w:val="24"/>
          <w:szCs w:val="24"/>
        </w:rPr>
        <w:t xml:space="preserve">577,95 </w:t>
      </w:r>
      <w:proofErr w:type="gramStart"/>
      <w:r w:rsidRPr="00043193">
        <w:rPr>
          <w:rFonts w:ascii="Garamond" w:hAnsi="Garamond"/>
          <w:sz w:val="24"/>
          <w:szCs w:val="24"/>
        </w:rPr>
        <w:t>tis.Kč</w:t>
      </w:r>
      <w:proofErr w:type="gramEnd"/>
      <w:r w:rsidR="00567D61">
        <w:rPr>
          <w:rFonts w:ascii="Garamond" w:hAnsi="Garamond"/>
          <w:b/>
          <w:sz w:val="24"/>
          <w:szCs w:val="24"/>
        </w:rPr>
        <w:br/>
      </w:r>
      <w:r w:rsidRPr="00984472">
        <w:rPr>
          <w:rFonts w:ascii="Garamond" w:hAnsi="Garamond"/>
          <w:sz w:val="24"/>
          <w:szCs w:val="24"/>
        </w:rPr>
        <w:t>na</w:t>
      </w:r>
      <w:r w:rsidR="00567D61">
        <w:rPr>
          <w:rFonts w:ascii="Garamond" w:hAnsi="Garamond"/>
          <w:sz w:val="24"/>
          <w:szCs w:val="24"/>
        </w:rPr>
        <w:t xml:space="preserve"> níže uveden</w:t>
      </w:r>
      <w:r w:rsidR="003E04E5">
        <w:rPr>
          <w:rFonts w:ascii="Garamond" w:hAnsi="Garamond"/>
          <w:sz w:val="24"/>
          <w:szCs w:val="24"/>
        </w:rPr>
        <w:t>ou</w:t>
      </w:r>
      <w:r w:rsidRPr="00984472">
        <w:rPr>
          <w:rFonts w:ascii="Garamond" w:hAnsi="Garamond"/>
          <w:sz w:val="24"/>
          <w:szCs w:val="24"/>
        </w:rPr>
        <w:t xml:space="preserve">  investiční akc</w:t>
      </w:r>
      <w:r w:rsidR="00C401BA">
        <w:rPr>
          <w:rFonts w:ascii="Garamond" w:hAnsi="Garamond"/>
          <w:sz w:val="24"/>
          <w:szCs w:val="24"/>
        </w:rPr>
        <w:t>i</w:t>
      </w:r>
      <w:r w:rsidRPr="00984472">
        <w:rPr>
          <w:rFonts w:ascii="Garamond" w:hAnsi="Garamond"/>
          <w:sz w:val="24"/>
          <w:szCs w:val="24"/>
        </w:rPr>
        <w:t xml:space="preserve"> : </w:t>
      </w:r>
    </w:p>
    <w:p w14:paraId="1D59B243" w14:textId="77777777" w:rsidR="00567D61" w:rsidRDefault="00567D61" w:rsidP="00567D61">
      <w:pPr>
        <w:pStyle w:val="Bezmezer"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2"/>
        <w:gridCol w:w="700"/>
        <w:gridCol w:w="4273"/>
        <w:gridCol w:w="718"/>
        <w:gridCol w:w="738"/>
        <w:gridCol w:w="1530"/>
      </w:tblGrid>
      <w:tr w:rsidR="008A2724" w:rsidRPr="008A2724" w14:paraId="3297C3BA" w14:textId="77777777" w:rsidTr="009826E0">
        <w:trPr>
          <w:trHeight w:val="300"/>
        </w:trPr>
        <w:tc>
          <w:tcPr>
            <w:tcW w:w="1392" w:type="dxa"/>
            <w:noWrap/>
            <w:hideMark/>
          </w:tcPr>
          <w:p w14:paraId="3E128BC7" w14:textId="77777777" w:rsidR="008A2724" w:rsidRPr="008A2724" w:rsidRDefault="008A2724" w:rsidP="008A27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A2724">
              <w:rPr>
                <w:rFonts w:ascii="Garamond" w:hAnsi="Garamond"/>
                <w:sz w:val="24"/>
                <w:szCs w:val="24"/>
              </w:rPr>
              <w:t>036V01700</w:t>
            </w:r>
          </w:p>
        </w:tc>
        <w:tc>
          <w:tcPr>
            <w:tcW w:w="700" w:type="dxa"/>
            <w:hideMark/>
          </w:tcPr>
          <w:p w14:paraId="68892D87" w14:textId="1A061EB9" w:rsidR="008A2724" w:rsidRPr="008A2724" w:rsidRDefault="008A2724" w:rsidP="008A27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A2724">
              <w:rPr>
                <w:rFonts w:ascii="Garamond" w:hAnsi="Garamond"/>
                <w:sz w:val="24"/>
                <w:szCs w:val="24"/>
              </w:rPr>
              <w:t>00</w:t>
            </w:r>
            <w:r w:rsidR="004F012B">
              <w:rPr>
                <w:rFonts w:ascii="Garamond" w:hAnsi="Garamond"/>
                <w:sz w:val="24"/>
                <w:szCs w:val="24"/>
              </w:rPr>
              <w:t>1</w:t>
            </w:r>
            <w:r w:rsidRPr="008A2724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4273" w:type="dxa"/>
            <w:noWrap/>
            <w:hideMark/>
          </w:tcPr>
          <w:p w14:paraId="71A49059" w14:textId="7DB429EB" w:rsidR="008A2724" w:rsidRPr="008A2724" w:rsidRDefault="008A2724" w:rsidP="008A27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A2724">
              <w:rPr>
                <w:rFonts w:ascii="Garamond" w:hAnsi="Garamond"/>
                <w:sz w:val="24"/>
                <w:szCs w:val="24"/>
              </w:rPr>
              <w:t xml:space="preserve">KS ČB </w:t>
            </w:r>
            <w:proofErr w:type="gramStart"/>
            <w:r w:rsidR="00C401BA">
              <w:rPr>
                <w:rFonts w:ascii="Garamond" w:hAnsi="Garamond"/>
                <w:sz w:val="24"/>
                <w:szCs w:val="24"/>
              </w:rPr>
              <w:t xml:space="preserve">- </w:t>
            </w:r>
            <w:r w:rsidRPr="008A272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401BA">
              <w:rPr>
                <w:rFonts w:ascii="Garamond" w:hAnsi="Garamond"/>
                <w:sz w:val="24"/>
                <w:szCs w:val="24"/>
              </w:rPr>
              <w:t>stacionární</w:t>
            </w:r>
            <w:proofErr w:type="gramEnd"/>
            <w:r w:rsidR="00C401BA">
              <w:rPr>
                <w:rFonts w:ascii="Garamond" w:hAnsi="Garamond"/>
                <w:sz w:val="24"/>
                <w:szCs w:val="24"/>
              </w:rPr>
              <w:t xml:space="preserve"> regály do spisovny</w:t>
            </w:r>
          </w:p>
        </w:tc>
        <w:tc>
          <w:tcPr>
            <w:tcW w:w="718" w:type="dxa"/>
            <w:noWrap/>
            <w:hideMark/>
          </w:tcPr>
          <w:p w14:paraId="51428D48" w14:textId="77777777" w:rsidR="008A2724" w:rsidRPr="008A2724" w:rsidRDefault="008A2724" w:rsidP="008A27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A2724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738" w:type="dxa"/>
            <w:noWrap/>
            <w:hideMark/>
          </w:tcPr>
          <w:p w14:paraId="0132F32E" w14:textId="77777777" w:rsidR="008A2724" w:rsidRPr="008A2724" w:rsidRDefault="008A2724" w:rsidP="008A27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A2724"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14:paraId="1AA7CE08" w14:textId="38D27A8C" w:rsidR="008A2724" w:rsidRPr="008A2724" w:rsidRDefault="00C401BA" w:rsidP="008A27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577 950</w:t>
            </w:r>
            <w:r w:rsidR="008A2724" w:rsidRPr="008A2724">
              <w:rPr>
                <w:rFonts w:ascii="Garamond" w:hAnsi="Garamond"/>
                <w:sz w:val="24"/>
                <w:szCs w:val="24"/>
              </w:rPr>
              <w:t>,00</w:t>
            </w:r>
          </w:p>
        </w:tc>
      </w:tr>
      <w:tr w:rsidR="009826E0" w:rsidRPr="008A2724" w14:paraId="7F2C2DC1" w14:textId="77777777" w:rsidTr="009826E0">
        <w:trPr>
          <w:trHeight w:val="300"/>
        </w:trPr>
        <w:tc>
          <w:tcPr>
            <w:tcW w:w="1392" w:type="dxa"/>
            <w:noWrap/>
          </w:tcPr>
          <w:p w14:paraId="3D5CA2DB" w14:textId="1096FCEB" w:rsidR="009826E0" w:rsidRPr="008A2724" w:rsidRDefault="009826E0" w:rsidP="008A272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0" w:type="dxa"/>
          </w:tcPr>
          <w:p w14:paraId="25E08E51" w14:textId="59183430" w:rsidR="009826E0" w:rsidRPr="008A2724" w:rsidRDefault="009826E0" w:rsidP="008A272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73" w:type="dxa"/>
            <w:noWrap/>
          </w:tcPr>
          <w:p w14:paraId="32C087CD" w14:textId="69C22BD3" w:rsidR="009826E0" w:rsidRPr="008A2724" w:rsidRDefault="009826E0" w:rsidP="008A272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18" w:type="dxa"/>
            <w:noWrap/>
          </w:tcPr>
          <w:p w14:paraId="1F269D2A" w14:textId="77777777" w:rsidR="009826E0" w:rsidRPr="008A2724" w:rsidRDefault="009826E0" w:rsidP="008A272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38" w:type="dxa"/>
            <w:noWrap/>
          </w:tcPr>
          <w:p w14:paraId="276817FF" w14:textId="77777777" w:rsidR="009826E0" w:rsidRPr="008A2724" w:rsidRDefault="009826E0" w:rsidP="008A272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  <w:noWrap/>
          </w:tcPr>
          <w:p w14:paraId="5F6D4CE7" w14:textId="32650D76" w:rsidR="009826E0" w:rsidRPr="008A2724" w:rsidRDefault="009826E0" w:rsidP="008A272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850940D" w14:textId="77777777" w:rsidR="00E5679D" w:rsidRPr="00984472" w:rsidRDefault="00E5679D" w:rsidP="00A84509">
      <w:pPr>
        <w:jc w:val="both"/>
        <w:rPr>
          <w:rFonts w:ascii="Garamond" w:hAnsi="Garamond"/>
          <w:sz w:val="24"/>
          <w:szCs w:val="24"/>
          <w:highlight w:val="yellow"/>
        </w:rPr>
      </w:pPr>
    </w:p>
    <w:p w14:paraId="2708ED01" w14:textId="20C70A01" w:rsidR="00751267" w:rsidRPr="00567D61" w:rsidRDefault="00751267" w:rsidP="00801BED">
      <w:pPr>
        <w:pStyle w:val="Nadpis3"/>
        <w:rPr>
          <w:rFonts w:cstheme="minorHAnsi"/>
          <w:color w:val="548DD4" w:themeColor="text2" w:themeTint="99"/>
        </w:rPr>
      </w:pPr>
      <w:bookmarkStart w:id="49" w:name="_Toc155689674"/>
      <w:bookmarkStart w:id="50" w:name="_Hlk157424271"/>
      <w:r w:rsidRPr="00567D61">
        <w:rPr>
          <w:rFonts w:cstheme="minorHAnsi"/>
          <w:color w:val="548DD4" w:themeColor="text2" w:themeTint="99"/>
        </w:rPr>
        <w:t>Největší investiční akce</w:t>
      </w:r>
      <w:r w:rsidR="00004FFB" w:rsidRPr="00567D61">
        <w:rPr>
          <w:rFonts w:cstheme="minorHAnsi"/>
          <w:color w:val="548DD4" w:themeColor="text2" w:themeTint="99"/>
        </w:rPr>
        <w:t xml:space="preserve"> </w:t>
      </w:r>
      <w:r w:rsidR="009B25AA" w:rsidRPr="00567D61">
        <w:rPr>
          <w:rFonts w:cstheme="minorHAnsi"/>
          <w:color w:val="548DD4" w:themeColor="text2" w:themeTint="99"/>
        </w:rPr>
        <w:t xml:space="preserve">(viz Tabulková </w:t>
      </w:r>
      <w:r w:rsidR="00FD4EE2" w:rsidRPr="00567D61">
        <w:rPr>
          <w:rFonts w:cstheme="minorHAnsi"/>
          <w:color w:val="548DD4" w:themeColor="text2" w:themeTint="99"/>
        </w:rPr>
        <w:t>část</w:t>
      </w:r>
      <w:r w:rsidR="009B25AA" w:rsidRPr="00567D61">
        <w:rPr>
          <w:rFonts w:cstheme="minorHAnsi"/>
          <w:color w:val="548DD4" w:themeColor="text2" w:themeTint="99"/>
        </w:rPr>
        <w:t xml:space="preserve"> – 20. Největší investiční akce)</w:t>
      </w:r>
      <w:bookmarkEnd w:id="49"/>
    </w:p>
    <w:p w14:paraId="0ED77A58" w14:textId="77777777" w:rsidR="001206E0" w:rsidRPr="00567D61" w:rsidRDefault="001206E0" w:rsidP="001206E0">
      <w:pPr>
        <w:rPr>
          <w:color w:val="548DD4" w:themeColor="text2" w:themeTint="99"/>
        </w:rPr>
      </w:pPr>
      <w:bookmarkStart w:id="51" w:name="_Hlk189120937"/>
    </w:p>
    <w:p w14:paraId="06FBE082" w14:textId="1490B73E" w:rsidR="004F012B" w:rsidRPr="004F012B" w:rsidRDefault="001206E0" w:rsidP="004F012B">
      <w:pPr>
        <w:ind w:right="-108"/>
        <w:jc w:val="both"/>
        <w:outlineLvl w:val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</w:t>
      </w:r>
      <w:proofErr w:type="gramStart"/>
      <w:r w:rsidR="004F012B" w:rsidRPr="004F012B">
        <w:rPr>
          <w:rFonts w:ascii="Garamond" w:hAnsi="Garamond"/>
          <w:b/>
          <w:bCs/>
          <w:sz w:val="24"/>
          <w:szCs w:val="24"/>
        </w:rPr>
        <w:t>,,</w:t>
      </w:r>
      <w:proofErr w:type="gramEnd"/>
      <w:r w:rsidR="004F012B" w:rsidRPr="004F012B">
        <w:rPr>
          <w:rFonts w:ascii="Garamond" w:hAnsi="Garamond"/>
          <w:b/>
          <w:bCs/>
          <w:sz w:val="24"/>
          <w:szCs w:val="24"/>
        </w:rPr>
        <w:t>KS České Budějovice a pob. Tábor</w:t>
      </w:r>
      <w:r w:rsidR="00C401BA">
        <w:rPr>
          <w:rFonts w:ascii="Garamond" w:hAnsi="Garamond"/>
          <w:b/>
          <w:bCs/>
          <w:sz w:val="24"/>
          <w:szCs w:val="24"/>
        </w:rPr>
        <w:t xml:space="preserve"> -</w:t>
      </w:r>
      <w:r w:rsidR="004F012B" w:rsidRPr="004F012B">
        <w:rPr>
          <w:rFonts w:ascii="Garamond" w:hAnsi="Garamond"/>
          <w:b/>
          <w:bCs/>
          <w:sz w:val="24"/>
          <w:szCs w:val="24"/>
        </w:rPr>
        <w:t xml:space="preserve"> informační systém pro JS “ č. 036V021100430  </w:t>
      </w:r>
    </w:p>
    <w:p w14:paraId="07E08471" w14:textId="77777777" w:rsidR="004F012B" w:rsidRPr="004F012B" w:rsidRDefault="004F012B" w:rsidP="004F012B">
      <w:pPr>
        <w:numPr>
          <w:ilvl w:val="0"/>
          <w:numId w:val="47"/>
        </w:numPr>
        <w:ind w:right="-108"/>
        <w:jc w:val="both"/>
        <w:outlineLvl w:val="0"/>
        <w:rPr>
          <w:rFonts w:ascii="Garamond" w:hAnsi="Garamond"/>
          <w:bCs/>
          <w:sz w:val="24"/>
          <w:szCs w:val="24"/>
        </w:rPr>
      </w:pPr>
      <w:r w:rsidRPr="004F012B">
        <w:rPr>
          <w:rFonts w:ascii="Garamond" w:hAnsi="Garamond"/>
          <w:bCs/>
          <w:sz w:val="24"/>
          <w:szCs w:val="24"/>
        </w:rPr>
        <w:t>celková výše rozpočtovaných prostředků na realizaci akce byla ve výši 1 364,88 tis. Kč. Realizace proběhne v roce 2026.</w:t>
      </w:r>
    </w:p>
    <w:p w14:paraId="471CD12E" w14:textId="46DEB444" w:rsidR="004F012B" w:rsidRPr="001212C5" w:rsidRDefault="004F012B" w:rsidP="001212C5">
      <w:pPr>
        <w:pStyle w:val="Odstavecseseznamem"/>
        <w:numPr>
          <w:ilvl w:val="0"/>
          <w:numId w:val="47"/>
        </w:numPr>
        <w:ind w:right="-108"/>
        <w:jc w:val="both"/>
        <w:outlineLvl w:val="0"/>
        <w:rPr>
          <w:rFonts w:ascii="Garamond" w:hAnsi="Garamond"/>
          <w:b/>
          <w:sz w:val="24"/>
          <w:szCs w:val="24"/>
        </w:rPr>
      </w:pPr>
      <w:r w:rsidRPr="001212C5">
        <w:rPr>
          <w:rFonts w:ascii="Garamond" w:hAnsi="Garamond"/>
          <w:bCs/>
          <w:sz w:val="24"/>
          <w:szCs w:val="24"/>
        </w:rPr>
        <w:t xml:space="preserve">cílem investičního záměru je pořízení informačního systému soudu pro Krajský soud v Českých Budějovicích a jeho pobočku v Táboře. V současné době není na krajském soudě informační systém elektronizován a vše je vedeno pouze v papírové podobě. Interaktivní informační systém bude sestaven z informačních tabulí umístněných u vstupu do budovy soudu a informačních tabulek </w:t>
      </w:r>
      <w:r w:rsidRPr="001212C5">
        <w:rPr>
          <w:rFonts w:ascii="Garamond" w:hAnsi="Garamond"/>
          <w:bCs/>
          <w:sz w:val="24"/>
          <w:szCs w:val="24"/>
        </w:rPr>
        <w:lastRenderedPageBreak/>
        <w:t>umístněných u vstupu do jednotlivých jednacích síní. Vše bude napojeno na databázi jednání soudu, která bude shromažďovat data ze všech soudních informačních systémů.</w:t>
      </w:r>
    </w:p>
    <w:p w14:paraId="3791B956" w14:textId="77777777" w:rsidR="004F012B" w:rsidRPr="004F012B" w:rsidRDefault="004F012B" w:rsidP="004F012B">
      <w:pPr>
        <w:ind w:right="-108"/>
        <w:jc w:val="both"/>
        <w:outlineLvl w:val="0"/>
        <w:rPr>
          <w:rFonts w:ascii="Garamond" w:hAnsi="Garamond"/>
          <w:b/>
          <w:sz w:val="24"/>
          <w:szCs w:val="24"/>
        </w:rPr>
      </w:pPr>
    </w:p>
    <w:p w14:paraId="6C7FFA19" w14:textId="6F0BAA52" w:rsidR="004F012B" w:rsidRPr="004F012B" w:rsidRDefault="004F012B" w:rsidP="004F012B">
      <w:pPr>
        <w:ind w:right="-108"/>
        <w:jc w:val="both"/>
        <w:outlineLvl w:val="0"/>
        <w:rPr>
          <w:rFonts w:ascii="Garamond" w:hAnsi="Garamond"/>
          <w:b/>
          <w:bCs/>
          <w:sz w:val="24"/>
          <w:szCs w:val="24"/>
        </w:rPr>
      </w:pPr>
      <w:r w:rsidRPr="004F012B">
        <w:rPr>
          <w:rFonts w:ascii="Garamond" w:hAnsi="Garamond"/>
          <w:b/>
          <w:bCs/>
          <w:sz w:val="24"/>
          <w:szCs w:val="24"/>
        </w:rPr>
        <w:t xml:space="preserve">„KS České </w:t>
      </w:r>
      <w:proofErr w:type="gramStart"/>
      <w:r w:rsidRPr="004F012B">
        <w:rPr>
          <w:rFonts w:ascii="Garamond" w:hAnsi="Garamond"/>
          <w:b/>
          <w:bCs/>
          <w:sz w:val="24"/>
          <w:szCs w:val="24"/>
        </w:rPr>
        <w:t xml:space="preserve">Budějovice </w:t>
      </w:r>
      <w:r w:rsidR="003E04E5">
        <w:rPr>
          <w:rFonts w:ascii="Garamond" w:hAnsi="Garamond"/>
          <w:b/>
          <w:bCs/>
          <w:sz w:val="24"/>
          <w:szCs w:val="24"/>
        </w:rPr>
        <w:t>-</w:t>
      </w:r>
      <w:r w:rsidRPr="004F012B">
        <w:rPr>
          <w:rFonts w:ascii="Garamond" w:hAnsi="Garamond"/>
          <w:b/>
          <w:bCs/>
          <w:sz w:val="24"/>
          <w:szCs w:val="24"/>
        </w:rPr>
        <w:t xml:space="preserve"> klimatizace</w:t>
      </w:r>
      <w:proofErr w:type="gramEnd"/>
      <w:r w:rsidRPr="004F012B">
        <w:rPr>
          <w:rFonts w:ascii="Garamond" w:hAnsi="Garamond"/>
          <w:b/>
          <w:bCs/>
          <w:sz w:val="24"/>
          <w:szCs w:val="24"/>
        </w:rPr>
        <w:t xml:space="preserve"> v 3. NP budovy “ č. 036V021700017</w:t>
      </w:r>
    </w:p>
    <w:p w14:paraId="04AA7378" w14:textId="77777777" w:rsidR="004F012B" w:rsidRPr="004F012B" w:rsidRDefault="004F012B" w:rsidP="004F012B">
      <w:pPr>
        <w:numPr>
          <w:ilvl w:val="0"/>
          <w:numId w:val="47"/>
        </w:numPr>
        <w:ind w:right="-108"/>
        <w:jc w:val="both"/>
        <w:outlineLvl w:val="0"/>
        <w:rPr>
          <w:rFonts w:ascii="Garamond" w:hAnsi="Garamond"/>
          <w:bCs/>
          <w:sz w:val="24"/>
          <w:szCs w:val="24"/>
        </w:rPr>
      </w:pPr>
      <w:r w:rsidRPr="004F012B">
        <w:rPr>
          <w:rFonts w:ascii="Garamond" w:hAnsi="Garamond"/>
          <w:bCs/>
          <w:sz w:val="24"/>
          <w:szCs w:val="24"/>
        </w:rPr>
        <w:t>celková výše rozpočtovaných prostředků na realizaci akce byla ve výši 459,83 tis. Kč,</w:t>
      </w:r>
    </w:p>
    <w:p w14:paraId="1A1C62BE" w14:textId="4644F7FF" w:rsidR="004F012B" w:rsidRPr="004F012B" w:rsidRDefault="004F012B" w:rsidP="004F012B">
      <w:pPr>
        <w:numPr>
          <w:ilvl w:val="0"/>
          <w:numId w:val="47"/>
        </w:numPr>
        <w:ind w:right="-108"/>
        <w:jc w:val="both"/>
        <w:outlineLvl w:val="0"/>
        <w:rPr>
          <w:rFonts w:ascii="Garamond" w:hAnsi="Garamond"/>
          <w:bCs/>
          <w:sz w:val="24"/>
          <w:szCs w:val="24"/>
        </w:rPr>
      </w:pPr>
      <w:r w:rsidRPr="004F012B">
        <w:rPr>
          <w:rFonts w:ascii="Garamond" w:hAnsi="Garamond"/>
          <w:bCs/>
          <w:sz w:val="24"/>
          <w:szCs w:val="24"/>
        </w:rPr>
        <w:t xml:space="preserve">tímto investičním záměrem </w:t>
      </w:r>
      <w:r>
        <w:rPr>
          <w:rFonts w:ascii="Garamond" w:hAnsi="Garamond"/>
          <w:bCs/>
          <w:sz w:val="24"/>
          <w:szCs w:val="24"/>
        </w:rPr>
        <w:t>jsme</w:t>
      </w:r>
      <w:r w:rsidRPr="004F012B">
        <w:rPr>
          <w:rFonts w:ascii="Garamond" w:hAnsi="Garamond"/>
          <w:bCs/>
          <w:sz w:val="24"/>
          <w:szCs w:val="24"/>
        </w:rPr>
        <w:t xml:space="preserve"> vyřešili teplotně </w:t>
      </w:r>
      <w:proofErr w:type="gramStart"/>
      <w:r w:rsidRPr="004F012B">
        <w:rPr>
          <w:rFonts w:ascii="Garamond" w:hAnsi="Garamond"/>
          <w:bCs/>
          <w:sz w:val="24"/>
          <w:szCs w:val="24"/>
        </w:rPr>
        <w:t>nejzatíženější  jihovýchodní</w:t>
      </w:r>
      <w:proofErr w:type="gramEnd"/>
      <w:r w:rsidRPr="004F012B">
        <w:rPr>
          <w:rFonts w:ascii="Garamond" w:hAnsi="Garamond"/>
          <w:bCs/>
          <w:sz w:val="24"/>
          <w:szCs w:val="24"/>
        </w:rPr>
        <w:t xml:space="preserve"> stranu v 2. patře  budovy. Tento investiční záměr </w:t>
      </w:r>
      <w:r>
        <w:rPr>
          <w:rFonts w:ascii="Garamond" w:hAnsi="Garamond"/>
          <w:bCs/>
          <w:sz w:val="24"/>
          <w:szCs w:val="24"/>
        </w:rPr>
        <w:t>byl</w:t>
      </w:r>
      <w:r w:rsidRPr="004F012B">
        <w:rPr>
          <w:rFonts w:ascii="Garamond" w:hAnsi="Garamond"/>
          <w:bCs/>
          <w:sz w:val="24"/>
          <w:szCs w:val="24"/>
        </w:rPr>
        <w:t xml:space="preserve"> připraven pro klimatizování 12 kanceláří, které jsou situovány </w:t>
      </w:r>
      <w:r w:rsidR="003E04E5">
        <w:rPr>
          <w:rFonts w:ascii="Garamond" w:hAnsi="Garamond"/>
          <w:bCs/>
          <w:sz w:val="24"/>
          <w:szCs w:val="24"/>
        </w:rPr>
        <w:br/>
      </w:r>
      <w:r w:rsidRPr="004F012B">
        <w:rPr>
          <w:rFonts w:ascii="Garamond" w:hAnsi="Garamond"/>
          <w:bCs/>
          <w:sz w:val="24"/>
          <w:szCs w:val="24"/>
        </w:rPr>
        <w:t xml:space="preserve">na již </w:t>
      </w:r>
      <w:proofErr w:type="gramStart"/>
      <w:r w:rsidRPr="004F012B">
        <w:rPr>
          <w:rFonts w:ascii="Garamond" w:hAnsi="Garamond"/>
          <w:bCs/>
          <w:sz w:val="24"/>
          <w:szCs w:val="24"/>
        </w:rPr>
        <w:t>zmíněnou  jihovýchodní</w:t>
      </w:r>
      <w:proofErr w:type="gramEnd"/>
      <w:r w:rsidRPr="004F012B">
        <w:rPr>
          <w:rFonts w:ascii="Garamond" w:hAnsi="Garamond"/>
          <w:bCs/>
          <w:sz w:val="24"/>
          <w:szCs w:val="24"/>
        </w:rPr>
        <w:t xml:space="preserve"> stranu soudní budovy. Vzhledem k vyšším letním teplotám dochází </w:t>
      </w:r>
      <w:r w:rsidR="003E04E5">
        <w:rPr>
          <w:rFonts w:ascii="Garamond" w:hAnsi="Garamond"/>
          <w:bCs/>
          <w:sz w:val="24"/>
          <w:szCs w:val="24"/>
        </w:rPr>
        <w:br/>
      </w:r>
      <w:r w:rsidRPr="004F012B">
        <w:rPr>
          <w:rFonts w:ascii="Garamond" w:hAnsi="Garamond"/>
          <w:bCs/>
          <w:sz w:val="24"/>
          <w:szCs w:val="24"/>
        </w:rPr>
        <w:t>ke ztížení pracovního prostředí v kancelářích a tyto prostory se stávají problematicky obyvatelnými. V souvislosti s montáží klimatizačních jednotek b</w:t>
      </w:r>
      <w:r>
        <w:rPr>
          <w:rFonts w:ascii="Garamond" w:hAnsi="Garamond"/>
          <w:bCs/>
          <w:sz w:val="24"/>
          <w:szCs w:val="24"/>
        </w:rPr>
        <w:t>yla</w:t>
      </w:r>
      <w:r w:rsidRPr="004F012B">
        <w:rPr>
          <w:rFonts w:ascii="Garamond" w:hAnsi="Garamond"/>
          <w:bCs/>
          <w:sz w:val="24"/>
          <w:szCs w:val="24"/>
        </w:rPr>
        <w:t xml:space="preserve"> provedena také úprava rozvaděčů a příprava vedení pro klimatizaci.</w:t>
      </w:r>
    </w:p>
    <w:p w14:paraId="4E04C394" w14:textId="77777777" w:rsidR="004F012B" w:rsidRPr="004F012B" w:rsidRDefault="004F012B" w:rsidP="004F012B">
      <w:pPr>
        <w:ind w:right="-108"/>
        <w:jc w:val="both"/>
        <w:outlineLvl w:val="0"/>
        <w:rPr>
          <w:rFonts w:ascii="Garamond" w:hAnsi="Garamond"/>
          <w:b/>
          <w:sz w:val="24"/>
          <w:szCs w:val="24"/>
        </w:rPr>
      </w:pPr>
    </w:p>
    <w:p w14:paraId="27CFD338" w14:textId="535689E3" w:rsidR="004F012B" w:rsidRPr="004F012B" w:rsidRDefault="004F012B" w:rsidP="004F012B">
      <w:pPr>
        <w:ind w:right="-108"/>
        <w:jc w:val="both"/>
        <w:outlineLvl w:val="0"/>
        <w:rPr>
          <w:rFonts w:ascii="Garamond" w:hAnsi="Garamond"/>
          <w:b/>
          <w:bCs/>
          <w:sz w:val="24"/>
          <w:szCs w:val="24"/>
        </w:rPr>
      </w:pPr>
      <w:r w:rsidRPr="004F012B">
        <w:rPr>
          <w:rFonts w:ascii="Garamond" w:hAnsi="Garamond"/>
          <w:b/>
          <w:bCs/>
          <w:sz w:val="24"/>
          <w:szCs w:val="24"/>
        </w:rPr>
        <w:t xml:space="preserve">„KS České </w:t>
      </w:r>
      <w:proofErr w:type="gramStart"/>
      <w:r w:rsidRPr="004F012B">
        <w:rPr>
          <w:rFonts w:ascii="Garamond" w:hAnsi="Garamond"/>
          <w:b/>
          <w:bCs/>
          <w:sz w:val="24"/>
          <w:szCs w:val="24"/>
        </w:rPr>
        <w:t xml:space="preserve">Budějovice </w:t>
      </w:r>
      <w:r w:rsidR="003E04E5">
        <w:rPr>
          <w:rFonts w:ascii="Garamond" w:hAnsi="Garamond"/>
          <w:b/>
          <w:bCs/>
          <w:sz w:val="24"/>
          <w:szCs w:val="24"/>
        </w:rPr>
        <w:t>-</w:t>
      </w:r>
      <w:r w:rsidRPr="004F012B">
        <w:rPr>
          <w:rFonts w:ascii="Garamond" w:hAnsi="Garamond"/>
          <w:b/>
          <w:bCs/>
          <w:sz w:val="24"/>
          <w:szCs w:val="24"/>
        </w:rPr>
        <w:t xml:space="preserve"> stacionární</w:t>
      </w:r>
      <w:proofErr w:type="gramEnd"/>
      <w:r w:rsidRPr="004F012B">
        <w:rPr>
          <w:rFonts w:ascii="Garamond" w:hAnsi="Garamond"/>
          <w:b/>
          <w:bCs/>
          <w:sz w:val="24"/>
          <w:szCs w:val="24"/>
        </w:rPr>
        <w:t xml:space="preserve"> regály do spisovny “ č. 036V021700011</w:t>
      </w:r>
    </w:p>
    <w:p w14:paraId="6AE6C5A3" w14:textId="77777777" w:rsidR="004F012B" w:rsidRPr="004F012B" w:rsidRDefault="004F012B" w:rsidP="004F012B">
      <w:pPr>
        <w:numPr>
          <w:ilvl w:val="0"/>
          <w:numId w:val="47"/>
        </w:numPr>
        <w:ind w:right="-108"/>
        <w:jc w:val="both"/>
        <w:outlineLvl w:val="0"/>
        <w:rPr>
          <w:rFonts w:ascii="Garamond" w:hAnsi="Garamond"/>
          <w:bCs/>
          <w:sz w:val="24"/>
          <w:szCs w:val="24"/>
        </w:rPr>
      </w:pPr>
      <w:r w:rsidRPr="004F012B">
        <w:rPr>
          <w:rFonts w:ascii="Garamond" w:hAnsi="Garamond"/>
          <w:bCs/>
          <w:sz w:val="24"/>
          <w:szCs w:val="24"/>
        </w:rPr>
        <w:t>celková výše rozpočtovaných prostředků na realizaci akce byla ve výši 577,95 tis. Kč,</w:t>
      </w:r>
    </w:p>
    <w:p w14:paraId="18D84453" w14:textId="490EAA66" w:rsidR="00F45280" w:rsidRDefault="004F012B" w:rsidP="004F012B">
      <w:pPr>
        <w:numPr>
          <w:ilvl w:val="0"/>
          <w:numId w:val="47"/>
        </w:numPr>
        <w:ind w:right="-108"/>
        <w:jc w:val="both"/>
        <w:outlineLvl w:val="0"/>
        <w:rPr>
          <w:rFonts w:ascii="Garamond" w:hAnsi="Garamond"/>
        </w:rPr>
      </w:pPr>
      <w:r w:rsidRPr="004F012B">
        <w:rPr>
          <w:rFonts w:ascii="Garamond" w:hAnsi="Garamond"/>
          <w:bCs/>
          <w:sz w:val="24"/>
          <w:szCs w:val="24"/>
        </w:rPr>
        <w:t>obsahem akce je pořízení stacionárních regálů do nově zrekonstruovaných prostor, které budou poskytnuty Krajskému soudu k bezúplatnému užívání od ÚZSVM v Českých Budějovicích za účelem uskladnění spisů. Vzhledem ke kapacitě spisovny Krajského soudu v Českých Budějovicích, která je v</w:t>
      </w:r>
      <w:r>
        <w:rPr>
          <w:rFonts w:ascii="Garamond" w:hAnsi="Garamond"/>
          <w:bCs/>
          <w:sz w:val="24"/>
          <w:szCs w:val="24"/>
        </w:rPr>
        <w:t> </w:t>
      </w:r>
      <w:r w:rsidRPr="004F012B">
        <w:rPr>
          <w:rFonts w:ascii="Garamond" w:hAnsi="Garamond"/>
          <w:bCs/>
          <w:sz w:val="24"/>
          <w:szCs w:val="24"/>
        </w:rPr>
        <w:t>současné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4F012B">
        <w:rPr>
          <w:rFonts w:ascii="Garamond" w:hAnsi="Garamond"/>
          <w:bCs/>
          <w:sz w:val="24"/>
          <w:szCs w:val="24"/>
        </w:rPr>
        <w:t>době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4F012B">
        <w:rPr>
          <w:rFonts w:ascii="Garamond" w:hAnsi="Garamond"/>
          <w:bCs/>
          <w:sz w:val="24"/>
          <w:szCs w:val="24"/>
        </w:rPr>
        <w:t>vyčerpána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4F012B">
        <w:rPr>
          <w:rFonts w:ascii="Garamond" w:hAnsi="Garamond"/>
          <w:bCs/>
          <w:sz w:val="24"/>
          <w:szCs w:val="24"/>
        </w:rPr>
        <w:t>z</w:t>
      </w:r>
      <w:r>
        <w:rPr>
          <w:rFonts w:ascii="Garamond" w:hAnsi="Garamond"/>
          <w:bCs/>
          <w:sz w:val="24"/>
          <w:szCs w:val="24"/>
        </w:rPr>
        <w:t> </w:t>
      </w:r>
      <w:r w:rsidRPr="004F012B">
        <w:rPr>
          <w:rFonts w:ascii="Garamond" w:hAnsi="Garamond"/>
          <w:bCs/>
          <w:sz w:val="24"/>
          <w:szCs w:val="24"/>
        </w:rPr>
        <w:t>důvodu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4F012B">
        <w:rPr>
          <w:rFonts w:ascii="Garamond" w:hAnsi="Garamond"/>
          <w:bCs/>
          <w:sz w:val="24"/>
          <w:szCs w:val="24"/>
        </w:rPr>
        <w:t>nárůstu</w:t>
      </w:r>
      <w:r>
        <w:rPr>
          <w:rFonts w:ascii="Garamond" w:hAnsi="Garamond"/>
          <w:bCs/>
          <w:sz w:val="24"/>
          <w:szCs w:val="24"/>
        </w:rPr>
        <w:t xml:space="preserve"> s</w:t>
      </w:r>
      <w:r w:rsidRPr="004F012B">
        <w:rPr>
          <w:rFonts w:ascii="Garamond" w:hAnsi="Garamond"/>
          <w:bCs/>
          <w:sz w:val="24"/>
          <w:szCs w:val="24"/>
        </w:rPr>
        <w:t>pisů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4F012B">
        <w:rPr>
          <w:rFonts w:ascii="Garamond" w:hAnsi="Garamond"/>
          <w:bCs/>
          <w:sz w:val="24"/>
          <w:szCs w:val="24"/>
        </w:rPr>
        <w:t>především na úseku insolvenčním a trestním</w:t>
      </w:r>
      <w:r w:rsidR="007E2CBE">
        <w:rPr>
          <w:rFonts w:ascii="Garamond" w:hAnsi="Garamond"/>
          <w:bCs/>
          <w:sz w:val="24"/>
          <w:szCs w:val="24"/>
        </w:rPr>
        <w:t xml:space="preserve"> bylo nutné tuto situaci řešit.</w:t>
      </w:r>
    </w:p>
    <w:bookmarkEnd w:id="51"/>
    <w:p w14:paraId="78DF8256" w14:textId="2EA4FE09" w:rsidR="00B00CED" w:rsidRDefault="00B00CED" w:rsidP="00B00CED">
      <w:pPr>
        <w:spacing w:after="160" w:line="259" w:lineRule="auto"/>
        <w:ind w:left="360"/>
        <w:rPr>
          <w:rFonts w:ascii="Garamond" w:hAnsi="Garamond"/>
          <w:b/>
          <w:sz w:val="24"/>
          <w:szCs w:val="24"/>
        </w:rPr>
      </w:pPr>
    </w:p>
    <w:p w14:paraId="771D88B0" w14:textId="33125A4F" w:rsidR="009B25AA" w:rsidRPr="00567D61" w:rsidRDefault="00751267" w:rsidP="00801BED">
      <w:pPr>
        <w:pStyle w:val="Nadpis3"/>
        <w:rPr>
          <w:rFonts w:cstheme="minorHAnsi"/>
          <w:color w:val="548DD4" w:themeColor="text2" w:themeTint="99"/>
        </w:rPr>
      </w:pPr>
      <w:bookmarkStart w:id="52" w:name="_Toc155689675"/>
      <w:bookmarkEnd w:id="50"/>
      <w:r w:rsidRPr="00567D61">
        <w:rPr>
          <w:rFonts w:cstheme="minorHAnsi"/>
          <w:color w:val="548DD4" w:themeColor="text2" w:themeTint="99"/>
        </w:rPr>
        <w:t>Projekty spolufinancované z EU/FM</w:t>
      </w:r>
      <w:r w:rsidR="00004FFB" w:rsidRPr="00567D61">
        <w:rPr>
          <w:rFonts w:cstheme="minorHAnsi"/>
          <w:color w:val="548DD4" w:themeColor="text2" w:themeTint="99"/>
        </w:rPr>
        <w:t xml:space="preserve"> </w:t>
      </w:r>
      <w:r w:rsidR="009B25AA" w:rsidRPr="00567D61">
        <w:rPr>
          <w:rFonts w:cstheme="minorHAnsi"/>
          <w:color w:val="548DD4" w:themeColor="text2" w:themeTint="99"/>
        </w:rPr>
        <w:t xml:space="preserve">(viz Tabulková </w:t>
      </w:r>
      <w:r w:rsidR="00FD4EE2" w:rsidRPr="00567D61">
        <w:rPr>
          <w:rFonts w:cstheme="minorHAnsi"/>
          <w:color w:val="548DD4" w:themeColor="text2" w:themeTint="99"/>
        </w:rPr>
        <w:t>část</w:t>
      </w:r>
      <w:r w:rsidR="009B25AA" w:rsidRPr="00567D61">
        <w:rPr>
          <w:rFonts w:cstheme="minorHAnsi"/>
          <w:color w:val="548DD4" w:themeColor="text2" w:themeTint="99"/>
        </w:rPr>
        <w:t xml:space="preserve"> – </w:t>
      </w:r>
      <w:r w:rsidR="00FD4EE2" w:rsidRPr="00567D61">
        <w:rPr>
          <w:rFonts w:cstheme="minorHAnsi"/>
          <w:color w:val="548DD4" w:themeColor="text2" w:themeTint="99"/>
        </w:rPr>
        <w:t xml:space="preserve">list </w:t>
      </w:r>
      <w:r w:rsidR="009B25AA" w:rsidRPr="00567D61">
        <w:rPr>
          <w:rFonts w:cstheme="minorHAnsi"/>
          <w:color w:val="548DD4" w:themeColor="text2" w:themeTint="99"/>
        </w:rPr>
        <w:t>21. Projekty spolufinan.  EU_FM)</w:t>
      </w:r>
      <w:bookmarkEnd w:id="52"/>
    </w:p>
    <w:p w14:paraId="176A3B6C" w14:textId="7B33024B" w:rsidR="0028748B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6EEBEF6E" w14:textId="77777777" w:rsidR="007855E7" w:rsidRDefault="007855E7" w:rsidP="0028748B">
      <w:pPr>
        <w:pStyle w:val="Garamond12"/>
        <w:rPr>
          <w:rFonts w:cstheme="minorHAnsi"/>
        </w:rPr>
      </w:pPr>
    </w:p>
    <w:p w14:paraId="77705DD8" w14:textId="606137F7" w:rsidR="00751267" w:rsidRPr="00567D61" w:rsidRDefault="00751267" w:rsidP="00801BED">
      <w:pPr>
        <w:pStyle w:val="Nadpis3"/>
        <w:rPr>
          <w:rFonts w:cstheme="minorHAnsi"/>
          <w:color w:val="548DD4" w:themeColor="text2" w:themeTint="99"/>
        </w:rPr>
      </w:pPr>
      <w:bookmarkStart w:id="53" w:name="_Toc155689676"/>
      <w:r w:rsidRPr="00567D61">
        <w:rPr>
          <w:color w:val="548DD4" w:themeColor="text2" w:themeTint="99"/>
        </w:rPr>
        <w:t>Vázání</w:t>
      </w:r>
      <w:r w:rsidRPr="00567D61">
        <w:rPr>
          <w:rFonts w:cstheme="minorHAnsi"/>
          <w:color w:val="548DD4" w:themeColor="text2" w:themeTint="99"/>
        </w:rPr>
        <w:t xml:space="preserve"> výdajů</w:t>
      </w:r>
      <w:r w:rsidR="000F30B4" w:rsidRPr="00567D61">
        <w:rPr>
          <w:rFonts w:cstheme="minorHAnsi"/>
          <w:color w:val="548DD4" w:themeColor="text2" w:themeTint="99"/>
        </w:rPr>
        <w:t xml:space="preserve"> </w:t>
      </w:r>
      <w:r w:rsidR="004628A6" w:rsidRPr="00567D61">
        <w:rPr>
          <w:rFonts w:cstheme="minorHAnsi"/>
          <w:color w:val="548DD4" w:themeColor="text2" w:themeTint="99"/>
        </w:rPr>
        <w:t xml:space="preserve">– </w:t>
      </w:r>
      <w:r w:rsidR="000F30B4" w:rsidRPr="00567D61">
        <w:rPr>
          <w:rFonts w:cstheme="minorHAnsi"/>
          <w:color w:val="548DD4" w:themeColor="text2" w:themeTint="99"/>
        </w:rPr>
        <w:t>viz Tabulková část – list 6. Vázání</w:t>
      </w:r>
      <w:r w:rsidR="00FD30DF" w:rsidRPr="00567D61">
        <w:rPr>
          <w:rFonts w:cstheme="minorHAnsi"/>
          <w:color w:val="548DD4" w:themeColor="text2" w:themeTint="99"/>
        </w:rPr>
        <w:t xml:space="preserve"> výdajů</w:t>
      </w:r>
      <w:bookmarkEnd w:id="53"/>
    </w:p>
    <w:p w14:paraId="75C74A74" w14:textId="1C8A4D0E" w:rsidR="004D4DC2" w:rsidRDefault="00DD19F3" w:rsidP="00DD19F3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4167FEC1" w14:textId="77777777" w:rsidR="004D4DC2" w:rsidRDefault="004D4DC2" w:rsidP="00DD19F3">
      <w:pPr>
        <w:pStyle w:val="Garamond12"/>
        <w:rPr>
          <w:rFonts w:cstheme="minorHAnsi"/>
        </w:rPr>
      </w:pPr>
    </w:p>
    <w:p w14:paraId="3D53A06E" w14:textId="4DEFCD72" w:rsidR="00390FBC" w:rsidRPr="001212C5" w:rsidRDefault="00751267" w:rsidP="000C2785">
      <w:pPr>
        <w:pStyle w:val="Nadpis3"/>
        <w:rPr>
          <w:color w:val="0070C0"/>
        </w:rPr>
      </w:pPr>
      <w:bookmarkStart w:id="54" w:name="_Toc155689677"/>
      <w:r w:rsidRPr="001212C5">
        <w:rPr>
          <w:color w:val="0070C0"/>
        </w:rPr>
        <w:t>Výdaje</w:t>
      </w:r>
      <w:r w:rsidRPr="001212C5">
        <w:rPr>
          <w:rFonts w:cstheme="minorHAnsi"/>
          <w:color w:val="0070C0"/>
        </w:rPr>
        <w:t xml:space="preserve"> s kódem účelu</w:t>
      </w:r>
      <w:bookmarkEnd w:id="54"/>
    </w:p>
    <w:p w14:paraId="43F85DBD" w14:textId="77777777" w:rsidR="00C401BA" w:rsidRDefault="00C401BA" w:rsidP="00C401BA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04EB7986" w14:textId="77777777" w:rsidR="007855E7" w:rsidRPr="007855E7" w:rsidRDefault="007855E7" w:rsidP="002D7E48">
      <w:pPr>
        <w:jc w:val="both"/>
        <w:rPr>
          <w:rFonts w:ascii="Garamond" w:hAnsi="Garamond" w:cstheme="minorHAnsi"/>
          <w:b/>
          <w:bCs/>
          <w:sz w:val="24"/>
          <w:szCs w:val="24"/>
        </w:rPr>
      </w:pPr>
    </w:p>
    <w:p w14:paraId="2EB4E200" w14:textId="1B283CEA" w:rsidR="001A709F" w:rsidRPr="00915E35" w:rsidRDefault="001A709F" w:rsidP="002021FE">
      <w:pPr>
        <w:pStyle w:val="Nadpis2"/>
        <w:spacing w:before="120" w:after="120"/>
      </w:pPr>
      <w:bookmarkStart w:id="55" w:name="_Toc534878035"/>
      <w:bookmarkStart w:id="56" w:name="_Toc155689678"/>
      <w:r w:rsidRPr="000E2518">
        <w:rPr>
          <w:color w:val="548DD4" w:themeColor="text2" w:themeTint="99"/>
        </w:rPr>
        <w:t>Výdaje na podporu výzkumu, vývoje a inovace</w:t>
      </w:r>
      <w:bookmarkEnd w:id="55"/>
      <w:r w:rsidR="0087409D" w:rsidRPr="000E2518">
        <w:rPr>
          <w:color w:val="548DD4" w:themeColor="text2" w:themeTint="99"/>
        </w:rPr>
        <w:t xml:space="preserve"> </w:t>
      </w:r>
      <w:r w:rsidR="00C15111" w:rsidRPr="000E2518">
        <w:rPr>
          <w:color w:val="548DD4" w:themeColor="text2" w:themeTint="99"/>
        </w:rPr>
        <w:t>(vyplňuje IKSP)</w:t>
      </w:r>
      <w:bookmarkEnd w:id="56"/>
    </w:p>
    <w:p w14:paraId="150F4EF0" w14:textId="77777777" w:rsidR="0028748B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19C0B958" w14:textId="0DBF6B69" w:rsidR="00F14424" w:rsidRPr="00915E35" w:rsidRDefault="00F14424" w:rsidP="002C15DB">
      <w:pPr>
        <w:jc w:val="both"/>
        <w:rPr>
          <w:b/>
        </w:rPr>
      </w:pPr>
    </w:p>
    <w:p w14:paraId="1A6AAE4E" w14:textId="1F7FB986" w:rsidR="00635B18" w:rsidRPr="00635B18" w:rsidRDefault="00D06D8D" w:rsidP="003D7E88">
      <w:pPr>
        <w:pStyle w:val="Nadpis2"/>
        <w:spacing w:before="120" w:after="120"/>
      </w:pPr>
      <w:bookmarkStart w:id="57" w:name="_Toc534878036"/>
      <w:bookmarkStart w:id="58" w:name="_Toc155689679"/>
      <w:r w:rsidRPr="00635B18">
        <w:rPr>
          <w:color w:val="548DD4" w:themeColor="text2" w:themeTint="99"/>
        </w:rPr>
        <w:t>Nároky z nespotřebovaných výdajů</w:t>
      </w:r>
      <w:bookmarkEnd w:id="57"/>
      <w:bookmarkEnd w:id="58"/>
    </w:p>
    <w:p w14:paraId="51FC00D2" w14:textId="795BCA94" w:rsidR="00567D61" w:rsidRPr="0009278F" w:rsidRDefault="00567D61" w:rsidP="00567D61">
      <w:pPr>
        <w:jc w:val="both"/>
        <w:rPr>
          <w:rFonts w:ascii="Garamond" w:hAnsi="Garamond" w:cs="Calibri"/>
          <w:color w:val="FF0000"/>
          <w:sz w:val="24"/>
          <w:szCs w:val="24"/>
        </w:rPr>
      </w:pPr>
      <w:r w:rsidRPr="0009278F">
        <w:rPr>
          <w:rFonts w:ascii="Garamond" w:hAnsi="Garamond" w:cs="Calibri"/>
          <w:sz w:val="24"/>
          <w:szCs w:val="24"/>
        </w:rPr>
        <w:t>Rozpočet 202</w:t>
      </w:r>
      <w:r w:rsidR="008628AC">
        <w:rPr>
          <w:rFonts w:ascii="Garamond" w:hAnsi="Garamond" w:cs="Calibri"/>
          <w:sz w:val="24"/>
          <w:szCs w:val="24"/>
        </w:rPr>
        <w:t>5</w:t>
      </w:r>
      <w:r w:rsidRPr="0009278F">
        <w:rPr>
          <w:rFonts w:ascii="Garamond" w:hAnsi="Garamond" w:cs="Calibri"/>
          <w:sz w:val="24"/>
          <w:szCs w:val="24"/>
        </w:rPr>
        <w:t xml:space="preserve"> byl celkem </w:t>
      </w:r>
      <w:proofErr w:type="gramStart"/>
      <w:r w:rsidRPr="0009278F">
        <w:rPr>
          <w:rFonts w:ascii="Garamond" w:hAnsi="Garamond" w:cs="Calibri"/>
          <w:sz w:val="24"/>
          <w:szCs w:val="24"/>
        </w:rPr>
        <w:t>RO - Povoleným</w:t>
      </w:r>
      <w:proofErr w:type="gramEnd"/>
      <w:r w:rsidRPr="0009278F">
        <w:rPr>
          <w:rFonts w:ascii="Garamond" w:hAnsi="Garamond" w:cs="Calibri"/>
          <w:sz w:val="24"/>
          <w:szCs w:val="24"/>
        </w:rPr>
        <w:t xml:space="preserve"> překročením navýšen o</w:t>
      </w:r>
      <w:r w:rsidR="00DB28AF">
        <w:rPr>
          <w:rFonts w:ascii="Garamond" w:hAnsi="Garamond" w:cs="Calibri"/>
          <w:sz w:val="24"/>
          <w:szCs w:val="24"/>
        </w:rPr>
        <w:t xml:space="preserve"> 2</w:t>
      </w:r>
      <w:r w:rsidR="008628AC">
        <w:rPr>
          <w:rFonts w:ascii="Garamond" w:hAnsi="Garamond" w:cs="Calibri"/>
          <w:sz w:val="24"/>
          <w:szCs w:val="24"/>
        </w:rPr>
        <w:t>1 191,80</w:t>
      </w:r>
      <w:r w:rsidRPr="0009278F">
        <w:rPr>
          <w:rFonts w:ascii="Garamond" w:hAnsi="Garamond" w:cs="Calibri"/>
          <w:sz w:val="24"/>
          <w:szCs w:val="24"/>
        </w:rPr>
        <w:t xml:space="preserve"> tis. Kč. Skutečné čerpání v oblasti NNV činilo </w:t>
      </w:r>
      <w:r w:rsidR="00DB28AF">
        <w:rPr>
          <w:rFonts w:ascii="Garamond" w:hAnsi="Garamond" w:cs="Calibri"/>
          <w:sz w:val="24"/>
          <w:szCs w:val="24"/>
        </w:rPr>
        <w:t>22</w:t>
      </w:r>
      <w:r w:rsidR="008628AC">
        <w:rPr>
          <w:rFonts w:ascii="Garamond" w:hAnsi="Garamond" w:cs="Calibri"/>
          <w:sz w:val="24"/>
          <w:szCs w:val="24"/>
        </w:rPr>
        <w:t> </w:t>
      </w:r>
      <w:r w:rsidR="00DB28AF">
        <w:rPr>
          <w:rFonts w:ascii="Garamond" w:hAnsi="Garamond" w:cs="Calibri"/>
          <w:sz w:val="24"/>
          <w:szCs w:val="24"/>
        </w:rPr>
        <w:t>1</w:t>
      </w:r>
      <w:r w:rsidR="008628AC">
        <w:rPr>
          <w:rFonts w:ascii="Garamond" w:hAnsi="Garamond" w:cs="Calibri"/>
          <w:sz w:val="24"/>
          <w:szCs w:val="24"/>
        </w:rPr>
        <w:t>09,79</w:t>
      </w:r>
      <w:r w:rsidRPr="0009278F">
        <w:rPr>
          <w:rFonts w:ascii="Garamond" w:hAnsi="Garamond" w:cs="Calibri"/>
          <w:sz w:val="24"/>
          <w:szCs w:val="24"/>
        </w:rPr>
        <w:t xml:space="preserve"> tis. Kč.</w:t>
      </w:r>
    </w:p>
    <w:p w14:paraId="4BB859B2" w14:textId="3BB4C4C3" w:rsidR="00567D61" w:rsidRPr="0009278F" w:rsidRDefault="00567D61" w:rsidP="00567D61">
      <w:pPr>
        <w:jc w:val="both"/>
        <w:rPr>
          <w:rFonts w:ascii="Garamond" w:hAnsi="Garamond"/>
          <w:sz w:val="24"/>
          <w:szCs w:val="24"/>
          <w:u w:val="single"/>
        </w:rPr>
      </w:pPr>
      <w:r w:rsidRPr="0009278F">
        <w:rPr>
          <w:rFonts w:ascii="Garamond" w:hAnsi="Garamond" w:cs="Calibri"/>
          <w:sz w:val="24"/>
          <w:szCs w:val="24"/>
        </w:rPr>
        <w:lastRenderedPageBreak/>
        <w:t>Nespotřebované výdaje byly v roce 202</w:t>
      </w:r>
      <w:r w:rsidR="008628AC">
        <w:rPr>
          <w:rFonts w:ascii="Garamond" w:hAnsi="Garamond" w:cs="Calibri"/>
          <w:sz w:val="24"/>
          <w:szCs w:val="24"/>
        </w:rPr>
        <w:t>5</w:t>
      </w:r>
      <w:r w:rsidRPr="0009278F">
        <w:rPr>
          <w:rFonts w:ascii="Garamond" w:hAnsi="Garamond" w:cs="Calibri"/>
          <w:sz w:val="24"/>
          <w:szCs w:val="24"/>
        </w:rPr>
        <w:t xml:space="preserve"> v oblasti ostatních věcných výdajů použity na úhradu poukazů mandatorních</w:t>
      </w:r>
      <w:r w:rsidR="00DD136D" w:rsidRPr="0009278F">
        <w:rPr>
          <w:rFonts w:ascii="Garamond" w:hAnsi="Garamond" w:cs="Calibri"/>
          <w:sz w:val="24"/>
          <w:szCs w:val="24"/>
        </w:rPr>
        <w:t xml:space="preserve"> </w:t>
      </w:r>
      <w:r w:rsidRPr="0009278F">
        <w:rPr>
          <w:rFonts w:ascii="Garamond" w:hAnsi="Garamond" w:cs="Calibri"/>
          <w:sz w:val="24"/>
          <w:szCs w:val="24"/>
        </w:rPr>
        <w:t>výdajů,</w:t>
      </w:r>
      <w:r w:rsidR="00DD136D" w:rsidRPr="0009278F">
        <w:rPr>
          <w:rFonts w:ascii="Garamond" w:hAnsi="Garamond" w:cs="Calibri"/>
          <w:sz w:val="24"/>
          <w:szCs w:val="24"/>
        </w:rPr>
        <w:t xml:space="preserve"> </w:t>
      </w:r>
      <w:r w:rsidRPr="0009278F">
        <w:rPr>
          <w:rFonts w:ascii="Garamond" w:hAnsi="Garamond" w:cs="Calibri"/>
          <w:sz w:val="24"/>
          <w:szCs w:val="24"/>
        </w:rPr>
        <w:t>dále</w:t>
      </w:r>
      <w:r w:rsidR="00DD136D" w:rsidRPr="0009278F">
        <w:rPr>
          <w:rFonts w:ascii="Garamond" w:hAnsi="Garamond" w:cs="Calibri"/>
          <w:sz w:val="24"/>
          <w:szCs w:val="24"/>
        </w:rPr>
        <w:t xml:space="preserve"> </w:t>
      </w:r>
      <w:r w:rsidRPr="0009278F">
        <w:rPr>
          <w:rFonts w:ascii="Garamond" w:hAnsi="Garamond" w:cs="Calibri"/>
          <w:sz w:val="24"/>
          <w:szCs w:val="24"/>
        </w:rPr>
        <w:t>na</w:t>
      </w:r>
      <w:r w:rsidR="00DD136D" w:rsidRPr="0009278F">
        <w:rPr>
          <w:rFonts w:ascii="Garamond" w:hAnsi="Garamond" w:cs="Calibri"/>
          <w:sz w:val="24"/>
          <w:szCs w:val="24"/>
        </w:rPr>
        <w:t xml:space="preserve"> </w:t>
      </w:r>
      <w:r w:rsidRPr="0009278F">
        <w:rPr>
          <w:rFonts w:ascii="Garamond" w:hAnsi="Garamond" w:cs="Calibri"/>
          <w:sz w:val="24"/>
          <w:szCs w:val="24"/>
        </w:rPr>
        <w:t>úhradu</w:t>
      </w:r>
      <w:r w:rsidR="00DD136D" w:rsidRPr="0009278F">
        <w:rPr>
          <w:rFonts w:ascii="Garamond" w:hAnsi="Garamond" w:cs="Calibri"/>
          <w:sz w:val="24"/>
          <w:szCs w:val="24"/>
        </w:rPr>
        <w:t xml:space="preserve"> </w:t>
      </w:r>
      <w:r w:rsidRPr="0009278F">
        <w:rPr>
          <w:rFonts w:ascii="Garamond" w:hAnsi="Garamond" w:cs="Calibri"/>
          <w:sz w:val="24"/>
          <w:szCs w:val="24"/>
        </w:rPr>
        <w:t>výpočetní</w:t>
      </w:r>
      <w:r w:rsidR="00DD136D" w:rsidRPr="0009278F">
        <w:rPr>
          <w:rFonts w:ascii="Garamond" w:hAnsi="Garamond" w:cs="Calibri"/>
          <w:sz w:val="24"/>
          <w:szCs w:val="24"/>
        </w:rPr>
        <w:t xml:space="preserve"> </w:t>
      </w:r>
      <w:r w:rsidRPr="0009278F">
        <w:rPr>
          <w:rFonts w:ascii="Garamond" w:hAnsi="Garamond" w:cs="Calibri"/>
          <w:sz w:val="24"/>
          <w:szCs w:val="24"/>
        </w:rPr>
        <w:t>techniky</w:t>
      </w:r>
      <w:r w:rsidR="00DD136D" w:rsidRPr="0009278F">
        <w:rPr>
          <w:rFonts w:ascii="Garamond" w:hAnsi="Garamond" w:cs="Calibri"/>
          <w:sz w:val="24"/>
          <w:szCs w:val="24"/>
        </w:rPr>
        <w:t xml:space="preserve"> </w:t>
      </w:r>
      <w:r w:rsidRPr="0009278F">
        <w:rPr>
          <w:rFonts w:ascii="Garamond" w:hAnsi="Garamond" w:cs="Calibri"/>
          <w:sz w:val="24"/>
          <w:szCs w:val="24"/>
        </w:rPr>
        <w:t>a</w:t>
      </w:r>
      <w:r w:rsidR="00DD136D" w:rsidRPr="0009278F">
        <w:rPr>
          <w:rFonts w:ascii="Garamond" w:hAnsi="Garamond" w:cs="Calibri"/>
          <w:sz w:val="24"/>
          <w:szCs w:val="24"/>
        </w:rPr>
        <w:t xml:space="preserve"> </w:t>
      </w:r>
      <w:r w:rsidRPr="0009278F">
        <w:rPr>
          <w:rFonts w:ascii="Garamond" w:hAnsi="Garamond" w:cs="Calibri"/>
          <w:sz w:val="24"/>
          <w:szCs w:val="24"/>
        </w:rPr>
        <w:t>nákladů</w:t>
      </w:r>
      <w:r w:rsidR="00DD136D" w:rsidRPr="0009278F">
        <w:rPr>
          <w:rFonts w:ascii="Garamond" w:hAnsi="Garamond" w:cs="Calibri"/>
          <w:sz w:val="24"/>
          <w:szCs w:val="24"/>
        </w:rPr>
        <w:t xml:space="preserve"> </w:t>
      </w:r>
      <w:r w:rsidRPr="0009278F">
        <w:rPr>
          <w:rFonts w:ascii="Garamond" w:hAnsi="Garamond" w:cs="Calibri"/>
          <w:sz w:val="24"/>
          <w:szCs w:val="24"/>
        </w:rPr>
        <w:t>n</w:t>
      </w:r>
      <w:r w:rsidR="00DD136D" w:rsidRPr="0009278F">
        <w:rPr>
          <w:rFonts w:ascii="Garamond" w:hAnsi="Garamond" w:cs="Calibri"/>
          <w:sz w:val="24"/>
          <w:szCs w:val="24"/>
        </w:rPr>
        <w:t xml:space="preserve">a </w:t>
      </w:r>
      <w:r w:rsidRPr="0009278F">
        <w:rPr>
          <w:rFonts w:ascii="Garamond" w:hAnsi="Garamond" w:cs="Calibri"/>
          <w:sz w:val="24"/>
          <w:szCs w:val="24"/>
        </w:rPr>
        <w:t>podpory s parametrem „OI “,</w:t>
      </w:r>
      <w:r w:rsidR="00DD136D" w:rsidRPr="0009278F">
        <w:rPr>
          <w:rFonts w:ascii="Garamond" w:hAnsi="Garamond" w:cs="Calibri"/>
          <w:sz w:val="24"/>
          <w:szCs w:val="24"/>
        </w:rPr>
        <w:br/>
      </w:r>
      <w:r w:rsidRPr="0009278F">
        <w:rPr>
          <w:rFonts w:ascii="Garamond" w:hAnsi="Garamond" w:cs="Calibri"/>
          <w:sz w:val="24"/>
          <w:szCs w:val="24"/>
        </w:rPr>
        <w:t xml:space="preserve"> na úhradu poštovného, nákupu drobného majetku, energií, služby, opravy</w:t>
      </w:r>
      <w:r w:rsidR="00DD136D" w:rsidRPr="0009278F">
        <w:rPr>
          <w:rFonts w:ascii="Garamond" w:hAnsi="Garamond" w:cs="Calibri"/>
          <w:sz w:val="24"/>
          <w:szCs w:val="24"/>
        </w:rPr>
        <w:t xml:space="preserve"> a</w:t>
      </w:r>
      <w:r w:rsidRPr="0009278F">
        <w:rPr>
          <w:rFonts w:ascii="Garamond" w:hAnsi="Garamond" w:cs="Calibri"/>
          <w:sz w:val="24"/>
          <w:szCs w:val="24"/>
        </w:rPr>
        <w:t xml:space="preserve"> revize s parametrem „OBKŘ“.</w:t>
      </w:r>
    </w:p>
    <w:p w14:paraId="7A55E098" w14:textId="20ED4D80" w:rsidR="00567D61" w:rsidRDefault="00567D61" w:rsidP="00567D61">
      <w:pPr>
        <w:pStyle w:val="Bezmezer"/>
        <w:jc w:val="both"/>
        <w:rPr>
          <w:rFonts w:ascii="Garamond" w:hAnsi="Garamond"/>
          <w:sz w:val="24"/>
          <w:szCs w:val="24"/>
        </w:rPr>
      </w:pPr>
      <w:r w:rsidRPr="006A6EE1">
        <w:rPr>
          <w:rFonts w:ascii="Garamond" w:hAnsi="Garamond"/>
          <w:sz w:val="24"/>
          <w:szCs w:val="24"/>
        </w:rPr>
        <w:t>Čerpání nároků z nespotřebovaných výdajů a povolené překročení rozpočtu za r. 202</w:t>
      </w:r>
      <w:r w:rsidR="008628AC">
        <w:rPr>
          <w:rFonts w:ascii="Garamond" w:hAnsi="Garamond"/>
          <w:sz w:val="24"/>
          <w:szCs w:val="24"/>
        </w:rPr>
        <w:t>5</w:t>
      </w:r>
      <w:r w:rsidRPr="006A6EE1">
        <w:rPr>
          <w:rFonts w:ascii="Garamond" w:hAnsi="Garamond"/>
          <w:sz w:val="24"/>
          <w:szCs w:val="24"/>
        </w:rPr>
        <w:t xml:space="preserve"> bylo ministerstvem povoleno na doplatky mezd soudců, OPZPP </w:t>
      </w:r>
      <w:r w:rsidR="008B63A3">
        <w:rPr>
          <w:rFonts w:ascii="Garamond" w:hAnsi="Garamond"/>
          <w:sz w:val="24"/>
          <w:szCs w:val="24"/>
        </w:rPr>
        <w:t>včetně</w:t>
      </w:r>
      <w:r w:rsidRPr="006A6EE1">
        <w:rPr>
          <w:rFonts w:ascii="Garamond" w:hAnsi="Garamond"/>
          <w:sz w:val="24"/>
          <w:szCs w:val="24"/>
        </w:rPr>
        <w:t xml:space="preserve"> </w:t>
      </w:r>
      <w:r w:rsidR="008B63A3">
        <w:rPr>
          <w:rFonts w:ascii="Garamond" w:hAnsi="Garamond"/>
          <w:sz w:val="24"/>
          <w:szCs w:val="24"/>
        </w:rPr>
        <w:t xml:space="preserve">SP+ZP+FKSP </w:t>
      </w:r>
      <w:r w:rsidRPr="006A6EE1">
        <w:rPr>
          <w:rFonts w:ascii="Garamond" w:hAnsi="Garamond"/>
          <w:sz w:val="24"/>
          <w:szCs w:val="24"/>
        </w:rPr>
        <w:t xml:space="preserve">ve výši </w:t>
      </w:r>
      <w:r w:rsidR="008B63A3">
        <w:rPr>
          <w:rFonts w:ascii="Garamond" w:hAnsi="Garamond"/>
          <w:sz w:val="24"/>
          <w:szCs w:val="24"/>
        </w:rPr>
        <w:t>706,13</w:t>
      </w:r>
      <w:r w:rsidRPr="006A6EE1">
        <w:rPr>
          <w:rFonts w:ascii="Garamond" w:hAnsi="Garamond"/>
          <w:sz w:val="24"/>
          <w:szCs w:val="24"/>
        </w:rPr>
        <w:t xml:space="preserve"> tis. Kč. Dále byly čerpány nároky z nespotřebovaných výdajů na mandatorní výdaje a na nákupy věcných výdajů a výdajů s parametrem „OBKŘ“ a „OI“ </w:t>
      </w:r>
      <w:r w:rsidR="008B63A3">
        <w:rPr>
          <w:rFonts w:ascii="Garamond" w:hAnsi="Garamond"/>
          <w:sz w:val="24"/>
          <w:szCs w:val="24"/>
        </w:rPr>
        <w:t xml:space="preserve">s účelem 243980057 celkem </w:t>
      </w:r>
      <w:r w:rsidRPr="006A6EE1">
        <w:rPr>
          <w:rFonts w:ascii="Garamond" w:hAnsi="Garamond"/>
          <w:sz w:val="24"/>
          <w:szCs w:val="24"/>
        </w:rPr>
        <w:t xml:space="preserve">ve výši </w:t>
      </w:r>
      <w:r w:rsidR="008B63A3">
        <w:rPr>
          <w:rFonts w:ascii="Garamond" w:hAnsi="Garamond"/>
          <w:sz w:val="24"/>
          <w:szCs w:val="24"/>
        </w:rPr>
        <w:t>20 403,66</w:t>
      </w:r>
      <w:r w:rsidRPr="006A6EE1">
        <w:rPr>
          <w:rFonts w:ascii="Garamond" w:hAnsi="Garamond"/>
          <w:sz w:val="24"/>
          <w:szCs w:val="24"/>
        </w:rPr>
        <w:t xml:space="preserve"> tis. Kč.</w:t>
      </w:r>
    </w:p>
    <w:p w14:paraId="6C369BAA" w14:textId="77777777" w:rsidR="00635B18" w:rsidRPr="006A6EE1" w:rsidRDefault="00635B18" w:rsidP="00567D61">
      <w:pPr>
        <w:pStyle w:val="Bezmezer"/>
        <w:jc w:val="both"/>
        <w:rPr>
          <w:rFonts w:ascii="Garamond" w:hAnsi="Garamond"/>
          <w:sz w:val="24"/>
          <w:szCs w:val="24"/>
        </w:rPr>
      </w:pPr>
    </w:p>
    <w:p w14:paraId="131478F5" w14:textId="77777777" w:rsidR="00605A44" w:rsidRPr="006A6EE1" w:rsidRDefault="00605A44" w:rsidP="00605A44">
      <w:pPr>
        <w:pStyle w:val="Garamond12"/>
        <w:spacing w:before="200" w:after="100"/>
        <w:rPr>
          <w:rFonts w:cstheme="minorHAnsi"/>
          <w:b/>
          <w:color w:val="548DD4" w:themeColor="text2" w:themeTint="99"/>
        </w:rPr>
      </w:pPr>
      <w:r w:rsidRPr="006A6EE1">
        <w:rPr>
          <w:rFonts w:cstheme="minorHAnsi"/>
          <w:b/>
          <w:color w:val="548DD4" w:themeColor="text2" w:themeTint="99"/>
        </w:rPr>
        <w:t xml:space="preserve">Hlavní důvody nečerpání </w:t>
      </w:r>
      <w:bookmarkStart w:id="59" w:name="_Hlk156996626"/>
      <w:r w:rsidRPr="006A6EE1">
        <w:rPr>
          <w:rFonts w:cstheme="minorHAnsi"/>
          <w:b/>
          <w:color w:val="548DD4" w:themeColor="text2" w:themeTint="99"/>
        </w:rPr>
        <w:t>nároků z nespotřebovaných výdajů z minulých let</w:t>
      </w:r>
      <w:bookmarkEnd w:id="59"/>
    </w:p>
    <w:p w14:paraId="11440501" w14:textId="3A4E85A3" w:rsidR="006C500F" w:rsidRDefault="00605A44" w:rsidP="00FA0306">
      <w:pPr>
        <w:pStyle w:val="Garamond12"/>
        <w:jc w:val="both"/>
        <w:rPr>
          <w:rFonts w:cstheme="minorHAnsi"/>
        </w:rPr>
      </w:pPr>
      <w:r w:rsidRPr="006A6EE1">
        <w:rPr>
          <w:rFonts w:cstheme="minorHAnsi"/>
        </w:rPr>
        <w:t>U</w:t>
      </w:r>
      <w:r w:rsidR="00D7378E" w:rsidRPr="006A6EE1">
        <w:rPr>
          <w:rFonts w:cstheme="minorHAnsi"/>
        </w:rPr>
        <w:t xml:space="preserve"> Krajského soudu </w:t>
      </w:r>
      <w:r w:rsidRPr="006A6EE1">
        <w:rPr>
          <w:rFonts w:cstheme="minorHAnsi"/>
        </w:rPr>
        <w:t>byly vyčerpány</w:t>
      </w:r>
      <w:r w:rsidR="00D7378E" w:rsidRPr="006A6EE1">
        <w:rPr>
          <w:rFonts w:cstheme="minorHAnsi"/>
        </w:rPr>
        <w:t xml:space="preserve"> téměř</w:t>
      </w:r>
      <w:r w:rsidRPr="006A6EE1">
        <w:rPr>
          <w:rFonts w:cstheme="minorHAnsi"/>
        </w:rPr>
        <w:t xml:space="preserve"> všechny</w:t>
      </w:r>
      <w:r w:rsidRPr="006A6EE1">
        <w:t xml:space="preserve"> </w:t>
      </w:r>
      <w:r w:rsidRPr="006A6EE1">
        <w:rPr>
          <w:rFonts w:cstheme="minorHAnsi"/>
        </w:rPr>
        <w:t xml:space="preserve">nároky z nespotřebovaných výdajů z minulých let s výjimkou </w:t>
      </w:r>
      <w:r w:rsidR="008B63A3">
        <w:rPr>
          <w:rFonts w:cstheme="minorHAnsi"/>
        </w:rPr>
        <w:t>82,01</w:t>
      </w:r>
      <w:r w:rsidR="00A6103D">
        <w:rPr>
          <w:rFonts w:cstheme="minorHAnsi"/>
        </w:rPr>
        <w:t xml:space="preserve"> tis. Kč</w:t>
      </w:r>
      <w:r w:rsidR="008B63A3">
        <w:rPr>
          <w:rFonts w:cstheme="minorHAnsi"/>
        </w:rPr>
        <w:t>.</w:t>
      </w:r>
      <w:r w:rsidR="00A6103D">
        <w:rPr>
          <w:rFonts w:cstheme="minorHAnsi"/>
        </w:rPr>
        <w:t xml:space="preserve"> Jedná se o nevyčerpání rozpočtovaných prostředků na položce 5029 </w:t>
      </w:r>
      <w:r w:rsidR="008B63A3">
        <w:rPr>
          <w:rFonts w:cstheme="minorHAnsi"/>
        </w:rPr>
        <w:t>-</w:t>
      </w:r>
      <w:r w:rsidR="00A6103D">
        <w:rPr>
          <w:rFonts w:cstheme="minorHAnsi"/>
        </w:rPr>
        <w:t xml:space="preserve"> 8</w:t>
      </w:r>
      <w:r w:rsidR="008B63A3">
        <w:rPr>
          <w:rFonts w:cstheme="minorHAnsi"/>
        </w:rPr>
        <w:t>2,01</w:t>
      </w:r>
      <w:r w:rsidR="00A6103D">
        <w:rPr>
          <w:rFonts w:cstheme="minorHAnsi"/>
        </w:rPr>
        <w:t xml:space="preserve"> tis.Kč</w:t>
      </w:r>
      <w:r w:rsidR="008B63A3">
        <w:rPr>
          <w:rFonts w:cstheme="minorHAnsi"/>
        </w:rPr>
        <w:t>.</w:t>
      </w:r>
      <w:r w:rsidR="00A6103D">
        <w:rPr>
          <w:rFonts w:cstheme="minorHAnsi"/>
        </w:rPr>
        <w:t xml:space="preserve"> </w:t>
      </w:r>
    </w:p>
    <w:p w14:paraId="7D856331" w14:textId="77777777" w:rsidR="00A6103D" w:rsidRPr="006A6EE1" w:rsidRDefault="00A6103D" w:rsidP="00FA0306">
      <w:pPr>
        <w:pStyle w:val="Garamond12"/>
        <w:jc w:val="both"/>
        <w:rPr>
          <w:rFonts w:cstheme="minorHAnsi"/>
        </w:rPr>
      </w:pPr>
    </w:p>
    <w:p w14:paraId="3BB04AA6" w14:textId="4E5EB6CD" w:rsidR="00E0082D" w:rsidRPr="006A6EE1" w:rsidRDefault="00FA0306" w:rsidP="00FA0306">
      <w:pPr>
        <w:pStyle w:val="Garamond12"/>
        <w:jc w:val="both"/>
        <w:rPr>
          <w:rFonts w:cstheme="minorHAnsi"/>
        </w:rPr>
      </w:pPr>
      <w:r w:rsidRPr="006A6EE1">
        <w:rPr>
          <w:rFonts w:cstheme="minorHAnsi"/>
        </w:rPr>
        <w:t xml:space="preserve">           </w:t>
      </w:r>
      <w:r w:rsidR="00E0082D" w:rsidRPr="006A6EE1">
        <w:rPr>
          <w:rFonts w:cstheme="minorHAnsi"/>
        </w:rPr>
        <w:t xml:space="preserve">počáteční stav k 1. 1. hodnoceného roku byl </w:t>
      </w:r>
      <w:r w:rsidR="00083B29">
        <w:rPr>
          <w:rFonts w:cstheme="minorHAnsi"/>
        </w:rPr>
        <w:t>2</w:t>
      </w:r>
      <w:r w:rsidR="008B63A3">
        <w:rPr>
          <w:rFonts w:cstheme="minorHAnsi"/>
        </w:rPr>
        <w:t>1</w:t>
      </w:r>
      <w:r w:rsidR="004C0E64">
        <w:rPr>
          <w:rFonts w:cstheme="minorHAnsi"/>
        </w:rPr>
        <w:t> </w:t>
      </w:r>
      <w:r w:rsidR="008B63A3">
        <w:rPr>
          <w:rFonts w:cstheme="minorHAnsi"/>
        </w:rPr>
        <w:t>191</w:t>
      </w:r>
      <w:r w:rsidR="004C0E64">
        <w:rPr>
          <w:rFonts w:cstheme="minorHAnsi"/>
        </w:rPr>
        <w:t>,</w:t>
      </w:r>
      <w:r w:rsidR="008B63A3">
        <w:rPr>
          <w:rFonts w:cstheme="minorHAnsi"/>
        </w:rPr>
        <w:t xml:space="preserve"> 80</w:t>
      </w:r>
      <w:r w:rsidRPr="006A6EE1">
        <w:rPr>
          <w:rFonts w:cstheme="minorHAnsi"/>
        </w:rPr>
        <w:t xml:space="preserve"> tis.</w:t>
      </w:r>
      <w:r w:rsidR="00E0082D" w:rsidRPr="006A6EE1">
        <w:rPr>
          <w:rFonts w:cstheme="minorHAnsi"/>
        </w:rPr>
        <w:t xml:space="preserve"> Kč</w:t>
      </w:r>
    </w:p>
    <w:p w14:paraId="752C9818" w14:textId="7B823CAD" w:rsidR="00E0082D" w:rsidRPr="006A6EE1" w:rsidRDefault="00E0082D" w:rsidP="00E0082D">
      <w:pPr>
        <w:pStyle w:val="Odstavecseseznamem"/>
        <w:numPr>
          <w:ilvl w:val="0"/>
          <w:numId w:val="6"/>
        </w:numPr>
        <w:spacing w:after="160" w:line="259" w:lineRule="auto"/>
        <w:jc w:val="both"/>
        <w:rPr>
          <w:rFonts w:ascii="Garamond" w:hAnsi="Garamond" w:cstheme="minorHAnsi"/>
          <w:sz w:val="24"/>
          <w:szCs w:val="24"/>
        </w:rPr>
      </w:pPr>
      <w:r w:rsidRPr="006A6EE1">
        <w:rPr>
          <w:rFonts w:ascii="Garamond" w:hAnsi="Garamond" w:cstheme="minorHAnsi"/>
          <w:sz w:val="24"/>
          <w:szCs w:val="24"/>
        </w:rPr>
        <w:t xml:space="preserve">skutečné čerpání bylo ve výši </w:t>
      </w:r>
      <w:r w:rsidR="00083B29">
        <w:rPr>
          <w:rFonts w:ascii="Garamond" w:hAnsi="Garamond" w:cstheme="minorHAnsi"/>
          <w:sz w:val="24"/>
          <w:szCs w:val="24"/>
        </w:rPr>
        <w:t>2</w:t>
      </w:r>
      <w:r w:rsidR="008B63A3">
        <w:rPr>
          <w:rFonts w:ascii="Garamond" w:hAnsi="Garamond" w:cstheme="minorHAnsi"/>
          <w:sz w:val="24"/>
          <w:szCs w:val="24"/>
        </w:rPr>
        <w:t>1 109,79</w:t>
      </w:r>
      <w:r w:rsidR="00FA0306" w:rsidRPr="006A6EE1">
        <w:rPr>
          <w:rFonts w:ascii="Garamond" w:hAnsi="Garamond" w:cstheme="minorHAnsi"/>
          <w:sz w:val="24"/>
          <w:szCs w:val="24"/>
        </w:rPr>
        <w:t xml:space="preserve"> tis.</w:t>
      </w:r>
      <w:r w:rsidRPr="006A6EE1">
        <w:rPr>
          <w:rFonts w:ascii="Garamond" w:hAnsi="Garamond" w:cstheme="minorHAnsi"/>
          <w:sz w:val="24"/>
          <w:szCs w:val="24"/>
        </w:rPr>
        <w:t xml:space="preserve"> Kč, </w:t>
      </w:r>
    </w:p>
    <w:p w14:paraId="5AE7924F" w14:textId="3247E83C" w:rsidR="00E0082D" w:rsidRPr="008B63A3" w:rsidRDefault="00882447" w:rsidP="0017789D">
      <w:pPr>
        <w:pStyle w:val="Odstavecseseznamem"/>
        <w:numPr>
          <w:ilvl w:val="0"/>
          <w:numId w:val="6"/>
        </w:numPr>
        <w:spacing w:before="120" w:after="160" w:line="259" w:lineRule="auto"/>
        <w:jc w:val="both"/>
        <w:rPr>
          <w:rFonts w:ascii="Garamond" w:hAnsi="Garamond"/>
        </w:rPr>
      </w:pPr>
      <w:r w:rsidRPr="00635B18">
        <w:rPr>
          <w:rFonts w:ascii="Garamond" w:hAnsi="Garamond" w:cstheme="minorHAnsi"/>
          <w:sz w:val="24"/>
          <w:szCs w:val="24"/>
        </w:rPr>
        <w:t xml:space="preserve">zůstatek </w:t>
      </w:r>
      <w:r w:rsidR="006C500F" w:rsidRPr="00635B18">
        <w:rPr>
          <w:rFonts w:ascii="Garamond" w:hAnsi="Garamond" w:cstheme="minorHAnsi"/>
          <w:sz w:val="24"/>
          <w:szCs w:val="24"/>
        </w:rPr>
        <w:t xml:space="preserve">nečerpaných </w:t>
      </w:r>
      <w:r w:rsidR="00E0082D" w:rsidRPr="00635B18">
        <w:rPr>
          <w:rFonts w:ascii="Garamond" w:hAnsi="Garamond" w:cstheme="minorHAnsi"/>
          <w:sz w:val="24"/>
          <w:szCs w:val="24"/>
        </w:rPr>
        <w:t>NNV</w:t>
      </w:r>
      <w:r w:rsidRPr="00635B18">
        <w:rPr>
          <w:rFonts w:ascii="Garamond" w:hAnsi="Garamond" w:cstheme="minorHAnsi"/>
          <w:sz w:val="24"/>
          <w:szCs w:val="24"/>
        </w:rPr>
        <w:t xml:space="preserve"> </w:t>
      </w:r>
      <w:r w:rsidR="006C500F" w:rsidRPr="00635B18">
        <w:rPr>
          <w:rFonts w:ascii="Garamond" w:hAnsi="Garamond" w:cstheme="minorHAnsi"/>
          <w:sz w:val="24"/>
          <w:szCs w:val="24"/>
        </w:rPr>
        <w:t>k 31.12.202</w:t>
      </w:r>
      <w:r w:rsidR="008B63A3">
        <w:rPr>
          <w:rFonts w:ascii="Garamond" w:hAnsi="Garamond" w:cstheme="minorHAnsi"/>
          <w:sz w:val="24"/>
          <w:szCs w:val="24"/>
        </w:rPr>
        <w:t>5</w:t>
      </w:r>
      <w:r w:rsidR="006C500F" w:rsidRPr="00635B18">
        <w:rPr>
          <w:rFonts w:ascii="Garamond" w:hAnsi="Garamond" w:cstheme="minorHAnsi"/>
          <w:sz w:val="24"/>
          <w:szCs w:val="24"/>
        </w:rPr>
        <w:t xml:space="preserve"> </w:t>
      </w:r>
      <w:r w:rsidRPr="00635B18">
        <w:rPr>
          <w:rFonts w:ascii="Garamond" w:hAnsi="Garamond" w:cstheme="minorHAnsi"/>
          <w:sz w:val="24"/>
          <w:szCs w:val="24"/>
        </w:rPr>
        <w:t xml:space="preserve">  činil </w:t>
      </w:r>
      <w:r w:rsidR="00083B29" w:rsidRPr="00635B18">
        <w:rPr>
          <w:rFonts w:ascii="Garamond" w:hAnsi="Garamond" w:cstheme="minorHAnsi"/>
          <w:sz w:val="24"/>
          <w:szCs w:val="24"/>
        </w:rPr>
        <w:t>8</w:t>
      </w:r>
      <w:r w:rsidR="008B63A3">
        <w:rPr>
          <w:rFonts w:ascii="Garamond" w:hAnsi="Garamond" w:cstheme="minorHAnsi"/>
          <w:sz w:val="24"/>
          <w:szCs w:val="24"/>
        </w:rPr>
        <w:t>2,01</w:t>
      </w:r>
      <w:r w:rsidRPr="00635B18">
        <w:rPr>
          <w:rFonts w:ascii="Garamond" w:hAnsi="Garamond" w:cstheme="minorHAnsi"/>
          <w:sz w:val="24"/>
          <w:szCs w:val="24"/>
        </w:rPr>
        <w:t xml:space="preserve"> tis.</w:t>
      </w:r>
      <w:r w:rsidR="00607088">
        <w:rPr>
          <w:rFonts w:ascii="Garamond" w:hAnsi="Garamond" w:cstheme="minorHAnsi"/>
          <w:sz w:val="24"/>
          <w:szCs w:val="24"/>
        </w:rPr>
        <w:t xml:space="preserve"> </w:t>
      </w:r>
      <w:r w:rsidRPr="00635B18">
        <w:rPr>
          <w:rFonts w:ascii="Garamond" w:hAnsi="Garamond" w:cstheme="minorHAnsi"/>
          <w:sz w:val="24"/>
          <w:szCs w:val="24"/>
        </w:rPr>
        <w:t>Kč</w:t>
      </w:r>
      <w:r w:rsidR="00E41C18" w:rsidRPr="00635B18">
        <w:rPr>
          <w:rFonts w:ascii="Garamond" w:hAnsi="Garamond" w:cstheme="minorHAnsi"/>
          <w:sz w:val="24"/>
          <w:szCs w:val="24"/>
        </w:rPr>
        <w:t xml:space="preserve">. </w:t>
      </w:r>
      <w:r w:rsidR="006C500F" w:rsidRPr="00635B18">
        <w:rPr>
          <w:rFonts w:ascii="Garamond" w:hAnsi="Garamond" w:cstheme="minorHAnsi"/>
          <w:sz w:val="24"/>
          <w:szCs w:val="24"/>
        </w:rPr>
        <w:t xml:space="preserve"> Tato částka bude </w:t>
      </w:r>
      <w:r w:rsidR="00A6103D" w:rsidRPr="00635B18">
        <w:rPr>
          <w:rFonts w:ascii="Garamond" w:hAnsi="Garamond" w:cstheme="minorHAnsi"/>
          <w:sz w:val="24"/>
          <w:szCs w:val="24"/>
        </w:rPr>
        <w:t xml:space="preserve">zapojena </w:t>
      </w:r>
      <w:r w:rsidR="00A6103D" w:rsidRPr="00635B18">
        <w:rPr>
          <w:rFonts w:ascii="Garamond" w:hAnsi="Garamond" w:cstheme="minorHAnsi"/>
          <w:sz w:val="24"/>
          <w:szCs w:val="24"/>
        </w:rPr>
        <w:br/>
        <w:t xml:space="preserve">a </w:t>
      </w:r>
      <w:r w:rsidR="006C500F" w:rsidRPr="00635B18">
        <w:rPr>
          <w:rFonts w:ascii="Garamond" w:hAnsi="Garamond" w:cstheme="minorHAnsi"/>
          <w:sz w:val="24"/>
          <w:szCs w:val="24"/>
        </w:rPr>
        <w:t>vyčerpána v roce 202</w:t>
      </w:r>
      <w:r w:rsidR="008B63A3">
        <w:rPr>
          <w:rFonts w:ascii="Garamond" w:hAnsi="Garamond" w:cstheme="minorHAnsi"/>
          <w:sz w:val="24"/>
          <w:szCs w:val="24"/>
        </w:rPr>
        <w:t>6</w:t>
      </w:r>
      <w:r w:rsidR="00A6103D" w:rsidRPr="00635B18">
        <w:rPr>
          <w:rFonts w:ascii="Garamond" w:hAnsi="Garamond" w:cstheme="minorHAnsi"/>
          <w:sz w:val="24"/>
          <w:szCs w:val="24"/>
        </w:rPr>
        <w:t>.</w:t>
      </w:r>
      <w:r w:rsidR="00E0082D" w:rsidRPr="00635B18">
        <w:rPr>
          <w:rFonts w:ascii="Garamond" w:hAnsi="Garamond" w:cstheme="minorHAnsi"/>
          <w:sz w:val="24"/>
          <w:szCs w:val="24"/>
        </w:rPr>
        <w:t xml:space="preserve"> </w:t>
      </w:r>
    </w:p>
    <w:p w14:paraId="4D9AB750" w14:textId="77777777" w:rsidR="008B63A3" w:rsidRPr="00635B18" w:rsidRDefault="008B63A3" w:rsidP="0017789D">
      <w:pPr>
        <w:pStyle w:val="Odstavecseseznamem"/>
        <w:numPr>
          <w:ilvl w:val="0"/>
          <w:numId w:val="6"/>
        </w:numPr>
        <w:spacing w:before="120" w:after="160" w:line="259" w:lineRule="auto"/>
        <w:jc w:val="both"/>
        <w:rPr>
          <w:rFonts w:ascii="Garamond" w:hAnsi="Garamond"/>
        </w:rPr>
      </w:pPr>
    </w:p>
    <w:p w14:paraId="2DEA34A5" w14:textId="002FBE74" w:rsidR="00401B43" w:rsidRPr="00567D61" w:rsidRDefault="00401B43" w:rsidP="00401B43">
      <w:pPr>
        <w:pStyle w:val="Nadpis2"/>
        <w:spacing w:before="120" w:after="120"/>
        <w:rPr>
          <w:color w:val="548DD4" w:themeColor="text2" w:themeTint="99"/>
        </w:rPr>
      </w:pPr>
      <w:bookmarkStart w:id="60" w:name="_Toc155689680"/>
      <w:r w:rsidRPr="00567D61">
        <w:rPr>
          <w:color w:val="548DD4" w:themeColor="text2" w:themeTint="99"/>
        </w:rPr>
        <w:t xml:space="preserve">Mimořádné situace (COVID, </w:t>
      </w:r>
      <w:r w:rsidR="00300276" w:rsidRPr="00567D61">
        <w:rPr>
          <w:color w:val="548DD4" w:themeColor="text2" w:themeTint="99"/>
        </w:rPr>
        <w:t xml:space="preserve">UKRAJINA, </w:t>
      </w:r>
      <w:r w:rsidRPr="00567D61">
        <w:rPr>
          <w:color w:val="548DD4" w:themeColor="text2" w:themeTint="99"/>
        </w:rPr>
        <w:t>odstraňování následků živelních katastrof</w:t>
      </w:r>
      <w:r w:rsidR="0040700B" w:rsidRPr="00567D61">
        <w:rPr>
          <w:color w:val="548DD4" w:themeColor="text2" w:themeTint="99"/>
        </w:rPr>
        <w:t xml:space="preserve"> a další mimořádné situace</w:t>
      </w:r>
      <w:r w:rsidRPr="00567D61">
        <w:rPr>
          <w:color w:val="548DD4" w:themeColor="text2" w:themeTint="99"/>
        </w:rPr>
        <w:t>)</w:t>
      </w:r>
      <w:bookmarkEnd w:id="60"/>
    </w:p>
    <w:p w14:paraId="0CF2619B" w14:textId="69CE0E2E" w:rsidR="00401B43" w:rsidRPr="00567D61" w:rsidRDefault="00401B43" w:rsidP="00401B43">
      <w:pPr>
        <w:pStyle w:val="Nadpis3"/>
        <w:rPr>
          <w:color w:val="548DD4" w:themeColor="text2" w:themeTint="99"/>
        </w:rPr>
      </w:pPr>
      <w:bookmarkStart w:id="61" w:name="_Toc155689681"/>
      <w:bookmarkStart w:id="62" w:name="_Toc534878037"/>
      <w:r w:rsidRPr="00567D61">
        <w:rPr>
          <w:color w:val="548DD4" w:themeColor="text2" w:themeTint="99"/>
        </w:rPr>
        <w:t>Náklady a úspory COVID</w:t>
      </w:r>
      <w:bookmarkEnd w:id="61"/>
    </w:p>
    <w:p w14:paraId="2102FBD1" w14:textId="77777777" w:rsidR="00273951" w:rsidRPr="00567D61" w:rsidRDefault="00273951" w:rsidP="00273951">
      <w:pPr>
        <w:rPr>
          <w:color w:val="548DD4" w:themeColor="text2" w:themeTint="99"/>
        </w:rPr>
      </w:pPr>
    </w:p>
    <w:p w14:paraId="27E619A4" w14:textId="19BBAA4B" w:rsidR="004D4DC2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5EC32E68" w14:textId="77777777" w:rsidR="004D4DC2" w:rsidRDefault="004D4DC2" w:rsidP="0028748B">
      <w:pPr>
        <w:pStyle w:val="Garamond12"/>
        <w:rPr>
          <w:rFonts w:cstheme="minorHAnsi"/>
        </w:rPr>
      </w:pPr>
    </w:p>
    <w:p w14:paraId="4E136853" w14:textId="0A833322" w:rsidR="00E9028E" w:rsidRPr="00567D61" w:rsidRDefault="00300276" w:rsidP="00300276">
      <w:pPr>
        <w:pStyle w:val="Nadpis3"/>
        <w:rPr>
          <w:color w:val="548DD4" w:themeColor="text2" w:themeTint="99"/>
        </w:rPr>
      </w:pPr>
      <w:bookmarkStart w:id="63" w:name="_Toc155689682"/>
      <w:r w:rsidRPr="00567D61">
        <w:rPr>
          <w:color w:val="548DD4" w:themeColor="text2" w:themeTint="99"/>
        </w:rPr>
        <w:t>Náklady spojené s „Ukrajinou“</w:t>
      </w:r>
      <w:bookmarkEnd w:id="63"/>
    </w:p>
    <w:p w14:paraId="664D4749" w14:textId="77777777" w:rsidR="00273951" w:rsidRPr="00567D61" w:rsidRDefault="00273951" w:rsidP="00273951">
      <w:pPr>
        <w:rPr>
          <w:color w:val="548DD4" w:themeColor="text2" w:themeTint="99"/>
        </w:rPr>
      </w:pPr>
    </w:p>
    <w:p w14:paraId="113ACA29" w14:textId="77777777" w:rsidR="0028748B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5358EAAC" w14:textId="77777777" w:rsidR="008B63A3" w:rsidRDefault="008B63A3" w:rsidP="0028748B">
      <w:pPr>
        <w:pStyle w:val="Garamond12"/>
        <w:rPr>
          <w:rFonts w:cstheme="minorHAnsi"/>
        </w:rPr>
      </w:pPr>
    </w:p>
    <w:p w14:paraId="0EB7F3AF" w14:textId="6B2992D1" w:rsidR="00B139D5" w:rsidRDefault="00401B43" w:rsidP="000D5146">
      <w:pPr>
        <w:pStyle w:val="Nadpis3"/>
        <w:rPr>
          <w:color w:val="548DD4" w:themeColor="text2" w:themeTint="99"/>
        </w:rPr>
      </w:pPr>
      <w:bookmarkStart w:id="64" w:name="_Toc155689683"/>
      <w:r w:rsidRPr="00D33B0D">
        <w:rPr>
          <w:color w:val="548DD4" w:themeColor="text2" w:themeTint="99"/>
        </w:rPr>
        <w:t>Prostředky na odstraňování následků živelních katastrof</w:t>
      </w:r>
      <w:bookmarkEnd w:id="62"/>
      <w:bookmarkEnd w:id="64"/>
    </w:p>
    <w:p w14:paraId="41E95543" w14:textId="77777777" w:rsidR="008B63A3" w:rsidRDefault="008B63A3" w:rsidP="008B63A3"/>
    <w:p w14:paraId="482F6289" w14:textId="289C5343" w:rsidR="00104C25" w:rsidRDefault="008B63A3" w:rsidP="0008034E">
      <w:pPr>
        <w:pStyle w:val="Garamond12"/>
        <w:jc w:val="both"/>
        <w:rPr>
          <w:iCs/>
        </w:rPr>
      </w:pPr>
      <w:bookmarkStart w:id="65" w:name="_Hlk220572958"/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</w:t>
      </w:r>
      <w:r w:rsidR="00D52C46">
        <w:rPr>
          <w:rFonts w:cstheme="minorHAnsi"/>
        </w:rPr>
        <w:t>. V</w:t>
      </w:r>
      <w:r w:rsidR="007E2CBE">
        <w:rPr>
          <w:rFonts w:cstheme="minorHAnsi"/>
        </w:rPr>
        <w:t> roce 2025</w:t>
      </w:r>
      <w:r w:rsidR="00D52C46">
        <w:rPr>
          <w:rFonts w:cstheme="minorHAnsi"/>
        </w:rPr>
        <w:t xml:space="preserve"> došlo pouze </w:t>
      </w:r>
      <w:r>
        <w:rPr>
          <w:rFonts w:cstheme="minorHAnsi"/>
        </w:rPr>
        <w:t>k čerpání</w:t>
      </w:r>
      <w:r w:rsidRPr="008B63A3">
        <w:rPr>
          <w:iCs/>
        </w:rPr>
        <w:t xml:space="preserve"> </w:t>
      </w:r>
      <w:r w:rsidRPr="00281512">
        <w:rPr>
          <w:iCs/>
        </w:rPr>
        <w:t xml:space="preserve">účelově </w:t>
      </w:r>
      <w:r w:rsidR="00104C25">
        <w:rPr>
          <w:iCs/>
        </w:rPr>
        <w:t xml:space="preserve">(243980078) </w:t>
      </w:r>
      <w:r w:rsidRPr="00281512">
        <w:rPr>
          <w:iCs/>
        </w:rPr>
        <w:t>vázan</w:t>
      </w:r>
      <w:r>
        <w:rPr>
          <w:iCs/>
        </w:rPr>
        <w:t>ých</w:t>
      </w:r>
      <w:r w:rsidRPr="00281512">
        <w:rPr>
          <w:iCs/>
        </w:rPr>
        <w:t xml:space="preserve"> prostředk</w:t>
      </w:r>
      <w:r w:rsidR="00104C25">
        <w:rPr>
          <w:iCs/>
        </w:rPr>
        <w:t>ů</w:t>
      </w:r>
      <w:r>
        <w:rPr>
          <w:iCs/>
        </w:rPr>
        <w:t xml:space="preserve"> ve</w:t>
      </w:r>
      <w:r w:rsidRPr="00281512">
        <w:rPr>
          <w:iCs/>
        </w:rPr>
        <w:t xml:space="preserve"> výši</w:t>
      </w:r>
      <w:r>
        <w:rPr>
          <w:iCs/>
        </w:rPr>
        <w:t xml:space="preserve"> 50 000</w:t>
      </w:r>
      <w:r w:rsidRPr="00281512">
        <w:rPr>
          <w:iCs/>
        </w:rPr>
        <w:t xml:space="preserve"> Kč</w:t>
      </w:r>
      <w:r w:rsidR="00D52C46">
        <w:rPr>
          <w:iCs/>
        </w:rPr>
        <w:t>, které byly určeny na opravy poškozených prostor</w:t>
      </w:r>
      <w:r w:rsidR="00104C25">
        <w:rPr>
          <w:iCs/>
        </w:rPr>
        <w:t>. Tyto</w:t>
      </w:r>
      <w:r w:rsidR="00D52C46">
        <w:rPr>
          <w:iCs/>
        </w:rPr>
        <w:t xml:space="preserve"> </w:t>
      </w:r>
      <w:r w:rsidR="00104C25">
        <w:rPr>
          <w:iCs/>
        </w:rPr>
        <w:t>byly</w:t>
      </w:r>
      <w:r w:rsidR="00D52C46">
        <w:rPr>
          <w:iCs/>
        </w:rPr>
        <w:t xml:space="preserve"> </w:t>
      </w:r>
      <w:r w:rsidR="00104C25">
        <w:rPr>
          <w:iCs/>
        </w:rPr>
        <w:t>zaslány</w:t>
      </w:r>
      <w:r w:rsidR="00D52C46">
        <w:rPr>
          <w:iCs/>
        </w:rPr>
        <w:t xml:space="preserve"> </w:t>
      </w:r>
      <w:r w:rsidR="00104C25">
        <w:rPr>
          <w:iCs/>
        </w:rPr>
        <w:t>v</w:t>
      </w:r>
      <w:r w:rsidR="00D52C46">
        <w:rPr>
          <w:iCs/>
        </w:rPr>
        <w:t> </w:t>
      </w:r>
      <w:r w:rsidR="00104C25">
        <w:rPr>
          <w:iCs/>
        </w:rPr>
        <w:t>roce</w:t>
      </w:r>
      <w:r w:rsidR="00D52C46">
        <w:rPr>
          <w:iCs/>
        </w:rPr>
        <w:t xml:space="preserve"> </w:t>
      </w:r>
      <w:r w:rsidR="00104C25">
        <w:rPr>
          <w:iCs/>
        </w:rPr>
        <w:t>2024</w:t>
      </w:r>
      <w:r w:rsidR="00D52C46">
        <w:rPr>
          <w:iCs/>
        </w:rPr>
        <w:t xml:space="preserve"> </w:t>
      </w:r>
      <w:r w:rsidR="00104C25">
        <w:rPr>
          <w:iCs/>
        </w:rPr>
        <w:t>v</w:t>
      </w:r>
      <w:r w:rsidR="00D52C46">
        <w:rPr>
          <w:iCs/>
        </w:rPr>
        <w:t> </w:t>
      </w:r>
      <w:r w:rsidR="00104C25">
        <w:rPr>
          <w:iCs/>
        </w:rPr>
        <w:t>návaznosti</w:t>
      </w:r>
      <w:r w:rsidR="00D52C46">
        <w:rPr>
          <w:iCs/>
        </w:rPr>
        <w:t xml:space="preserve"> </w:t>
      </w:r>
      <w:r w:rsidR="00104C25">
        <w:rPr>
          <w:iCs/>
        </w:rPr>
        <w:t xml:space="preserve">na </w:t>
      </w:r>
      <w:r w:rsidR="00104C25" w:rsidRPr="00281512">
        <w:rPr>
          <w:iCs/>
        </w:rPr>
        <w:t>extrémní</w:t>
      </w:r>
      <w:r w:rsidR="007E2CBE">
        <w:rPr>
          <w:iCs/>
        </w:rPr>
        <w:t xml:space="preserve"> </w:t>
      </w:r>
      <w:r w:rsidR="00104C25" w:rsidRPr="00281512">
        <w:rPr>
          <w:iCs/>
        </w:rPr>
        <w:t>srá</w:t>
      </w:r>
      <w:r w:rsidR="00104C25">
        <w:rPr>
          <w:iCs/>
        </w:rPr>
        <w:t>žky</w:t>
      </w:r>
      <w:r w:rsidR="007E2CBE">
        <w:rPr>
          <w:iCs/>
        </w:rPr>
        <w:t xml:space="preserve"> </w:t>
      </w:r>
      <w:r w:rsidR="00104C25" w:rsidRPr="00281512">
        <w:rPr>
          <w:iCs/>
        </w:rPr>
        <w:t>a povodně</w:t>
      </w:r>
      <w:r w:rsidR="00104C25">
        <w:rPr>
          <w:iCs/>
        </w:rPr>
        <w:t xml:space="preserve"> </w:t>
      </w:r>
      <w:r w:rsidR="00104C25" w:rsidRPr="00281512">
        <w:rPr>
          <w:iCs/>
        </w:rPr>
        <w:t>v září 2024. Záměrem bylo pokrýt výdaje,</w:t>
      </w:r>
      <w:r w:rsidR="00D52C46">
        <w:rPr>
          <w:iCs/>
        </w:rPr>
        <w:t xml:space="preserve"> </w:t>
      </w:r>
      <w:r w:rsidR="00104C25" w:rsidRPr="00281512">
        <w:rPr>
          <w:iCs/>
        </w:rPr>
        <w:t>které</w:t>
      </w:r>
      <w:r w:rsidR="00D52C46">
        <w:rPr>
          <w:iCs/>
        </w:rPr>
        <w:t xml:space="preserve"> </w:t>
      </w:r>
      <w:r w:rsidR="00104C25" w:rsidRPr="00281512">
        <w:rPr>
          <w:iCs/>
        </w:rPr>
        <w:t>byly</w:t>
      </w:r>
      <w:r w:rsidR="00D52C46">
        <w:rPr>
          <w:iCs/>
        </w:rPr>
        <w:t xml:space="preserve"> </w:t>
      </w:r>
      <w:r w:rsidR="00104C25" w:rsidRPr="00281512">
        <w:rPr>
          <w:iCs/>
        </w:rPr>
        <w:t>vynaloženy</w:t>
      </w:r>
      <w:r w:rsidR="00D52C46">
        <w:rPr>
          <w:iCs/>
        </w:rPr>
        <w:t xml:space="preserve"> </w:t>
      </w:r>
      <w:r w:rsidR="00104C25" w:rsidRPr="00281512">
        <w:rPr>
          <w:iCs/>
        </w:rPr>
        <w:t>jak</w:t>
      </w:r>
      <w:r w:rsidR="00D52C46">
        <w:rPr>
          <w:iCs/>
        </w:rPr>
        <w:t xml:space="preserve"> </w:t>
      </w:r>
      <w:r w:rsidR="00104C25" w:rsidRPr="00281512">
        <w:rPr>
          <w:iCs/>
        </w:rPr>
        <w:t>na preventivní opatření, tak odstranění materiálních škod způsobených meterorologickými jevy.  Navýšení proběhlo na základě dop</w:t>
      </w:r>
      <w:r w:rsidR="0008034E">
        <w:rPr>
          <w:iCs/>
        </w:rPr>
        <w:t>isu</w:t>
      </w:r>
      <w:r w:rsidR="00104C25" w:rsidRPr="00281512">
        <w:rPr>
          <w:iCs/>
        </w:rPr>
        <w:t xml:space="preserve"> č. MSP-70/2024- EO-BV/25. 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4140"/>
        <w:gridCol w:w="1500"/>
      </w:tblGrid>
      <w:tr w:rsidR="00104C25" w:rsidRPr="006411EE" w14:paraId="783E8E83" w14:textId="77777777" w:rsidTr="00B96D39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ED25" w14:textId="77777777" w:rsidR="00104C25" w:rsidRPr="006411EE" w:rsidRDefault="00104C25" w:rsidP="00B96D3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6411EE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9A4E" w14:textId="77777777" w:rsidR="00104C25" w:rsidRPr="006411EE" w:rsidRDefault="00104C25" w:rsidP="00B96D3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6411EE">
              <w:rPr>
                <w:rFonts w:ascii="Garamond" w:eastAsia="Times New Roman" w:hAnsi="Garamond" w:cs="Times New Roman"/>
                <w:color w:val="000000"/>
                <w:lang w:eastAsia="cs-CZ"/>
              </w:rPr>
              <w:t>OVV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7176" w14:textId="77777777" w:rsidR="00104C25" w:rsidRPr="006411EE" w:rsidRDefault="00104C25" w:rsidP="00B96D3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6411EE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</w:tr>
      <w:tr w:rsidR="00104C25" w:rsidRPr="00944F0D" w14:paraId="63046AD3" w14:textId="77777777" w:rsidTr="00B96D3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1ED8" w14:textId="77777777" w:rsidR="00104C25" w:rsidRPr="006411EE" w:rsidRDefault="00104C25" w:rsidP="00B96D39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lang w:eastAsia="cs-CZ"/>
              </w:rPr>
            </w:pPr>
            <w:r w:rsidRPr="006411EE">
              <w:rPr>
                <w:rFonts w:ascii="Garamond" w:eastAsia="Times New Roman" w:hAnsi="Garamond" w:cs="Times New Roman"/>
                <w:i/>
                <w:iCs/>
                <w:color w:val="000000"/>
                <w:lang w:eastAsia="cs-CZ"/>
              </w:rPr>
              <w:t>Krajský soud v Č. Budějovcích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03A2" w14:textId="77777777" w:rsidR="00104C25" w:rsidRPr="00944F0D" w:rsidRDefault="00104C25" w:rsidP="00B96D3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44F0D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zatékání v šatnách justiční stráže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3C69" w14:textId="77777777" w:rsidR="00104C25" w:rsidRPr="00944F0D" w:rsidRDefault="00104C25" w:rsidP="00B96D3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44F0D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20 000</w:t>
            </w:r>
          </w:p>
        </w:tc>
      </w:tr>
      <w:tr w:rsidR="00104C25" w:rsidRPr="00944F0D" w14:paraId="25F7F6FA" w14:textId="77777777" w:rsidTr="00B96D3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02F5" w14:textId="77777777" w:rsidR="00104C25" w:rsidRPr="006411EE" w:rsidRDefault="00104C25" w:rsidP="00B96D39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000000"/>
                <w:lang w:eastAsia="cs-CZ"/>
              </w:rPr>
            </w:pPr>
            <w:r w:rsidRPr="006411EE">
              <w:rPr>
                <w:rFonts w:ascii="Garamond" w:eastAsia="Times New Roman" w:hAnsi="Garamond" w:cs="Times New Roman"/>
                <w:i/>
                <w:iCs/>
                <w:color w:val="000000"/>
                <w:lang w:eastAsia="cs-CZ"/>
              </w:rPr>
              <w:t>Krajský soud, pobočka Tábor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56D5" w14:textId="77777777" w:rsidR="00104C25" w:rsidRPr="00944F0D" w:rsidRDefault="00104C25" w:rsidP="00B96D3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44F0D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oprava okapu a nadokenní římsy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FD73" w14:textId="77777777" w:rsidR="00104C25" w:rsidRPr="00944F0D" w:rsidRDefault="00104C25" w:rsidP="00B96D39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</w:pPr>
            <w:r w:rsidRPr="00944F0D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cs-CZ"/>
              </w:rPr>
              <w:t>30 000</w:t>
            </w:r>
          </w:p>
        </w:tc>
      </w:tr>
    </w:tbl>
    <w:p w14:paraId="2647FEAE" w14:textId="46525CB7" w:rsidR="00B139D5" w:rsidRPr="00B139D5" w:rsidRDefault="001A709F" w:rsidP="007A256C">
      <w:pPr>
        <w:pStyle w:val="Nadpis2"/>
        <w:spacing w:before="120" w:after="120"/>
      </w:pPr>
      <w:bookmarkStart w:id="66" w:name="_Toc534878040"/>
      <w:bookmarkStart w:id="67" w:name="_Toc155689684"/>
      <w:bookmarkEnd w:id="65"/>
      <w:r w:rsidRPr="00635B18">
        <w:rPr>
          <w:color w:val="548DD4" w:themeColor="text2" w:themeTint="99"/>
        </w:rPr>
        <w:t xml:space="preserve">Účelové prostředky </w:t>
      </w:r>
      <w:bookmarkEnd w:id="66"/>
      <w:r w:rsidR="00B525E8" w:rsidRPr="00635B18">
        <w:rPr>
          <w:color w:val="548DD4" w:themeColor="text2" w:themeTint="99"/>
        </w:rPr>
        <w:t>na celostátní programy</w:t>
      </w:r>
      <w:r w:rsidR="00C15111" w:rsidRPr="00635B18">
        <w:rPr>
          <w:color w:val="548DD4" w:themeColor="text2" w:themeTint="99"/>
        </w:rPr>
        <w:t xml:space="preserve"> (vyplňuje VS ČR, IKSP, PMS, JA, Aparát MSp)</w:t>
      </w:r>
      <w:bookmarkEnd w:id="67"/>
    </w:p>
    <w:p w14:paraId="1ED9BA16" w14:textId="77393A83" w:rsidR="0028748B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6986AAF3" w14:textId="77777777" w:rsidR="00273951" w:rsidRDefault="00273951" w:rsidP="0028748B">
      <w:pPr>
        <w:pStyle w:val="Garamond12"/>
        <w:rPr>
          <w:rFonts w:cstheme="minorHAnsi"/>
        </w:rPr>
      </w:pPr>
    </w:p>
    <w:p w14:paraId="52721EE5" w14:textId="77777777" w:rsidR="001A709F" w:rsidRPr="00567D61" w:rsidRDefault="00115763" w:rsidP="002021FE">
      <w:pPr>
        <w:pStyle w:val="Nadpis2"/>
        <w:spacing w:before="120" w:after="120"/>
        <w:rPr>
          <w:color w:val="548DD4" w:themeColor="text2" w:themeTint="99"/>
        </w:rPr>
      </w:pPr>
      <w:bookmarkStart w:id="68" w:name="_Toc534878042"/>
      <w:bookmarkStart w:id="69" w:name="_Toc155689685"/>
      <w:r w:rsidRPr="00567D61">
        <w:rPr>
          <w:color w:val="548DD4" w:themeColor="text2" w:themeTint="99"/>
        </w:rPr>
        <w:lastRenderedPageBreak/>
        <w:t>Poskytnuté a přijaté finanční prostředky na zahraniční aktivity</w:t>
      </w:r>
      <w:bookmarkEnd w:id="68"/>
      <w:bookmarkEnd w:id="69"/>
    </w:p>
    <w:p w14:paraId="7C9FF07C" w14:textId="3FAFC888" w:rsidR="0028748B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55ACCF17" w14:textId="77777777" w:rsidR="00273951" w:rsidRDefault="00273951" w:rsidP="0028748B">
      <w:pPr>
        <w:pStyle w:val="Garamond12"/>
        <w:rPr>
          <w:rFonts w:cstheme="minorHAnsi"/>
        </w:rPr>
      </w:pPr>
    </w:p>
    <w:p w14:paraId="582B8EDF" w14:textId="33020DD0" w:rsidR="00C9156B" w:rsidRDefault="003F7997" w:rsidP="003F7997">
      <w:pPr>
        <w:pStyle w:val="Nadpis3"/>
        <w:rPr>
          <w:color w:val="548DD4" w:themeColor="text2" w:themeTint="99"/>
        </w:rPr>
      </w:pPr>
      <w:bookmarkStart w:id="70" w:name="_Toc155689686"/>
      <w:r w:rsidRPr="00567D61">
        <w:rPr>
          <w:color w:val="548DD4" w:themeColor="text2" w:themeTint="99"/>
        </w:rPr>
        <w:t>Prostředky na zapojení občanů ČR do civilních struktur EU a dalších mezinárodních vládních organizací a do volebních pozorovatelských misí</w:t>
      </w:r>
      <w:bookmarkEnd w:id="70"/>
    </w:p>
    <w:p w14:paraId="70D8ABAB" w14:textId="77777777" w:rsidR="00B139D5" w:rsidRPr="00B139D5" w:rsidRDefault="00B139D5" w:rsidP="00B139D5"/>
    <w:p w14:paraId="17AA5588" w14:textId="5DD39D49" w:rsidR="0028748B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1A45DFE0" w14:textId="77777777" w:rsidR="00273951" w:rsidRDefault="00273951" w:rsidP="0028748B">
      <w:pPr>
        <w:pStyle w:val="Garamond12"/>
        <w:rPr>
          <w:rFonts w:cstheme="minorHAnsi"/>
        </w:rPr>
      </w:pPr>
    </w:p>
    <w:p w14:paraId="28D38EF3" w14:textId="03D14ECD" w:rsidR="001A709F" w:rsidRPr="00567D61" w:rsidRDefault="00115763" w:rsidP="002021FE">
      <w:pPr>
        <w:pStyle w:val="Nadpis2"/>
        <w:spacing w:before="120" w:after="120"/>
        <w:rPr>
          <w:color w:val="548DD4" w:themeColor="text2" w:themeTint="99"/>
        </w:rPr>
      </w:pPr>
      <w:bookmarkStart w:id="71" w:name="_Toc534878043"/>
      <w:bookmarkStart w:id="72" w:name="_Toc155689687"/>
      <w:r w:rsidRPr="00567D61">
        <w:rPr>
          <w:color w:val="548DD4" w:themeColor="text2" w:themeTint="99"/>
        </w:rPr>
        <w:t xml:space="preserve">Výdaje na </w:t>
      </w:r>
      <w:r w:rsidR="00393055" w:rsidRPr="00567D61">
        <w:rPr>
          <w:color w:val="548DD4" w:themeColor="text2" w:themeTint="99"/>
        </w:rPr>
        <w:t xml:space="preserve">tuzemské a </w:t>
      </w:r>
      <w:r w:rsidRPr="00567D61">
        <w:rPr>
          <w:color w:val="548DD4" w:themeColor="text2" w:themeTint="99"/>
        </w:rPr>
        <w:t>zahraniční pracovní cesty</w:t>
      </w:r>
      <w:bookmarkEnd w:id="71"/>
      <w:bookmarkEnd w:id="72"/>
    </w:p>
    <w:p w14:paraId="7C5012F1" w14:textId="56F2BC5C" w:rsidR="006172C1" w:rsidRPr="0007562E" w:rsidRDefault="006172C1" w:rsidP="006172C1">
      <w:pPr>
        <w:jc w:val="both"/>
        <w:rPr>
          <w:rFonts w:ascii="Garamond" w:hAnsi="Garamond"/>
          <w:sz w:val="24"/>
          <w:szCs w:val="24"/>
        </w:rPr>
      </w:pPr>
      <w:r w:rsidRPr="00DB28AF">
        <w:rPr>
          <w:rFonts w:ascii="Garamond" w:hAnsi="Garamond"/>
          <w:sz w:val="24"/>
          <w:szCs w:val="24"/>
        </w:rPr>
        <w:t xml:space="preserve">Na tuzemské pracovní cesty zaměstnanců bylo na položce 5173 čerpáno </w:t>
      </w:r>
      <w:r w:rsidR="002D5037">
        <w:rPr>
          <w:rFonts w:ascii="Garamond" w:hAnsi="Garamond"/>
          <w:sz w:val="24"/>
          <w:szCs w:val="24"/>
        </w:rPr>
        <w:t>207,40</w:t>
      </w:r>
      <w:r w:rsidRPr="00DB28AF">
        <w:rPr>
          <w:rFonts w:ascii="Garamond" w:hAnsi="Garamond"/>
          <w:sz w:val="24"/>
          <w:szCs w:val="24"/>
        </w:rPr>
        <w:t xml:space="preserve"> tis. Kč,</w:t>
      </w:r>
      <w:r w:rsidR="0007562E" w:rsidRPr="00DB28AF">
        <w:rPr>
          <w:rFonts w:ascii="Garamond" w:hAnsi="Garamond"/>
          <w:sz w:val="24"/>
          <w:szCs w:val="24"/>
        </w:rPr>
        <w:t xml:space="preserve"> rozdíl oproti roku 202</w:t>
      </w:r>
      <w:r w:rsidR="002D5037">
        <w:rPr>
          <w:rFonts w:ascii="Garamond" w:hAnsi="Garamond"/>
          <w:sz w:val="24"/>
          <w:szCs w:val="24"/>
        </w:rPr>
        <w:t>4</w:t>
      </w:r>
      <w:r w:rsidR="0007562E" w:rsidRPr="00DB28AF">
        <w:rPr>
          <w:rFonts w:ascii="Garamond" w:hAnsi="Garamond"/>
          <w:sz w:val="24"/>
          <w:szCs w:val="24"/>
        </w:rPr>
        <w:t xml:space="preserve"> </w:t>
      </w:r>
      <w:r w:rsidR="00DB28AF">
        <w:rPr>
          <w:rFonts w:ascii="Garamond" w:hAnsi="Garamond"/>
          <w:sz w:val="24"/>
          <w:szCs w:val="24"/>
        </w:rPr>
        <w:t>je vyšší,</w:t>
      </w:r>
      <w:r w:rsidR="008C4E53" w:rsidRPr="00DB28AF">
        <w:rPr>
          <w:rFonts w:ascii="Garamond" w:hAnsi="Garamond"/>
          <w:sz w:val="24"/>
          <w:szCs w:val="24"/>
        </w:rPr>
        <w:t xml:space="preserve"> </w:t>
      </w:r>
      <w:r w:rsidR="0007562E" w:rsidRPr="00DB28AF">
        <w:rPr>
          <w:rFonts w:ascii="Garamond" w:hAnsi="Garamond"/>
          <w:sz w:val="24"/>
          <w:szCs w:val="24"/>
        </w:rPr>
        <w:t xml:space="preserve">nárůst činí navýšení o </w:t>
      </w:r>
      <w:r w:rsidR="002D5037">
        <w:rPr>
          <w:rFonts w:ascii="Garamond" w:hAnsi="Garamond"/>
          <w:sz w:val="24"/>
          <w:szCs w:val="24"/>
        </w:rPr>
        <w:t>11,57</w:t>
      </w:r>
      <w:r w:rsidR="00DB28AF">
        <w:rPr>
          <w:rFonts w:ascii="Garamond" w:hAnsi="Garamond"/>
          <w:sz w:val="24"/>
          <w:szCs w:val="24"/>
        </w:rPr>
        <w:t xml:space="preserve"> </w:t>
      </w:r>
      <w:r w:rsidR="0007562E" w:rsidRPr="00DB28AF">
        <w:rPr>
          <w:rFonts w:ascii="Garamond" w:hAnsi="Garamond"/>
          <w:sz w:val="24"/>
          <w:szCs w:val="24"/>
        </w:rPr>
        <w:t>tis. Kč. Z</w:t>
      </w:r>
      <w:r w:rsidRPr="00DB28AF">
        <w:rPr>
          <w:rFonts w:ascii="Garamond" w:hAnsi="Garamond"/>
          <w:sz w:val="24"/>
          <w:szCs w:val="24"/>
        </w:rPr>
        <w:t xml:space="preserve">ahraniční cestovné soudců </w:t>
      </w:r>
      <w:r w:rsidR="0007562E" w:rsidRPr="00DB28AF">
        <w:rPr>
          <w:rFonts w:ascii="Garamond" w:hAnsi="Garamond"/>
          <w:sz w:val="24"/>
          <w:szCs w:val="24"/>
        </w:rPr>
        <w:t xml:space="preserve">v tomto roce </w:t>
      </w:r>
      <w:r w:rsidRPr="00DB28AF">
        <w:rPr>
          <w:rFonts w:ascii="Garamond" w:hAnsi="Garamond"/>
          <w:sz w:val="24"/>
          <w:szCs w:val="24"/>
        </w:rPr>
        <w:t>nebylo čerpáno</w:t>
      </w:r>
      <w:r w:rsidR="0007562E" w:rsidRPr="00DB28AF">
        <w:rPr>
          <w:rFonts w:ascii="Garamond" w:hAnsi="Garamond"/>
          <w:sz w:val="24"/>
          <w:szCs w:val="24"/>
        </w:rPr>
        <w:t>.</w:t>
      </w:r>
      <w:r w:rsidRPr="00DB28AF">
        <w:rPr>
          <w:rFonts w:ascii="Garamond" w:hAnsi="Garamond"/>
          <w:sz w:val="24"/>
          <w:szCs w:val="24"/>
        </w:rPr>
        <w:t xml:space="preserve"> Cestovné soudců je účtováno na položce 5196 - Paušální náhrady soudců, rozlišovací znak 51960</w:t>
      </w:r>
      <w:r w:rsidR="0007562E" w:rsidRPr="00DB28AF">
        <w:rPr>
          <w:rFonts w:ascii="Garamond" w:hAnsi="Garamond"/>
          <w:sz w:val="24"/>
          <w:szCs w:val="24"/>
        </w:rPr>
        <w:t>.</w:t>
      </w:r>
    </w:p>
    <w:p w14:paraId="331D1AA2" w14:textId="10585612" w:rsidR="001A709F" w:rsidRPr="00567D61" w:rsidRDefault="00115763" w:rsidP="002021FE">
      <w:pPr>
        <w:pStyle w:val="Nadpis2"/>
        <w:spacing w:before="120" w:after="120"/>
        <w:rPr>
          <w:color w:val="548DD4" w:themeColor="text2" w:themeTint="99"/>
        </w:rPr>
      </w:pPr>
      <w:bookmarkStart w:id="73" w:name="_Toc534878044"/>
      <w:bookmarkStart w:id="74" w:name="_Toc155689688"/>
      <w:r w:rsidRPr="00567D61">
        <w:rPr>
          <w:color w:val="548DD4" w:themeColor="text2" w:themeTint="99"/>
        </w:rPr>
        <w:t>Přehled zálohových plateb</w:t>
      </w:r>
      <w:bookmarkEnd w:id="73"/>
      <w:bookmarkEnd w:id="74"/>
    </w:p>
    <w:p w14:paraId="3341B754" w14:textId="21B3E689" w:rsidR="00956066" w:rsidRPr="005F6DE9" w:rsidRDefault="00956066" w:rsidP="005F6DE9">
      <w:pPr>
        <w:spacing w:before="120"/>
        <w:jc w:val="both"/>
        <w:rPr>
          <w:rFonts w:ascii="Garamond" w:hAnsi="Garamond"/>
          <w:sz w:val="24"/>
          <w:szCs w:val="24"/>
        </w:rPr>
      </w:pPr>
      <w:bookmarkStart w:id="75" w:name="_Hlk220572991"/>
      <w:r w:rsidRPr="005F6DE9">
        <w:rPr>
          <w:rFonts w:ascii="Garamond" w:hAnsi="Garamond"/>
          <w:sz w:val="24"/>
          <w:szCs w:val="24"/>
        </w:rPr>
        <w:t>Zálohy investičního charakteru nebyly v roce 202</w:t>
      </w:r>
      <w:r w:rsidR="002D5037">
        <w:rPr>
          <w:rFonts w:ascii="Garamond" w:hAnsi="Garamond"/>
          <w:sz w:val="24"/>
          <w:szCs w:val="24"/>
        </w:rPr>
        <w:t>5</w:t>
      </w:r>
      <w:r w:rsidRPr="005F6DE9">
        <w:rPr>
          <w:rFonts w:ascii="Garamond" w:hAnsi="Garamond"/>
          <w:sz w:val="24"/>
          <w:szCs w:val="24"/>
        </w:rPr>
        <w:t xml:space="preserve"> realizovány, byly uskutečněny pouze zálohové platby neinvestičního charakteru, </w:t>
      </w:r>
      <w:r w:rsidR="004A3D95">
        <w:rPr>
          <w:rFonts w:ascii="Garamond" w:hAnsi="Garamond"/>
          <w:sz w:val="24"/>
          <w:szCs w:val="24"/>
        </w:rPr>
        <w:t>které byly v průběhu roku zúčtovány. Zůstatek na zálohových platbách je ve výši</w:t>
      </w:r>
      <w:r w:rsidRPr="005F6DE9">
        <w:rPr>
          <w:rFonts w:ascii="Garamond" w:hAnsi="Garamond"/>
          <w:sz w:val="24"/>
          <w:szCs w:val="24"/>
        </w:rPr>
        <w:t xml:space="preserve"> </w:t>
      </w:r>
      <w:r w:rsidR="004A3D95">
        <w:rPr>
          <w:rFonts w:ascii="Garamond" w:hAnsi="Garamond"/>
          <w:sz w:val="24"/>
          <w:szCs w:val="24"/>
        </w:rPr>
        <w:t>22,77</w:t>
      </w:r>
      <w:r w:rsidRPr="005F6DE9">
        <w:rPr>
          <w:rFonts w:ascii="Garamond" w:hAnsi="Garamond"/>
          <w:sz w:val="24"/>
          <w:szCs w:val="24"/>
        </w:rPr>
        <w:t xml:space="preserve"> tis.</w:t>
      </w:r>
      <w:r w:rsidR="00703727">
        <w:rPr>
          <w:rFonts w:ascii="Garamond" w:hAnsi="Garamond"/>
          <w:sz w:val="24"/>
          <w:szCs w:val="24"/>
        </w:rPr>
        <w:t xml:space="preserve"> </w:t>
      </w:r>
      <w:r w:rsidRPr="005F6DE9">
        <w:rPr>
          <w:rFonts w:ascii="Garamond" w:hAnsi="Garamond"/>
          <w:sz w:val="24"/>
          <w:szCs w:val="24"/>
        </w:rPr>
        <w:t>Kč</w:t>
      </w:r>
      <w:r w:rsidR="00F05854">
        <w:rPr>
          <w:rFonts w:ascii="Garamond" w:hAnsi="Garamond"/>
          <w:sz w:val="24"/>
          <w:szCs w:val="24"/>
        </w:rPr>
        <w:t xml:space="preserve"> </w:t>
      </w:r>
      <w:r w:rsidRPr="005F6DE9">
        <w:rPr>
          <w:rFonts w:ascii="Garamond" w:hAnsi="Garamond"/>
          <w:sz w:val="24"/>
          <w:szCs w:val="24"/>
        </w:rPr>
        <w:t xml:space="preserve">na </w:t>
      </w:r>
      <w:r w:rsidR="004A3D95">
        <w:rPr>
          <w:rFonts w:ascii="Garamond" w:hAnsi="Garamond"/>
          <w:sz w:val="24"/>
          <w:szCs w:val="24"/>
        </w:rPr>
        <w:t>vodné a stočné na rok 202</w:t>
      </w:r>
      <w:r w:rsidR="002D5037">
        <w:rPr>
          <w:rFonts w:ascii="Garamond" w:hAnsi="Garamond"/>
          <w:sz w:val="24"/>
          <w:szCs w:val="24"/>
        </w:rPr>
        <w:t>6</w:t>
      </w:r>
      <w:r w:rsidR="004A3D95">
        <w:rPr>
          <w:rFonts w:ascii="Garamond" w:hAnsi="Garamond"/>
          <w:sz w:val="24"/>
          <w:szCs w:val="24"/>
        </w:rPr>
        <w:t xml:space="preserve"> pro pobočku KS v Táboře</w:t>
      </w:r>
      <w:r w:rsidR="00D524C0">
        <w:rPr>
          <w:rFonts w:ascii="Garamond" w:hAnsi="Garamond"/>
          <w:sz w:val="24"/>
          <w:szCs w:val="24"/>
        </w:rPr>
        <w:t>.</w:t>
      </w:r>
    </w:p>
    <w:p w14:paraId="30B255AC" w14:textId="57E0E7CB" w:rsidR="001A709F" w:rsidRPr="00567D61" w:rsidRDefault="0052460C" w:rsidP="002021FE">
      <w:pPr>
        <w:pStyle w:val="Nadpis2"/>
        <w:spacing w:before="120" w:after="120"/>
        <w:rPr>
          <w:color w:val="548DD4" w:themeColor="text2" w:themeTint="99"/>
        </w:rPr>
      </w:pPr>
      <w:bookmarkStart w:id="76" w:name="_Toc155689689"/>
      <w:bookmarkEnd w:id="75"/>
      <w:r w:rsidRPr="00567D61">
        <w:rPr>
          <w:color w:val="548DD4" w:themeColor="text2" w:themeTint="99"/>
        </w:rPr>
        <w:t>Odškodnění osob a výplata náhrad</w:t>
      </w:r>
      <w:r w:rsidR="00C15111" w:rsidRPr="00567D61">
        <w:rPr>
          <w:color w:val="548DD4" w:themeColor="text2" w:themeTint="99"/>
        </w:rPr>
        <w:t xml:space="preserve"> </w:t>
      </w:r>
      <w:r w:rsidR="009B72C9" w:rsidRPr="00567D61">
        <w:rPr>
          <w:color w:val="548DD4" w:themeColor="text2" w:themeTint="99"/>
        </w:rPr>
        <w:t>(vyplňuje Aparát)</w:t>
      </w:r>
      <w:bookmarkEnd w:id="76"/>
    </w:p>
    <w:p w14:paraId="113E21FB" w14:textId="72EE728A" w:rsidR="0028748B" w:rsidRDefault="0028748B" w:rsidP="0028748B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40AD0335" w14:textId="77777777" w:rsidR="005F6DE9" w:rsidRDefault="005F6DE9" w:rsidP="0028748B">
      <w:pPr>
        <w:pStyle w:val="Garamond12"/>
        <w:rPr>
          <w:rFonts w:cstheme="minorHAnsi"/>
        </w:rPr>
      </w:pPr>
    </w:p>
    <w:p w14:paraId="05B7E9C5" w14:textId="2C8E8F94" w:rsidR="00640E40" w:rsidRDefault="00252339" w:rsidP="008F00F6">
      <w:pPr>
        <w:pStyle w:val="Nadpis1"/>
        <w:spacing w:before="0"/>
      </w:pPr>
      <w:bookmarkStart w:id="77" w:name="_Toc155689690"/>
      <w:r w:rsidRPr="00D5695F">
        <w:rPr>
          <w:color w:val="548DD4" w:themeColor="text2" w:themeTint="99"/>
        </w:rPr>
        <w:t>Ú</w:t>
      </w:r>
      <w:r w:rsidR="008E560A" w:rsidRPr="00D5695F">
        <w:rPr>
          <w:color w:val="548DD4" w:themeColor="text2" w:themeTint="99"/>
        </w:rPr>
        <w:t>spory</w:t>
      </w:r>
      <w:bookmarkEnd w:id="77"/>
    </w:p>
    <w:p w14:paraId="67E00B09" w14:textId="55F62195" w:rsidR="00640E40" w:rsidRPr="007B3C38" w:rsidRDefault="00640E40" w:rsidP="0027701D">
      <w:pPr>
        <w:spacing w:before="100" w:beforeAutospacing="1" w:after="0" w:line="240" w:lineRule="auto"/>
        <w:jc w:val="both"/>
        <w:rPr>
          <w:rFonts w:ascii="Garamond" w:hAnsi="Garamond"/>
          <w:sz w:val="24"/>
          <w:szCs w:val="24"/>
        </w:rPr>
      </w:pPr>
      <w:r w:rsidRPr="007B3C38">
        <w:rPr>
          <w:rFonts w:ascii="Garamond" w:hAnsi="Garamond"/>
          <w:sz w:val="24"/>
          <w:szCs w:val="24"/>
        </w:rPr>
        <w:t>Celkové výdaje</w:t>
      </w:r>
      <w:r w:rsidR="00937BCB">
        <w:rPr>
          <w:rFonts w:ascii="Garamond" w:hAnsi="Garamond"/>
          <w:sz w:val="24"/>
          <w:szCs w:val="24"/>
        </w:rPr>
        <w:t xml:space="preserve"> krajského soudu</w:t>
      </w:r>
      <w:r w:rsidRPr="007B3C38">
        <w:rPr>
          <w:rFonts w:ascii="Garamond" w:hAnsi="Garamond"/>
          <w:sz w:val="24"/>
          <w:szCs w:val="24"/>
        </w:rPr>
        <w:t xml:space="preserve"> činily k 31.12.2024   </w:t>
      </w:r>
      <w:r w:rsidR="00937BCB">
        <w:rPr>
          <w:rFonts w:ascii="Garamond" w:hAnsi="Garamond"/>
          <w:sz w:val="24"/>
          <w:szCs w:val="24"/>
        </w:rPr>
        <w:t>298 539,55</w:t>
      </w:r>
      <w:r w:rsidRPr="007B3C38">
        <w:rPr>
          <w:rFonts w:ascii="Garamond" w:hAnsi="Garamond"/>
          <w:sz w:val="24"/>
          <w:szCs w:val="24"/>
        </w:rPr>
        <w:t xml:space="preserve"> tis. Kč, k 31.12.2025- </w:t>
      </w:r>
      <w:r w:rsidR="00937BCB">
        <w:rPr>
          <w:rFonts w:ascii="Garamond" w:hAnsi="Garamond"/>
          <w:sz w:val="24"/>
          <w:szCs w:val="24"/>
        </w:rPr>
        <w:t>313 840,33</w:t>
      </w:r>
      <w:r w:rsidRPr="007B3C38">
        <w:rPr>
          <w:rFonts w:ascii="Garamond" w:hAnsi="Garamond"/>
          <w:sz w:val="24"/>
          <w:szCs w:val="24"/>
        </w:rPr>
        <w:t xml:space="preserve"> Kč.</w:t>
      </w:r>
      <w:r w:rsidR="00937BCB">
        <w:rPr>
          <w:rFonts w:ascii="Garamond" w:hAnsi="Garamond"/>
          <w:sz w:val="24"/>
          <w:szCs w:val="24"/>
        </w:rPr>
        <w:br/>
      </w:r>
      <w:r w:rsidRPr="007B3C38">
        <w:rPr>
          <w:rFonts w:ascii="Garamond" w:hAnsi="Garamond"/>
          <w:sz w:val="24"/>
          <w:szCs w:val="24"/>
        </w:rPr>
        <w:t xml:space="preserve">V souhrnu tedy k úspoře nedošlo. Přesto se soudy snažily čerpat finanční prostředky co nejefektivněji </w:t>
      </w:r>
      <w:r w:rsidR="00937BCB">
        <w:rPr>
          <w:rFonts w:ascii="Garamond" w:hAnsi="Garamond"/>
          <w:sz w:val="24"/>
          <w:szCs w:val="24"/>
        </w:rPr>
        <w:br/>
      </w:r>
      <w:r w:rsidRPr="007B3C38">
        <w:rPr>
          <w:rFonts w:ascii="Garamond" w:hAnsi="Garamond"/>
          <w:sz w:val="24"/>
          <w:szCs w:val="24"/>
        </w:rPr>
        <w:t>a nejhospodárněji</w:t>
      </w:r>
      <w:r w:rsidRPr="006C4473">
        <w:rPr>
          <w:rFonts w:ascii="Garamond" w:hAnsi="Garamond"/>
          <w:sz w:val="24"/>
          <w:szCs w:val="24"/>
        </w:rPr>
        <w:t>. D</w:t>
      </w:r>
      <w:r w:rsidRPr="007B3C38">
        <w:rPr>
          <w:rFonts w:ascii="Garamond" w:hAnsi="Garamond"/>
          <w:sz w:val="24"/>
          <w:szCs w:val="24"/>
        </w:rPr>
        <w:t>ůvodem vysokého čerpání v roce 2025 byly především vysoké mandatorní výdaje, pokračující úhrada bagatelních exekucí a nárůst cen z důvodu inflace</w:t>
      </w:r>
      <w:r w:rsidR="00937BCB">
        <w:rPr>
          <w:rFonts w:ascii="Garamond" w:hAnsi="Garamond"/>
          <w:sz w:val="24"/>
          <w:szCs w:val="24"/>
        </w:rPr>
        <w:t xml:space="preserve"> minulých let</w:t>
      </w:r>
      <w:r w:rsidRPr="007B3C38">
        <w:rPr>
          <w:rFonts w:ascii="Garamond" w:hAnsi="Garamond"/>
          <w:sz w:val="24"/>
          <w:szCs w:val="24"/>
        </w:rPr>
        <w:t xml:space="preserve">, která se promítla především do cen energií. </w:t>
      </w:r>
    </w:p>
    <w:p w14:paraId="19143B67" w14:textId="77777777" w:rsidR="00640E40" w:rsidRPr="007B3C38" w:rsidRDefault="00640E40" w:rsidP="0027701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3C38">
        <w:rPr>
          <w:rFonts w:ascii="Garamond" w:hAnsi="Garamond"/>
          <w:sz w:val="24"/>
          <w:szCs w:val="24"/>
        </w:rPr>
        <w:t xml:space="preserve">K podstatnému navýšení mandatorní výdajů došlo především z následujících důvodů: </w:t>
      </w:r>
    </w:p>
    <w:p w14:paraId="38379DCF" w14:textId="77777777" w:rsidR="00640E40" w:rsidRPr="007B3C38" w:rsidRDefault="00640E40" w:rsidP="0027701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3C38">
        <w:rPr>
          <w:rFonts w:ascii="Garamond" w:hAnsi="Garamond"/>
          <w:sz w:val="24"/>
          <w:szCs w:val="24"/>
        </w:rPr>
        <w:t xml:space="preserve">Od 01. 01. 2022 vstoupila v účinnost novela vyhlášky Ministerstva spravedlnosti č. 177/1996 Sb., o odměnách advokátů a náhradách advokátů za poskytování právních služeb (advokátní tarif), která zrušila § 12a o snížení mimosmluvní odměny ustanoveného zástupce o 20 % („povodňová daň“). Rovněž bylo touto novelou zrušeno zastropování sazby mimosmluvní odměny za jeden úkon právní služby ustanoveného zástupce na částce 5 000,00 Kč. </w:t>
      </w:r>
    </w:p>
    <w:p w14:paraId="48ADDB4D" w14:textId="77777777" w:rsidR="00640E40" w:rsidRPr="007B3C38" w:rsidRDefault="00640E40" w:rsidP="0027701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3C38">
        <w:rPr>
          <w:rFonts w:ascii="Garamond" w:hAnsi="Garamond"/>
          <w:sz w:val="24"/>
          <w:szCs w:val="24"/>
        </w:rPr>
        <w:t xml:space="preserve">Zároveň byl na základě nálezu Ústavního soudu sp. zn. Pl. ÚS 17/21 dne 19. října 2021 zrušen § 9 odst. 5 advokátního tarifu, podle něhož byla při výkonu funkce opatrovníka ustanoveného správním orgánem účastníku řízení, nebo ustanoveného soudem účastníku řízení, jemuž se nepodařilo doručit na známou adresu v cizině, který byl stižen duševní poruchou nebo který není schopen srozumitelně se vyjadřovat, tarifní hodnotou částka 1 000 Kč. Advokáti – opatrovníci proto od konce roku 2021 mohou účtovat mimosmluvní odměnu ve stejné výši jako ostatní soudem ustanovení advokáti. </w:t>
      </w:r>
    </w:p>
    <w:p w14:paraId="50C2EF4A" w14:textId="77777777" w:rsidR="00640E40" w:rsidRPr="007B3C38" w:rsidRDefault="00640E40" w:rsidP="0027701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3C38">
        <w:rPr>
          <w:rFonts w:ascii="Garamond" w:hAnsi="Garamond"/>
          <w:sz w:val="24"/>
          <w:szCs w:val="24"/>
        </w:rPr>
        <w:t xml:space="preserve">Od 01. 01. 2023 dále došlo k úpravě hodinové odměny za výkon znalecké činnosti ve vyhlášce č. 504/2020 Sb., kdy tato byla navýšena z původní sazby 300 až 450,00 Kč na 800 až 1 000,00 Kč. Obdobně byla od 01. 01. 2023 upravena i vyhláška č. 507/2020 Sb., kdy odměna za normostranu byla navýšena z 300 až 450,00 Kč na 550,00 Kč a odměna za hodinu tlumočení z 300 až 450,00 Kč na 750,00 Kč. </w:t>
      </w:r>
    </w:p>
    <w:p w14:paraId="6162CD50" w14:textId="30067023" w:rsidR="00640E40" w:rsidRPr="007B3C38" w:rsidRDefault="00640E40" w:rsidP="0027701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B3C38">
        <w:rPr>
          <w:rFonts w:ascii="Garamond" w:hAnsi="Garamond"/>
          <w:sz w:val="24"/>
          <w:szCs w:val="24"/>
        </w:rPr>
        <w:t xml:space="preserve">Od 1. 1. 2025 byly rovněž znatelně zvýšeny tarifní hodnoty v advokátním tarifu (např. v insolvenčních věcech z 50 000 Kč na 113 000 Kč), čímž došlo k výraznému růstu mimosmluvních odměn advokátů (např. v insolvenčních věcech z 3 100 Kč na 5 620 Kč za jeden úkon právní služby). Vzrostl i tzv. režijní paušál na </w:t>
      </w:r>
      <w:r w:rsidRPr="007B3C38">
        <w:rPr>
          <w:rFonts w:ascii="Garamond" w:hAnsi="Garamond"/>
          <w:sz w:val="24"/>
          <w:szCs w:val="24"/>
        </w:rPr>
        <w:lastRenderedPageBreak/>
        <w:t>náhradu hotových výdajů, a to z</w:t>
      </w:r>
      <w:r w:rsidR="00031B5B">
        <w:rPr>
          <w:rFonts w:ascii="Garamond" w:hAnsi="Garamond"/>
          <w:sz w:val="24"/>
          <w:szCs w:val="24"/>
        </w:rPr>
        <w:t> </w:t>
      </w:r>
      <w:r w:rsidRPr="007B3C38">
        <w:rPr>
          <w:rFonts w:ascii="Garamond" w:hAnsi="Garamond"/>
          <w:sz w:val="24"/>
          <w:szCs w:val="24"/>
        </w:rPr>
        <w:t>300</w:t>
      </w:r>
      <w:r w:rsidR="00031B5B">
        <w:rPr>
          <w:rFonts w:ascii="Garamond" w:hAnsi="Garamond"/>
          <w:sz w:val="24"/>
          <w:szCs w:val="24"/>
        </w:rPr>
        <w:t xml:space="preserve"> </w:t>
      </w:r>
      <w:r w:rsidRPr="007B3C38">
        <w:rPr>
          <w:rFonts w:ascii="Garamond" w:hAnsi="Garamond"/>
          <w:sz w:val="24"/>
          <w:szCs w:val="24"/>
        </w:rPr>
        <w:t xml:space="preserve">Kč na 450 Kč. Vzhledem k tomu, že tyto změny se plně projeví až v tomto roce, lze očekávat, že mandatorní výdaje budou dále růst i v roce 2026. </w:t>
      </w:r>
    </w:p>
    <w:p w14:paraId="43C7B6F4" w14:textId="114423B0" w:rsidR="00C16671" w:rsidRDefault="00531206" w:rsidP="0027701D">
      <w:pPr>
        <w:jc w:val="both"/>
        <w:rPr>
          <w:rFonts w:cstheme="minorHAnsi"/>
        </w:rPr>
      </w:pPr>
      <w:r w:rsidRPr="00C16671">
        <w:rPr>
          <w:rFonts w:ascii="Garamond" w:hAnsi="Garamond"/>
          <w:sz w:val="24"/>
          <w:szCs w:val="24"/>
        </w:rPr>
        <w:t>V roce 202</w:t>
      </w:r>
      <w:r w:rsidR="00DB124B">
        <w:rPr>
          <w:rFonts w:ascii="Garamond" w:hAnsi="Garamond"/>
          <w:sz w:val="24"/>
          <w:szCs w:val="24"/>
        </w:rPr>
        <w:t>5</w:t>
      </w:r>
      <w:r w:rsidR="00535EE2" w:rsidRPr="00C16671">
        <w:rPr>
          <w:rFonts w:ascii="Garamond" w:hAnsi="Garamond"/>
          <w:sz w:val="24"/>
          <w:szCs w:val="24"/>
        </w:rPr>
        <w:t xml:space="preserve"> ne</w:t>
      </w:r>
      <w:r w:rsidRPr="00C16671">
        <w:rPr>
          <w:rFonts w:ascii="Garamond" w:hAnsi="Garamond"/>
          <w:sz w:val="24"/>
          <w:szCs w:val="24"/>
        </w:rPr>
        <w:t>bylo dosaženo v oblasti hospodaření oproti roku 202</w:t>
      </w:r>
      <w:r w:rsidR="00DB124B">
        <w:rPr>
          <w:rFonts w:ascii="Garamond" w:hAnsi="Garamond"/>
          <w:sz w:val="24"/>
          <w:szCs w:val="24"/>
        </w:rPr>
        <w:t>4</w:t>
      </w:r>
      <w:r w:rsidR="00935624">
        <w:rPr>
          <w:rFonts w:ascii="Garamond" w:hAnsi="Garamond"/>
          <w:sz w:val="24"/>
          <w:szCs w:val="24"/>
        </w:rPr>
        <w:t xml:space="preserve"> </w:t>
      </w:r>
      <w:r w:rsidR="00535EE2" w:rsidRPr="00C16671">
        <w:rPr>
          <w:rFonts w:ascii="Garamond" w:hAnsi="Garamond"/>
          <w:sz w:val="24"/>
          <w:szCs w:val="24"/>
        </w:rPr>
        <w:t>téměř žádných</w:t>
      </w:r>
      <w:r w:rsidRPr="00C16671">
        <w:rPr>
          <w:rFonts w:ascii="Garamond" w:hAnsi="Garamond"/>
          <w:sz w:val="24"/>
          <w:szCs w:val="24"/>
        </w:rPr>
        <w:t xml:space="preserve"> úspor</w:t>
      </w:r>
      <w:r w:rsidR="00674400" w:rsidRPr="00C16671">
        <w:rPr>
          <w:rFonts w:ascii="Garamond" w:hAnsi="Garamond"/>
          <w:sz w:val="24"/>
          <w:szCs w:val="24"/>
        </w:rPr>
        <w:t>.</w:t>
      </w:r>
      <w:r w:rsidR="00C16671" w:rsidRPr="00C16671">
        <w:rPr>
          <w:rFonts w:ascii="Garamond" w:hAnsi="Garamond" w:cstheme="minorHAnsi"/>
          <w:sz w:val="24"/>
          <w:szCs w:val="24"/>
        </w:rPr>
        <w:t xml:space="preserve"> Při výdajích bylo dbáno na to, aby finanční prostředky byly vynakládány co nejefektivněji.</w:t>
      </w:r>
      <w:r w:rsidR="00674400" w:rsidRPr="00C16671">
        <w:rPr>
          <w:rFonts w:ascii="Garamond" w:hAnsi="Garamond"/>
          <w:sz w:val="24"/>
          <w:szCs w:val="24"/>
        </w:rPr>
        <w:t xml:space="preserve"> Rozpočet </w:t>
      </w:r>
      <w:r w:rsidR="009B6F7E" w:rsidRPr="00C16671">
        <w:rPr>
          <w:rFonts w:ascii="Garamond" w:hAnsi="Garamond"/>
          <w:sz w:val="24"/>
          <w:szCs w:val="24"/>
        </w:rPr>
        <w:t xml:space="preserve">běžných výdajů </w:t>
      </w:r>
      <w:r w:rsidR="00674400" w:rsidRPr="00C16671">
        <w:rPr>
          <w:rFonts w:ascii="Garamond" w:hAnsi="Garamond"/>
          <w:sz w:val="24"/>
          <w:szCs w:val="24"/>
        </w:rPr>
        <w:t>daného roku by</w:t>
      </w:r>
      <w:r w:rsidR="00C32D11" w:rsidRPr="00C16671">
        <w:rPr>
          <w:rFonts w:ascii="Garamond" w:hAnsi="Garamond"/>
          <w:sz w:val="24"/>
          <w:szCs w:val="24"/>
        </w:rPr>
        <w:t xml:space="preserve">l </w:t>
      </w:r>
      <w:r w:rsidR="009B6F7E" w:rsidRPr="00C16671">
        <w:rPr>
          <w:rFonts w:ascii="Garamond" w:hAnsi="Garamond"/>
          <w:sz w:val="24"/>
          <w:szCs w:val="24"/>
        </w:rPr>
        <w:t>ze strany MS</w:t>
      </w:r>
      <w:r w:rsidR="00703727">
        <w:rPr>
          <w:rFonts w:ascii="Garamond" w:hAnsi="Garamond"/>
          <w:sz w:val="24"/>
          <w:szCs w:val="24"/>
        </w:rPr>
        <w:t>P</w:t>
      </w:r>
      <w:r w:rsidR="009B6F7E" w:rsidRPr="00C16671">
        <w:rPr>
          <w:rFonts w:ascii="Garamond" w:hAnsi="Garamond"/>
          <w:sz w:val="24"/>
          <w:szCs w:val="24"/>
        </w:rPr>
        <w:t xml:space="preserve"> nastaven velmi úsporně</w:t>
      </w:r>
      <w:r w:rsidR="00C32D11" w:rsidRPr="00C16671">
        <w:rPr>
          <w:rFonts w:ascii="Garamond" w:hAnsi="Garamond"/>
          <w:sz w:val="24"/>
          <w:szCs w:val="24"/>
        </w:rPr>
        <w:t>. V</w:t>
      </w:r>
      <w:r w:rsidR="009B6F7E" w:rsidRPr="00C16671">
        <w:rPr>
          <w:rFonts w:ascii="Garamond" w:hAnsi="Garamond"/>
          <w:sz w:val="24"/>
          <w:szCs w:val="24"/>
        </w:rPr>
        <w:t xml:space="preserve">zhledem k jeho </w:t>
      </w:r>
      <w:r w:rsidR="00D5695F">
        <w:rPr>
          <w:rFonts w:ascii="Garamond" w:hAnsi="Garamond"/>
          <w:sz w:val="24"/>
          <w:szCs w:val="24"/>
        </w:rPr>
        <w:t xml:space="preserve">celorepublikové </w:t>
      </w:r>
      <w:r w:rsidR="009B6F7E" w:rsidRPr="00C16671">
        <w:rPr>
          <w:rFonts w:ascii="Garamond" w:hAnsi="Garamond"/>
          <w:sz w:val="24"/>
          <w:szCs w:val="24"/>
        </w:rPr>
        <w:t>nedostatečnosti</w:t>
      </w:r>
      <w:r w:rsidR="00720B6E">
        <w:rPr>
          <w:rFonts w:ascii="Garamond" w:hAnsi="Garamond"/>
          <w:sz w:val="24"/>
          <w:szCs w:val="24"/>
        </w:rPr>
        <w:t xml:space="preserve">, která byla v druhém pololetí roku zveřejňována i v našich médiích docházelo k pozastavení plateb </w:t>
      </w:r>
      <w:r w:rsidR="00D5695F">
        <w:rPr>
          <w:rFonts w:ascii="Garamond" w:hAnsi="Garamond"/>
          <w:sz w:val="24"/>
          <w:szCs w:val="24"/>
        </w:rPr>
        <w:br/>
      </w:r>
      <w:r w:rsidR="00720B6E">
        <w:rPr>
          <w:rFonts w:ascii="Garamond" w:hAnsi="Garamond"/>
          <w:sz w:val="24"/>
          <w:szCs w:val="24"/>
        </w:rPr>
        <w:t>za mandatorní výdaje. Rozpočet byl v měsíci listopadu a prosinci</w:t>
      </w:r>
      <w:r w:rsidR="009B6F7E" w:rsidRPr="00C16671">
        <w:rPr>
          <w:rFonts w:ascii="Garamond" w:hAnsi="Garamond"/>
          <w:sz w:val="24"/>
          <w:szCs w:val="24"/>
        </w:rPr>
        <w:t xml:space="preserve"> několikrát posílen</w:t>
      </w:r>
      <w:r w:rsidR="00C32D11" w:rsidRPr="00C16671">
        <w:rPr>
          <w:rFonts w:ascii="Garamond" w:hAnsi="Garamond"/>
          <w:sz w:val="24"/>
          <w:szCs w:val="24"/>
        </w:rPr>
        <w:t>, a to na mandatorní výdaje a ostatní věcné výdaje</w:t>
      </w:r>
      <w:r w:rsidR="00D5695F">
        <w:rPr>
          <w:rFonts w:ascii="Garamond" w:hAnsi="Garamond"/>
          <w:sz w:val="24"/>
          <w:szCs w:val="24"/>
        </w:rPr>
        <w:t xml:space="preserve"> </w:t>
      </w:r>
      <w:r w:rsidR="00C32D11" w:rsidRPr="00C16671">
        <w:rPr>
          <w:rFonts w:ascii="Garamond" w:hAnsi="Garamond"/>
          <w:sz w:val="24"/>
          <w:szCs w:val="24"/>
        </w:rPr>
        <w:t>(především</w:t>
      </w:r>
      <w:r w:rsidR="00937BCB">
        <w:rPr>
          <w:rFonts w:ascii="Garamond" w:hAnsi="Garamond"/>
          <w:sz w:val="24"/>
          <w:szCs w:val="24"/>
        </w:rPr>
        <w:t xml:space="preserve"> </w:t>
      </w:r>
      <w:r w:rsidR="00C32D11" w:rsidRPr="00C16671">
        <w:rPr>
          <w:rFonts w:ascii="Garamond" w:hAnsi="Garamond"/>
          <w:sz w:val="24"/>
          <w:szCs w:val="24"/>
        </w:rPr>
        <w:t>energie)</w:t>
      </w:r>
      <w:r w:rsidR="009B6F7E" w:rsidRPr="00C16671">
        <w:rPr>
          <w:rFonts w:ascii="Garamond" w:hAnsi="Garamond"/>
          <w:sz w:val="24"/>
          <w:szCs w:val="24"/>
        </w:rPr>
        <w:t>.</w:t>
      </w:r>
      <w:r w:rsidR="00937BCB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>Díky výraznému</w:t>
      </w:r>
      <w:r w:rsidR="00935624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>růstu</w:t>
      </w:r>
      <w:r w:rsidR="00935624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>cen</w:t>
      </w:r>
      <w:r w:rsidR="00935624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>energií a vysoké inflaci v minulých dvou letech se tato promítla</w:t>
      </w:r>
      <w:r w:rsidR="00935624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>v</w:t>
      </w:r>
      <w:r w:rsidR="00935624">
        <w:rPr>
          <w:rFonts w:ascii="Garamond" w:hAnsi="Garamond"/>
          <w:sz w:val="24"/>
          <w:szCs w:val="24"/>
        </w:rPr>
        <w:t> </w:t>
      </w:r>
      <w:r w:rsidR="00C16671" w:rsidRPr="00C16671">
        <w:rPr>
          <w:rFonts w:ascii="Garamond" w:hAnsi="Garamond"/>
          <w:sz w:val="24"/>
          <w:szCs w:val="24"/>
        </w:rPr>
        <w:t>celkově</w:t>
      </w:r>
      <w:r w:rsidR="00935624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>vyšších</w:t>
      </w:r>
      <w:r w:rsidR="00935624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>nákladech</w:t>
      </w:r>
      <w:r w:rsidR="00935624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>téměř na všech rozpočtových položkách.</w:t>
      </w:r>
      <w:r w:rsidR="00D5695F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>I</w:t>
      </w:r>
      <w:r w:rsidR="007346D4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>přes</w:t>
      </w:r>
      <w:r w:rsidR="00D5695F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>snahu</w:t>
      </w:r>
      <w:r w:rsidR="00D5695F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 xml:space="preserve">o dosažení určitých úspor jsme žádných výrazných výsledků nedosáhli. </w:t>
      </w:r>
      <w:r w:rsidR="00C32D11" w:rsidRPr="00C16671">
        <w:rPr>
          <w:rFonts w:ascii="Garamond" w:hAnsi="Garamond"/>
          <w:sz w:val="24"/>
          <w:szCs w:val="24"/>
        </w:rPr>
        <w:t>F</w:t>
      </w:r>
      <w:r w:rsidR="00535EE2" w:rsidRPr="00C16671">
        <w:rPr>
          <w:rFonts w:ascii="Garamond" w:hAnsi="Garamond"/>
          <w:sz w:val="24"/>
          <w:szCs w:val="24"/>
        </w:rPr>
        <w:t>inanční prostředky</w:t>
      </w:r>
      <w:r w:rsidR="00D5695F">
        <w:rPr>
          <w:rFonts w:ascii="Garamond" w:hAnsi="Garamond"/>
          <w:sz w:val="24"/>
          <w:szCs w:val="24"/>
        </w:rPr>
        <w:t xml:space="preserve"> </w:t>
      </w:r>
      <w:r w:rsidR="00535EE2" w:rsidRPr="00C16671">
        <w:rPr>
          <w:rFonts w:ascii="Garamond" w:hAnsi="Garamond"/>
          <w:sz w:val="24"/>
          <w:szCs w:val="24"/>
        </w:rPr>
        <w:t xml:space="preserve">vynaložené na energie byly </w:t>
      </w:r>
      <w:r w:rsidR="00D5695F">
        <w:rPr>
          <w:rFonts w:ascii="Garamond" w:hAnsi="Garamond"/>
          <w:sz w:val="24"/>
          <w:szCs w:val="24"/>
        </w:rPr>
        <w:t>v minulých dvou letech</w:t>
      </w:r>
      <w:r w:rsidR="00535EE2" w:rsidRPr="00C16671">
        <w:rPr>
          <w:rFonts w:ascii="Garamond" w:hAnsi="Garamond"/>
          <w:sz w:val="24"/>
          <w:szCs w:val="24"/>
        </w:rPr>
        <w:t xml:space="preserve"> </w:t>
      </w:r>
      <w:r w:rsidR="00C16671" w:rsidRPr="00C16671">
        <w:rPr>
          <w:rFonts w:ascii="Garamond" w:hAnsi="Garamond"/>
          <w:sz w:val="24"/>
          <w:szCs w:val="24"/>
        </w:rPr>
        <w:t>nej</w:t>
      </w:r>
      <w:r w:rsidR="002417FF" w:rsidRPr="00C16671">
        <w:rPr>
          <w:rFonts w:ascii="Garamond" w:hAnsi="Garamond"/>
          <w:sz w:val="24"/>
          <w:szCs w:val="24"/>
        </w:rPr>
        <w:t>vyšší u elektrické energie</w:t>
      </w:r>
      <w:r w:rsidR="00C32D11" w:rsidRPr="00C16671">
        <w:rPr>
          <w:rFonts w:ascii="Garamond" w:hAnsi="Garamond"/>
          <w:sz w:val="24"/>
          <w:szCs w:val="24"/>
        </w:rPr>
        <w:t xml:space="preserve"> a j</w:t>
      </w:r>
      <w:r w:rsidR="00535EE2" w:rsidRPr="00C16671">
        <w:rPr>
          <w:rFonts w:ascii="Garamond" w:hAnsi="Garamond"/>
          <w:sz w:val="24"/>
          <w:szCs w:val="24"/>
        </w:rPr>
        <w:t xml:space="preserve">e zde patrný dopad na </w:t>
      </w:r>
      <w:r w:rsidR="00D3137F">
        <w:rPr>
          <w:rFonts w:ascii="Garamond" w:hAnsi="Garamond"/>
          <w:sz w:val="24"/>
          <w:szCs w:val="24"/>
        </w:rPr>
        <w:t xml:space="preserve">nárůst </w:t>
      </w:r>
      <w:r w:rsidR="00C16671" w:rsidRPr="00C16671">
        <w:rPr>
          <w:rFonts w:ascii="Garamond" w:hAnsi="Garamond"/>
          <w:sz w:val="24"/>
          <w:szCs w:val="24"/>
        </w:rPr>
        <w:t xml:space="preserve">její </w:t>
      </w:r>
      <w:r w:rsidR="00535EE2" w:rsidRPr="00C16671">
        <w:rPr>
          <w:rFonts w:ascii="Garamond" w:hAnsi="Garamond"/>
          <w:sz w:val="24"/>
          <w:szCs w:val="24"/>
        </w:rPr>
        <w:t>cen</w:t>
      </w:r>
      <w:r w:rsidR="00D3137F">
        <w:rPr>
          <w:rFonts w:ascii="Garamond" w:hAnsi="Garamond"/>
          <w:sz w:val="24"/>
          <w:szCs w:val="24"/>
        </w:rPr>
        <w:t>y</w:t>
      </w:r>
      <w:r w:rsidR="00535EE2" w:rsidRPr="00C16671">
        <w:rPr>
          <w:rFonts w:ascii="Garamond" w:hAnsi="Garamond"/>
          <w:sz w:val="24"/>
          <w:szCs w:val="24"/>
        </w:rPr>
        <w:t xml:space="preserve"> v </w:t>
      </w:r>
      <w:r w:rsidR="002417FF" w:rsidRPr="00C16671">
        <w:rPr>
          <w:rFonts w:ascii="Garamond" w:hAnsi="Garamond"/>
          <w:sz w:val="24"/>
          <w:szCs w:val="24"/>
        </w:rPr>
        <w:t>minulých</w:t>
      </w:r>
      <w:r w:rsidR="00A90F8F" w:rsidRPr="00C16671">
        <w:rPr>
          <w:rFonts w:ascii="Garamond" w:hAnsi="Garamond"/>
          <w:sz w:val="24"/>
          <w:szCs w:val="24"/>
        </w:rPr>
        <w:t xml:space="preserve"> letech.</w:t>
      </w:r>
      <w:r w:rsidR="006C500F" w:rsidRPr="00C16671">
        <w:rPr>
          <w:rFonts w:ascii="Garamond" w:hAnsi="Garamond"/>
          <w:sz w:val="24"/>
          <w:szCs w:val="24"/>
        </w:rPr>
        <w:t xml:space="preserve"> Na základě</w:t>
      </w:r>
      <w:r w:rsidR="00C32D11" w:rsidRPr="00C16671">
        <w:rPr>
          <w:rFonts w:ascii="Garamond" w:hAnsi="Garamond"/>
          <w:sz w:val="24"/>
          <w:szCs w:val="24"/>
        </w:rPr>
        <w:t xml:space="preserve"> energetického auditu provedeného v</w:t>
      </w:r>
      <w:r w:rsidR="00C16671" w:rsidRPr="00C16671">
        <w:rPr>
          <w:rFonts w:ascii="Garamond" w:hAnsi="Garamond"/>
          <w:sz w:val="24"/>
          <w:szCs w:val="24"/>
        </w:rPr>
        <w:t> roce 2023</w:t>
      </w:r>
      <w:r w:rsidR="00C32D11" w:rsidRPr="00C16671">
        <w:rPr>
          <w:rFonts w:ascii="Garamond" w:hAnsi="Garamond"/>
          <w:sz w:val="24"/>
          <w:szCs w:val="24"/>
        </w:rPr>
        <w:t xml:space="preserve"> </w:t>
      </w:r>
      <w:r w:rsidR="006C500F" w:rsidRPr="00C16671">
        <w:rPr>
          <w:rFonts w:ascii="Garamond" w:hAnsi="Garamond"/>
          <w:sz w:val="24"/>
          <w:szCs w:val="24"/>
        </w:rPr>
        <w:t xml:space="preserve">plánujeme </w:t>
      </w:r>
      <w:r w:rsidR="000F3B98" w:rsidRPr="00C16671">
        <w:rPr>
          <w:rFonts w:ascii="Garamond" w:hAnsi="Garamond"/>
          <w:sz w:val="24"/>
          <w:szCs w:val="24"/>
        </w:rPr>
        <w:t>v následujících letech</w:t>
      </w:r>
      <w:r w:rsidR="00C32D11" w:rsidRPr="00C16671">
        <w:rPr>
          <w:rFonts w:ascii="Garamond" w:hAnsi="Garamond"/>
          <w:sz w:val="24"/>
          <w:szCs w:val="24"/>
        </w:rPr>
        <w:t xml:space="preserve"> řešit </w:t>
      </w:r>
      <w:r w:rsidR="00C16671" w:rsidRPr="00C16671">
        <w:rPr>
          <w:rFonts w:ascii="Garamond" w:hAnsi="Garamond"/>
          <w:sz w:val="24"/>
          <w:szCs w:val="24"/>
        </w:rPr>
        <w:t>postupně</w:t>
      </w:r>
      <w:r w:rsidR="00C32D11" w:rsidRPr="00C16671">
        <w:rPr>
          <w:rFonts w:ascii="Garamond" w:hAnsi="Garamond"/>
          <w:sz w:val="24"/>
          <w:szCs w:val="24"/>
        </w:rPr>
        <w:t xml:space="preserve"> výměnu</w:t>
      </w:r>
      <w:r w:rsidR="00AB3E52" w:rsidRPr="00C16671">
        <w:rPr>
          <w:rFonts w:ascii="Garamond" w:hAnsi="Garamond"/>
          <w:sz w:val="24"/>
          <w:szCs w:val="24"/>
        </w:rPr>
        <w:t xml:space="preserve"> osvětlení za</w:t>
      </w:r>
      <w:r w:rsidR="00C16671" w:rsidRPr="00C16671">
        <w:rPr>
          <w:rFonts w:ascii="Garamond" w:hAnsi="Garamond"/>
          <w:sz w:val="24"/>
          <w:szCs w:val="24"/>
        </w:rPr>
        <w:t xml:space="preserve"> úspornější</w:t>
      </w:r>
      <w:r w:rsidR="00AB3E52" w:rsidRPr="00C16671">
        <w:rPr>
          <w:rFonts w:ascii="Garamond" w:hAnsi="Garamond"/>
          <w:sz w:val="24"/>
          <w:szCs w:val="24"/>
        </w:rPr>
        <w:t xml:space="preserve"> LED technologie</w:t>
      </w:r>
      <w:r w:rsidR="006C500F" w:rsidRPr="00C16671">
        <w:rPr>
          <w:rFonts w:ascii="Garamond" w:hAnsi="Garamond"/>
          <w:sz w:val="24"/>
          <w:szCs w:val="24"/>
        </w:rPr>
        <w:t>.</w:t>
      </w:r>
      <w:r w:rsidR="00635B18">
        <w:rPr>
          <w:rFonts w:ascii="Garamond" w:hAnsi="Garamond"/>
          <w:sz w:val="24"/>
          <w:szCs w:val="24"/>
        </w:rPr>
        <w:t xml:space="preserve"> </w:t>
      </w:r>
      <w:r w:rsidR="00AB3E52" w:rsidRPr="00C16671">
        <w:rPr>
          <w:rFonts w:ascii="Garamond" w:hAnsi="Garamond"/>
          <w:sz w:val="24"/>
          <w:szCs w:val="24"/>
        </w:rPr>
        <w:t xml:space="preserve">V tomto roce byly rovněž zapojeny a </w:t>
      </w:r>
      <w:r w:rsidR="0055275F">
        <w:rPr>
          <w:rFonts w:ascii="Garamond" w:hAnsi="Garamond"/>
          <w:sz w:val="24"/>
          <w:szCs w:val="24"/>
        </w:rPr>
        <w:t xml:space="preserve">téměř </w:t>
      </w:r>
      <w:r w:rsidR="00AB3E52" w:rsidRPr="00C16671">
        <w:rPr>
          <w:rFonts w:ascii="Garamond" w:hAnsi="Garamond"/>
          <w:sz w:val="24"/>
          <w:szCs w:val="24"/>
        </w:rPr>
        <w:t>vyčerpány všechny</w:t>
      </w:r>
      <w:r w:rsidR="00935624">
        <w:rPr>
          <w:rFonts w:ascii="Garamond" w:hAnsi="Garamond"/>
          <w:sz w:val="24"/>
          <w:szCs w:val="24"/>
        </w:rPr>
        <w:t xml:space="preserve"> </w:t>
      </w:r>
      <w:r w:rsidR="00AB3E52" w:rsidRPr="00C16671">
        <w:rPr>
          <w:rFonts w:ascii="Garamond" w:hAnsi="Garamond"/>
          <w:sz w:val="24"/>
          <w:szCs w:val="24"/>
        </w:rPr>
        <w:t>nároky</w:t>
      </w:r>
      <w:r w:rsidR="00935624">
        <w:rPr>
          <w:rFonts w:ascii="Garamond" w:hAnsi="Garamond"/>
          <w:sz w:val="24"/>
          <w:szCs w:val="24"/>
        </w:rPr>
        <w:t xml:space="preserve"> </w:t>
      </w:r>
      <w:r w:rsidR="00AB3E52" w:rsidRPr="00C16671">
        <w:rPr>
          <w:rFonts w:ascii="Garamond" w:hAnsi="Garamond"/>
          <w:sz w:val="24"/>
          <w:szCs w:val="24"/>
        </w:rPr>
        <w:t>z</w:t>
      </w:r>
      <w:r w:rsidR="00935624">
        <w:rPr>
          <w:rFonts w:ascii="Garamond" w:hAnsi="Garamond"/>
          <w:sz w:val="24"/>
          <w:szCs w:val="24"/>
        </w:rPr>
        <w:t> </w:t>
      </w:r>
      <w:r w:rsidR="00AB3E52" w:rsidRPr="00C16671">
        <w:rPr>
          <w:rFonts w:ascii="Garamond" w:hAnsi="Garamond"/>
          <w:sz w:val="24"/>
          <w:szCs w:val="24"/>
        </w:rPr>
        <w:t>nespotřebovaných</w:t>
      </w:r>
      <w:r w:rsidR="00935624">
        <w:rPr>
          <w:rFonts w:ascii="Garamond" w:hAnsi="Garamond"/>
          <w:sz w:val="24"/>
          <w:szCs w:val="24"/>
        </w:rPr>
        <w:t xml:space="preserve"> </w:t>
      </w:r>
      <w:r w:rsidR="00AB3E52" w:rsidRPr="00C16671">
        <w:rPr>
          <w:rFonts w:ascii="Garamond" w:hAnsi="Garamond"/>
          <w:sz w:val="24"/>
          <w:szCs w:val="24"/>
        </w:rPr>
        <w:t xml:space="preserve">výdajů </w:t>
      </w:r>
      <w:r w:rsidR="00DD19F3" w:rsidRPr="00C16671">
        <w:rPr>
          <w:rFonts w:ascii="Garamond" w:hAnsi="Garamond"/>
          <w:sz w:val="24"/>
          <w:szCs w:val="24"/>
        </w:rPr>
        <w:t>z</w:t>
      </w:r>
      <w:r w:rsidR="00AB3E52" w:rsidRPr="00C16671">
        <w:rPr>
          <w:rFonts w:ascii="Garamond" w:hAnsi="Garamond"/>
          <w:sz w:val="24"/>
          <w:szCs w:val="24"/>
        </w:rPr>
        <w:t xml:space="preserve"> minulých</w:t>
      </w:r>
      <w:r w:rsidR="00B75E3F" w:rsidRPr="00C16671">
        <w:rPr>
          <w:rFonts w:ascii="Garamond" w:hAnsi="Garamond"/>
          <w:sz w:val="24"/>
          <w:szCs w:val="24"/>
        </w:rPr>
        <w:t xml:space="preserve"> let. </w:t>
      </w:r>
    </w:p>
    <w:p w14:paraId="7B8E23F6" w14:textId="17069AA4" w:rsidR="00252339" w:rsidRPr="00915E35" w:rsidRDefault="00252339" w:rsidP="00252339">
      <w:pPr>
        <w:spacing w:before="120" w:after="120"/>
        <w:jc w:val="both"/>
      </w:pPr>
    </w:p>
    <w:p w14:paraId="413316EF" w14:textId="08BE15E1" w:rsidR="00442797" w:rsidRDefault="00442797" w:rsidP="00442797">
      <w:pPr>
        <w:pStyle w:val="Nadpis1"/>
        <w:spacing w:before="0"/>
        <w:rPr>
          <w:color w:val="548DD4" w:themeColor="text2" w:themeTint="99"/>
        </w:rPr>
      </w:pPr>
      <w:bookmarkStart w:id="78" w:name="_Toc155689691"/>
      <w:r w:rsidRPr="00567D61">
        <w:rPr>
          <w:color w:val="548DD4" w:themeColor="text2" w:themeTint="99"/>
        </w:rPr>
        <w:t>Bezúplatné převody majetku</w:t>
      </w:r>
      <w:r w:rsidR="003512AA" w:rsidRPr="00567D61">
        <w:rPr>
          <w:color w:val="548DD4" w:themeColor="text2" w:themeTint="99"/>
        </w:rPr>
        <w:t xml:space="preserve"> (bez převodů mezi OSS)</w:t>
      </w:r>
      <w:bookmarkEnd w:id="78"/>
    </w:p>
    <w:p w14:paraId="1526D986" w14:textId="77777777" w:rsidR="00D5695F" w:rsidRPr="00D5695F" w:rsidRDefault="00D5695F" w:rsidP="00D5695F"/>
    <w:p w14:paraId="4196D384" w14:textId="77777777" w:rsidR="00D5695F" w:rsidRDefault="00D5695F" w:rsidP="00D5695F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1716EA5D" w14:textId="77777777" w:rsidR="006767EF" w:rsidRPr="00915E35" w:rsidRDefault="006767EF" w:rsidP="002021FE">
      <w:pPr>
        <w:spacing w:before="120" w:after="120"/>
      </w:pPr>
    </w:p>
    <w:p w14:paraId="6C43F92E" w14:textId="48483C8C" w:rsidR="00F42F37" w:rsidRDefault="00F42F37" w:rsidP="00F42F37">
      <w:pPr>
        <w:pStyle w:val="Nadpis1"/>
        <w:spacing w:before="0"/>
        <w:rPr>
          <w:color w:val="548DD4" w:themeColor="text2" w:themeTint="99"/>
        </w:rPr>
      </w:pPr>
      <w:bookmarkStart w:id="79" w:name="_Toc155689692"/>
      <w:r w:rsidRPr="00567D61">
        <w:rPr>
          <w:color w:val="548DD4" w:themeColor="text2" w:themeTint="99"/>
        </w:rPr>
        <w:t>Vyhodnocení výdajů z veřejných zakázek</w:t>
      </w:r>
      <w:r w:rsidR="008A3D94" w:rsidRPr="00567D61">
        <w:rPr>
          <w:color w:val="548DD4" w:themeColor="text2" w:themeTint="99"/>
        </w:rPr>
        <w:t xml:space="preserve"> o předpokládané hodnotě nejméně 300 mil. Kč</w:t>
      </w:r>
      <w:bookmarkEnd w:id="79"/>
    </w:p>
    <w:p w14:paraId="1647A3EC" w14:textId="77777777" w:rsidR="00B139D5" w:rsidRPr="00B139D5" w:rsidRDefault="00B139D5" w:rsidP="00B139D5"/>
    <w:p w14:paraId="71BA1DD3" w14:textId="77777777" w:rsidR="00414551" w:rsidRDefault="00414551" w:rsidP="00414551">
      <w:pPr>
        <w:pStyle w:val="Garamond12"/>
        <w:rPr>
          <w:rFonts w:cstheme="minorHAnsi"/>
        </w:rPr>
      </w:pPr>
      <w:r w:rsidRPr="002870EB">
        <w:rPr>
          <w:rFonts w:cstheme="minorHAnsi"/>
        </w:rPr>
        <w:t>U</w:t>
      </w:r>
      <w:r>
        <w:rPr>
          <w:rFonts w:cstheme="minorHAnsi"/>
        </w:rPr>
        <w:t xml:space="preserve"> Krajského soudu v Českých Budějovicích </w:t>
      </w:r>
      <w:r w:rsidRPr="002870EB">
        <w:rPr>
          <w:rFonts w:cstheme="minorHAnsi"/>
        </w:rPr>
        <w:t>nerealizováno.</w:t>
      </w:r>
    </w:p>
    <w:p w14:paraId="4FAD2C4B" w14:textId="5FF781B6" w:rsidR="00B72C0D" w:rsidRPr="00567D61" w:rsidRDefault="00B72C0D" w:rsidP="00B72C0D">
      <w:pPr>
        <w:pStyle w:val="Nadpis1"/>
        <w:rPr>
          <w:color w:val="548DD4" w:themeColor="text2" w:themeTint="99"/>
        </w:rPr>
      </w:pPr>
      <w:bookmarkStart w:id="80" w:name="_Toc155689693"/>
      <w:r w:rsidRPr="00567D61">
        <w:rPr>
          <w:color w:val="548DD4" w:themeColor="text2" w:themeTint="99"/>
        </w:rPr>
        <w:t>Specifika a ostatní</w:t>
      </w:r>
      <w:bookmarkEnd w:id="80"/>
    </w:p>
    <w:p w14:paraId="472A8F69" w14:textId="5DC4D332" w:rsidR="002B0E5C" w:rsidRPr="00635B18" w:rsidRDefault="00873122" w:rsidP="00017041">
      <w:pPr>
        <w:pStyle w:val="Nadpis1"/>
        <w:spacing w:before="120" w:after="120"/>
        <w:jc w:val="both"/>
        <w:rPr>
          <w:color w:val="548DD4" w:themeColor="text2" w:themeTint="99"/>
        </w:rPr>
      </w:pPr>
      <w:bookmarkStart w:id="81" w:name="_Toc534878048"/>
      <w:bookmarkStart w:id="82" w:name="_Toc155689694"/>
      <w:r w:rsidRPr="00635B18">
        <w:rPr>
          <w:color w:val="548DD4" w:themeColor="text2" w:themeTint="99"/>
        </w:rPr>
        <w:t>Výsledky vnitřních a vnějších kontrol</w:t>
      </w:r>
      <w:bookmarkEnd w:id="81"/>
      <w:bookmarkEnd w:id="82"/>
    </w:p>
    <w:p w14:paraId="1011FF86" w14:textId="04022850" w:rsidR="008C4E53" w:rsidRDefault="00B139D5" w:rsidP="008C4E53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U </w:t>
      </w:r>
      <w:r w:rsidR="008C4E53" w:rsidRPr="0070582B">
        <w:rPr>
          <w:rFonts w:ascii="Garamond" w:hAnsi="Garamond"/>
          <w:sz w:val="24"/>
          <w:szCs w:val="24"/>
        </w:rPr>
        <w:t xml:space="preserve"> Krajském</w:t>
      </w:r>
      <w:proofErr w:type="gramEnd"/>
      <w:r w:rsidR="008C4E53" w:rsidRPr="0070582B">
        <w:rPr>
          <w:rFonts w:ascii="Garamond" w:hAnsi="Garamond"/>
          <w:sz w:val="24"/>
          <w:szCs w:val="24"/>
        </w:rPr>
        <w:t xml:space="preserve"> soudu v Českých Budějovicích v roce 202</w:t>
      </w:r>
      <w:r w:rsidR="007B48AD">
        <w:rPr>
          <w:rFonts w:ascii="Garamond" w:hAnsi="Garamond"/>
          <w:sz w:val="24"/>
          <w:szCs w:val="24"/>
        </w:rPr>
        <w:t>5</w:t>
      </w:r>
      <w:r w:rsidR="008C4E53" w:rsidRPr="0070582B">
        <w:rPr>
          <w:rFonts w:ascii="Garamond" w:hAnsi="Garamond"/>
          <w:sz w:val="24"/>
          <w:szCs w:val="24"/>
        </w:rPr>
        <w:t xml:space="preserve"> proběhl</w:t>
      </w:r>
      <w:r w:rsidR="006A6C3D">
        <w:rPr>
          <w:rFonts w:ascii="Garamond" w:hAnsi="Garamond"/>
          <w:sz w:val="24"/>
          <w:szCs w:val="24"/>
        </w:rPr>
        <w:t>a pouze jedna k</w:t>
      </w:r>
      <w:r w:rsidR="0019526D">
        <w:rPr>
          <w:rFonts w:ascii="Garamond" w:hAnsi="Garamond"/>
          <w:sz w:val="24"/>
          <w:szCs w:val="24"/>
        </w:rPr>
        <w:t>ontrol</w:t>
      </w:r>
      <w:r w:rsidR="006A6C3D">
        <w:rPr>
          <w:rFonts w:ascii="Garamond" w:hAnsi="Garamond"/>
          <w:sz w:val="24"/>
          <w:szCs w:val="24"/>
        </w:rPr>
        <w:t>a</w:t>
      </w:r>
      <w:r w:rsidR="0019526D">
        <w:rPr>
          <w:rFonts w:ascii="Garamond" w:hAnsi="Garamond"/>
          <w:sz w:val="24"/>
          <w:szCs w:val="24"/>
        </w:rPr>
        <w:t>:</w:t>
      </w:r>
    </w:p>
    <w:p w14:paraId="27043E87" w14:textId="7E19CC0F" w:rsidR="006A6C3D" w:rsidRDefault="007A12F3" w:rsidP="006A6C3D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</w:t>
      </w:r>
      <w:r w:rsidRPr="007A12F3">
        <w:rPr>
          <w:rFonts w:ascii="Garamond" w:hAnsi="Garamond"/>
          <w:sz w:val="24"/>
          <w:szCs w:val="24"/>
        </w:rPr>
        <w:t xml:space="preserve">ontrola </w:t>
      </w:r>
      <w:r w:rsidR="006A6C3D">
        <w:rPr>
          <w:rFonts w:ascii="Garamond" w:hAnsi="Garamond"/>
          <w:sz w:val="24"/>
          <w:szCs w:val="24"/>
        </w:rPr>
        <w:t xml:space="preserve">provedená na základě ustanovení § 71 odst.1 písm. c) zákona č.499/2004 Sb., o archivnictví a spisové </w:t>
      </w:r>
      <w:proofErr w:type="gramStart"/>
      <w:r w:rsidR="006A6C3D">
        <w:rPr>
          <w:rFonts w:ascii="Garamond" w:hAnsi="Garamond"/>
          <w:sz w:val="24"/>
          <w:szCs w:val="24"/>
        </w:rPr>
        <w:t>službě - kontrola</w:t>
      </w:r>
      <w:proofErr w:type="gramEnd"/>
      <w:r w:rsidR="006A6C3D">
        <w:rPr>
          <w:rFonts w:ascii="Garamond" w:hAnsi="Garamond"/>
          <w:sz w:val="24"/>
          <w:szCs w:val="24"/>
        </w:rPr>
        <w:t xml:space="preserve"> prostor o ukládání dokumentů (§ 68 odst.4 </w:t>
      </w:r>
      <w:r w:rsidR="00090BCF">
        <w:rPr>
          <w:rFonts w:ascii="Garamond" w:hAnsi="Garamond"/>
          <w:sz w:val="24"/>
          <w:szCs w:val="24"/>
        </w:rPr>
        <w:t>z</w:t>
      </w:r>
      <w:r w:rsidR="006A6C3D">
        <w:rPr>
          <w:rFonts w:ascii="Garamond" w:hAnsi="Garamond"/>
          <w:sz w:val="24"/>
          <w:szCs w:val="24"/>
        </w:rPr>
        <w:t>ákona). Kontrola byla provedena dne 4. listopadu 2025. Při kontrole nebyly zjištěny žádné závažné nedostatky</w:t>
      </w:r>
      <w:r w:rsidR="00090BCF">
        <w:rPr>
          <w:rFonts w:ascii="Garamond" w:hAnsi="Garamond"/>
          <w:sz w:val="24"/>
          <w:szCs w:val="24"/>
        </w:rPr>
        <w:t>, pouze v prostorách spisovny 2 jsou prostory potencionálně ohroženy průnikem vody. Umístění hlavního přívodu vody s uzavíratelným ventilem a měřičem v těchto prostorách pro uložení dokumentů je v rozporu s §68 odst.4 písm.c)</w:t>
      </w:r>
      <w:r w:rsidR="004626DD">
        <w:rPr>
          <w:rFonts w:ascii="Garamond" w:hAnsi="Garamond"/>
          <w:sz w:val="24"/>
          <w:szCs w:val="24"/>
        </w:rPr>
        <w:t xml:space="preserve"> </w:t>
      </w:r>
      <w:r w:rsidR="00090BCF">
        <w:rPr>
          <w:rFonts w:ascii="Garamond" w:hAnsi="Garamond"/>
          <w:sz w:val="24"/>
          <w:szCs w:val="24"/>
        </w:rPr>
        <w:t>zákona.</w:t>
      </w:r>
    </w:p>
    <w:p w14:paraId="4C80A3D2" w14:textId="77777777" w:rsidR="00090BCF" w:rsidRDefault="00090BCF" w:rsidP="00090BCF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623C9F45" w14:textId="77777777" w:rsidR="001949EC" w:rsidRPr="001949EC" w:rsidRDefault="001949EC" w:rsidP="001949EC">
      <w:pPr>
        <w:jc w:val="both"/>
        <w:rPr>
          <w:rFonts w:ascii="Garamond" w:hAnsi="Garamond"/>
          <w:sz w:val="24"/>
          <w:szCs w:val="24"/>
        </w:rPr>
      </w:pPr>
    </w:p>
    <w:p w14:paraId="1C04E2AA" w14:textId="77777777" w:rsidR="0079553F" w:rsidRPr="0079553F" w:rsidRDefault="0079553F" w:rsidP="0079553F">
      <w:pPr>
        <w:jc w:val="both"/>
        <w:rPr>
          <w:rFonts w:ascii="Garamond" w:hAnsi="Garamond"/>
          <w:sz w:val="24"/>
          <w:szCs w:val="24"/>
        </w:rPr>
      </w:pPr>
    </w:p>
    <w:p w14:paraId="1B873BDC" w14:textId="77777777" w:rsidR="00512B9F" w:rsidRDefault="0079553F" w:rsidP="00A7232E">
      <w:pPr>
        <w:pStyle w:val="Bezmezer"/>
      </w:pPr>
      <w:r w:rsidRPr="0079553F">
        <w:t>Mgr. Martina Flanderová, Ph.D.</w:t>
      </w:r>
      <w:r>
        <w:t>,</w:t>
      </w:r>
      <w:r w:rsidRPr="0079553F">
        <w:t xml:space="preserve">  </w:t>
      </w:r>
    </w:p>
    <w:p w14:paraId="5C686DEC" w14:textId="2E10268A" w:rsidR="0079553F" w:rsidRPr="0079553F" w:rsidRDefault="00512B9F" w:rsidP="00A7232E">
      <w:pPr>
        <w:pStyle w:val="Bezmezer"/>
        <w:rPr>
          <w:iCs/>
        </w:rPr>
      </w:pPr>
      <w:r>
        <w:t xml:space="preserve"> </w:t>
      </w:r>
      <w:r w:rsidR="0079553F" w:rsidRPr="0079553F">
        <w:t>předsedkyně krajského soudu</w:t>
      </w:r>
      <w:r w:rsidR="0079553F" w:rsidRPr="0079553F">
        <w:rPr>
          <w:iCs/>
        </w:rPr>
        <w:t xml:space="preserve">  </w:t>
      </w:r>
    </w:p>
    <w:p w14:paraId="430DFBCE" w14:textId="77777777" w:rsidR="0079553F" w:rsidRPr="0070582B" w:rsidRDefault="0079553F" w:rsidP="008C4E53">
      <w:pPr>
        <w:jc w:val="both"/>
        <w:rPr>
          <w:rFonts w:ascii="Garamond" w:hAnsi="Garamond"/>
          <w:sz w:val="24"/>
          <w:szCs w:val="24"/>
        </w:rPr>
      </w:pPr>
    </w:p>
    <w:p w14:paraId="155ED060" w14:textId="74A14683" w:rsidR="001A709F" w:rsidRPr="0079553F" w:rsidRDefault="001A709F" w:rsidP="00A84734">
      <w:pPr>
        <w:pStyle w:val="Odstavecseseznamem"/>
        <w:numPr>
          <w:ilvl w:val="0"/>
          <w:numId w:val="5"/>
        </w:numPr>
        <w:spacing w:before="120" w:after="120"/>
        <w:jc w:val="both"/>
        <w:rPr>
          <w:u w:val="single"/>
        </w:rPr>
      </w:pPr>
      <w:r w:rsidRPr="0079553F">
        <w:rPr>
          <w:u w:val="single"/>
        </w:rPr>
        <w:br w:type="page"/>
      </w:r>
    </w:p>
    <w:sectPr w:rsidR="001A709F" w:rsidRPr="0079553F" w:rsidSect="00E15F46">
      <w:footerReference w:type="default" r:id="rId12"/>
      <w:footerReference w:type="first" r:id="rId13"/>
      <w:pgSz w:w="11906" w:h="16838"/>
      <w:pgMar w:top="1135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9B79" w14:textId="77777777" w:rsidR="008F28FB" w:rsidRDefault="008F28FB" w:rsidP="008251D4">
      <w:pPr>
        <w:spacing w:after="0" w:line="240" w:lineRule="auto"/>
      </w:pPr>
      <w:r>
        <w:separator/>
      </w:r>
    </w:p>
  </w:endnote>
  <w:endnote w:type="continuationSeparator" w:id="0">
    <w:p w14:paraId="42D54AF4" w14:textId="77777777" w:rsidR="008F28FB" w:rsidRDefault="008F28FB" w:rsidP="0082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318743"/>
      <w:docPartObj>
        <w:docPartGallery w:val="Page Numbers (Bottom of Page)"/>
        <w:docPartUnique/>
      </w:docPartObj>
    </w:sdtPr>
    <w:sdtEndPr/>
    <w:sdtContent>
      <w:p w14:paraId="0EC76913" w14:textId="459281FD" w:rsidR="00277D50" w:rsidRDefault="00277D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4B408" w14:textId="77777777" w:rsidR="00277D50" w:rsidRDefault="00277D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1592" w14:textId="77777777" w:rsidR="00703C3F" w:rsidRDefault="00703C3F">
    <w:pPr>
      <w:pStyle w:val="Zpat"/>
      <w:jc w:val="center"/>
    </w:pPr>
  </w:p>
  <w:p w14:paraId="30BA2F39" w14:textId="77777777" w:rsidR="00703C3F" w:rsidRDefault="00703C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C864" w14:textId="77777777" w:rsidR="008F28FB" w:rsidRDefault="008F28FB" w:rsidP="008251D4">
      <w:pPr>
        <w:spacing w:after="0" w:line="240" w:lineRule="auto"/>
      </w:pPr>
      <w:r>
        <w:separator/>
      </w:r>
    </w:p>
  </w:footnote>
  <w:footnote w:type="continuationSeparator" w:id="0">
    <w:p w14:paraId="6A6B7E6D" w14:textId="77777777" w:rsidR="008F28FB" w:rsidRDefault="008F28FB" w:rsidP="0082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70BD"/>
    <w:multiLevelType w:val="hybridMultilevel"/>
    <w:tmpl w:val="ABDA7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968"/>
    <w:multiLevelType w:val="hybridMultilevel"/>
    <w:tmpl w:val="CD92E00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F32463"/>
    <w:multiLevelType w:val="hybridMultilevel"/>
    <w:tmpl w:val="35A2D320"/>
    <w:lvl w:ilvl="0" w:tplc="A2B2FB9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23BE7"/>
    <w:multiLevelType w:val="hybridMultilevel"/>
    <w:tmpl w:val="D7AC9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43B74"/>
    <w:multiLevelType w:val="hybridMultilevel"/>
    <w:tmpl w:val="B056495A"/>
    <w:lvl w:ilvl="0" w:tplc="A2B2FB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50D4"/>
    <w:multiLevelType w:val="hybridMultilevel"/>
    <w:tmpl w:val="E5EC46A8"/>
    <w:lvl w:ilvl="0" w:tplc="DB40B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811C0"/>
    <w:multiLevelType w:val="multilevel"/>
    <w:tmpl w:val="5694C28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color w:val="548DD4" w:themeColor="text2" w:themeTint="99"/>
      </w:rPr>
    </w:lvl>
    <w:lvl w:ilvl="1">
      <w:start w:val="1"/>
      <w:numFmt w:val="decimal"/>
      <w:pStyle w:val="Nadpis2"/>
      <w:lvlText w:val="%1.%2"/>
      <w:lvlJc w:val="left"/>
      <w:pPr>
        <w:ind w:left="1143" w:hanging="576"/>
      </w:pPr>
      <w:rPr>
        <w:color w:val="548DD4" w:themeColor="text2" w:themeTint="99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97A4160"/>
    <w:multiLevelType w:val="hybridMultilevel"/>
    <w:tmpl w:val="7E8E9592"/>
    <w:lvl w:ilvl="0" w:tplc="A2B2FB90">
      <w:start w:val="2"/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A2434"/>
    <w:multiLevelType w:val="hybridMultilevel"/>
    <w:tmpl w:val="C4CEC82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A7FEE"/>
    <w:multiLevelType w:val="hybridMultilevel"/>
    <w:tmpl w:val="5E7E8B6C"/>
    <w:lvl w:ilvl="0" w:tplc="A2B2FB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657A1"/>
    <w:multiLevelType w:val="hybridMultilevel"/>
    <w:tmpl w:val="E96C8662"/>
    <w:lvl w:ilvl="0" w:tplc="7EDC428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C75A5C"/>
    <w:multiLevelType w:val="hybridMultilevel"/>
    <w:tmpl w:val="9DE0100C"/>
    <w:lvl w:ilvl="0" w:tplc="E6E6B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77F17"/>
    <w:multiLevelType w:val="hybridMultilevel"/>
    <w:tmpl w:val="F836D61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E07C8"/>
    <w:multiLevelType w:val="hybridMultilevel"/>
    <w:tmpl w:val="9F9830B4"/>
    <w:lvl w:ilvl="0" w:tplc="CBDC5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0209C"/>
    <w:multiLevelType w:val="hybridMultilevel"/>
    <w:tmpl w:val="D944B1C2"/>
    <w:lvl w:ilvl="0" w:tplc="A2B2FB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27D80"/>
    <w:multiLevelType w:val="hybridMultilevel"/>
    <w:tmpl w:val="673492FE"/>
    <w:lvl w:ilvl="0" w:tplc="44641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D2136"/>
    <w:multiLevelType w:val="hybridMultilevel"/>
    <w:tmpl w:val="BD9EF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84110"/>
    <w:multiLevelType w:val="hybridMultilevel"/>
    <w:tmpl w:val="1FC40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446582">
    <w:abstractNumId w:val="6"/>
  </w:num>
  <w:num w:numId="2" w16cid:durableId="129977814">
    <w:abstractNumId w:val="6"/>
  </w:num>
  <w:num w:numId="3" w16cid:durableId="515536244">
    <w:abstractNumId w:val="7"/>
  </w:num>
  <w:num w:numId="4" w16cid:durableId="675889312">
    <w:abstractNumId w:val="5"/>
  </w:num>
  <w:num w:numId="5" w16cid:durableId="487862235">
    <w:abstractNumId w:val="4"/>
  </w:num>
  <w:num w:numId="6" w16cid:durableId="1744568789">
    <w:abstractNumId w:val="15"/>
  </w:num>
  <w:num w:numId="7" w16cid:durableId="12171592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0001909">
    <w:abstractNumId w:val="14"/>
  </w:num>
  <w:num w:numId="9" w16cid:durableId="1522088613">
    <w:abstractNumId w:val="16"/>
  </w:num>
  <w:num w:numId="10" w16cid:durableId="989602323">
    <w:abstractNumId w:val="6"/>
  </w:num>
  <w:num w:numId="11" w16cid:durableId="1447651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2314978">
    <w:abstractNumId w:val="6"/>
  </w:num>
  <w:num w:numId="13" w16cid:durableId="4784981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614868">
    <w:abstractNumId w:val="6"/>
  </w:num>
  <w:num w:numId="15" w16cid:durableId="1895658533">
    <w:abstractNumId w:val="6"/>
  </w:num>
  <w:num w:numId="16" w16cid:durableId="211162940">
    <w:abstractNumId w:val="6"/>
  </w:num>
  <w:num w:numId="17" w16cid:durableId="1473907794">
    <w:abstractNumId w:val="6"/>
  </w:num>
  <w:num w:numId="18" w16cid:durableId="1777093583">
    <w:abstractNumId w:val="12"/>
  </w:num>
  <w:num w:numId="19" w16cid:durableId="404494844">
    <w:abstractNumId w:val="13"/>
  </w:num>
  <w:num w:numId="20" w16cid:durableId="439497580">
    <w:abstractNumId w:val="9"/>
  </w:num>
  <w:num w:numId="21" w16cid:durableId="162206974">
    <w:abstractNumId w:val="3"/>
  </w:num>
  <w:num w:numId="22" w16cid:durableId="1065881696">
    <w:abstractNumId w:val="0"/>
  </w:num>
  <w:num w:numId="23" w16cid:durableId="393744709">
    <w:abstractNumId w:val="6"/>
  </w:num>
  <w:num w:numId="24" w16cid:durableId="1339961900">
    <w:abstractNumId w:val="1"/>
  </w:num>
  <w:num w:numId="25" w16cid:durableId="2094275907">
    <w:abstractNumId w:val="11"/>
  </w:num>
  <w:num w:numId="26" w16cid:durableId="636230343">
    <w:abstractNumId w:val="6"/>
  </w:num>
  <w:num w:numId="27" w16cid:durableId="1375428146">
    <w:abstractNumId w:val="6"/>
  </w:num>
  <w:num w:numId="28" w16cid:durableId="214390906">
    <w:abstractNumId w:val="6"/>
  </w:num>
  <w:num w:numId="29" w16cid:durableId="173886394">
    <w:abstractNumId w:val="6"/>
  </w:num>
  <w:num w:numId="30" w16cid:durableId="1330792777">
    <w:abstractNumId w:val="6"/>
  </w:num>
  <w:num w:numId="31" w16cid:durableId="339508636">
    <w:abstractNumId w:val="6"/>
  </w:num>
  <w:num w:numId="32" w16cid:durableId="763452274">
    <w:abstractNumId w:val="6"/>
  </w:num>
  <w:num w:numId="33" w16cid:durableId="852765949">
    <w:abstractNumId w:val="6"/>
  </w:num>
  <w:num w:numId="34" w16cid:durableId="215630637">
    <w:abstractNumId w:val="6"/>
  </w:num>
  <w:num w:numId="35" w16cid:durableId="2071994377">
    <w:abstractNumId w:val="6"/>
  </w:num>
  <w:num w:numId="36" w16cid:durableId="1871603155">
    <w:abstractNumId w:val="6"/>
  </w:num>
  <w:num w:numId="37" w16cid:durableId="755445416">
    <w:abstractNumId w:val="6"/>
  </w:num>
  <w:num w:numId="38" w16cid:durableId="1481775529">
    <w:abstractNumId w:val="6"/>
  </w:num>
  <w:num w:numId="39" w16cid:durableId="368838614">
    <w:abstractNumId w:val="6"/>
  </w:num>
  <w:num w:numId="40" w16cid:durableId="444035985">
    <w:abstractNumId w:val="6"/>
  </w:num>
  <w:num w:numId="41" w16cid:durableId="814445353">
    <w:abstractNumId w:val="6"/>
  </w:num>
  <w:num w:numId="42" w16cid:durableId="669261942">
    <w:abstractNumId w:val="6"/>
  </w:num>
  <w:num w:numId="43" w16cid:durableId="1726369550">
    <w:abstractNumId w:val="10"/>
  </w:num>
  <w:num w:numId="44" w16cid:durableId="199898215">
    <w:abstractNumId w:val="2"/>
  </w:num>
  <w:num w:numId="45" w16cid:durableId="1710257586">
    <w:abstractNumId w:val="17"/>
  </w:num>
  <w:num w:numId="46" w16cid:durableId="560091897">
    <w:abstractNumId w:val="8"/>
  </w:num>
  <w:num w:numId="47" w16cid:durableId="167714781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18"/>
    <w:rsid w:val="00000038"/>
    <w:rsid w:val="00004FFB"/>
    <w:rsid w:val="00006AC0"/>
    <w:rsid w:val="00011F30"/>
    <w:rsid w:val="00024C1A"/>
    <w:rsid w:val="000253EE"/>
    <w:rsid w:val="000260B3"/>
    <w:rsid w:val="00027E35"/>
    <w:rsid w:val="000301B2"/>
    <w:rsid w:val="00031A2C"/>
    <w:rsid w:val="00031B5B"/>
    <w:rsid w:val="00031DE3"/>
    <w:rsid w:val="00032F87"/>
    <w:rsid w:val="00037F5A"/>
    <w:rsid w:val="00040220"/>
    <w:rsid w:val="000416C2"/>
    <w:rsid w:val="00043193"/>
    <w:rsid w:val="00045570"/>
    <w:rsid w:val="00051FB5"/>
    <w:rsid w:val="00053440"/>
    <w:rsid w:val="00053DFE"/>
    <w:rsid w:val="00057510"/>
    <w:rsid w:val="000607C0"/>
    <w:rsid w:val="00061BB0"/>
    <w:rsid w:val="0006254D"/>
    <w:rsid w:val="00062F47"/>
    <w:rsid w:val="00063254"/>
    <w:rsid w:val="00063461"/>
    <w:rsid w:val="0006770F"/>
    <w:rsid w:val="000678BE"/>
    <w:rsid w:val="0007434C"/>
    <w:rsid w:val="0007562E"/>
    <w:rsid w:val="00076793"/>
    <w:rsid w:val="00077507"/>
    <w:rsid w:val="0008034E"/>
    <w:rsid w:val="000825EC"/>
    <w:rsid w:val="00083B29"/>
    <w:rsid w:val="0008539F"/>
    <w:rsid w:val="00090BCF"/>
    <w:rsid w:val="0009278F"/>
    <w:rsid w:val="0009391A"/>
    <w:rsid w:val="0009456E"/>
    <w:rsid w:val="00097E43"/>
    <w:rsid w:val="000A0790"/>
    <w:rsid w:val="000A143A"/>
    <w:rsid w:val="000A1B4E"/>
    <w:rsid w:val="000A313A"/>
    <w:rsid w:val="000A399E"/>
    <w:rsid w:val="000A4004"/>
    <w:rsid w:val="000A6DEA"/>
    <w:rsid w:val="000A74E4"/>
    <w:rsid w:val="000B11C5"/>
    <w:rsid w:val="000B38E7"/>
    <w:rsid w:val="000B3D48"/>
    <w:rsid w:val="000B5380"/>
    <w:rsid w:val="000B63DD"/>
    <w:rsid w:val="000B728B"/>
    <w:rsid w:val="000C11DC"/>
    <w:rsid w:val="000C3F3D"/>
    <w:rsid w:val="000D2C64"/>
    <w:rsid w:val="000D2F5D"/>
    <w:rsid w:val="000D5FE8"/>
    <w:rsid w:val="000D7906"/>
    <w:rsid w:val="000E01A1"/>
    <w:rsid w:val="000E2518"/>
    <w:rsid w:val="000F11DC"/>
    <w:rsid w:val="000F30B4"/>
    <w:rsid w:val="000F3B98"/>
    <w:rsid w:val="000F6B8B"/>
    <w:rsid w:val="00103A25"/>
    <w:rsid w:val="00103C60"/>
    <w:rsid w:val="00104922"/>
    <w:rsid w:val="00104C25"/>
    <w:rsid w:val="001076CA"/>
    <w:rsid w:val="00110A15"/>
    <w:rsid w:val="001112FE"/>
    <w:rsid w:val="0011195F"/>
    <w:rsid w:val="00112B90"/>
    <w:rsid w:val="00112E0B"/>
    <w:rsid w:val="001148C7"/>
    <w:rsid w:val="00114C3C"/>
    <w:rsid w:val="0011507D"/>
    <w:rsid w:val="00115763"/>
    <w:rsid w:val="001172C0"/>
    <w:rsid w:val="001206E0"/>
    <w:rsid w:val="001212C5"/>
    <w:rsid w:val="00123FB2"/>
    <w:rsid w:val="001255A4"/>
    <w:rsid w:val="00127582"/>
    <w:rsid w:val="00133C12"/>
    <w:rsid w:val="00134F88"/>
    <w:rsid w:val="0014261C"/>
    <w:rsid w:val="001464B9"/>
    <w:rsid w:val="0014658A"/>
    <w:rsid w:val="00146E93"/>
    <w:rsid w:val="001502E2"/>
    <w:rsid w:val="00151200"/>
    <w:rsid w:val="00157D08"/>
    <w:rsid w:val="00160B6D"/>
    <w:rsid w:val="00162D6D"/>
    <w:rsid w:val="0016566C"/>
    <w:rsid w:val="00170AF0"/>
    <w:rsid w:val="00174DC8"/>
    <w:rsid w:val="0018281A"/>
    <w:rsid w:val="00183CDB"/>
    <w:rsid w:val="00184D13"/>
    <w:rsid w:val="00187B13"/>
    <w:rsid w:val="00187F28"/>
    <w:rsid w:val="00190810"/>
    <w:rsid w:val="0019238D"/>
    <w:rsid w:val="0019256E"/>
    <w:rsid w:val="00194345"/>
    <w:rsid w:val="001949EC"/>
    <w:rsid w:val="0019526D"/>
    <w:rsid w:val="001953C4"/>
    <w:rsid w:val="001A05B2"/>
    <w:rsid w:val="001A2873"/>
    <w:rsid w:val="001A709F"/>
    <w:rsid w:val="001B13E0"/>
    <w:rsid w:val="001B19D8"/>
    <w:rsid w:val="001B1F3B"/>
    <w:rsid w:val="001C32E3"/>
    <w:rsid w:val="001C5395"/>
    <w:rsid w:val="001C60D6"/>
    <w:rsid w:val="001D453A"/>
    <w:rsid w:val="001D493F"/>
    <w:rsid w:val="001D57D0"/>
    <w:rsid w:val="001D6505"/>
    <w:rsid w:val="001D68FA"/>
    <w:rsid w:val="001D6A41"/>
    <w:rsid w:val="001D773E"/>
    <w:rsid w:val="001E1B89"/>
    <w:rsid w:val="001E259C"/>
    <w:rsid w:val="001E4F22"/>
    <w:rsid w:val="001E5852"/>
    <w:rsid w:val="001E6240"/>
    <w:rsid w:val="001F1AE9"/>
    <w:rsid w:val="001F37EF"/>
    <w:rsid w:val="001F754C"/>
    <w:rsid w:val="001F7F9F"/>
    <w:rsid w:val="002004F0"/>
    <w:rsid w:val="0020126F"/>
    <w:rsid w:val="002021FE"/>
    <w:rsid w:val="00202FA3"/>
    <w:rsid w:val="00204564"/>
    <w:rsid w:val="00213658"/>
    <w:rsid w:val="00216058"/>
    <w:rsid w:val="002215A3"/>
    <w:rsid w:val="00222212"/>
    <w:rsid w:val="00223A54"/>
    <w:rsid w:val="00226706"/>
    <w:rsid w:val="00227024"/>
    <w:rsid w:val="00230FE0"/>
    <w:rsid w:val="00231687"/>
    <w:rsid w:val="00231C86"/>
    <w:rsid w:val="00231EC6"/>
    <w:rsid w:val="00233521"/>
    <w:rsid w:val="00235B31"/>
    <w:rsid w:val="00240C3B"/>
    <w:rsid w:val="00241275"/>
    <w:rsid w:val="00241723"/>
    <w:rsid w:val="002417FF"/>
    <w:rsid w:val="00241A52"/>
    <w:rsid w:val="002501E1"/>
    <w:rsid w:val="00252339"/>
    <w:rsid w:val="00265D65"/>
    <w:rsid w:val="002715A9"/>
    <w:rsid w:val="002734A8"/>
    <w:rsid w:val="00273951"/>
    <w:rsid w:val="00274723"/>
    <w:rsid w:val="0027701D"/>
    <w:rsid w:val="00277D50"/>
    <w:rsid w:val="00277E29"/>
    <w:rsid w:val="002802EC"/>
    <w:rsid w:val="002808C0"/>
    <w:rsid w:val="00281187"/>
    <w:rsid w:val="002819E9"/>
    <w:rsid w:val="00282D24"/>
    <w:rsid w:val="00285F62"/>
    <w:rsid w:val="0028748B"/>
    <w:rsid w:val="002909D0"/>
    <w:rsid w:val="00292BC9"/>
    <w:rsid w:val="00294B52"/>
    <w:rsid w:val="00296EAE"/>
    <w:rsid w:val="00297317"/>
    <w:rsid w:val="002976DB"/>
    <w:rsid w:val="00297B05"/>
    <w:rsid w:val="002A186A"/>
    <w:rsid w:val="002A1936"/>
    <w:rsid w:val="002A1FCE"/>
    <w:rsid w:val="002A3129"/>
    <w:rsid w:val="002A46A3"/>
    <w:rsid w:val="002B0D8B"/>
    <w:rsid w:val="002B0E5C"/>
    <w:rsid w:val="002B1DEE"/>
    <w:rsid w:val="002B2176"/>
    <w:rsid w:val="002B41C0"/>
    <w:rsid w:val="002B426A"/>
    <w:rsid w:val="002B61DB"/>
    <w:rsid w:val="002B7B2E"/>
    <w:rsid w:val="002B7E6C"/>
    <w:rsid w:val="002C0F89"/>
    <w:rsid w:val="002C15DB"/>
    <w:rsid w:val="002C4FA4"/>
    <w:rsid w:val="002C63B1"/>
    <w:rsid w:val="002C790B"/>
    <w:rsid w:val="002D1038"/>
    <w:rsid w:val="002D306E"/>
    <w:rsid w:val="002D4F71"/>
    <w:rsid w:val="002D5037"/>
    <w:rsid w:val="002D7E48"/>
    <w:rsid w:val="002E24E9"/>
    <w:rsid w:val="002E3162"/>
    <w:rsid w:val="002E38D3"/>
    <w:rsid w:val="002E3C7B"/>
    <w:rsid w:val="002E55F6"/>
    <w:rsid w:val="002E5A71"/>
    <w:rsid w:val="002E6DC3"/>
    <w:rsid w:val="002F004E"/>
    <w:rsid w:val="002F09EC"/>
    <w:rsid w:val="002F1647"/>
    <w:rsid w:val="00300276"/>
    <w:rsid w:val="00302191"/>
    <w:rsid w:val="0030366C"/>
    <w:rsid w:val="00304AD3"/>
    <w:rsid w:val="003068E5"/>
    <w:rsid w:val="003163AD"/>
    <w:rsid w:val="0031703E"/>
    <w:rsid w:val="00327C26"/>
    <w:rsid w:val="003336EB"/>
    <w:rsid w:val="003341CE"/>
    <w:rsid w:val="00335886"/>
    <w:rsid w:val="003373F9"/>
    <w:rsid w:val="00337D44"/>
    <w:rsid w:val="00337E1B"/>
    <w:rsid w:val="00340F91"/>
    <w:rsid w:val="003424FF"/>
    <w:rsid w:val="00345B63"/>
    <w:rsid w:val="00350958"/>
    <w:rsid w:val="003512AA"/>
    <w:rsid w:val="00352256"/>
    <w:rsid w:val="00353402"/>
    <w:rsid w:val="00354BC0"/>
    <w:rsid w:val="00355ECC"/>
    <w:rsid w:val="00356453"/>
    <w:rsid w:val="003606E1"/>
    <w:rsid w:val="0036223B"/>
    <w:rsid w:val="003623D6"/>
    <w:rsid w:val="00366E72"/>
    <w:rsid w:val="003670AE"/>
    <w:rsid w:val="00370655"/>
    <w:rsid w:val="00370E7C"/>
    <w:rsid w:val="00371D20"/>
    <w:rsid w:val="0037242C"/>
    <w:rsid w:val="00372733"/>
    <w:rsid w:val="00373EF5"/>
    <w:rsid w:val="00373F27"/>
    <w:rsid w:val="00375E08"/>
    <w:rsid w:val="00380181"/>
    <w:rsid w:val="0038099D"/>
    <w:rsid w:val="00381473"/>
    <w:rsid w:val="00382F79"/>
    <w:rsid w:val="003877D6"/>
    <w:rsid w:val="00390FBC"/>
    <w:rsid w:val="00393055"/>
    <w:rsid w:val="0039351C"/>
    <w:rsid w:val="003967FB"/>
    <w:rsid w:val="003A2948"/>
    <w:rsid w:val="003A4690"/>
    <w:rsid w:val="003A6B40"/>
    <w:rsid w:val="003A6EE5"/>
    <w:rsid w:val="003B435C"/>
    <w:rsid w:val="003B7239"/>
    <w:rsid w:val="003B7915"/>
    <w:rsid w:val="003C12EC"/>
    <w:rsid w:val="003C15B5"/>
    <w:rsid w:val="003C2832"/>
    <w:rsid w:val="003C71F1"/>
    <w:rsid w:val="003D0BA9"/>
    <w:rsid w:val="003D2FB9"/>
    <w:rsid w:val="003D353E"/>
    <w:rsid w:val="003E04E5"/>
    <w:rsid w:val="003E4436"/>
    <w:rsid w:val="003E6592"/>
    <w:rsid w:val="003E6D42"/>
    <w:rsid w:val="003E79FE"/>
    <w:rsid w:val="003F0575"/>
    <w:rsid w:val="003F1627"/>
    <w:rsid w:val="003F71A3"/>
    <w:rsid w:val="003F7997"/>
    <w:rsid w:val="004008D3"/>
    <w:rsid w:val="00401149"/>
    <w:rsid w:val="00401B43"/>
    <w:rsid w:val="00401F1F"/>
    <w:rsid w:val="0040207B"/>
    <w:rsid w:val="004022B0"/>
    <w:rsid w:val="004041CB"/>
    <w:rsid w:val="004058CD"/>
    <w:rsid w:val="00406E8A"/>
    <w:rsid w:val="0040700B"/>
    <w:rsid w:val="00410220"/>
    <w:rsid w:val="0041293D"/>
    <w:rsid w:val="00413CAD"/>
    <w:rsid w:val="00414551"/>
    <w:rsid w:val="00414970"/>
    <w:rsid w:val="00421AFA"/>
    <w:rsid w:val="00422061"/>
    <w:rsid w:val="004221F9"/>
    <w:rsid w:val="00422440"/>
    <w:rsid w:val="00424C6C"/>
    <w:rsid w:val="00425B1D"/>
    <w:rsid w:val="00426013"/>
    <w:rsid w:val="0042706F"/>
    <w:rsid w:val="004322C9"/>
    <w:rsid w:val="00432CD3"/>
    <w:rsid w:val="00433D12"/>
    <w:rsid w:val="0043411A"/>
    <w:rsid w:val="0043669D"/>
    <w:rsid w:val="00437542"/>
    <w:rsid w:val="00442797"/>
    <w:rsid w:val="00442CA6"/>
    <w:rsid w:val="0044353D"/>
    <w:rsid w:val="004454A7"/>
    <w:rsid w:val="00446418"/>
    <w:rsid w:val="00453DD6"/>
    <w:rsid w:val="0046051B"/>
    <w:rsid w:val="004626DD"/>
    <w:rsid w:val="004628A6"/>
    <w:rsid w:val="00466094"/>
    <w:rsid w:val="00466DDE"/>
    <w:rsid w:val="00467DF1"/>
    <w:rsid w:val="00473E2D"/>
    <w:rsid w:val="00477840"/>
    <w:rsid w:val="00481382"/>
    <w:rsid w:val="00483B5D"/>
    <w:rsid w:val="00485207"/>
    <w:rsid w:val="00485BE6"/>
    <w:rsid w:val="004879CE"/>
    <w:rsid w:val="00487B1B"/>
    <w:rsid w:val="00490199"/>
    <w:rsid w:val="00491188"/>
    <w:rsid w:val="00492385"/>
    <w:rsid w:val="00495F93"/>
    <w:rsid w:val="00497B15"/>
    <w:rsid w:val="00497FDD"/>
    <w:rsid w:val="004A1B2D"/>
    <w:rsid w:val="004A1C7A"/>
    <w:rsid w:val="004A3D95"/>
    <w:rsid w:val="004A43D2"/>
    <w:rsid w:val="004B73C4"/>
    <w:rsid w:val="004B789D"/>
    <w:rsid w:val="004C04A8"/>
    <w:rsid w:val="004C0E64"/>
    <w:rsid w:val="004C37EA"/>
    <w:rsid w:val="004C4242"/>
    <w:rsid w:val="004C4B5C"/>
    <w:rsid w:val="004C6938"/>
    <w:rsid w:val="004D2A6C"/>
    <w:rsid w:val="004D36BB"/>
    <w:rsid w:val="004D4A2B"/>
    <w:rsid w:val="004D4DC2"/>
    <w:rsid w:val="004D5122"/>
    <w:rsid w:val="004D5163"/>
    <w:rsid w:val="004D57E0"/>
    <w:rsid w:val="004D6172"/>
    <w:rsid w:val="004D61CE"/>
    <w:rsid w:val="004E3307"/>
    <w:rsid w:val="004E4C2A"/>
    <w:rsid w:val="004E55EF"/>
    <w:rsid w:val="004E7CEC"/>
    <w:rsid w:val="004F012B"/>
    <w:rsid w:val="004F2B04"/>
    <w:rsid w:val="004F3C19"/>
    <w:rsid w:val="004F43EF"/>
    <w:rsid w:val="004F4901"/>
    <w:rsid w:val="004F4C78"/>
    <w:rsid w:val="004F5104"/>
    <w:rsid w:val="00501DD6"/>
    <w:rsid w:val="005025FC"/>
    <w:rsid w:val="00503656"/>
    <w:rsid w:val="005051A5"/>
    <w:rsid w:val="005062C0"/>
    <w:rsid w:val="00506D2D"/>
    <w:rsid w:val="0050712D"/>
    <w:rsid w:val="00507376"/>
    <w:rsid w:val="00511BB9"/>
    <w:rsid w:val="005122C7"/>
    <w:rsid w:val="00512422"/>
    <w:rsid w:val="005124F4"/>
    <w:rsid w:val="00512B9F"/>
    <w:rsid w:val="00514CB0"/>
    <w:rsid w:val="005159A8"/>
    <w:rsid w:val="0051737E"/>
    <w:rsid w:val="00520A73"/>
    <w:rsid w:val="00522417"/>
    <w:rsid w:val="0052460C"/>
    <w:rsid w:val="00526A17"/>
    <w:rsid w:val="00527406"/>
    <w:rsid w:val="0053107E"/>
    <w:rsid w:val="00531206"/>
    <w:rsid w:val="005326AB"/>
    <w:rsid w:val="00534B0E"/>
    <w:rsid w:val="00535EE2"/>
    <w:rsid w:val="00536A69"/>
    <w:rsid w:val="005401C9"/>
    <w:rsid w:val="00542FB7"/>
    <w:rsid w:val="005441A7"/>
    <w:rsid w:val="005450EF"/>
    <w:rsid w:val="0054552E"/>
    <w:rsid w:val="005462AF"/>
    <w:rsid w:val="00546BE3"/>
    <w:rsid w:val="0055072A"/>
    <w:rsid w:val="00551553"/>
    <w:rsid w:val="0055275F"/>
    <w:rsid w:val="0055649C"/>
    <w:rsid w:val="00556B53"/>
    <w:rsid w:val="005574F1"/>
    <w:rsid w:val="0056176A"/>
    <w:rsid w:val="00564F00"/>
    <w:rsid w:val="00567D61"/>
    <w:rsid w:val="00570E70"/>
    <w:rsid w:val="00571646"/>
    <w:rsid w:val="00571C6B"/>
    <w:rsid w:val="00572491"/>
    <w:rsid w:val="005759CE"/>
    <w:rsid w:val="00575E93"/>
    <w:rsid w:val="00576A1B"/>
    <w:rsid w:val="00576D5B"/>
    <w:rsid w:val="00577DA0"/>
    <w:rsid w:val="0058078A"/>
    <w:rsid w:val="005834FF"/>
    <w:rsid w:val="0058419A"/>
    <w:rsid w:val="00586311"/>
    <w:rsid w:val="005906E8"/>
    <w:rsid w:val="005921D3"/>
    <w:rsid w:val="0059615C"/>
    <w:rsid w:val="00596E4E"/>
    <w:rsid w:val="005A10F3"/>
    <w:rsid w:val="005A2DE6"/>
    <w:rsid w:val="005A7599"/>
    <w:rsid w:val="005A7A18"/>
    <w:rsid w:val="005B5EDE"/>
    <w:rsid w:val="005C07A6"/>
    <w:rsid w:val="005C0B43"/>
    <w:rsid w:val="005C0C15"/>
    <w:rsid w:val="005C0E43"/>
    <w:rsid w:val="005C1956"/>
    <w:rsid w:val="005C271A"/>
    <w:rsid w:val="005C5117"/>
    <w:rsid w:val="005C5159"/>
    <w:rsid w:val="005D08D5"/>
    <w:rsid w:val="005D335B"/>
    <w:rsid w:val="005D347A"/>
    <w:rsid w:val="005D6220"/>
    <w:rsid w:val="005E2191"/>
    <w:rsid w:val="005E23A3"/>
    <w:rsid w:val="005E3866"/>
    <w:rsid w:val="005E5C45"/>
    <w:rsid w:val="005E7D60"/>
    <w:rsid w:val="005F4277"/>
    <w:rsid w:val="005F5FFC"/>
    <w:rsid w:val="005F6DB9"/>
    <w:rsid w:val="005F6DE9"/>
    <w:rsid w:val="00600D84"/>
    <w:rsid w:val="00600F73"/>
    <w:rsid w:val="00603B42"/>
    <w:rsid w:val="00605689"/>
    <w:rsid w:val="00605A44"/>
    <w:rsid w:val="00607088"/>
    <w:rsid w:val="00610BE5"/>
    <w:rsid w:val="00612082"/>
    <w:rsid w:val="0061262A"/>
    <w:rsid w:val="006172C1"/>
    <w:rsid w:val="0062195F"/>
    <w:rsid w:val="00621FD4"/>
    <w:rsid w:val="0062268A"/>
    <w:rsid w:val="00622E21"/>
    <w:rsid w:val="00630B3A"/>
    <w:rsid w:val="006343FB"/>
    <w:rsid w:val="00635B18"/>
    <w:rsid w:val="00636246"/>
    <w:rsid w:val="006375CD"/>
    <w:rsid w:val="00637AA2"/>
    <w:rsid w:val="00640E40"/>
    <w:rsid w:val="00651C36"/>
    <w:rsid w:val="006525D6"/>
    <w:rsid w:val="00652A92"/>
    <w:rsid w:val="00660C6F"/>
    <w:rsid w:val="006656BF"/>
    <w:rsid w:val="00667535"/>
    <w:rsid w:val="006704B3"/>
    <w:rsid w:val="00670FE6"/>
    <w:rsid w:val="00671CF6"/>
    <w:rsid w:val="00674400"/>
    <w:rsid w:val="006767EF"/>
    <w:rsid w:val="00676B51"/>
    <w:rsid w:val="0068187F"/>
    <w:rsid w:val="006818CF"/>
    <w:rsid w:val="006840E6"/>
    <w:rsid w:val="00684E68"/>
    <w:rsid w:val="00686879"/>
    <w:rsid w:val="00687308"/>
    <w:rsid w:val="006938EC"/>
    <w:rsid w:val="00693BB0"/>
    <w:rsid w:val="00693C82"/>
    <w:rsid w:val="00696777"/>
    <w:rsid w:val="00696E41"/>
    <w:rsid w:val="006A0A45"/>
    <w:rsid w:val="006A1E1B"/>
    <w:rsid w:val="006A423A"/>
    <w:rsid w:val="006A6C3D"/>
    <w:rsid w:val="006A6EE1"/>
    <w:rsid w:val="006A772C"/>
    <w:rsid w:val="006B0148"/>
    <w:rsid w:val="006B1538"/>
    <w:rsid w:val="006B1712"/>
    <w:rsid w:val="006B3476"/>
    <w:rsid w:val="006B3EEC"/>
    <w:rsid w:val="006B48A0"/>
    <w:rsid w:val="006B71DF"/>
    <w:rsid w:val="006B799C"/>
    <w:rsid w:val="006C01DD"/>
    <w:rsid w:val="006C0F4E"/>
    <w:rsid w:val="006C2C0D"/>
    <w:rsid w:val="006C46A2"/>
    <w:rsid w:val="006C500A"/>
    <w:rsid w:val="006C500F"/>
    <w:rsid w:val="006D1419"/>
    <w:rsid w:val="006D26E9"/>
    <w:rsid w:val="006D5770"/>
    <w:rsid w:val="006E01CE"/>
    <w:rsid w:val="006E0762"/>
    <w:rsid w:val="006E13D8"/>
    <w:rsid w:val="006E3977"/>
    <w:rsid w:val="006E50D3"/>
    <w:rsid w:val="006F1A67"/>
    <w:rsid w:val="006F3DEB"/>
    <w:rsid w:val="006F408C"/>
    <w:rsid w:val="006F4392"/>
    <w:rsid w:val="006F4D30"/>
    <w:rsid w:val="006F5521"/>
    <w:rsid w:val="00702C4E"/>
    <w:rsid w:val="00703727"/>
    <w:rsid w:val="00703C3F"/>
    <w:rsid w:val="007047CC"/>
    <w:rsid w:val="0070538E"/>
    <w:rsid w:val="0070582B"/>
    <w:rsid w:val="0070636C"/>
    <w:rsid w:val="007116D9"/>
    <w:rsid w:val="0071188C"/>
    <w:rsid w:val="00711D3A"/>
    <w:rsid w:val="00712C78"/>
    <w:rsid w:val="00713E18"/>
    <w:rsid w:val="007153B2"/>
    <w:rsid w:val="0071615B"/>
    <w:rsid w:val="0071624F"/>
    <w:rsid w:val="0071657A"/>
    <w:rsid w:val="007169A7"/>
    <w:rsid w:val="00717D96"/>
    <w:rsid w:val="00720B6E"/>
    <w:rsid w:val="007232D9"/>
    <w:rsid w:val="00724AA0"/>
    <w:rsid w:val="007259FD"/>
    <w:rsid w:val="00727CAD"/>
    <w:rsid w:val="00731426"/>
    <w:rsid w:val="007322DF"/>
    <w:rsid w:val="007345FC"/>
    <w:rsid w:val="007346D4"/>
    <w:rsid w:val="00737251"/>
    <w:rsid w:val="00741EC9"/>
    <w:rsid w:val="00742100"/>
    <w:rsid w:val="00746406"/>
    <w:rsid w:val="007500F6"/>
    <w:rsid w:val="00751267"/>
    <w:rsid w:val="00751874"/>
    <w:rsid w:val="0075257C"/>
    <w:rsid w:val="007526C5"/>
    <w:rsid w:val="00752D3E"/>
    <w:rsid w:val="0075419C"/>
    <w:rsid w:val="00755C8C"/>
    <w:rsid w:val="00757D68"/>
    <w:rsid w:val="007622C1"/>
    <w:rsid w:val="0076338F"/>
    <w:rsid w:val="0076350B"/>
    <w:rsid w:val="0076462D"/>
    <w:rsid w:val="0076485E"/>
    <w:rsid w:val="0077030E"/>
    <w:rsid w:val="0077031B"/>
    <w:rsid w:val="00772EF0"/>
    <w:rsid w:val="007732EA"/>
    <w:rsid w:val="00776F94"/>
    <w:rsid w:val="00777F28"/>
    <w:rsid w:val="00781414"/>
    <w:rsid w:val="00781A2C"/>
    <w:rsid w:val="00782830"/>
    <w:rsid w:val="00784BC2"/>
    <w:rsid w:val="007855E7"/>
    <w:rsid w:val="007866CB"/>
    <w:rsid w:val="00786C6A"/>
    <w:rsid w:val="00787DED"/>
    <w:rsid w:val="00793D2E"/>
    <w:rsid w:val="0079553F"/>
    <w:rsid w:val="007965F4"/>
    <w:rsid w:val="00797999"/>
    <w:rsid w:val="007A12F3"/>
    <w:rsid w:val="007A3594"/>
    <w:rsid w:val="007A5863"/>
    <w:rsid w:val="007B107B"/>
    <w:rsid w:val="007B1413"/>
    <w:rsid w:val="007B3C23"/>
    <w:rsid w:val="007B48AD"/>
    <w:rsid w:val="007B548C"/>
    <w:rsid w:val="007B6807"/>
    <w:rsid w:val="007B78D9"/>
    <w:rsid w:val="007C26AA"/>
    <w:rsid w:val="007C7182"/>
    <w:rsid w:val="007C71DA"/>
    <w:rsid w:val="007C7689"/>
    <w:rsid w:val="007D00E8"/>
    <w:rsid w:val="007D27CB"/>
    <w:rsid w:val="007D3121"/>
    <w:rsid w:val="007D5A2E"/>
    <w:rsid w:val="007D638D"/>
    <w:rsid w:val="007D7B3F"/>
    <w:rsid w:val="007D7C9C"/>
    <w:rsid w:val="007E098E"/>
    <w:rsid w:val="007E2192"/>
    <w:rsid w:val="007E2CBE"/>
    <w:rsid w:val="007E43FC"/>
    <w:rsid w:val="007E4B5F"/>
    <w:rsid w:val="007E68B1"/>
    <w:rsid w:val="007E6CD2"/>
    <w:rsid w:val="007E7A0B"/>
    <w:rsid w:val="007F3E25"/>
    <w:rsid w:val="007F6C98"/>
    <w:rsid w:val="008011F8"/>
    <w:rsid w:val="008012FF"/>
    <w:rsid w:val="00801BED"/>
    <w:rsid w:val="00801CC0"/>
    <w:rsid w:val="00802692"/>
    <w:rsid w:val="008028D2"/>
    <w:rsid w:val="00804EAB"/>
    <w:rsid w:val="008052ED"/>
    <w:rsid w:val="008104DA"/>
    <w:rsid w:val="00811B67"/>
    <w:rsid w:val="00814EFB"/>
    <w:rsid w:val="00821012"/>
    <w:rsid w:val="0082120C"/>
    <w:rsid w:val="00822B9F"/>
    <w:rsid w:val="008251D4"/>
    <w:rsid w:val="0082569E"/>
    <w:rsid w:val="008256AA"/>
    <w:rsid w:val="0082580B"/>
    <w:rsid w:val="00830526"/>
    <w:rsid w:val="00833686"/>
    <w:rsid w:val="00837AE2"/>
    <w:rsid w:val="00840D1D"/>
    <w:rsid w:val="0084125F"/>
    <w:rsid w:val="00846DFC"/>
    <w:rsid w:val="008477A2"/>
    <w:rsid w:val="00851D78"/>
    <w:rsid w:val="008541E7"/>
    <w:rsid w:val="00855239"/>
    <w:rsid w:val="00855580"/>
    <w:rsid w:val="00856E5C"/>
    <w:rsid w:val="008628AC"/>
    <w:rsid w:val="008664B3"/>
    <w:rsid w:val="00866DC5"/>
    <w:rsid w:val="008674F0"/>
    <w:rsid w:val="008704C6"/>
    <w:rsid w:val="00871B16"/>
    <w:rsid w:val="00872E77"/>
    <w:rsid w:val="00873122"/>
    <w:rsid w:val="0087409D"/>
    <w:rsid w:val="00875469"/>
    <w:rsid w:val="00877D94"/>
    <w:rsid w:val="00882447"/>
    <w:rsid w:val="00887600"/>
    <w:rsid w:val="00891A93"/>
    <w:rsid w:val="0089230C"/>
    <w:rsid w:val="00892C7B"/>
    <w:rsid w:val="008935A5"/>
    <w:rsid w:val="00895AFD"/>
    <w:rsid w:val="00895EFF"/>
    <w:rsid w:val="00895FA0"/>
    <w:rsid w:val="00896400"/>
    <w:rsid w:val="00896D2D"/>
    <w:rsid w:val="00897DA9"/>
    <w:rsid w:val="008A24A7"/>
    <w:rsid w:val="008A2724"/>
    <w:rsid w:val="008A38BC"/>
    <w:rsid w:val="008A3D94"/>
    <w:rsid w:val="008A7C4A"/>
    <w:rsid w:val="008B2FE1"/>
    <w:rsid w:val="008B63A3"/>
    <w:rsid w:val="008C036F"/>
    <w:rsid w:val="008C21E2"/>
    <w:rsid w:val="008C3E15"/>
    <w:rsid w:val="008C4E53"/>
    <w:rsid w:val="008C5F7F"/>
    <w:rsid w:val="008C6359"/>
    <w:rsid w:val="008C7D5E"/>
    <w:rsid w:val="008C7DBA"/>
    <w:rsid w:val="008D11CE"/>
    <w:rsid w:val="008D3535"/>
    <w:rsid w:val="008D4A65"/>
    <w:rsid w:val="008D61B6"/>
    <w:rsid w:val="008D7E21"/>
    <w:rsid w:val="008E2D2E"/>
    <w:rsid w:val="008E44F7"/>
    <w:rsid w:val="008E549F"/>
    <w:rsid w:val="008E560A"/>
    <w:rsid w:val="008E6DFE"/>
    <w:rsid w:val="008F01BE"/>
    <w:rsid w:val="008F1364"/>
    <w:rsid w:val="008F200B"/>
    <w:rsid w:val="008F28FB"/>
    <w:rsid w:val="008F2B09"/>
    <w:rsid w:val="00903D8C"/>
    <w:rsid w:val="0091288D"/>
    <w:rsid w:val="0091348D"/>
    <w:rsid w:val="0091418C"/>
    <w:rsid w:val="00915928"/>
    <w:rsid w:val="00915E35"/>
    <w:rsid w:val="00916F37"/>
    <w:rsid w:val="009253F3"/>
    <w:rsid w:val="0092694D"/>
    <w:rsid w:val="00926DE6"/>
    <w:rsid w:val="00933391"/>
    <w:rsid w:val="00934A27"/>
    <w:rsid w:val="00934DAC"/>
    <w:rsid w:val="00935624"/>
    <w:rsid w:val="00937BCB"/>
    <w:rsid w:val="009428A6"/>
    <w:rsid w:val="00943311"/>
    <w:rsid w:val="0094410C"/>
    <w:rsid w:val="009472B5"/>
    <w:rsid w:val="00951201"/>
    <w:rsid w:val="00954659"/>
    <w:rsid w:val="00955CB9"/>
    <w:rsid w:val="00956066"/>
    <w:rsid w:val="00956576"/>
    <w:rsid w:val="00960CC3"/>
    <w:rsid w:val="0096378C"/>
    <w:rsid w:val="00963982"/>
    <w:rsid w:val="00963C79"/>
    <w:rsid w:val="00967FFD"/>
    <w:rsid w:val="00970EC4"/>
    <w:rsid w:val="009714E5"/>
    <w:rsid w:val="00971D7D"/>
    <w:rsid w:val="0097255B"/>
    <w:rsid w:val="009730A4"/>
    <w:rsid w:val="009826E0"/>
    <w:rsid w:val="00983DC6"/>
    <w:rsid w:val="00984472"/>
    <w:rsid w:val="00984741"/>
    <w:rsid w:val="00984B15"/>
    <w:rsid w:val="00984CC8"/>
    <w:rsid w:val="009852E0"/>
    <w:rsid w:val="009878BE"/>
    <w:rsid w:val="0099010E"/>
    <w:rsid w:val="00992B20"/>
    <w:rsid w:val="009977AD"/>
    <w:rsid w:val="009A1B7D"/>
    <w:rsid w:val="009A2206"/>
    <w:rsid w:val="009A2ADB"/>
    <w:rsid w:val="009A2E5A"/>
    <w:rsid w:val="009A6044"/>
    <w:rsid w:val="009A66CD"/>
    <w:rsid w:val="009A6F3F"/>
    <w:rsid w:val="009A7A2E"/>
    <w:rsid w:val="009B25AA"/>
    <w:rsid w:val="009B32EE"/>
    <w:rsid w:val="009B345C"/>
    <w:rsid w:val="009B4685"/>
    <w:rsid w:val="009B473F"/>
    <w:rsid w:val="009B6F7E"/>
    <w:rsid w:val="009B72C9"/>
    <w:rsid w:val="009C69CF"/>
    <w:rsid w:val="009C7B7F"/>
    <w:rsid w:val="009D1694"/>
    <w:rsid w:val="009D6D29"/>
    <w:rsid w:val="009E144C"/>
    <w:rsid w:val="009E2618"/>
    <w:rsid w:val="009E3E4E"/>
    <w:rsid w:val="009E41B7"/>
    <w:rsid w:val="009E600E"/>
    <w:rsid w:val="009E6637"/>
    <w:rsid w:val="009E6F48"/>
    <w:rsid w:val="009F2E80"/>
    <w:rsid w:val="009F31CE"/>
    <w:rsid w:val="009F4640"/>
    <w:rsid w:val="009F47C1"/>
    <w:rsid w:val="009F4A48"/>
    <w:rsid w:val="00A002AD"/>
    <w:rsid w:val="00A04824"/>
    <w:rsid w:val="00A04980"/>
    <w:rsid w:val="00A068AA"/>
    <w:rsid w:val="00A10BE6"/>
    <w:rsid w:val="00A114CB"/>
    <w:rsid w:val="00A15A40"/>
    <w:rsid w:val="00A15C4D"/>
    <w:rsid w:val="00A22EB6"/>
    <w:rsid w:val="00A245F2"/>
    <w:rsid w:val="00A24DC8"/>
    <w:rsid w:val="00A2575C"/>
    <w:rsid w:val="00A260CD"/>
    <w:rsid w:val="00A26E42"/>
    <w:rsid w:val="00A27085"/>
    <w:rsid w:val="00A30076"/>
    <w:rsid w:val="00A303B6"/>
    <w:rsid w:val="00A31B4C"/>
    <w:rsid w:val="00A3267C"/>
    <w:rsid w:val="00A33401"/>
    <w:rsid w:val="00A33F0D"/>
    <w:rsid w:val="00A375F8"/>
    <w:rsid w:val="00A4004A"/>
    <w:rsid w:val="00A42577"/>
    <w:rsid w:val="00A434AF"/>
    <w:rsid w:val="00A43B1E"/>
    <w:rsid w:val="00A43D31"/>
    <w:rsid w:val="00A445F7"/>
    <w:rsid w:val="00A459E8"/>
    <w:rsid w:val="00A45CBF"/>
    <w:rsid w:val="00A4680F"/>
    <w:rsid w:val="00A4760B"/>
    <w:rsid w:val="00A52801"/>
    <w:rsid w:val="00A534AA"/>
    <w:rsid w:val="00A55119"/>
    <w:rsid w:val="00A5651F"/>
    <w:rsid w:val="00A60610"/>
    <w:rsid w:val="00A6103D"/>
    <w:rsid w:val="00A629FC"/>
    <w:rsid w:val="00A6308C"/>
    <w:rsid w:val="00A64F03"/>
    <w:rsid w:val="00A66BD6"/>
    <w:rsid w:val="00A703B2"/>
    <w:rsid w:val="00A7232E"/>
    <w:rsid w:val="00A7245F"/>
    <w:rsid w:val="00A72C6C"/>
    <w:rsid w:val="00A73A76"/>
    <w:rsid w:val="00A74BEA"/>
    <w:rsid w:val="00A75031"/>
    <w:rsid w:val="00A8129E"/>
    <w:rsid w:val="00A813D6"/>
    <w:rsid w:val="00A82BA6"/>
    <w:rsid w:val="00A84509"/>
    <w:rsid w:val="00A84734"/>
    <w:rsid w:val="00A863A4"/>
    <w:rsid w:val="00A86D48"/>
    <w:rsid w:val="00A87015"/>
    <w:rsid w:val="00A873AE"/>
    <w:rsid w:val="00A8799C"/>
    <w:rsid w:val="00A90F8F"/>
    <w:rsid w:val="00A91744"/>
    <w:rsid w:val="00A94B30"/>
    <w:rsid w:val="00A950AD"/>
    <w:rsid w:val="00A97322"/>
    <w:rsid w:val="00A97C74"/>
    <w:rsid w:val="00AA012F"/>
    <w:rsid w:val="00AA3CF7"/>
    <w:rsid w:val="00AA3D9F"/>
    <w:rsid w:val="00AA51C7"/>
    <w:rsid w:val="00AB3E52"/>
    <w:rsid w:val="00AB6CFE"/>
    <w:rsid w:val="00AC0289"/>
    <w:rsid w:val="00AC0767"/>
    <w:rsid w:val="00AC0CB4"/>
    <w:rsid w:val="00AC36FA"/>
    <w:rsid w:val="00AC50C1"/>
    <w:rsid w:val="00AC56C8"/>
    <w:rsid w:val="00AC7551"/>
    <w:rsid w:val="00AD0AAF"/>
    <w:rsid w:val="00AD34AD"/>
    <w:rsid w:val="00AE1E17"/>
    <w:rsid w:val="00AE7B34"/>
    <w:rsid w:val="00AF2A28"/>
    <w:rsid w:val="00AF58FE"/>
    <w:rsid w:val="00AF6C71"/>
    <w:rsid w:val="00B00CED"/>
    <w:rsid w:val="00B042DD"/>
    <w:rsid w:val="00B06A27"/>
    <w:rsid w:val="00B139D5"/>
    <w:rsid w:val="00B13C13"/>
    <w:rsid w:val="00B1557D"/>
    <w:rsid w:val="00B17262"/>
    <w:rsid w:val="00B20694"/>
    <w:rsid w:val="00B21530"/>
    <w:rsid w:val="00B21E2B"/>
    <w:rsid w:val="00B23684"/>
    <w:rsid w:val="00B27C48"/>
    <w:rsid w:val="00B312F8"/>
    <w:rsid w:val="00B335CA"/>
    <w:rsid w:val="00B340C1"/>
    <w:rsid w:val="00B3718E"/>
    <w:rsid w:val="00B4316E"/>
    <w:rsid w:val="00B44A3D"/>
    <w:rsid w:val="00B474A4"/>
    <w:rsid w:val="00B504F7"/>
    <w:rsid w:val="00B51419"/>
    <w:rsid w:val="00B525E8"/>
    <w:rsid w:val="00B55496"/>
    <w:rsid w:val="00B619B0"/>
    <w:rsid w:val="00B62081"/>
    <w:rsid w:val="00B67775"/>
    <w:rsid w:val="00B67A5E"/>
    <w:rsid w:val="00B711F0"/>
    <w:rsid w:val="00B72C0D"/>
    <w:rsid w:val="00B75E3F"/>
    <w:rsid w:val="00B803AE"/>
    <w:rsid w:val="00B8136D"/>
    <w:rsid w:val="00B8321E"/>
    <w:rsid w:val="00B84AD3"/>
    <w:rsid w:val="00B84F58"/>
    <w:rsid w:val="00B85F65"/>
    <w:rsid w:val="00B87B9E"/>
    <w:rsid w:val="00B9088F"/>
    <w:rsid w:val="00B94F31"/>
    <w:rsid w:val="00B95660"/>
    <w:rsid w:val="00B97ACE"/>
    <w:rsid w:val="00BA29CF"/>
    <w:rsid w:val="00BA309D"/>
    <w:rsid w:val="00BA556D"/>
    <w:rsid w:val="00BA5CA0"/>
    <w:rsid w:val="00BA661D"/>
    <w:rsid w:val="00BB2F3D"/>
    <w:rsid w:val="00BB40EE"/>
    <w:rsid w:val="00BB5870"/>
    <w:rsid w:val="00BC16FD"/>
    <w:rsid w:val="00BC5F0E"/>
    <w:rsid w:val="00BC71EA"/>
    <w:rsid w:val="00BC7C20"/>
    <w:rsid w:val="00BD38F6"/>
    <w:rsid w:val="00BD3C85"/>
    <w:rsid w:val="00BD5335"/>
    <w:rsid w:val="00BE08F6"/>
    <w:rsid w:val="00BE226A"/>
    <w:rsid w:val="00BE2CAF"/>
    <w:rsid w:val="00BE44CD"/>
    <w:rsid w:val="00BF1A3D"/>
    <w:rsid w:val="00BF1BC3"/>
    <w:rsid w:val="00BF4F98"/>
    <w:rsid w:val="00BF7D27"/>
    <w:rsid w:val="00C021A6"/>
    <w:rsid w:val="00C02946"/>
    <w:rsid w:val="00C144D5"/>
    <w:rsid w:val="00C15111"/>
    <w:rsid w:val="00C1543D"/>
    <w:rsid w:val="00C16671"/>
    <w:rsid w:val="00C17463"/>
    <w:rsid w:val="00C17F36"/>
    <w:rsid w:val="00C21C46"/>
    <w:rsid w:val="00C24020"/>
    <w:rsid w:val="00C24EB2"/>
    <w:rsid w:val="00C2606C"/>
    <w:rsid w:val="00C2640F"/>
    <w:rsid w:val="00C275A2"/>
    <w:rsid w:val="00C307B8"/>
    <w:rsid w:val="00C30B4B"/>
    <w:rsid w:val="00C3162A"/>
    <w:rsid w:val="00C32D11"/>
    <w:rsid w:val="00C33413"/>
    <w:rsid w:val="00C35DB1"/>
    <w:rsid w:val="00C3615D"/>
    <w:rsid w:val="00C365CF"/>
    <w:rsid w:val="00C36A2D"/>
    <w:rsid w:val="00C401BA"/>
    <w:rsid w:val="00C41B85"/>
    <w:rsid w:val="00C427AE"/>
    <w:rsid w:val="00C45EBA"/>
    <w:rsid w:val="00C460D5"/>
    <w:rsid w:val="00C46DE2"/>
    <w:rsid w:val="00C47505"/>
    <w:rsid w:val="00C5060A"/>
    <w:rsid w:val="00C51626"/>
    <w:rsid w:val="00C53BD3"/>
    <w:rsid w:val="00C5523D"/>
    <w:rsid w:val="00C6125F"/>
    <w:rsid w:val="00C61966"/>
    <w:rsid w:val="00C646B8"/>
    <w:rsid w:val="00C64A54"/>
    <w:rsid w:val="00C64D16"/>
    <w:rsid w:val="00C72F12"/>
    <w:rsid w:val="00C81B7B"/>
    <w:rsid w:val="00C827C9"/>
    <w:rsid w:val="00C833CF"/>
    <w:rsid w:val="00C84C17"/>
    <w:rsid w:val="00C86529"/>
    <w:rsid w:val="00C90074"/>
    <w:rsid w:val="00C9156B"/>
    <w:rsid w:val="00C9356C"/>
    <w:rsid w:val="00C93CA6"/>
    <w:rsid w:val="00C9720B"/>
    <w:rsid w:val="00CA0019"/>
    <w:rsid w:val="00CA1FFA"/>
    <w:rsid w:val="00CA2688"/>
    <w:rsid w:val="00CA29F8"/>
    <w:rsid w:val="00CA7AFC"/>
    <w:rsid w:val="00CB09C7"/>
    <w:rsid w:val="00CB1118"/>
    <w:rsid w:val="00CB27E7"/>
    <w:rsid w:val="00CB394B"/>
    <w:rsid w:val="00CB5838"/>
    <w:rsid w:val="00CB5D17"/>
    <w:rsid w:val="00CB6D53"/>
    <w:rsid w:val="00CB7478"/>
    <w:rsid w:val="00CB7F84"/>
    <w:rsid w:val="00CC39A6"/>
    <w:rsid w:val="00CC39E7"/>
    <w:rsid w:val="00CC598D"/>
    <w:rsid w:val="00CC6668"/>
    <w:rsid w:val="00CD1C8B"/>
    <w:rsid w:val="00CD38BC"/>
    <w:rsid w:val="00CD5760"/>
    <w:rsid w:val="00CE1AA7"/>
    <w:rsid w:val="00CE2721"/>
    <w:rsid w:val="00CE3787"/>
    <w:rsid w:val="00CE4318"/>
    <w:rsid w:val="00CE7AA3"/>
    <w:rsid w:val="00CF30FC"/>
    <w:rsid w:val="00CF5348"/>
    <w:rsid w:val="00CF74F2"/>
    <w:rsid w:val="00D0063F"/>
    <w:rsid w:val="00D012C0"/>
    <w:rsid w:val="00D01594"/>
    <w:rsid w:val="00D023A3"/>
    <w:rsid w:val="00D023B4"/>
    <w:rsid w:val="00D02454"/>
    <w:rsid w:val="00D025CD"/>
    <w:rsid w:val="00D02F22"/>
    <w:rsid w:val="00D05E94"/>
    <w:rsid w:val="00D06154"/>
    <w:rsid w:val="00D06D8D"/>
    <w:rsid w:val="00D06FC0"/>
    <w:rsid w:val="00D07768"/>
    <w:rsid w:val="00D1281B"/>
    <w:rsid w:val="00D1657E"/>
    <w:rsid w:val="00D16B1D"/>
    <w:rsid w:val="00D17711"/>
    <w:rsid w:val="00D17E29"/>
    <w:rsid w:val="00D20470"/>
    <w:rsid w:val="00D26453"/>
    <w:rsid w:val="00D311DD"/>
    <w:rsid w:val="00D3137F"/>
    <w:rsid w:val="00D32D2F"/>
    <w:rsid w:val="00D33B0D"/>
    <w:rsid w:val="00D34C08"/>
    <w:rsid w:val="00D40561"/>
    <w:rsid w:val="00D42713"/>
    <w:rsid w:val="00D440CC"/>
    <w:rsid w:val="00D450D8"/>
    <w:rsid w:val="00D478A5"/>
    <w:rsid w:val="00D505B7"/>
    <w:rsid w:val="00D524C0"/>
    <w:rsid w:val="00D528FC"/>
    <w:rsid w:val="00D52A88"/>
    <w:rsid w:val="00D52C46"/>
    <w:rsid w:val="00D5695F"/>
    <w:rsid w:val="00D574FC"/>
    <w:rsid w:val="00D5776F"/>
    <w:rsid w:val="00D60B0F"/>
    <w:rsid w:val="00D63C31"/>
    <w:rsid w:val="00D65C75"/>
    <w:rsid w:val="00D67083"/>
    <w:rsid w:val="00D72794"/>
    <w:rsid w:val="00D7378E"/>
    <w:rsid w:val="00D74097"/>
    <w:rsid w:val="00D770F7"/>
    <w:rsid w:val="00D777B3"/>
    <w:rsid w:val="00D80E27"/>
    <w:rsid w:val="00D811D8"/>
    <w:rsid w:val="00D83E99"/>
    <w:rsid w:val="00D84EDB"/>
    <w:rsid w:val="00D91548"/>
    <w:rsid w:val="00DA0FE7"/>
    <w:rsid w:val="00DA1805"/>
    <w:rsid w:val="00DA5672"/>
    <w:rsid w:val="00DA6182"/>
    <w:rsid w:val="00DA6867"/>
    <w:rsid w:val="00DB0B9D"/>
    <w:rsid w:val="00DB124B"/>
    <w:rsid w:val="00DB1F5F"/>
    <w:rsid w:val="00DB203C"/>
    <w:rsid w:val="00DB28AF"/>
    <w:rsid w:val="00DB2D43"/>
    <w:rsid w:val="00DB39B5"/>
    <w:rsid w:val="00DB3F57"/>
    <w:rsid w:val="00DB41C7"/>
    <w:rsid w:val="00DB6F1D"/>
    <w:rsid w:val="00DC2726"/>
    <w:rsid w:val="00DC289D"/>
    <w:rsid w:val="00DC461A"/>
    <w:rsid w:val="00DD0567"/>
    <w:rsid w:val="00DD0605"/>
    <w:rsid w:val="00DD136D"/>
    <w:rsid w:val="00DD19F3"/>
    <w:rsid w:val="00DD4FA3"/>
    <w:rsid w:val="00DD714B"/>
    <w:rsid w:val="00DD7FDC"/>
    <w:rsid w:val="00DE30B1"/>
    <w:rsid w:val="00DF1A87"/>
    <w:rsid w:val="00DF2571"/>
    <w:rsid w:val="00DF5CB8"/>
    <w:rsid w:val="00DF6733"/>
    <w:rsid w:val="00E0082D"/>
    <w:rsid w:val="00E0093E"/>
    <w:rsid w:val="00E07728"/>
    <w:rsid w:val="00E077ED"/>
    <w:rsid w:val="00E0787B"/>
    <w:rsid w:val="00E102B8"/>
    <w:rsid w:val="00E14DE1"/>
    <w:rsid w:val="00E14F1C"/>
    <w:rsid w:val="00E1530F"/>
    <w:rsid w:val="00E15557"/>
    <w:rsid w:val="00E15B7B"/>
    <w:rsid w:val="00E15F46"/>
    <w:rsid w:val="00E20B44"/>
    <w:rsid w:val="00E25341"/>
    <w:rsid w:val="00E272D7"/>
    <w:rsid w:val="00E3039E"/>
    <w:rsid w:val="00E32C66"/>
    <w:rsid w:val="00E33130"/>
    <w:rsid w:val="00E34FBC"/>
    <w:rsid w:val="00E35388"/>
    <w:rsid w:val="00E355F5"/>
    <w:rsid w:val="00E41765"/>
    <w:rsid w:val="00E41C18"/>
    <w:rsid w:val="00E42D60"/>
    <w:rsid w:val="00E44AEA"/>
    <w:rsid w:val="00E500C5"/>
    <w:rsid w:val="00E51D48"/>
    <w:rsid w:val="00E52FE2"/>
    <w:rsid w:val="00E5679D"/>
    <w:rsid w:val="00E573E8"/>
    <w:rsid w:val="00E604F7"/>
    <w:rsid w:val="00E61FEA"/>
    <w:rsid w:val="00E62C44"/>
    <w:rsid w:val="00E6340A"/>
    <w:rsid w:val="00E63BA1"/>
    <w:rsid w:val="00E64FCC"/>
    <w:rsid w:val="00E66FFC"/>
    <w:rsid w:val="00E713D4"/>
    <w:rsid w:val="00E74C6C"/>
    <w:rsid w:val="00E753AA"/>
    <w:rsid w:val="00E77C9A"/>
    <w:rsid w:val="00E804B5"/>
    <w:rsid w:val="00E80BF8"/>
    <w:rsid w:val="00E8318F"/>
    <w:rsid w:val="00E8526F"/>
    <w:rsid w:val="00E854B7"/>
    <w:rsid w:val="00E863D5"/>
    <w:rsid w:val="00E9028E"/>
    <w:rsid w:val="00E95671"/>
    <w:rsid w:val="00E96668"/>
    <w:rsid w:val="00EA0EE1"/>
    <w:rsid w:val="00EA2BC9"/>
    <w:rsid w:val="00EA34F4"/>
    <w:rsid w:val="00EA6878"/>
    <w:rsid w:val="00EA719F"/>
    <w:rsid w:val="00EA7ED6"/>
    <w:rsid w:val="00EB251F"/>
    <w:rsid w:val="00EB27DA"/>
    <w:rsid w:val="00EB5185"/>
    <w:rsid w:val="00EB58EE"/>
    <w:rsid w:val="00EB6EF5"/>
    <w:rsid w:val="00EB7BA5"/>
    <w:rsid w:val="00EC1614"/>
    <w:rsid w:val="00EC17C9"/>
    <w:rsid w:val="00EC20E9"/>
    <w:rsid w:val="00EC5983"/>
    <w:rsid w:val="00ED0E39"/>
    <w:rsid w:val="00ED2F73"/>
    <w:rsid w:val="00ED3F94"/>
    <w:rsid w:val="00ED460F"/>
    <w:rsid w:val="00ED651D"/>
    <w:rsid w:val="00EE5EA2"/>
    <w:rsid w:val="00EE5EBA"/>
    <w:rsid w:val="00EE695F"/>
    <w:rsid w:val="00EF0FBF"/>
    <w:rsid w:val="00EF1F2C"/>
    <w:rsid w:val="00EF45ED"/>
    <w:rsid w:val="00EF64E6"/>
    <w:rsid w:val="00EF7382"/>
    <w:rsid w:val="00F0175A"/>
    <w:rsid w:val="00F03481"/>
    <w:rsid w:val="00F03A38"/>
    <w:rsid w:val="00F04EEB"/>
    <w:rsid w:val="00F05854"/>
    <w:rsid w:val="00F05F52"/>
    <w:rsid w:val="00F13C0D"/>
    <w:rsid w:val="00F14424"/>
    <w:rsid w:val="00F158ED"/>
    <w:rsid w:val="00F16D0D"/>
    <w:rsid w:val="00F16E0D"/>
    <w:rsid w:val="00F16EDB"/>
    <w:rsid w:val="00F24224"/>
    <w:rsid w:val="00F24E2A"/>
    <w:rsid w:val="00F3305F"/>
    <w:rsid w:val="00F35F86"/>
    <w:rsid w:val="00F373F5"/>
    <w:rsid w:val="00F40228"/>
    <w:rsid w:val="00F40431"/>
    <w:rsid w:val="00F42F37"/>
    <w:rsid w:val="00F43AC4"/>
    <w:rsid w:val="00F45280"/>
    <w:rsid w:val="00F459C9"/>
    <w:rsid w:val="00F46B63"/>
    <w:rsid w:val="00F475BA"/>
    <w:rsid w:val="00F53CD1"/>
    <w:rsid w:val="00F53F1E"/>
    <w:rsid w:val="00F546EC"/>
    <w:rsid w:val="00F54786"/>
    <w:rsid w:val="00F55A99"/>
    <w:rsid w:val="00F62CDA"/>
    <w:rsid w:val="00F63980"/>
    <w:rsid w:val="00F6401A"/>
    <w:rsid w:val="00F6436D"/>
    <w:rsid w:val="00F66EA4"/>
    <w:rsid w:val="00F70625"/>
    <w:rsid w:val="00F71DF6"/>
    <w:rsid w:val="00F72194"/>
    <w:rsid w:val="00F73DBF"/>
    <w:rsid w:val="00F74F73"/>
    <w:rsid w:val="00F75880"/>
    <w:rsid w:val="00F762AF"/>
    <w:rsid w:val="00F8172D"/>
    <w:rsid w:val="00F81AD7"/>
    <w:rsid w:val="00F87635"/>
    <w:rsid w:val="00F915FB"/>
    <w:rsid w:val="00F922F8"/>
    <w:rsid w:val="00F926BA"/>
    <w:rsid w:val="00F945FA"/>
    <w:rsid w:val="00F9510E"/>
    <w:rsid w:val="00F95EB6"/>
    <w:rsid w:val="00F96D89"/>
    <w:rsid w:val="00F976BC"/>
    <w:rsid w:val="00FA0306"/>
    <w:rsid w:val="00FA18BB"/>
    <w:rsid w:val="00FA25BD"/>
    <w:rsid w:val="00FA2E42"/>
    <w:rsid w:val="00FB4082"/>
    <w:rsid w:val="00FB58C8"/>
    <w:rsid w:val="00FC5349"/>
    <w:rsid w:val="00FD2050"/>
    <w:rsid w:val="00FD30DF"/>
    <w:rsid w:val="00FD4EE2"/>
    <w:rsid w:val="00FD54F0"/>
    <w:rsid w:val="00FD7C97"/>
    <w:rsid w:val="00FD7E68"/>
    <w:rsid w:val="00FE1BB5"/>
    <w:rsid w:val="00FE2414"/>
    <w:rsid w:val="00FE2A17"/>
    <w:rsid w:val="00FF0F84"/>
    <w:rsid w:val="00FF13D1"/>
    <w:rsid w:val="00FF1DF2"/>
    <w:rsid w:val="00FF2CDD"/>
    <w:rsid w:val="00FF3AAA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135FA"/>
  <w15:docId w15:val="{25FC657C-D2F1-4B04-BAF9-321EBCF3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018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018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018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4D1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4D1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4D1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4D1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4D1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4D1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018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8018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ulek">
    <w:name w:val="caption"/>
    <w:basedOn w:val="Normln"/>
    <w:next w:val="Normln"/>
    <w:uiPriority w:val="35"/>
    <w:unhideWhenUsed/>
    <w:qFormat/>
    <w:rsid w:val="00380181"/>
    <w:pPr>
      <w:spacing w:line="240" w:lineRule="auto"/>
    </w:pPr>
    <w:rPr>
      <w:b/>
      <w:bCs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830526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825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D4"/>
  </w:style>
  <w:style w:type="paragraph" w:styleId="Zpat">
    <w:name w:val="footer"/>
    <w:basedOn w:val="Normln"/>
    <w:link w:val="ZpatChar"/>
    <w:uiPriority w:val="99"/>
    <w:unhideWhenUsed/>
    <w:rsid w:val="00825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D4"/>
  </w:style>
  <w:style w:type="paragraph" w:styleId="Textbubliny">
    <w:name w:val="Balloon Text"/>
    <w:basedOn w:val="Normln"/>
    <w:link w:val="TextbublinyChar"/>
    <w:uiPriority w:val="99"/>
    <w:semiHidden/>
    <w:unhideWhenUsed/>
    <w:rsid w:val="00D2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45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6A4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1D6A41"/>
    <w:pPr>
      <w:numPr>
        <w:numId w:val="0"/>
      </w:numPr>
      <w:outlineLvl w:val="9"/>
    </w:pPr>
    <w:rPr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75257C"/>
    <w:pPr>
      <w:tabs>
        <w:tab w:val="left" w:pos="440"/>
        <w:tab w:val="right" w:leader="dot" w:pos="9628"/>
      </w:tabs>
      <w:spacing w:before="120" w:after="120"/>
      <w:ind w:right="1134"/>
    </w:pPr>
    <w:rPr>
      <w:rFonts w:asciiTheme="majorHAnsi" w:hAnsiTheme="majorHAnsi"/>
      <w:b/>
      <w:bCs/>
      <w:caps/>
      <w:sz w:val="24"/>
      <w:szCs w:val="20"/>
    </w:rPr>
  </w:style>
  <w:style w:type="character" w:styleId="Hypertextovodkaz">
    <w:name w:val="Hyperlink"/>
    <w:basedOn w:val="Standardnpsmoodstavce"/>
    <w:unhideWhenUsed/>
    <w:rsid w:val="001D6A41"/>
    <w:rPr>
      <w:color w:val="0000FF" w:themeColor="hyperlink"/>
      <w:u w:val="single"/>
    </w:rPr>
  </w:style>
  <w:style w:type="paragraph" w:styleId="Seznamobrzk">
    <w:name w:val="table of figures"/>
    <w:basedOn w:val="Normln"/>
    <w:next w:val="Normln"/>
    <w:uiPriority w:val="99"/>
    <w:unhideWhenUsed/>
    <w:rsid w:val="00265D65"/>
    <w:pPr>
      <w:spacing w:after="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422061"/>
    <w:pPr>
      <w:tabs>
        <w:tab w:val="left" w:pos="880"/>
        <w:tab w:val="right" w:leader="dot" w:pos="9639"/>
      </w:tabs>
      <w:spacing w:after="0"/>
      <w:ind w:left="220"/>
    </w:pPr>
    <w:rPr>
      <w:smallCap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4D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4D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4D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4D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4D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4D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E573E8"/>
    <w:pPr>
      <w:spacing w:after="0" w:line="240" w:lineRule="auto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4E4C2A"/>
    <w:pPr>
      <w:tabs>
        <w:tab w:val="left" w:pos="1100"/>
        <w:tab w:val="right" w:leader="dot" w:pos="9639"/>
      </w:tabs>
      <w:spacing w:after="0"/>
      <w:ind w:left="440" w:right="1134"/>
    </w:pPr>
    <w:rPr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02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02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0220"/>
    <w:rPr>
      <w:vertAlign w:val="superscript"/>
    </w:rPr>
  </w:style>
  <w:style w:type="table" w:styleId="Mkatabulky">
    <w:name w:val="Table Grid"/>
    <w:basedOn w:val="Normlntabulka"/>
    <w:uiPriority w:val="59"/>
    <w:rsid w:val="003A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A6F3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A6F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81">
    <w:name w:val="l81"/>
    <w:basedOn w:val="Normln"/>
    <w:rsid w:val="009977AD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91">
    <w:name w:val="l91"/>
    <w:basedOn w:val="Normln"/>
    <w:rsid w:val="00E52FE2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A72C6C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A72C6C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A72C6C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A72C6C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A72C6C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A72C6C"/>
    <w:pPr>
      <w:spacing w:after="0"/>
      <w:ind w:left="1760"/>
    </w:pPr>
    <w:rPr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6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63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3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6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3AD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A2873"/>
    <w:rPr>
      <w:color w:val="605E5C"/>
      <w:shd w:val="clear" w:color="auto" w:fill="E1DFDD"/>
    </w:rPr>
  </w:style>
  <w:style w:type="paragraph" w:customStyle="1" w:styleId="Garamond12">
    <w:name w:val="Garamond 12"/>
    <w:basedOn w:val="Normln"/>
    <w:qFormat/>
    <w:rsid w:val="003D353E"/>
    <w:pPr>
      <w:spacing w:after="0" w:line="240" w:lineRule="auto"/>
    </w:pPr>
    <w:rPr>
      <w:rFonts w:ascii="Garamond" w:hAnsi="Garamond"/>
      <w:sz w:val="24"/>
      <w:szCs w:val="24"/>
    </w:rPr>
  </w:style>
  <w:style w:type="paragraph" w:styleId="Nzev">
    <w:name w:val="Title"/>
    <w:basedOn w:val="Normln"/>
    <w:link w:val="NzevChar"/>
    <w:qFormat/>
    <w:rsid w:val="00712C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12C78"/>
    <w:rPr>
      <w:rFonts w:ascii="Times New Roman" w:eastAsia="Times New Roman" w:hAnsi="Times New Roman" w:cs="Times New Roman"/>
      <w:b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kr.justic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C3FD836-F5EE-4785-8FF9-CDA426B4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17</Pages>
  <Words>5695</Words>
  <Characters>33602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Klobásová Daniela, Ing.</dc:creator>
  <cp:keywords/>
  <dc:description/>
  <cp:lastModifiedBy>Zánová Kateřina Ing.</cp:lastModifiedBy>
  <cp:revision>191</cp:revision>
  <cp:lastPrinted>2024-02-06T09:43:00Z</cp:lastPrinted>
  <dcterms:created xsi:type="dcterms:W3CDTF">2025-01-20T09:23:00Z</dcterms:created>
  <dcterms:modified xsi:type="dcterms:W3CDTF">2026-01-29T12:37:00Z</dcterms:modified>
</cp:coreProperties>
</file>