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F5BD" w14:textId="77777777" w:rsidR="001F2C3B" w:rsidRDefault="00B30441">
      <w:pPr>
        <w:pStyle w:val="Nadpis1"/>
        <w:spacing w:before="88"/>
      </w:pPr>
      <w:r>
        <w:t>INFORMACE PRO SVĚDKY</w:t>
      </w:r>
    </w:p>
    <w:p w14:paraId="5CF62CC0" w14:textId="77777777" w:rsidR="001F2C3B" w:rsidRDefault="00B30441">
      <w:pPr>
        <w:spacing w:line="315" w:lineRule="exact"/>
        <w:ind w:left="399" w:right="400"/>
        <w:jc w:val="center"/>
        <w:rPr>
          <w:b/>
          <w:sz w:val="28"/>
        </w:rPr>
      </w:pPr>
      <w:r>
        <w:rPr>
          <w:b/>
          <w:sz w:val="28"/>
        </w:rPr>
        <w:t>O ZPRACOVÁNÍ OSOBNÍCH ÚDAJŮ</w:t>
      </w:r>
    </w:p>
    <w:p w14:paraId="6B1F9A76" w14:textId="77777777" w:rsidR="001F2C3B" w:rsidRDefault="00B30441">
      <w:pPr>
        <w:pStyle w:val="Zkladntext"/>
        <w:spacing w:before="271" w:line="269" w:lineRule="exact"/>
        <w:ind w:left="399" w:right="405"/>
        <w:jc w:val="center"/>
      </w:pPr>
      <w:r>
        <w:t>dle Obecného nařízení o ochraně osobních údajů (GDPR)</w:t>
      </w:r>
    </w:p>
    <w:p w14:paraId="3675A378" w14:textId="77777777" w:rsidR="001F2C3B" w:rsidRDefault="00B30441">
      <w:pPr>
        <w:pStyle w:val="Nadpis2"/>
        <w:ind w:left="399" w:right="405" w:firstLine="0"/>
        <w:jc w:val="center"/>
      </w:pPr>
      <w:r>
        <w:t>(Nařízení Evropského parlamentu a Rady /EU/ 2016/679 o ochraně fyzických osob v souvislosti se zpracováním osobních údajů a o volném pohybu těchto údajů)</w:t>
      </w:r>
    </w:p>
    <w:p w14:paraId="5A0CFD25" w14:textId="77777777" w:rsidR="001F2C3B" w:rsidRDefault="001F2C3B">
      <w:pPr>
        <w:pStyle w:val="Zkladntext"/>
        <w:rPr>
          <w:b/>
        </w:rPr>
      </w:pPr>
    </w:p>
    <w:p w14:paraId="3F586A61" w14:textId="77777777" w:rsidR="001F2C3B" w:rsidRDefault="00B30441">
      <w:pPr>
        <w:pStyle w:val="Zkladntext"/>
        <w:spacing w:before="1"/>
        <w:ind w:left="116" w:right="113"/>
        <w:jc w:val="both"/>
      </w:pPr>
      <w:r>
        <w:t>Krajský soud v Praze podává následující informace o zpracování osobních údajů, osobě předvolané k podání svědecké výpovědi (dále jen „svědek“), které Krajskému soudu v Praze poskytl:</w:t>
      </w:r>
    </w:p>
    <w:p w14:paraId="3DF5E155" w14:textId="77777777" w:rsidR="001F2C3B" w:rsidRDefault="001F2C3B">
      <w:pPr>
        <w:pStyle w:val="Zkladntext"/>
        <w:spacing w:before="11"/>
        <w:rPr>
          <w:sz w:val="23"/>
        </w:rPr>
      </w:pPr>
    </w:p>
    <w:p w14:paraId="1CD24868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SPRÁVCE OSOBNÍCH</w:t>
      </w:r>
      <w:r>
        <w:rPr>
          <w:spacing w:val="-4"/>
        </w:rPr>
        <w:t xml:space="preserve"> </w:t>
      </w:r>
      <w:r>
        <w:t>ÚDAJŮ</w:t>
      </w:r>
    </w:p>
    <w:p w14:paraId="4A307F0B" w14:textId="77777777" w:rsidR="001F2C3B" w:rsidRDefault="001F2C3B">
      <w:pPr>
        <w:pStyle w:val="Zkladntext"/>
        <w:rPr>
          <w:b/>
        </w:rPr>
      </w:pPr>
    </w:p>
    <w:p w14:paraId="4186AADA" w14:textId="77777777" w:rsidR="001F2C3B" w:rsidRDefault="00B30441">
      <w:pPr>
        <w:pStyle w:val="Zkladntext"/>
        <w:spacing w:line="270" w:lineRule="exact"/>
        <w:ind w:left="116"/>
        <w:jc w:val="both"/>
      </w:pPr>
      <w:r>
        <w:t>Správcem osobních údajů je Krajský soud v Praze, se sídlem náměstí Kinských 5, 150 75 Praha</w:t>
      </w:r>
      <w:r>
        <w:rPr>
          <w:spacing w:val="53"/>
        </w:rPr>
        <w:t xml:space="preserve"> </w:t>
      </w:r>
      <w:r>
        <w:t>5</w:t>
      </w:r>
    </w:p>
    <w:p w14:paraId="66554F93" w14:textId="77777777" w:rsidR="001F2C3B" w:rsidRDefault="00B30441">
      <w:pPr>
        <w:pStyle w:val="Zkladntext"/>
        <w:spacing w:line="270" w:lineRule="exact"/>
        <w:ind w:left="116"/>
      </w:pPr>
      <w:r>
        <w:t>- Smíchov (dále jen „správce osobních údajů“)</w:t>
      </w:r>
    </w:p>
    <w:p w14:paraId="71DAA732" w14:textId="77777777" w:rsidR="001F2C3B" w:rsidRDefault="001F2C3B">
      <w:pPr>
        <w:pStyle w:val="Zkladntext"/>
      </w:pPr>
    </w:p>
    <w:p w14:paraId="6C4D1F79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POVĚŘENEC PRO OCHRANU OSOBNÍCH</w:t>
      </w:r>
      <w:r>
        <w:rPr>
          <w:spacing w:val="-4"/>
        </w:rPr>
        <w:t xml:space="preserve"> </w:t>
      </w:r>
      <w:r>
        <w:t>ÚDAJŮ</w:t>
      </w:r>
    </w:p>
    <w:p w14:paraId="65BD5DF7" w14:textId="77777777" w:rsidR="001F2C3B" w:rsidRDefault="001F2C3B">
      <w:pPr>
        <w:pStyle w:val="Zkladntext"/>
        <w:rPr>
          <w:b/>
        </w:rPr>
      </w:pPr>
    </w:p>
    <w:p w14:paraId="2CCAB40F" w14:textId="77777777" w:rsidR="001F2C3B" w:rsidRDefault="00B30441">
      <w:pPr>
        <w:pStyle w:val="Zkladntext"/>
        <w:ind w:left="116" w:right="111"/>
        <w:jc w:val="both"/>
      </w:pPr>
      <w:r>
        <w:rPr>
          <w:color w:val="030303"/>
        </w:rPr>
        <w:t xml:space="preserve">Pověřencem pro ochranu osobních údajů je na základě smlouvy společný pověřenec Krajského soudu v Praze a Ministerstva spravedlnosti ČR, se sídlem </w:t>
      </w:r>
      <w:r>
        <w:t xml:space="preserve">Vyšehradská 16, 128 12 Praha 2, </w:t>
      </w:r>
      <w:r>
        <w:rPr>
          <w:color w:val="030303"/>
        </w:rPr>
        <w:t xml:space="preserve">e- mail: </w:t>
      </w:r>
      <w:hyperlink r:id="rId7">
        <w:r>
          <w:rPr>
            <w:color w:val="0000FF"/>
            <w:u w:val="single" w:color="0000FF"/>
          </w:rPr>
          <w:t>poverenec@msp.justice.cz</w:t>
        </w:r>
        <w:r>
          <w:rPr>
            <w:color w:val="0000FF"/>
          </w:rPr>
          <w:t xml:space="preserve"> </w:t>
        </w:r>
      </w:hyperlink>
      <w:r>
        <w:rPr>
          <w:color w:val="030303"/>
        </w:rPr>
        <w:t xml:space="preserve">. </w:t>
      </w:r>
      <w:r>
        <w:t>Informace o osobě pověřence pro ochranu osobních údajů jsou dostupné u správce osobních</w:t>
      </w:r>
      <w:r>
        <w:rPr>
          <w:spacing w:val="-2"/>
        </w:rPr>
        <w:t xml:space="preserve"> </w:t>
      </w:r>
      <w:r>
        <w:t>údajů.</w:t>
      </w:r>
    </w:p>
    <w:p w14:paraId="776A696E" w14:textId="77777777" w:rsidR="001F2C3B" w:rsidRDefault="001F2C3B">
      <w:pPr>
        <w:pStyle w:val="Zkladntext"/>
        <w:spacing w:before="1"/>
      </w:pPr>
    </w:p>
    <w:p w14:paraId="485B93D3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PRÁVNÍ ZÁKLAD ZPRACOVÁNÍ OSOBNÍCH</w:t>
      </w:r>
      <w:r>
        <w:rPr>
          <w:spacing w:val="-4"/>
        </w:rPr>
        <w:t xml:space="preserve"> </w:t>
      </w:r>
      <w:r>
        <w:t>ÚDAJŮ</w:t>
      </w:r>
    </w:p>
    <w:p w14:paraId="7C42F105" w14:textId="77777777" w:rsidR="001F2C3B" w:rsidRDefault="001F2C3B">
      <w:pPr>
        <w:pStyle w:val="Zkladntext"/>
        <w:spacing w:before="10"/>
        <w:rPr>
          <w:b/>
        </w:rPr>
      </w:pPr>
    </w:p>
    <w:p w14:paraId="2F25582F" w14:textId="77777777" w:rsidR="001F2C3B" w:rsidRDefault="00B30441">
      <w:pPr>
        <w:pStyle w:val="Odstavecseseznamem"/>
        <w:numPr>
          <w:ilvl w:val="1"/>
          <w:numId w:val="3"/>
        </w:numPr>
        <w:tabs>
          <w:tab w:val="left" w:pos="825"/>
        </w:tabs>
        <w:ind w:hanging="349"/>
        <w:rPr>
          <w:sz w:val="24"/>
        </w:rPr>
      </w:pPr>
      <w:r>
        <w:rPr>
          <w:sz w:val="24"/>
        </w:rPr>
        <w:t>Ustanovení § 139 odst. 1 zákona č. 99/1963 Sb., občanský soudní</w:t>
      </w:r>
      <w:r>
        <w:rPr>
          <w:spacing w:val="-12"/>
          <w:sz w:val="24"/>
        </w:rPr>
        <w:t xml:space="preserve"> </w:t>
      </w:r>
      <w:r>
        <w:rPr>
          <w:sz w:val="24"/>
        </w:rPr>
        <w:t>řád,</w:t>
      </w:r>
    </w:p>
    <w:p w14:paraId="46B4D738" w14:textId="77777777" w:rsidR="001F2C3B" w:rsidRDefault="00B30441">
      <w:pPr>
        <w:pStyle w:val="Odstavecseseznamem"/>
        <w:numPr>
          <w:ilvl w:val="1"/>
          <w:numId w:val="3"/>
        </w:numPr>
        <w:tabs>
          <w:tab w:val="left" w:pos="825"/>
        </w:tabs>
        <w:spacing w:before="1" w:line="269" w:lineRule="exact"/>
        <w:ind w:hanging="349"/>
        <w:rPr>
          <w:sz w:val="24"/>
        </w:rPr>
      </w:pPr>
      <w:r>
        <w:rPr>
          <w:sz w:val="24"/>
        </w:rPr>
        <w:t>Ustanovení § 6 zákona č. 586/1992 Sb., o daních z</w:t>
      </w:r>
      <w:r>
        <w:rPr>
          <w:spacing w:val="-7"/>
          <w:sz w:val="24"/>
        </w:rPr>
        <w:t xml:space="preserve"> </w:t>
      </w:r>
      <w:r>
        <w:rPr>
          <w:sz w:val="24"/>
        </w:rPr>
        <w:t>příjmů,</w:t>
      </w:r>
    </w:p>
    <w:p w14:paraId="22B15883" w14:textId="77777777" w:rsidR="001F2C3B" w:rsidRDefault="00B30441">
      <w:pPr>
        <w:pStyle w:val="Odstavecseseznamem"/>
        <w:numPr>
          <w:ilvl w:val="1"/>
          <w:numId w:val="3"/>
        </w:numPr>
        <w:tabs>
          <w:tab w:val="left" w:pos="825"/>
        </w:tabs>
        <w:ind w:left="836" w:right="115" w:hanging="360"/>
        <w:rPr>
          <w:sz w:val="24"/>
        </w:rPr>
      </w:pPr>
      <w:r>
        <w:rPr>
          <w:sz w:val="24"/>
        </w:rPr>
        <w:t>Ustanovení § 10 odst. 1 písm. a) a navazujícího § 8 odst. 2 písm. n) zákona č. 48/1997 Sb., o veřejném zdravotním</w:t>
      </w:r>
      <w:r>
        <w:rPr>
          <w:spacing w:val="-1"/>
          <w:sz w:val="24"/>
        </w:rPr>
        <w:t xml:space="preserve"> </w:t>
      </w:r>
      <w:r>
        <w:rPr>
          <w:sz w:val="24"/>
        </w:rPr>
        <w:t>pojištění</w:t>
      </w:r>
    </w:p>
    <w:p w14:paraId="089D52EA" w14:textId="77777777" w:rsidR="001F2C3B" w:rsidRDefault="001F2C3B">
      <w:pPr>
        <w:pStyle w:val="Zkladntext"/>
        <w:spacing w:before="10"/>
      </w:pPr>
    </w:p>
    <w:p w14:paraId="16828CC3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spacing w:before="1"/>
        <w:ind w:hanging="361"/>
      </w:pPr>
      <w:r>
        <w:t>ÚČEL</w:t>
      </w:r>
      <w:r>
        <w:rPr>
          <w:spacing w:val="-1"/>
        </w:rPr>
        <w:t xml:space="preserve"> </w:t>
      </w:r>
      <w:r>
        <w:t>ZPRACOVÁNÍ</w:t>
      </w:r>
    </w:p>
    <w:p w14:paraId="295EDFB2" w14:textId="77777777" w:rsidR="001F2C3B" w:rsidRDefault="001F2C3B">
      <w:pPr>
        <w:pStyle w:val="Zkladntext"/>
        <w:spacing w:before="11"/>
        <w:rPr>
          <w:b/>
          <w:sz w:val="23"/>
        </w:rPr>
      </w:pPr>
    </w:p>
    <w:p w14:paraId="37B874C0" w14:textId="77777777" w:rsidR="001F2C3B" w:rsidRDefault="00B30441">
      <w:pPr>
        <w:pStyle w:val="Zkladntext"/>
        <w:ind w:left="116" w:right="112"/>
        <w:jc w:val="both"/>
      </w:pPr>
      <w:r>
        <w:t>Správce osobních údajů bude zpracovávat osobní údaje svědka pro účely plnění svých zákonných povinnosti, tedy zajištění podkladů potřebných pro provedení zákonem stanovených srážek na zdravotní pojištění dle  zákona č. 592/1992 Sb., o  pojistném na veřejné zdravotní pojištění,        v platném</w:t>
      </w:r>
      <w:r>
        <w:rPr>
          <w:spacing w:val="-1"/>
        </w:rPr>
        <w:t xml:space="preserve"> </w:t>
      </w:r>
      <w:r>
        <w:t>znění.</w:t>
      </w:r>
    </w:p>
    <w:p w14:paraId="3A63AF5C" w14:textId="77777777" w:rsidR="001F2C3B" w:rsidRDefault="001F2C3B">
      <w:pPr>
        <w:pStyle w:val="Zkladntext"/>
        <w:spacing w:before="10"/>
        <w:rPr>
          <w:sz w:val="23"/>
        </w:rPr>
      </w:pPr>
    </w:p>
    <w:p w14:paraId="1D4B2C73" w14:textId="77777777" w:rsidR="001F2C3B" w:rsidRDefault="00B30441">
      <w:pPr>
        <w:pStyle w:val="Nadpis2"/>
        <w:ind w:left="116" w:firstLine="0"/>
      </w:pPr>
      <w:r>
        <w:t>Odůvodnění:</w:t>
      </w:r>
    </w:p>
    <w:p w14:paraId="67F4EAF4" w14:textId="77777777" w:rsidR="001F2C3B" w:rsidRDefault="00B30441">
      <w:pPr>
        <w:pStyle w:val="Zkladntext"/>
        <w:spacing w:before="1"/>
        <w:ind w:left="116" w:right="111"/>
        <w:jc w:val="both"/>
      </w:pPr>
      <w:r>
        <w:t>V civilním řízení podle ustanovení § 139 odst. 1 zákona č. 99/1963 Sb., občanský soudní řád má svědek nárok na náhradu svědečného. Tento příjem vyplácí soud, který svědka k podání svědectví předvolal. Podle ustanovení § 6 zákona č. 586/1992 Sb., o daních z příjmů se jedná o plnění zdaňované a svědek se stává z pohledu zdravotního pojištění zaměstnancem soudu. Soud má  tedy zákonnou povinnost odvodu pojistného v souladu se zákonem, včetně splnění oznamovací povinnosti vůči zdravotní pojišťovně svědka. Svědek</w:t>
      </w:r>
      <w:r>
        <w:t xml:space="preserve"> musí být u zdravotní pojišťovny přihlášen v rámci zákonné osmidenní lhůty jako zaměstnanec, kdy soud postupuje podle ustanovení § 10 odst. 1 písm. a) a navazujícího § 8 odst. 2 písm. n) zákona č. 48/1997 Sb., o veřejném zdravotním pojištění.</w:t>
      </w:r>
    </w:p>
    <w:p w14:paraId="39E66ECE" w14:textId="77777777" w:rsidR="001F2C3B" w:rsidRDefault="001F2C3B">
      <w:pPr>
        <w:jc w:val="both"/>
        <w:sectPr w:rsidR="001F2C3B">
          <w:footerReference w:type="default" r:id="rId8"/>
          <w:type w:val="continuous"/>
          <w:pgSz w:w="11910" w:h="16840"/>
          <w:pgMar w:top="1580" w:right="1300" w:bottom="1240" w:left="1300" w:header="708" w:footer="1056" w:gutter="0"/>
          <w:pgNumType w:start="1"/>
          <w:cols w:space="708"/>
        </w:sectPr>
      </w:pPr>
    </w:p>
    <w:p w14:paraId="58359858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spacing w:before="77"/>
        <w:ind w:hanging="361"/>
      </w:pPr>
      <w:r>
        <w:lastRenderedPageBreak/>
        <w:t>ZPŮSOB</w:t>
      </w:r>
      <w:r>
        <w:rPr>
          <w:spacing w:val="-2"/>
        </w:rPr>
        <w:t xml:space="preserve"> </w:t>
      </w:r>
      <w:r>
        <w:t>ZPRACOVÁNÍ</w:t>
      </w:r>
    </w:p>
    <w:p w14:paraId="1B225B10" w14:textId="77777777" w:rsidR="001F2C3B" w:rsidRDefault="001F2C3B">
      <w:pPr>
        <w:pStyle w:val="Zkladntext"/>
        <w:rPr>
          <w:b/>
        </w:rPr>
      </w:pPr>
    </w:p>
    <w:p w14:paraId="100C284B" w14:textId="77777777" w:rsidR="001F2C3B" w:rsidRDefault="00B30441">
      <w:pPr>
        <w:pStyle w:val="Zkladntext"/>
        <w:ind w:left="116" w:right="111"/>
        <w:jc w:val="both"/>
      </w:pPr>
      <w:r>
        <w:t>Osobní údaje a rodné číslo svědka bude zpracováváno v elektronické podobě v aplikaci IRES (ekonomický informační systém Krajského soudu v Praze) a mzdové aplikaci DC2, kterou zajišťuje v rámci Ministerstva spravedlnosti společnost DATACENTRUM.  V listinné podobě   v příslušném věcném spisu a účetních</w:t>
      </w:r>
      <w:r>
        <w:rPr>
          <w:spacing w:val="1"/>
        </w:rPr>
        <w:t xml:space="preserve"> </w:t>
      </w:r>
      <w:r>
        <w:t>dokladech.</w:t>
      </w:r>
    </w:p>
    <w:p w14:paraId="3D72708E" w14:textId="77777777" w:rsidR="001F2C3B" w:rsidRDefault="001F2C3B">
      <w:pPr>
        <w:pStyle w:val="Zkladntext"/>
        <w:spacing w:before="1"/>
      </w:pPr>
    </w:p>
    <w:p w14:paraId="6A54D0F9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DALŠÍ</w:t>
      </w:r>
      <w:r>
        <w:rPr>
          <w:spacing w:val="-1"/>
        </w:rPr>
        <w:t xml:space="preserve"> </w:t>
      </w:r>
      <w:r>
        <w:t>PŘÍJEMCI</w:t>
      </w:r>
    </w:p>
    <w:p w14:paraId="52E1D50B" w14:textId="77777777" w:rsidR="001F2C3B" w:rsidRDefault="001F2C3B">
      <w:pPr>
        <w:pStyle w:val="Zkladntext"/>
        <w:rPr>
          <w:b/>
        </w:rPr>
      </w:pPr>
    </w:p>
    <w:p w14:paraId="3CB6F91D" w14:textId="77777777" w:rsidR="001F2C3B" w:rsidRDefault="00B30441">
      <w:pPr>
        <w:pStyle w:val="Odstavecseseznamem"/>
        <w:numPr>
          <w:ilvl w:val="0"/>
          <w:numId w:val="2"/>
        </w:numPr>
        <w:tabs>
          <w:tab w:val="left" w:pos="477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Příslušná zdravotní pojišťovna, u které je svědek</w:t>
      </w:r>
      <w:r>
        <w:rPr>
          <w:spacing w:val="-3"/>
          <w:sz w:val="24"/>
        </w:rPr>
        <w:t xml:space="preserve"> </w:t>
      </w:r>
      <w:r>
        <w:rPr>
          <w:sz w:val="24"/>
        </w:rPr>
        <w:t>pojištěn.</w:t>
      </w:r>
    </w:p>
    <w:p w14:paraId="527F9983" w14:textId="77777777" w:rsidR="001F2C3B" w:rsidRDefault="00B30441">
      <w:pPr>
        <w:pStyle w:val="Odstavecseseznamem"/>
        <w:numPr>
          <w:ilvl w:val="0"/>
          <w:numId w:val="2"/>
        </w:numPr>
        <w:tabs>
          <w:tab w:val="left" w:pos="477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Okresní správa sociálního zabezpečení u částek nad 2.500</w:t>
      </w:r>
      <w:r>
        <w:rPr>
          <w:spacing w:val="-8"/>
          <w:sz w:val="24"/>
        </w:rPr>
        <w:t xml:space="preserve"> </w:t>
      </w:r>
      <w:r>
        <w:rPr>
          <w:sz w:val="24"/>
        </w:rPr>
        <w:t>Kč.</w:t>
      </w:r>
    </w:p>
    <w:p w14:paraId="0431177A" w14:textId="77777777" w:rsidR="001F2C3B" w:rsidRDefault="00B30441">
      <w:pPr>
        <w:pStyle w:val="Odstavecseseznamem"/>
        <w:numPr>
          <w:ilvl w:val="0"/>
          <w:numId w:val="2"/>
        </w:numPr>
        <w:tabs>
          <w:tab w:val="left" w:pos="477"/>
        </w:tabs>
        <w:spacing w:before="2"/>
        <w:ind w:right="113"/>
        <w:jc w:val="both"/>
        <w:rPr>
          <w:sz w:val="24"/>
        </w:rPr>
      </w:pPr>
      <w:r>
        <w:rPr>
          <w:sz w:val="24"/>
        </w:rPr>
        <w:t>Správce osobních údajů dle ustanovení § 27 odst. 2 zákona č. 592/1992 Sb., o pojistném na zdravotní pojištění, v platném znění, jako státní orgán, který z úřední povinnosti anebo vzhledem k předmětu své činnosti vede evidenci osob, je povinen na výzvu správce centrálního registru pojištěnců a ve lhůtách tímto správcem stanovených sdělovat správci údaje potřebné pro vedení centrálního registru pojištěnců. Tyto údaje se poskytují bezplatně. Správcem centrálního registru pojištěnců je Všeobecná zdravotní pojiš</w:t>
      </w:r>
      <w:r>
        <w:rPr>
          <w:sz w:val="24"/>
        </w:rPr>
        <w:t>ťovna České republiky, která vede registr všech pojištěnců veřejného zdravotního pojištění a spravuje</w:t>
      </w:r>
      <w:r>
        <w:rPr>
          <w:spacing w:val="-15"/>
          <w:sz w:val="24"/>
        </w:rPr>
        <w:t xml:space="preserve"> </w:t>
      </w:r>
      <w:r>
        <w:rPr>
          <w:sz w:val="24"/>
        </w:rPr>
        <w:t>jej.</w:t>
      </w:r>
    </w:p>
    <w:p w14:paraId="6A5E5179" w14:textId="77777777" w:rsidR="001F2C3B" w:rsidRDefault="00B30441">
      <w:pPr>
        <w:pStyle w:val="Odstavecseseznamem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Správce osobních údajů může z důvodu oprávněného zájmu zpřístupnit poskytnuté osobní údaje svědka pověřeným smluvním partnerům v oblasti IT služeb a technologií a certifikačních služeb. Totožnost smluvních partnerů bude svědkovi sdělena na základě písemné žádosti.</w:t>
      </w:r>
    </w:p>
    <w:p w14:paraId="3F688AF7" w14:textId="77777777" w:rsidR="001F2C3B" w:rsidRDefault="001F2C3B">
      <w:pPr>
        <w:pStyle w:val="Zkladntext"/>
      </w:pPr>
    </w:p>
    <w:p w14:paraId="28A7F0CF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ZPRACOVATELÉ OSOBNÍCH</w:t>
      </w:r>
      <w:r>
        <w:rPr>
          <w:spacing w:val="-4"/>
        </w:rPr>
        <w:t xml:space="preserve"> </w:t>
      </w:r>
      <w:r>
        <w:t>ÚDAJŮ</w:t>
      </w:r>
    </w:p>
    <w:p w14:paraId="4DCE0F30" w14:textId="77777777" w:rsidR="001F2C3B" w:rsidRDefault="001F2C3B">
      <w:pPr>
        <w:pStyle w:val="Zkladntext"/>
        <w:rPr>
          <w:b/>
        </w:rPr>
      </w:pPr>
    </w:p>
    <w:p w14:paraId="7529840B" w14:textId="77777777" w:rsidR="001F2C3B" w:rsidRDefault="00B30441">
      <w:pPr>
        <w:pStyle w:val="Zkladntext"/>
        <w:ind w:left="116" w:right="113"/>
        <w:jc w:val="both"/>
      </w:pPr>
      <w:r>
        <w:t>Osobní údaje svědka budou zpracovány pouze zaměstnanci správce osobních údajů a současně budou v souladu se zákonem poskytnuty příslušné zdravotní pojišťovně svědka a okresní správě sociálního zabezpečení.</w:t>
      </w:r>
    </w:p>
    <w:p w14:paraId="54BB9181" w14:textId="77777777" w:rsidR="001F2C3B" w:rsidRDefault="001F2C3B">
      <w:pPr>
        <w:pStyle w:val="Zkladntext"/>
        <w:spacing w:before="8"/>
        <w:rPr>
          <w:sz w:val="28"/>
        </w:rPr>
      </w:pPr>
    </w:p>
    <w:p w14:paraId="3AC9F747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JINÉ ÚČELY</w:t>
      </w:r>
      <w:r>
        <w:rPr>
          <w:spacing w:val="-2"/>
        </w:rPr>
        <w:t xml:space="preserve"> </w:t>
      </w:r>
      <w:r>
        <w:t>ZPRACOVÁNÍ</w:t>
      </w:r>
    </w:p>
    <w:p w14:paraId="71202A78" w14:textId="77777777" w:rsidR="001F2C3B" w:rsidRDefault="001F2C3B">
      <w:pPr>
        <w:pStyle w:val="Zkladntext"/>
        <w:rPr>
          <w:b/>
        </w:rPr>
      </w:pPr>
    </w:p>
    <w:p w14:paraId="7A0A28F6" w14:textId="77777777" w:rsidR="001F2C3B" w:rsidRDefault="00B30441">
      <w:pPr>
        <w:pStyle w:val="Zkladntext"/>
        <w:ind w:left="116"/>
        <w:jc w:val="both"/>
      </w:pPr>
      <w:r>
        <w:t>Poskytnuté osobní údaje svědka nebudou použity pro jiné účely zpracování.</w:t>
      </w:r>
    </w:p>
    <w:p w14:paraId="72D270CE" w14:textId="77777777" w:rsidR="001F2C3B" w:rsidRDefault="001F2C3B">
      <w:pPr>
        <w:pStyle w:val="Zkladntext"/>
        <w:spacing w:before="5"/>
      </w:pPr>
    </w:p>
    <w:p w14:paraId="0E3E9064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DOBA ULOŽENÍ OSOBNÍCH</w:t>
      </w:r>
      <w:r>
        <w:rPr>
          <w:spacing w:val="-3"/>
        </w:rPr>
        <w:t xml:space="preserve"> </w:t>
      </w:r>
      <w:r>
        <w:t>ÚDAJŮ</w:t>
      </w:r>
    </w:p>
    <w:p w14:paraId="1136020E" w14:textId="77777777" w:rsidR="001F2C3B" w:rsidRDefault="001F2C3B">
      <w:pPr>
        <w:pStyle w:val="Zkladntext"/>
        <w:spacing w:before="8"/>
        <w:rPr>
          <w:b/>
          <w:sz w:val="28"/>
        </w:rPr>
      </w:pPr>
    </w:p>
    <w:p w14:paraId="5FF98FA0" w14:textId="16F48DEC" w:rsidR="001F2C3B" w:rsidRDefault="00B30441">
      <w:pPr>
        <w:pStyle w:val="Zkladntext"/>
        <w:ind w:left="116" w:right="113"/>
        <w:jc w:val="both"/>
      </w:pPr>
      <w:r>
        <w:t>Správce osobních údajů uchovává osobní údaje po dobu, kterou mu ukládají zákonné předpisy zákon č. 499/2004 Sb., o archivnictví a spisové službě a Instrukce MSp č.7/2022</w:t>
      </w:r>
      <w:r>
        <w:t xml:space="preserve"> ze </w:t>
      </w:r>
      <w:r>
        <w:t>dne 7.9.2022</w:t>
      </w:r>
      <w:r>
        <w:t xml:space="preserve">      č.</w:t>
      </w:r>
      <w:r>
        <w:t xml:space="preserve"> j. 30/2022-OSKJ-MET</w:t>
      </w:r>
      <w:r>
        <w:t xml:space="preserve"> ve znění pozdějších předpisů, </w:t>
      </w:r>
      <w:r>
        <w:t xml:space="preserve">kterou se vydává skartační řád pro okresní, krajské a vrchní soudy. Pokud není dohodnuto jinak, skartují se písemnosti v listinné podobě ve lhůtách stanovených </w:t>
      </w:r>
      <w:r>
        <w:t>skartačním řádem. Osobní údaje v elektronické podobě se řídí předpisy dané v resortu Ministerstva spravedlnosti ČR, které spravuje informační</w:t>
      </w:r>
      <w:r>
        <w:rPr>
          <w:spacing w:val="-5"/>
        </w:rPr>
        <w:t xml:space="preserve"> </w:t>
      </w:r>
      <w:r>
        <w:t>systémy.</w:t>
      </w:r>
    </w:p>
    <w:p w14:paraId="0407E457" w14:textId="77777777" w:rsidR="001F2C3B" w:rsidRDefault="001F2C3B">
      <w:pPr>
        <w:pStyle w:val="Zkladntext"/>
        <w:spacing w:before="10"/>
        <w:rPr>
          <w:sz w:val="23"/>
        </w:rPr>
      </w:pPr>
    </w:p>
    <w:p w14:paraId="3DCF90B5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PRÁVA SVĚDKA JAKO SUBJEKTU ÚDAJŮ</w:t>
      </w:r>
    </w:p>
    <w:p w14:paraId="5EEF44F2" w14:textId="77777777" w:rsidR="001F2C3B" w:rsidRDefault="001F2C3B">
      <w:pPr>
        <w:pStyle w:val="Zkladntext"/>
        <w:spacing w:before="1"/>
        <w:rPr>
          <w:b/>
        </w:rPr>
      </w:pPr>
    </w:p>
    <w:p w14:paraId="1C34E5E9" w14:textId="77777777" w:rsidR="001F2C3B" w:rsidRDefault="00B30441">
      <w:pPr>
        <w:pStyle w:val="Odstavecseseznamem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b/>
          <w:sz w:val="24"/>
        </w:rPr>
        <w:t xml:space="preserve">právo na přístup k osobním údajům </w:t>
      </w:r>
      <w:r>
        <w:rPr>
          <w:sz w:val="24"/>
        </w:rPr>
        <w:t>- svědek má právo na přístup k osobním údajům, které se ho týkají, správce osobních údajů je povinen poskytnout kopii zpracovávaných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údajů,</w:t>
      </w:r>
    </w:p>
    <w:p w14:paraId="3464E7FF" w14:textId="77777777" w:rsidR="001F2C3B" w:rsidRDefault="00B30441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5"/>
        <w:jc w:val="both"/>
        <w:rPr>
          <w:sz w:val="24"/>
        </w:rPr>
      </w:pPr>
      <w:r>
        <w:rPr>
          <w:b/>
          <w:sz w:val="24"/>
        </w:rPr>
        <w:t xml:space="preserve">právo na opravu a doplnění osobních údajů </w:t>
      </w:r>
      <w:r>
        <w:rPr>
          <w:sz w:val="24"/>
        </w:rPr>
        <w:t>- svědek má právo na to, aby správce osobních údajů bez zbytečného odkladu opravil nebo doplnil nepřesné osobní údaje, které se ho</w:t>
      </w:r>
      <w:r>
        <w:rPr>
          <w:spacing w:val="-1"/>
          <w:sz w:val="24"/>
        </w:rPr>
        <w:t xml:space="preserve"> </w:t>
      </w:r>
      <w:r>
        <w:rPr>
          <w:sz w:val="24"/>
        </w:rPr>
        <w:t>týkají,</w:t>
      </w:r>
    </w:p>
    <w:p w14:paraId="1E24FF00" w14:textId="77777777" w:rsidR="001F2C3B" w:rsidRDefault="001F2C3B">
      <w:pPr>
        <w:jc w:val="both"/>
        <w:rPr>
          <w:sz w:val="24"/>
        </w:rPr>
        <w:sectPr w:rsidR="001F2C3B">
          <w:pgSz w:w="11910" w:h="16840"/>
          <w:pgMar w:top="1320" w:right="1300" w:bottom="1240" w:left="1300" w:header="0" w:footer="1056" w:gutter="0"/>
          <w:cols w:space="708"/>
        </w:sectPr>
      </w:pPr>
    </w:p>
    <w:p w14:paraId="0C5762EB" w14:textId="77777777" w:rsidR="001F2C3B" w:rsidRDefault="00B30441">
      <w:pPr>
        <w:pStyle w:val="Odstavecseseznamem"/>
        <w:numPr>
          <w:ilvl w:val="0"/>
          <w:numId w:val="1"/>
        </w:numPr>
        <w:tabs>
          <w:tab w:val="left" w:pos="477"/>
        </w:tabs>
        <w:spacing w:before="77"/>
        <w:ind w:right="113"/>
        <w:jc w:val="both"/>
        <w:rPr>
          <w:sz w:val="24"/>
        </w:rPr>
      </w:pPr>
      <w:r>
        <w:rPr>
          <w:b/>
          <w:sz w:val="24"/>
        </w:rPr>
        <w:lastRenderedPageBreak/>
        <w:t xml:space="preserve">právo na výmaz </w:t>
      </w:r>
      <w:r>
        <w:rPr>
          <w:sz w:val="24"/>
        </w:rPr>
        <w:t>- svědek má právo na to, aby správce osobních údajů bez zbytečného odkladu vymazal osobní údaje, které se ho týkají,</w:t>
      </w:r>
      <w:r>
        <w:rPr>
          <w:spacing w:val="-5"/>
          <w:sz w:val="24"/>
        </w:rPr>
        <w:t xml:space="preserve"> </w:t>
      </w:r>
      <w:r>
        <w:rPr>
          <w:sz w:val="24"/>
        </w:rPr>
        <w:t>pokud:</w:t>
      </w:r>
    </w:p>
    <w:p w14:paraId="0F7A8287" w14:textId="77777777" w:rsidR="001F2C3B" w:rsidRDefault="001F2C3B">
      <w:pPr>
        <w:pStyle w:val="Zkladntext"/>
      </w:pPr>
    </w:p>
    <w:p w14:paraId="69EE2E83" w14:textId="77777777" w:rsidR="001F2C3B" w:rsidRDefault="00B30441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osobní údaje nejsou potřebné pro účely, pro které byly</w:t>
      </w:r>
      <w:r>
        <w:rPr>
          <w:spacing w:val="-9"/>
          <w:sz w:val="24"/>
        </w:rPr>
        <w:t xml:space="preserve"> </w:t>
      </w:r>
      <w:r>
        <w:rPr>
          <w:sz w:val="24"/>
        </w:rPr>
        <w:t>zpracovány</w:t>
      </w:r>
    </w:p>
    <w:p w14:paraId="717B3DA4" w14:textId="77777777" w:rsidR="001F2C3B" w:rsidRDefault="00B30441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osobní údaje byly zpracovány</w:t>
      </w:r>
      <w:r>
        <w:rPr>
          <w:spacing w:val="-3"/>
          <w:sz w:val="24"/>
        </w:rPr>
        <w:t xml:space="preserve"> </w:t>
      </w:r>
      <w:r>
        <w:rPr>
          <w:sz w:val="24"/>
        </w:rPr>
        <w:t>protiprávně</w:t>
      </w:r>
    </w:p>
    <w:p w14:paraId="1FF8A58E" w14:textId="77777777" w:rsidR="001F2C3B" w:rsidRDefault="00B30441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line="303" w:lineRule="exact"/>
        <w:ind w:hanging="361"/>
        <w:rPr>
          <w:sz w:val="24"/>
        </w:rPr>
      </w:pPr>
      <w:r>
        <w:rPr>
          <w:sz w:val="24"/>
        </w:rPr>
        <w:t>uchování osobních údajů nepředepisují další relevantní zákonné</w:t>
      </w:r>
      <w:r>
        <w:rPr>
          <w:spacing w:val="-12"/>
          <w:sz w:val="24"/>
        </w:rPr>
        <w:t xml:space="preserve"> </w:t>
      </w:r>
      <w:r>
        <w:rPr>
          <w:sz w:val="24"/>
        </w:rPr>
        <w:t>předpisy</w:t>
      </w:r>
    </w:p>
    <w:p w14:paraId="20F3FE7F" w14:textId="77777777" w:rsidR="001F2C3B" w:rsidRDefault="00B30441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ind w:right="118"/>
        <w:rPr>
          <w:sz w:val="24"/>
        </w:rPr>
      </w:pPr>
      <w:r>
        <w:rPr>
          <w:sz w:val="24"/>
        </w:rPr>
        <w:t>nejedná se o veřejný zájem v oblasti veřejného zdraví, archivace, vědeckého či historického výzkumu,</w:t>
      </w:r>
      <w:r>
        <w:rPr>
          <w:spacing w:val="-2"/>
          <w:sz w:val="24"/>
        </w:rPr>
        <w:t xml:space="preserve"> </w:t>
      </w:r>
      <w:r>
        <w:rPr>
          <w:sz w:val="24"/>
        </w:rPr>
        <w:t>statistiky</w:t>
      </w:r>
    </w:p>
    <w:p w14:paraId="4B7713AB" w14:textId="77777777" w:rsidR="001F2C3B" w:rsidRDefault="00B30441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svědek vznese námitky proti</w:t>
      </w:r>
      <w:r>
        <w:rPr>
          <w:spacing w:val="-2"/>
          <w:sz w:val="24"/>
        </w:rPr>
        <w:t xml:space="preserve"> </w:t>
      </w:r>
      <w:r>
        <w:rPr>
          <w:sz w:val="24"/>
        </w:rPr>
        <w:t>zpracování</w:t>
      </w:r>
    </w:p>
    <w:p w14:paraId="323A768A" w14:textId="77777777" w:rsidR="001F2C3B" w:rsidRDefault="00B30441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ind w:right="115"/>
        <w:rPr>
          <w:sz w:val="24"/>
        </w:rPr>
      </w:pPr>
      <w:r>
        <w:rPr>
          <w:sz w:val="24"/>
        </w:rPr>
        <w:t>svědek odvolá souhlas ke zpracování osobních údajů (nevztahuje se na osobní údaje, které má správce osobních údajů povinnost dále uchovávat ze</w:t>
      </w:r>
      <w:r>
        <w:rPr>
          <w:spacing w:val="-11"/>
          <w:sz w:val="24"/>
        </w:rPr>
        <w:t xml:space="preserve"> </w:t>
      </w:r>
      <w:r>
        <w:rPr>
          <w:sz w:val="24"/>
        </w:rPr>
        <w:t>zákona)</w:t>
      </w:r>
    </w:p>
    <w:p w14:paraId="07E269CC" w14:textId="77777777" w:rsidR="001F2C3B" w:rsidRDefault="00B30441">
      <w:pPr>
        <w:pStyle w:val="Odstavecseseznamem"/>
        <w:numPr>
          <w:ilvl w:val="1"/>
          <w:numId w:val="1"/>
        </w:numPr>
        <w:tabs>
          <w:tab w:val="left" w:pos="1196"/>
          <w:tab w:val="left" w:pos="1197"/>
        </w:tabs>
        <w:spacing w:line="304" w:lineRule="exact"/>
        <w:ind w:hanging="361"/>
        <w:rPr>
          <w:sz w:val="24"/>
        </w:rPr>
      </w:pPr>
      <w:r>
        <w:rPr>
          <w:sz w:val="24"/>
        </w:rPr>
        <w:t>nejedná se o výkon nebo obhajobu právních</w:t>
      </w:r>
      <w:r>
        <w:rPr>
          <w:spacing w:val="-8"/>
          <w:sz w:val="24"/>
        </w:rPr>
        <w:t xml:space="preserve"> </w:t>
      </w:r>
      <w:r>
        <w:rPr>
          <w:sz w:val="24"/>
        </w:rPr>
        <w:t>nároků</w:t>
      </w:r>
    </w:p>
    <w:p w14:paraId="14016C89" w14:textId="77777777" w:rsidR="001F2C3B" w:rsidRDefault="001F2C3B">
      <w:pPr>
        <w:pStyle w:val="Zkladntext"/>
      </w:pPr>
    </w:p>
    <w:p w14:paraId="15AD8ACE" w14:textId="77777777" w:rsidR="001F2C3B" w:rsidRDefault="00B30441">
      <w:pPr>
        <w:pStyle w:val="Odstavecseseznamem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b/>
          <w:sz w:val="24"/>
        </w:rPr>
        <w:t xml:space="preserve">právo na přenositelnost osobních údajů </w:t>
      </w:r>
      <w:r>
        <w:rPr>
          <w:sz w:val="24"/>
        </w:rPr>
        <w:t>- svědek má právo získat osobní údaje, které se ho týkají, ve strukturovaném běžně používaném a strojově čitelném formátu, a právo předat tyto údaje jinému správci 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údajů,</w:t>
      </w:r>
    </w:p>
    <w:p w14:paraId="3DB2BBCE" w14:textId="77777777" w:rsidR="001F2C3B" w:rsidRDefault="001F2C3B">
      <w:pPr>
        <w:pStyle w:val="Zkladntext"/>
        <w:spacing w:before="1"/>
      </w:pPr>
    </w:p>
    <w:p w14:paraId="0CDBA5CE" w14:textId="77777777" w:rsidR="001F2C3B" w:rsidRDefault="00B30441">
      <w:pPr>
        <w:pStyle w:val="Odstavecseseznamem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b/>
          <w:sz w:val="24"/>
        </w:rPr>
        <w:t xml:space="preserve">právo na omezení  zpracování  </w:t>
      </w:r>
      <w:r>
        <w:rPr>
          <w:sz w:val="24"/>
        </w:rPr>
        <w:t>-  svědek  má  právo  na  to,  aby  správce  osobních  údajů v odůvodněných případech omezil zpracování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údajů,</w:t>
      </w:r>
    </w:p>
    <w:p w14:paraId="61748CC0" w14:textId="77777777" w:rsidR="001F2C3B" w:rsidRDefault="001F2C3B">
      <w:pPr>
        <w:pStyle w:val="Zkladntext"/>
        <w:spacing w:before="1"/>
      </w:pPr>
    </w:p>
    <w:p w14:paraId="4F489570" w14:textId="77777777" w:rsidR="001F2C3B" w:rsidRDefault="00B30441">
      <w:pPr>
        <w:pStyle w:val="Odstavecseseznamem"/>
        <w:numPr>
          <w:ilvl w:val="0"/>
          <w:numId w:val="1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b/>
          <w:sz w:val="24"/>
        </w:rPr>
        <w:t xml:space="preserve">právo vznést námitku – </w:t>
      </w:r>
      <w:r>
        <w:rPr>
          <w:sz w:val="24"/>
        </w:rPr>
        <w:t>svědek má právo vznést námitku proti zpracování osobních údajů, správce osobních údajů tyto údaje v neodůvodněných případech dále nesmí</w:t>
      </w:r>
      <w:r>
        <w:rPr>
          <w:spacing w:val="-17"/>
          <w:sz w:val="24"/>
        </w:rPr>
        <w:t xml:space="preserve"> </w:t>
      </w:r>
      <w:r>
        <w:rPr>
          <w:sz w:val="24"/>
        </w:rPr>
        <w:t>zpracovávat.</w:t>
      </w:r>
    </w:p>
    <w:p w14:paraId="2E99D4E9" w14:textId="77777777" w:rsidR="001F2C3B" w:rsidRDefault="001F2C3B">
      <w:pPr>
        <w:pStyle w:val="Zkladntext"/>
        <w:spacing w:before="10"/>
        <w:rPr>
          <w:sz w:val="23"/>
        </w:rPr>
      </w:pPr>
    </w:p>
    <w:p w14:paraId="5E89C5B6" w14:textId="77777777" w:rsidR="001F2C3B" w:rsidRDefault="00B30441">
      <w:pPr>
        <w:pStyle w:val="Nadpis2"/>
        <w:numPr>
          <w:ilvl w:val="0"/>
          <w:numId w:val="3"/>
        </w:numPr>
        <w:tabs>
          <w:tab w:val="left" w:pos="477"/>
        </w:tabs>
        <w:ind w:hanging="361"/>
      </w:pPr>
      <w:r>
        <w:t>NEPOSKYTNUTÍ OSOBNÍCH</w:t>
      </w:r>
      <w:r>
        <w:rPr>
          <w:spacing w:val="-3"/>
        </w:rPr>
        <w:t xml:space="preserve"> </w:t>
      </w:r>
      <w:r>
        <w:t>ÚDAJŮ</w:t>
      </w:r>
    </w:p>
    <w:p w14:paraId="6672B380" w14:textId="77777777" w:rsidR="001F2C3B" w:rsidRDefault="001F2C3B">
      <w:pPr>
        <w:pStyle w:val="Zkladntext"/>
        <w:rPr>
          <w:b/>
        </w:rPr>
      </w:pPr>
    </w:p>
    <w:p w14:paraId="595D3447" w14:textId="77777777" w:rsidR="001F2C3B" w:rsidRDefault="00B30441">
      <w:pPr>
        <w:pStyle w:val="Zkladntext"/>
        <w:ind w:left="116" w:right="113"/>
        <w:jc w:val="both"/>
      </w:pPr>
      <w:r>
        <w:t>Svědek poskytne osobní údaje v minimálním rozsahu, které po něm lze ze zákonných důvodů požadovat. V případě neposkytnutí osobních údajů svědkem by bylo znemožněno splnění zákonné povinnosti správce osobních údajů.</w:t>
      </w:r>
    </w:p>
    <w:sectPr w:rsidR="001F2C3B">
      <w:pgSz w:w="11910" w:h="16840"/>
      <w:pgMar w:top="1320" w:right="1300" w:bottom="1240" w:left="130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43E3" w14:textId="77777777" w:rsidR="00B30441" w:rsidRDefault="00B30441">
      <w:r>
        <w:separator/>
      </w:r>
    </w:p>
  </w:endnote>
  <w:endnote w:type="continuationSeparator" w:id="0">
    <w:p w14:paraId="6FA85C77" w14:textId="77777777" w:rsidR="00B30441" w:rsidRDefault="00B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92A0" w14:textId="066E315B" w:rsidR="001F2C3B" w:rsidRDefault="00B3044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EF9B18" wp14:editId="52EA6D41">
              <wp:simplePos x="0" y="0"/>
              <wp:positionH relativeFrom="page">
                <wp:posOffset>6546850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9866429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C141" w14:textId="77777777" w:rsidR="001F2C3B" w:rsidRDefault="00B30441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F9B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HaH&#10;hO3gAAAADwEAAA8AAAAAAAAAAAAAAAAALgQAAGRycy9kb3ducmV2LnhtbFBLBQYAAAAABAAEAPMA&#10;AAA7BQAAAAA=&#10;" filled="f" stroked="f">
              <v:textbox inset="0,0,0,0">
                <w:txbxContent>
                  <w:p w14:paraId="7E1DC141" w14:textId="77777777" w:rsidR="001F2C3B" w:rsidRDefault="00B30441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BF48" w14:textId="77777777" w:rsidR="00B30441" w:rsidRDefault="00B30441">
      <w:r>
        <w:separator/>
      </w:r>
    </w:p>
  </w:footnote>
  <w:footnote w:type="continuationSeparator" w:id="0">
    <w:p w14:paraId="089896A5" w14:textId="77777777" w:rsidR="00B30441" w:rsidRDefault="00B3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B5D"/>
    <w:multiLevelType w:val="hybridMultilevel"/>
    <w:tmpl w:val="02E44CE4"/>
    <w:lvl w:ilvl="0" w:tplc="50E60922">
      <w:start w:val="1"/>
      <w:numFmt w:val="lowerLetter"/>
      <w:lvlText w:val="%1."/>
      <w:lvlJc w:val="left"/>
      <w:pPr>
        <w:ind w:left="476" w:hanging="360"/>
        <w:jc w:val="left"/>
      </w:pPr>
      <w:rPr>
        <w:rFonts w:ascii="Garamond" w:eastAsia="Garamond" w:hAnsi="Garamond" w:cs="Garamond" w:hint="default"/>
        <w:spacing w:val="-22"/>
        <w:w w:val="100"/>
        <w:sz w:val="24"/>
        <w:szCs w:val="24"/>
        <w:lang w:val="cs-CZ" w:eastAsia="cs-CZ" w:bidi="cs-CZ"/>
      </w:rPr>
    </w:lvl>
    <w:lvl w:ilvl="1" w:tplc="C080639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ACA2876">
      <w:numFmt w:val="bullet"/>
      <w:lvlText w:val="•"/>
      <w:lvlJc w:val="left"/>
      <w:pPr>
        <w:ind w:left="2100" w:hanging="360"/>
      </w:pPr>
      <w:rPr>
        <w:rFonts w:hint="default"/>
        <w:lang w:val="cs-CZ" w:eastAsia="cs-CZ" w:bidi="cs-CZ"/>
      </w:rPr>
    </w:lvl>
    <w:lvl w:ilvl="3" w:tplc="A8A8AA06">
      <w:numFmt w:val="bullet"/>
      <w:lvlText w:val="•"/>
      <w:lvlJc w:val="left"/>
      <w:pPr>
        <w:ind w:left="3001" w:hanging="360"/>
      </w:pPr>
      <w:rPr>
        <w:rFonts w:hint="default"/>
        <w:lang w:val="cs-CZ" w:eastAsia="cs-CZ" w:bidi="cs-CZ"/>
      </w:rPr>
    </w:lvl>
    <w:lvl w:ilvl="4" w:tplc="4EF6A80C">
      <w:numFmt w:val="bullet"/>
      <w:lvlText w:val="•"/>
      <w:lvlJc w:val="left"/>
      <w:pPr>
        <w:ind w:left="3902" w:hanging="360"/>
      </w:pPr>
      <w:rPr>
        <w:rFonts w:hint="default"/>
        <w:lang w:val="cs-CZ" w:eastAsia="cs-CZ" w:bidi="cs-CZ"/>
      </w:rPr>
    </w:lvl>
    <w:lvl w:ilvl="5" w:tplc="47CE1A46">
      <w:numFmt w:val="bullet"/>
      <w:lvlText w:val="•"/>
      <w:lvlJc w:val="left"/>
      <w:pPr>
        <w:ind w:left="4802" w:hanging="360"/>
      </w:pPr>
      <w:rPr>
        <w:rFonts w:hint="default"/>
        <w:lang w:val="cs-CZ" w:eastAsia="cs-CZ" w:bidi="cs-CZ"/>
      </w:rPr>
    </w:lvl>
    <w:lvl w:ilvl="6" w:tplc="31D407BA">
      <w:numFmt w:val="bullet"/>
      <w:lvlText w:val="•"/>
      <w:lvlJc w:val="left"/>
      <w:pPr>
        <w:ind w:left="5703" w:hanging="360"/>
      </w:pPr>
      <w:rPr>
        <w:rFonts w:hint="default"/>
        <w:lang w:val="cs-CZ" w:eastAsia="cs-CZ" w:bidi="cs-CZ"/>
      </w:rPr>
    </w:lvl>
    <w:lvl w:ilvl="7" w:tplc="CDF27C5E">
      <w:numFmt w:val="bullet"/>
      <w:lvlText w:val="•"/>
      <w:lvlJc w:val="left"/>
      <w:pPr>
        <w:ind w:left="6604" w:hanging="360"/>
      </w:pPr>
      <w:rPr>
        <w:rFonts w:hint="default"/>
        <w:lang w:val="cs-CZ" w:eastAsia="cs-CZ" w:bidi="cs-CZ"/>
      </w:rPr>
    </w:lvl>
    <w:lvl w:ilvl="8" w:tplc="B88AF3B4">
      <w:numFmt w:val="bullet"/>
      <w:lvlText w:val="•"/>
      <w:lvlJc w:val="left"/>
      <w:pPr>
        <w:ind w:left="750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3D8686F"/>
    <w:multiLevelType w:val="hybridMultilevel"/>
    <w:tmpl w:val="819238EC"/>
    <w:lvl w:ilvl="0" w:tplc="145426CE">
      <w:start w:val="1"/>
      <w:numFmt w:val="upperLetter"/>
      <w:lvlText w:val="%1)"/>
      <w:lvlJc w:val="left"/>
      <w:pPr>
        <w:ind w:left="476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 w:tplc="EED298E6">
      <w:start w:val="1"/>
      <w:numFmt w:val="lowerLetter"/>
      <w:lvlText w:val="%2."/>
      <w:lvlJc w:val="left"/>
      <w:pPr>
        <w:ind w:left="824" w:hanging="34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 w:tplc="4F5E5C9A">
      <w:numFmt w:val="bullet"/>
      <w:lvlText w:val="•"/>
      <w:lvlJc w:val="left"/>
      <w:pPr>
        <w:ind w:left="1762" w:hanging="348"/>
      </w:pPr>
      <w:rPr>
        <w:rFonts w:hint="default"/>
        <w:lang w:val="cs-CZ" w:eastAsia="cs-CZ" w:bidi="cs-CZ"/>
      </w:rPr>
    </w:lvl>
    <w:lvl w:ilvl="3" w:tplc="1B54B1F8">
      <w:numFmt w:val="bullet"/>
      <w:lvlText w:val="•"/>
      <w:lvlJc w:val="left"/>
      <w:pPr>
        <w:ind w:left="2705" w:hanging="348"/>
      </w:pPr>
      <w:rPr>
        <w:rFonts w:hint="default"/>
        <w:lang w:val="cs-CZ" w:eastAsia="cs-CZ" w:bidi="cs-CZ"/>
      </w:rPr>
    </w:lvl>
    <w:lvl w:ilvl="4" w:tplc="1170719E">
      <w:numFmt w:val="bullet"/>
      <w:lvlText w:val="•"/>
      <w:lvlJc w:val="left"/>
      <w:pPr>
        <w:ind w:left="3648" w:hanging="348"/>
      </w:pPr>
      <w:rPr>
        <w:rFonts w:hint="default"/>
        <w:lang w:val="cs-CZ" w:eastAsia="cs-CZ" w:bidi="cs-CZ"/>
      </w:rPr>
    </w:lvl>
    <w:lvl w:ilvl="5" w:tplc="1A64F8C2">
      <w:numFmt w:val="bullet"/>
      <w:lvlText w:val="•"/>
      <w:lvlJc w:val="left"/>
      <w:pPr>
        <w:ind w:left="4591" w:hanging="348"/>
      </w:pPr>
      <w:rPr>
        <w:rFonts w:hint="default"/>
        <w:lang w:val="cs-CZ" w:eastAsia="cs-CZ" w:bidi="cs-CZ"/>
      </w:rPr>
    </w:lvl>
    <w:lvl w:ilvl="6" w:tplc="CE32CDA8">
      <w:numFmt w:val="bullet"/>
      <w:lvlText w:val="•"/>
      <w:lvlJc w:val="left"/>
      <w:pPr>
        <w:ind w:left="5534" w:hanging="348"/>
      </w:pPr>
      <w:rPr>
        <w:rFonts w:hint="default"/>
        <w:lang w:val="cs-CZ" w:eastAsia="cs-CZ" w:bidi="cs-CZ"/>
      </w:rPr>
    </w:lvl>
    <w:lvl w:ilvl="7" w:tplc="21B44848">
      <w:numFmt w:val="bullet"/>
      <w:lvlText w:val="•"/>
      <w:lvlJc w:val="left"/>
      <w:pPr>
        <w:ind w:left="6477" w:hanging="348"/>
      </w:pPr>
      <w:rPr>
        <w:rFonts w:hint="default"/>
        <w:lang w:val="cs-CZ" w:eastAsia="cs-CZ" w:bidi="cs-CZ"/>
      </w:rPr>
    </w:lvl>
    <w:lvl w:ilvl="8" w:tplc="44FAB56A">
      <w:numFmt w:val="bullet"/>
      <w:lvlText w:val="•"/>
      <w:lvlJc w:val="left"/>
      <w:pPr>
        <w:ind w:left="7420" w:hanging="348"/>
      </w:pPr>
      <w:rPr>
        <w:rFonts w:hint="default"/>
        <w:lang w:val="cs-CZ" w:eastAsia="cs-CZ" w:bidi="cs-CZ"/>
      </w:rPr>
    </w:lvl>
  </w:abstractNum>
  <w:abstractNum w:abstractNumId="2" w15:restartNumberingAfterBreak="0">
    <w:nsid w:val="5A8869DA"/>
    <w:multiLevelType w:val="hybridMultilevel"/>
    <w:tmpl w:val="3DAA01C2"/>
    <w:lvl w:ilvl="0" w:tplc="E4C2849C">
      <w:start w:val="1"/>
      <w:numFmt w:val="lowerLetter"/>
      <w:lvlText w:val="%1."/>
      <w:lvlJc w:val="left"/>
      <w:pPr>
        <w:ind w:left="476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B2EECFB2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7130A276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30B4DB3C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345E435C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95FC5FBE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78FA7060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6C2C4A26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2508E59C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205336710">
    <w:abstractNumId w:val="0"/>
  </w:num>
  <w:num w:numId="2" w16cid:durableId="384840900">
    <w:abstractNumId w:val="2"/>
  </w:num>
  <w:num w:numId="3" w16cid:durableId="86817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3B"/>
    <w:rsid w:val="001F2C3B"/>
    <w:rsid w:val="008A3209"/>
    <w:rsid w:val="00B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53C0"/>
  <w15:docId w15:val="{47D942E2-1188-4843-BEB7-0CA78DBC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15" w:lineRule="exact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476" w:hanging="3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verenec@msp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   /2013</dc:title>
  <dc:creator>tonar</dc:creator>
  <cp:lastModifiedBy>Večeřa Miloš Ing.</cp:lastModifiedBy>
  <cp:revision>2</cp:revision>
  <dcterms:created xsi:type="dcterms:W3CDTF">2025-05-23T13:56:00Z</dcterms:created>
  <dcterms:modified xsi:type="dcterms:W3CDTF">2025-05-23T13:56:00Z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</Properties>
</file>