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27C8" w14:textId="77777777" w:rsidR="001D7D15" w:rsidRDefault="009573FD">
      <w:pPr>
        <w:spacing w:before="56" w:line="278" w:lineRule="auto"/>
        <w:ind w:left="3616" w:hanging="2967"/>
        <w:rPr>
          <w:b/>
          <w:sz w:val="32"/>
        </w:rPr>
      </w:pPr>
      <w:r>
        <w:rPr>
          <w:b/>
          <w:sz w:val="32"/>
        </w:rPr>
        <w:t>Informační povinnost správce Insolvenčního rejstříku vůči subjektu údajů</w:t>
      </w:r>
    </w:p>
    <w:p w14:paraId="780519BD" w14:textId="77777777" w:rsidR="001D7D15" w:rsidRDefault="009573FD">
      <w:pPr>
        <w:spacing w:line="265" w:lineRule="exact"/>
        <w:ind w:left="258"/>
        <w:rPr>
          <w:i/>
          <w:sz w:val="24"/>
        </w:rPr>
      </w:pPr>
      <w:r>
        <w:rPr>
          <w:i/>
          <w:sz w:val="24"/>
        </w:rPr>
        <w:t>podle ustanovení článku 13 Nařízení Evropského parlamentu a Rady (EU) 2016/679 ze dne</w:t>
      </w:r>
    </w:p>
    <w:p w14:paraId="76B9720D" w14:textId="77777777" w:rsidR="001D7D15" w:rsidRDefault="009573FD">
      <w:pPr>
        <w:pStyle w:val="Odstavecseseznamem"/>
        <w:numPr>
          <w:ilvl w:val="0"/>
          <w:numId w:val="1"/>
        </w:numPr>
        <w:tabs>
          <w:tab w:val="left" w:pos="676"/>
        </w:tabs>
        <w:spacing w:before="41" w:line="278" w:lineRule="auto"/>
        <w:ind w:right="319" w:hanging="144"/>
        <w:rPr>
          <w:i/>
          <w:sz w:val="24"/>
        </w:rPr>
      </w:pPr>
      <w:r>
        <w:rPr>
          <w:i/>
          <w:sz w:val="24"/>
        </w:rPr>
        <w:t>dubna 2016 o ochraně fyzických osob v souvislosti se zpracováním osobních údajů a o volném pohybu těchto údajů a o zrušení směrnice 95/46/ES (obecné nařízení 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ochraně</w:t>
      </w:r>
    </w:p>
    <w:p w14:paraId="43594972" w14:textId="77777777" w:rsidR="001D7D15" w:rsidRDefault="009573FD">
      <w:pPr>
        <w:spacing w:line="272" w:lineRule="exact"/>
        <w:ind w:left="2324"/>
        <w:rPr>
          <w:i/>
          <w:sz w:val="24"/>
        </w:rPr>
      </w:pPr>
      <w:r>
        <w:rPr>
          <w:i/>
          <w:sz w:val="24"/>
        </w:rPr>
        <w:t>osobních údajů), tzv. GDPR (dále jen „GDPR“)</w:t>
      </w:r>
    </w:p>
    <w:p w14:paraId="53636378" w14:textId="77777777" w:rsidR="001D7D15" w:rsidRDefault="001D7D15">
      <w:pPr>
        <w:pStyle w:val="Zkladntext"/>
        <w:spacing w:before="6"/>
        <w:rPr>
          <w:i/>
          <w:sz w:val="31"/>
        </w:rPr>
      </w:pPr>
    </w:p>
    <w:p w14:paraId="26EBD042" w14:textId="77777777" w:rsidR="001D7D15" w:rsidRDefault="009573FD">
      <w:pPr>
        <w:pStyle w:val="Nadpis1"/>
        <w:jc w:val="left"/>
      </w:pPr>
      <w:r>
        <w:t>Totožnost a kontaktní údaje správců (společní správci podle čl. 26 GDPR)</w:t>
      </w:r>
    </w:p>
    <w:p w14:paraId="3FA12967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  <w:tab w:val="left" w:pos="2270"/>
          <w:tab w:val="left" w:pos="3846"/>
          <w:tab w:val="left" w:pos="4278"/>
          <w:tab w:val="left" w:pos="5151"/>
          <w:tab w:val="left" w:pos="6621"/>
          <w:tab w:val="left" w:pos="7156"/>
          <w:tab w:val="left" w:pos="7748"/>
          <w:tab w:val="left" w:pos="8223"/>
          <w:tab w:val="left" w:pos="9006"/>
        </w:tabs>
        <w:spacing w:before="36" w:line="278" w:lineRule="auto"/>
        <w:ind w:right="117" w:hanging="360"/>
        <w:jc w:val="left"/>
        <w:rPr>
          <w:rFonts w:ascii="Wingdings" w:hAnsi="Wingdings"/>
          <w:sz w:val="24"/>
        </w:rPr>
      </w:pPr>
      <w:r>
        <w:rPr>
          <w:sz w:val="24"/>
          <w:u w:val="single"/>
        </w:rPr>
        <w:t>Ministerstvo</w:t>
      </w:r>
      <w:r>
        <w:rPr>
          <w:sz w:val="24"/>
          <w:u w:val="single"/>
        </w:rPr>
        <w:tab/>
        <w:t>spravedlnosti,</w:t>
      </w:r>
      <w:r>
        <w:rPr>
          <w:sz w:val="24"/>
        </w:rPr>
        <w:tab/>
        <w:t>se</w:t>
      </w:r>
      <w:r>
        <w:rPr>
          <w:sz w:val="24"/>
        </w:rPr>
        <w:tab/>
        <w:t>sídlem</w:t>
      </w:r>
      <w:r>
        <w:rPr>
          <w:sz w:val="24"/>
        </w:rPr>
        <w:tab/>
        <w:t>Vyšehradská</w:t>
      </w:r>
      <w:r>
        <w:rPr>
          <w:sz w:val="24"/>
        </w:rPr>
        <w:tab/>
        <w:t>16,</w:t>
      </w:r>
      <w:r>
        <w:rPr>
          <w:sz w:val="24"/>
        </w:rPr>
        <w:tab/>
        <w:t>128</w:t>
      </w:r>
      <w:r>
        <w:rPr>
          <w:sz w:val="24"/>
        </w:rPr>
        <w:tab/>
        <w:t>12</w:t>
      </w:r>
      <w:r>
        <w:rPr>
          <w:sz w:val="24"/>
        </w:rPr>
        <w:tab/>
        <w:t>Praha</w:t>
      </w:r>
      <w:r>
        <w:rPr>
          <w:sz w:val="24"/>
        </w:rPr>
        <w:tab/>
      </w:r>
      <w:r>
        <w:rPr>
          <w:spacing w:val="-9"/>
          <w:sz w:val="24"/>
        </w:rPr>
        <w:t xml:space="preserve">2, </w:t>
      </w:r>
      <w:r>
        <w:rPr>
          <w:sz w:val="24"/>
        </w:rPr>
        <w:t xml:space="preserve">tel.: 221997111, </w:t>
      </w:r>
      <w:r>
        <w:rPr>
          <w:spacing w:val="-3"/>
          <w:sz w:val="24"/>
        </w:rPr>
        <w:t xml:space="preserve">ID </w:t>
      </w:r>
      <w:r>
        <w:rPr>
          <w:sz w:val="24"/>
        </w:rPr>
        <w:t>DS: kq4aawz, email:</w:t>
      </w:r>
      <w:r>
        <w:rPr>
          <w:color w:val="0000FF"/>
          <w:spacing w:val="6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posta@msp.justice.cz</w:t>
        </w:r>
      </w:hyperlink>
    </w:p>
    <w:p w14:paraId="24BE1B74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line="276" w:lineRule="auto"/>
        <w:ind w:right="117" w:hanging="360"/>
        <w:jc w:val="left"/>
        <w:rPr>
          <w:rFonts w:ascii="Wingdings" w:hAnsi="Wingdings"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Insolvenční soudy, které vedou insolvenční řízení</w:t>
      </w:r>
      <w:r>
        <w:rPr>
          <w:sz w:val="24"/>
        </w:rPr>
        <w:t xml:space="preserve"> - kontaktní údaje příslušných soudů jsou k dispozici na portále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www.justice.cz</w:t>
        </w:r>
      </w:hyperlink>
    </w:p>
    <w:p w14:paraId="2C2FEC1C" w14:textId="77777777" w:rsidR="001D7D15" w:rsidRDefault="009573FD">
      <w:pPr>
        <w:pStyle w:val="Zkladntext"/>
        <w:spacing w:line="278" w:lineRule="auto"/>
        <w:ind w:left="116"/>
      </w:pPr>
      <w:r>
        <w:t>Subjekt údajů může vykonávat svá práva podle GDPR u každého ze správců i vůči každému z nich.</w:t>
      </w:r>
    </w:p>
    <w:p w14:paraId="4581C623" w14:textId="77777777" w:rsidR="001D7D15" w:rsidRDefault="001D7D15">
      <w:pPr>
        <w:pStyle w:val="Zkladntext"/>
        <w:spacing w:before="2"/>
        <w:rPr>
          <w:sz w:val="27"/>
        </w:rPr>
      </w:pPr>
    </w:p>
    <w:p w14:paraId="1E9B0FFF" w14:textId="77777777" w:rsidR="001D7D15" w:rsidRDefault="009573FD">
      <w:pPr>
        <w:ind w:left="116"/>
        <w:rPr>
          <w:b/>
          <w:sz w:val="24"/>
        </w:rPr>
      </w:pPr>
      <w:r>
        <w:rPr>
          <w:b/>
          <w:color w:val="030303"/>
          <w:sz w:val="24"/>
        </w:rPr>
        <w:t>Pověřenec pro ochranu osobních údajů</w:t>
      </w:r>
    </w:p>
    <w:p w14:paraId="3DC176F7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1" w:line="276" w:lineRule="auto"/>
        <w:ind w:left="836" w:right="113" w:hanging="360"/>
        <w:jc w:val="left"/>
        <w:rPr>
          <w:rFonts w:ascii="Wingdings" w:hAnsi="Wingdings"/>
          <w:color w:val="030303"/>
        </w:rPr>
      </w:pPr>
      <w:r>
        <w:rPr>
          <w:rFonts w:ascii="Cambria" w:hAnsi="Cambria"/>
          <w:color w:val="030303"/>
        </w:rPr>
        <w:t xml:space="preserve">Výkonem funkce pověřence pro ochranu osobních údajů je pověřen Mgr. Jan Panoš, se sídlem </w:t>
      </w:r>
      <w:r>
        <w:rPr>
          <w:rFonts w:ascii="Cambria" w:hAnsi="Cambria"/>
        </w:rPr>
        <w:t xml:space="preserve">Vyšehradská 16, 128 12 Praha 2, </w:t>
      </w:r>
      <w:r>
        <w:rPr>
          <w:rFonts w:ascii="Cambria" w:hAnsi="Cambria"/>
          <w:color w:val="030303"/>
        </w:rPr>
        <w:t>e-mail:</w:t>
      </w:r>
      <w:r>
        <w:rPr>
          <w:rFonts w:ascii="Cambria" w:hAnsi="Cambria"/>
          <w:color w:val="0000FF"/>
          <w:spacing w:val="-10"/>
        </w:rPr>
        <w:t xml:space="preserve"> </w:t>
      </w:r>
      <w:hyperlink r:id="rId7">
        <w:r>
          <w:rPr>
            <w:rFonts w:ascii="Cambria" w:hAnsi="Cambria"/>
            <w:color w:val="0000FF"/>
            <w:u w:val="single" w:color="0000FF"/>
          </w:rPr>
          <w:t>poverenec@msp.justice.cz</w:t>
        </w:r>
      </w:hyperlink>
    </w:p>
    <w:p w14:paraId="41FDA697" w14:textId="77777777" w:rsidR="001D7D15" w:rsidRDefault="001D7D15">
      <w:pPr>
        <w:pStyle w:val="Zkladntext"/>
        <w:spacing w:before="6"/>
        <w:rPr>
          <w:rFonts w:ascii="Cambria"/>
          <w:sz w:val="19"/>
        </w:rPr>
      </w:pPr>
    </w:p>
    <w:p w14:paraId="3AECC5EC" w14:textId="77777777" w:rsidR="001D7D15" w:rsidRDefault="009573FD">
      <w:pPr>
        <w:pStyle w:val="Nadpis1"/>
        <w:spacing w:before="90"/>
      </w:pPr>
      <w:r>
        <w:t>Účel a právní základ zpracování</w:t>
      </w:r>
    </w:p>
    <w:p w14:paraId="2871CB1F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36" w:line="276" w:lineRule="auto"/>
        <w:ind w:right="119" w:hanging="360"/>
        <w:rPr>
          <w:rFonts w:ascii="Wingdings" w:hAnsi="Wingdings"/>
          <w:sz w:val="24"/>
        </w:rPr>
      </w:pPr>
      <w:r>
        <w:rPr>
          <w:sz w:val="24"/>
        </w:rPr>
        <w:t>Zákon č. 6/2002 Sb. o soudech, soudcích, přísedících a státní správě soudů a o změně některých dalších zákonů (zákon o soudech a</w:t>
      </w:r>
      <w:r>
        <w:rPr>
          <w:spacing w:val="-2"/>
          <w:sz w:val="24"/>
        </w:rPr>
        <w:t xml:space="preserve"> </w:t>
      </w:r>
      <w:r>
        <w:rPr>
          <w:sz w:val="24"/>
        </w:rPr>
        <w:t>soudcích)</w:t>
      </w:r>
    </w:p>
    <w:p w14:paraId="308A3CAE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1"/>
        <w:ind w:left="824" w:hanging="306"/>
        <w:rPr>
          <w:rFonts w:ascii="Wingdings" w:hAnsi="Wingdings"/>
          <w:sz w:val="24"/>
        </w:rPr>
      </w:pPr>
      <w:r>
        <w:rPr>
          <w:sz w:val="24"/>
        </w:rPr>
        <w:t>Zákon č. 312/2006 Sb. o insolvenčních</w:t>
      </w:r>
      <w:r>
        <w:rPr>
          <w:spacing w:val="1"/>
          <w:sz w:val="24"/>
        </w:rPr>
        <w:t xml:space="preserve"> </w:t>
      </w:r>
      <w:r>
        <w:rPr>
          <w:sz w:val="24"/>
        </w:rPr>
        <w:t>správcích</w:t>
      </w:r>
    </w:p>
    <w:p w14:paraId="42469F93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1" w:line="276" w:lineRule="auto"/>
        <w:ind w:right="113" w:hanging="360"/>
        <w:rPr>
          <w:rFonts w:ascii="Wingdings" w:hAnsi="Wingdings"/>
          <w:sz w:val="24"/>
        </w:rPr>
      </w:pPr>
      <w:r>
        <w:rPr>
          <w:sz w:val="24"/>
        </w:rPr>
        <w:t>Zákon č. 182/2006 Sb. o úpadku a způsobech jeho řešení (insolvenční zákon), (dále jen</w:t>
      </w:r>
      <w:r>
        <w:rPr>
          <w:spacing w:val="-1"/>
          <w:sz w:val="24"/>
        </w:rPr>
        <w:t xml:space="preserve"> </w:t>
      </w:r>
      <w:r>
        <w:rPr>
          <w:sz w:val="24"/>
        </w:rPr>
        <w:t>„IZ“)</w:t>
      </w:r>
    </w:p>
    <w:p w14:paraId="2A64A55E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240"/>
        </w:tabs>
        <w:spacing w:line="276" w:lineRule="auto"/>
        <w:ind w:right="112"/>
        <w:rPr>
          <w:sz w:val="24"/>
        </w:rPr>
      </w:pPr>
      <w:r>
        <w:rPr>
          <w:sz w:val="24"/>
        </w:rPr>
        <w:t xml:space="preserve">Podle § 419 </w:t>
      </w:r>
      <w:r>
        <w:rPr>
          <w:spacing w:val="-2"/>
          <w:sz w:val="24"/>
        </w:rPr>
        <w:t xml:space="preserve">IZ, </w:t>
      </w:r>
      <w:r>
        <w:rPr>
          <w:sz w:val="24"/>
        </w:rPr>
        <w:t xml:space="preserve">je </w:t>
      </w:r>
      <w:r>
        <w:rPr>
          <w:b/>
          <w:sz w:val="24"/>
        </w:rPr>
        <w:t>insolvenční rejstřík informačním systémem veřejné správy</w:t>
      </w:r>
      <w:r>
        <w:rPr>
          <w:sz w:val="24"/>
        </w:rPr>
        <w:t>, jehož správcem je Ministerstvo spravedlnosti (dále jen</w:t>
      </w:r>
      <w:r>
        <w:rPr>
          <w:spacing w:val="-8"/>
          <w:sz w:val="24"/>
        </w:rPr>
        <w:t xml:space="preserve"> </w:t>
      </w:r>
      <w:r>
        <w:rPr>
          <w:sz w:val="24"/>
        </w:rPr>
        <w:t>„ministerstvo“).</w:t>
      </w:r>
    </w:p>
    <w:p w14:paraId="7228CE41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240"/>
        </w:tabs>
        <w:spacing w:line="276" w:lineRule="auto"/>
        <w:ind w:right="122"/>
        <w:rPr>
          <w:sz w:val="24"/>
        </w:rPr>
      </w:pPr>
      <w:r>
        <w:rPr>
          <w:sz w:val="24"/>
        </w:rPr>
        <w:t>Podle § 419 odst. 2 IZ insolvenční rejstřík obsahuje seznam insolvenčních správců, seznam dlužníků a insolvenční</w:t>
      </w:r>
      <w:r>
        <w:rPr>
          <w:spacing w:val="-2"/>
          <w:sz w:val="24"/>
        </w:rPr>
        <w:t xml:space="preserve"> </w:t>
      </w:r>
      <w:r>
        <w:rPr>
          <w:sz w:val="24"/>
        </w:rPr>
        <w:t>spisy.</w:t>
      </w:r>
    </w:p>
    <w:p w14:paraId="227D7BEA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240"/>
        </w:tabs>
        <w:spacing w:line="276" w:lineRule="auto"/>
        <w:ind w:right="119"/>
        <w:rPr>
          <w:sz w:val="24"/>
        </w:rPr>
      </w:pPr>
      <w:r>
        <w:rPr>
          <w:sz w:val="24"/>
        </w:rPr>
        <w:t>Údaje do seznamu dlužníků zapisuje insolvenční soud (§ 420 IZ) jakmile nastanou účinky spojené se zahájením insolvenčního řízení, nejpozději však do 7 dnů po tomto okamžiku; není-li mu některý z těchto údajů v uvedené době znám, zapíše jej insolvenční soud do seznamu dlužníků, jakmile v insolvenčním řízení vyjde najevo.</w:t>
      </w:r>
    </w:p>
    <w:p w14:paraId="430793DA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240"/>
        </w:tabs>
        <w:spacing w:line="276" w:lineRule="auto"/>
        <w:ind w:right="116"/>
        <w:rPr>
          <w:sz w:val="24"/>
        </w:rPr>
      </w:pPr>
      <w:r>
        <w:rPr>
          <w:sz w:val="24"/>
        </w:rPr>
        <w:t>Insolvenční soud zveřejňuje v insolvenčním rejstříku rozhodnutí, podání a další informace (§ 421 IZ), přičemž insolvenční soud může na žádost fyzické osoby rozhodnout, že některé z osobních údajů této fyzické osoby, obsažené v podání, nebudou v insolvenčním rejstříku veřejně</w:t>
      </w:r>
      <w:r>
        <w:rPr>
          <w:spacing w:val="-2"/>
          <w:sz w:val="24"/>
        </w:rPr>
        <w:t xml:space="preserve"> </w:t>
      </w:r>
      <w:r>
        <w:rPr>
          <w:sz w:val="24"/>
        </w:rPr>
        <w:t>přístupné.</w:t>
      </w:r>
    </w:p>
    <w:p w14:paraId="14BFF5DA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240"/>
        </w:tabs>
        <w:spacing w:line="278" w:lineRule="auto"/>
        <w:ind w:right="121"/>
        <w:rPr>
          <w:sz w:val="24"/>
        </w:rPr>
      </w:pPr>
      <w:r>
        <w:rPr>
          <w:sz w:val="24"/>
        </w:rPr>
        <w:t>Nejde-li o fyzickou osobu, která učinila podání, zveřejní se u takové fyzické osoby v insolvenčním rejstříku jen její jméno a příjmení (§ 422</w:t>
      </w:r>
      <w:r>
        <w:rPr>
          <w:spacing w:val="-11"/>
          <w:sz w:val="24"/>
        </w:rPr>
        <w:t xml:space="preserve"> </w:t>
      </w:r>
      <w:r>
        <w:rPr>
          <w:sz w:val="24"/>
        </w:rPr>
        <w:t>IZ).</w:t>
      </w:r>
    </w:p>
    <w:p w14:paraId="23477600" w14:textId="77777777" w:rsidR="001D7D15" w:rsidRDefault="001D7D15">
      <w:pPr>
        <w:pStyle w:val="Zkladntext"/>
        <w:spacing w:before="1"/>
        <w:rPr>
          <w:sz w:val="27"/>
        </w:rPr>
      </w:pPr>
    </w:p>
    <w:p w14:paraId="0786B49F" w14:textId="77777777" w:rsidR="001D7D15" w:rsidRDefault="009573FD">
      <w:pPr>
        <w:pStyle w:val="Zkladntext"/>
        <w:spacing w:before="1" w:line="276" w:lineRule="auto"/>
        <w:ind w:left="116" w:right="118"/>
        <w:jc w:val="both"/>
      </w:pPr>
      <w:r>
        <w:t>Právním základem zpracování osobních údajů podle GDPR je plnění právní povinnosti, kterou ministerstvu ukládají uvedené právní předpisy [čl. 6 odst. 1 písm. c)</w:t>
      </w:r>
      <w:r>
        <w:rPr>
          <w:spacing w:val="48"/>
        </w:rPr>
        <w:t xml:space="preserve"> </w:t>
      </w:r>
      <w:r>
        <w:t>GDPR].</w:t>
      </w:r>
    </w:p>
    <w:p w14:paraId="55CBEA56" w14:textId="77777777" w:rsidR="001D7D15" w:rsidRDefault="001D7D15">
      <w:pPr>
        <w:spacing w:line="276" w:lineRule="auto"/>
        <w:jc w:val="both"/>
        <w:sectPr w:rsidR="001D7D15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0AE9D663" w14:textId="77777777" w:rsidR="001D7D15" w:rsidRDefault="009573FD">
      <w:pPr>
        <w:pStyle w:val="Nadpis1"/>
        <w:spacing w:before="136"/>
        <w:jc w:val="left"/>
      </w:pPr>
      <w:r>
        <w:lastRenderedPageBreak/>
        <w:t>Příjemce (kategorie příjemců) osobních údajů</w:t>
      </w:r>
    </w:p>
    <w:p w14:paraId="47D25215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36" w:line="276" w:lineRule="auto"/>
        <w:ind w:right="120" w:hanging="360"/>
        <w:jc w:val="left"/>
        <w:rPr>
          <w:rFonts w:ascii="Wingdings" w:hAnsi="Wingdings"/>
          <w:sz w:val="24"/>
        </w:rPr>
      </w:pPr>
      <w:r>
        <w:rPr>
          <w:sz w:val="24"/>
        </w:rPr>
        <w:t>Zpracovatel osobních údajů – společnost CCA Group a.s. jako dodavatel informačního systému Insolvenčního</w:t>
      </w:r>
      <w:r>
        <w:rPr>
          <w:spacing w:val="1"/>
          <w:sz w:val="24"/>
        </w:rPr>
        <w:t xml:space="preserve"> </w:t>
      </w:r>
      <w:r>
        <w:rPr>
          <w:sz w:val="24"/>
        </w:rPr>
        <w:t>rejstříku</w:t>
      </w:r>
    </w:p>
    <w:p w14:paraId="6AA3B95B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line="275" w:lineRule="exact"/>
        <w:ind w:left="824" w:hanging="306"/>
        <w:jc w:val="left"/>
        <w:rPr>
          <w:rFonts w:ascii="Wingdings" w:hAnsi="Wingdings"/>
          <w:sz w:val="24"/>
        </w:rPr>
      </w:pPr>
      <w:r>
        <w:rPr>
          <w:sz w:val="24"/>
        </w:rPr>
        <w:t>Orgány veřejné</w:t>
      </w:r>
      <w:r>
        <w:rPr>
          <w:spacing w:val="-6"/>
          <w:sz w:val="24"/>
        </w:rPr>
        <w:t xml:space="preserve"> </w:t>
      </w:r>
      <w:r>
        <w:rPr>
          <w:sz w:val="24"/>
        </w:rPr>
        <w:t>moci</w:t>
      </w:r>
    </w:p>
    <w:p w14:paraId="260ACE13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3" w:line="276" w:lineRule="auto"/>
        <w:ind w:right="116" w:hanging="360"/>
        <w:jc w:val="left"/>
        <w:rPr>
          <w:rFonts w:ascii="Wingdings" w:hAnsi="Wingdings"/>
          <w:sz w:val="24"/>
        </w:rPr>
      </w:pPr>
      <w:r>
        <w:rPr>
          <w:sz w:val="24"/>
        </w:rPr>
        <w:t>Veřejnost - podle § 419 IZ je Insolvenční rejstřík veřejně přístupný s výjimkou údajů, o kterých tak stanoví tento</w:t>
      </w:r>
      <w:r>
        <w:rPr>
          <w:spacing w:val="-1"/>
          <w:sz w:val="24"/>
        </w:rPr>
        <w:t xml:space="preserve"> </w:t>
      </w:r>
      <w:r>
        <w:rPr>
          <w:sz w:val="24"/>
        </w:rPr>
        <w:t>zákon</w:t>
      </w:r>
    </w:p>
    <w:p w14:paraId="0790659B" w14:textId="77777777" w:rsidR="001D7D15" w:rsidRDefault="001D7D15">
      <w:pPr>
        <w:pStyle w:val="Zkladntext"/>
        <w:spacing w:before="10"/>
        <w:rPr>
          <w:sz w:val="27"/>
        </w:rPr>
      </w:pPr>
    </w:p>
    <w:p w14:paraId="49968F59" w14:textId="77777777" w:rsidR="001D7D15" w:rsidRDefault="009573FD">
      <w:pPr>
        <w:pStyle w:val="Nadpis1"/>
      </w:pPr>
      <w:r>
        <w:t>Předání do zahraničí</w:t>
      </w:r>
    </w:p>
    <w:p w14:paraId="30063155" w14:textId="1FDBA7DB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39" w:line="276" w:lineRule="auto"/>
        <w:ind w:left="836" w:right="114" w:hanging="360"/>
        <w:rPr>
          <w:rFonts w:ascii="Wingdings" w:hAnsi="Wingdings"/>
          <w:sz w:val="24"/>
        </w:rPr>
      </w:pPr>
      <w:r>
        <w:rPr>
          <w:sz w:val="24"/>
        </w:rPr>
        <w:t>Zveřejňování povinných informací o všech insolvenčních řízeních zahájených v EU na Evropském portálu e-justice ve smyslu čl. 25</w:t>
      </w:r>
      <w:r>
        <w:rPr>
          <w:sz w:val="24"/>
        </w:rPr>
        <w:t xml:space="preserve"> Nařízení Evropského parlamentu a Rady (EU) 2015/848 ze dne 20. května 2015 o insolvenčním</w:t>
      </w:r>
      <w:r>
        <w:rPr>
          <w:spacing w:val="-5"/>
          <w:sz w:val="24"/>
        </w:rPr>
        <w:t xml:space="preserve"> </w:t>
      </w:r>
      <w:r>
        <w:rPr>
          <w:sz w:val="24"/>
        </w:rPr>
        <w:t>řízení.</w:t>
      </w:r>
    </w:p>
    <w:p w14:paraId="789F6836" w14:textId="77777777" w:rsidR="001D7D15" w:rsidRDefault="001D7D15">
      <w:pPr>
        <w:pStyle w:val="Zkladntext"/>
        <w:rPr>
          <w:sz w:val="28"/>
        </w:rPr>
      </w:pPr>
    </w:p>
    <w:p w14:paraId="166DD3C2" w14:textId="77777777" w:rsidR="001D7D15" w:rsidRDefault="009573FD">
      <w:pPr>
        <w:pStyle w:val="Nadpis1"/>
        <w:spacing w:before="1"/>
      </w:pPr>
      <w:r>
        <w:t>Doba, po kterou mohou být osobní údaje zveřejněny v Insolvenčním rejstříku</w:t>
      </w:r>
    </w:p>
    <w:p w14:paraId="0E6181F0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36"/>
        <w:ind w:left="824" w:hanging="349"/>
        <w:rPr>
          <w:rFonts w:ascii="Wingdings" w:hAnsi="Wingdings"/>
          <w:sz w:val="24"/>
        </w:rPr>
      </w:pPr>
      <w:r>
        <w:rPr>
          <w:sz w:val="24"/>
        </w:rPr>
        <w:t>Doba, po kterou mohou být osobní údaje zveřejněny, je stanovena v § 425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IZ.</w:t>
      </w:r>
    </w:p>
    <w:p w14:paraId="4DC27A1A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533"/>
        </w:tabs>
        <w:spacing w:before="40" w:line="276" w:lineRule="auto"/>
        <w:ind w:left="1556" w:right="121"/>
        <w:rPr>
          <w:sz w:val="24"/>
        </w:rPr>
      </w:pPr>
      <w:r>
        <w:rPr>
          <w:sz w:val="24"/>
        </w:rPr>
        <w:t>Po uplynutí 5 let od nabytí právní moci rozhodnutí, jímž bylo skončeno insolvenční řízení, vyškrtne insolvenční soud dlužníka ze seznamu dlužníků a údaje o něm v insolvenčním rejstříku</w:t>
      </w:r>
      <w:r>
        <w:rPr>
          <w:spacing w:val="-1"/>
          <w:sz w:val="24"/>
        </w:rPr>
        <w:t xml:space="preserve"> </w:t>
      </w:r>
      <w:r>
        <w:rPr>
          <w:sz w:val="24"/>
        </w:rPr>
        <w:t>znepřístupní.</w:t>
      </w:r>
    </w:p>
    <w:p w14:paraId="38D30DD7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533"/>
        </w:tabs>
        <w:spacing w:before="1" w:line="276" w:lineRule="auto"/>
        <w:ind w:left="1556" w:right="116"/>
        <w:rPr>
          <w:sz w:val="24"/>
        </w:rPr>
      </w:pPr>
      <w:r>
        <w:rPr>
          <w:sz w:val="24"/>
        </w:rPr>
        <w:t xml:space="preserve">Skončí-li insolvenční řízení rozhodnutím podle § 142 </w:t>
      </w:r>
      <w:r>
        <w:rPr>
          <w:spacing w:val="-3"/>
          <w:sz w:val="24"/>
        </w:rPr>
        <w:t xml:space="preserve">IZ, </w:t>
      </w:r>
      <w:r>
        <w:rPr>
          <w:sz w:val="24"/>
        </w:rPr>
        <w:t>vyškrtne insolvenční soud dlužníka ze seznamu dlužníků a údaje o něm v insolvenčním rejstříku znepřístupní do 15 dnů od doručení žádosti dlužníka; dlužník je oprávněn požádat o vyškrtnutí nejdříve po uplynutí 3 měsíců od právní moci</w:t>
      </w:r>
      <w:r>
        <w:rPr>
          <w:spacing w:val="-12"/>
          <w:sz w:val="24"/>
        </w:rPr>
        <w:t xml:space="preserve"> </w:t>
      </w:r>
      <w:r>
        <w:rPr>
          <w:sz w:val="24"/>
        </w:rPr>
        <w:t>rozhodnutí.</w:t>
      </w:r>
    </w:p>
    <w:p w14:paraId="13C6B525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533"/>
        </w:tabs>
        <w:spacing w:line="276" w:lineRule="auto"/>
        <w:ind w:left="1556" w:right="120"/>
        <w:rPr>
          <w:sz w:val="24"/>
        </w:rPr>
      </w:pPr>
      <w:r>
        <w:rPr>
          <w:sz w:val="24"/>
        </w:rPr>
        <w:t>Při uchovávání znepřístupněných údajů se postupuje podle zvláštního právního předpisu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14:paraId="491FFD38" w14:textId="77777777" w:rsidR="001D7D15" w:rsidRDefault="009573FD">
      <w:pPr>
        <w:pStyle w:val="Odstavecseseznamem"/>
        <w:numPr>
          <w:ilvl w:val="2"/>
          <w:numId w:val="1"/>
        </w:numPr>
        <w:tabs>
          <w:tab w:val="left" w:pos="1533"/>
        </w:tabs>
        <w:spacing w:line="276" w:lineRule="auto"/>
        <w:ind w:left="1556" w:right="120"/>
        <w:rPr>
          <w:sz w:val="24"/>
        </w:rPr>
      </w:pPr>
      <w:r>
        <w:rPr>
          <w:sz w:val="24"/>
        </w:rPr>
        <w:t>Je-li podán opravný prostředek proti pravomocnému rozhodnutí podle § 142, ponechá insolvenční soud dlužníka v seznamu dlužníků a údaje o něm přístupné v insolvenčním rejstříku po dobu projednání opravného</w:t>
      </w:r>
      <w:r>
        <w:rPr>
          <w:spacing w:val="-4"/>
          <w:sz w:val="24"/>
        </w:rPr>
        <w:t xml:space="preserve"> </w:t>
      </w:r>
      <w:r>
        <w:rPr>
          <w:sz w:val="24"/>
        </w:rPr>
        <w:t>prostředku.</w:t>
      </w:r>
    </w:p>
    <w:p w14:paraId="6B4230B2" w14:textId="77777777" w:rsidR="001D7D15" w:rsidRDefault="001D7D15">
      <w:pPr>
        <w:pStyle w:val="Zkladntext"/>
        <w:rPr>
          <w:sz w:val="28"/>
        </w:rPr>
      </w:pPr>
    </w:p>
    <w:p w14:paraId="65531752" w14:textId="77777777" w:rsidR="001D7D15" w:rsidRDefault="009573FD">
      <w:pPr>
        <w:pStyle w:val="Nadpis1"/>
      </w:pPr>
      <w:r>
        <w:t>Práva subjektu údajů</w:t>
      </w:r>
    </w:p>
    <w:p w14:paraId="3FB28BF7" w14:textId="77777777" w:rsidR="001D7D15" w:rsidRDefault="009573FD">
      <w:pPr>
        <w:pStyle w:val="Zkladntext"/>
        <w:spacing w:before="36" w:line="278" w:lineRule="auto"/>
        <w:ind w:left="116"/>
      </w:pPr>
      <w:r>
        <w:t>GDPR umožňuje subjektům osobních údajů v závislosti na konkrétních právních titulech zpracování osobních údajů uplatnit následující práva:</w:t>
      </w:r>
    </w:p>
    <w:p w14:paraId="3FB06124" w14:textId="77777777" w:rsidR="001D7D15" w:rsidRDefault="001D7D15">
      <w:pPr>
        <w:pStyle w:val="Zkladntext"/>
        <w:spacing w:before="2"/>
        <w:rPr>
          <w:sz w:val="27"/>
        </w:rPr>
      </w:pPr>
    </w:p>
    <w:p w14:paraId="6C8B76D2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ind w:left="824" w:hanging="349"/>
        <w:jc w:val="left"/>
        <w:rPr>
          <w:rFonts w:ascii="Wingdings" w:hAnsi="Wingdings"/>
          <w:sz w:val="24"/>
        </w:rPr>
      </w:pPr>
      <w:r>
        <w:rPr>
          <w:sz w:val="24"/>
        </w:rPr>
        <w:t>právo na přístup k osobním údajům (čl. 15</w:t>
      </w:r>
      <w:r>
        <w:rPr>
          <w:spacing w:val="-2"/>
          <w:sz w:val="24"/>
        </w:rPr>
        <w:t xml:space="preserve"> </w:t>
      </w:r>
      <w:r>
        <w:rPr>
          <w:sz w:val="24"/>
        </w:rPr>
        <w:t>GDPR)</w:t>
      </w:r>
    </w:p>
    <w:p w14:paraId="3D5A40D6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1"/>
        <w:ind w:left="824" w:hanging="349"/>
        <w:jc w:val="left"/>
        <w:rPr>
          <w:rFonts w:ascii="Wingdings" w:hAnsi="Wingdings"/>
          <w:sz w:val="24"/>
        </w:rPr>
      </w:pPr>
      <w:r>
        <w:rPr>
          <w:sz w:val="24"/>
        </w:rPr>
        <w:t>právo na jejich opravu (čl. 16</w:t>
      </w:r>
      <w:r>
        <w:rPr>
          <w:spacing w:val="-1"/>
          <w:sz w:val="24"/>
        </w:rPr>
        <w:t xml:space="preserve"> </w:t>
      </w:r>
      <w:r>
        <w:rPr>
          <w:sz w:val="24"/>
        </w:rPr>
        <w:t>GDPR)</w:t>
      </w:r>
    </w:p>
    <w:p w14:paraId="4A7636F8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3"/>
        <w:ind w:left="824" w:hanging="349"/>
        <w:jc w:val="left"/>
        <w:rPr>
          <w:rFonts w:ascii="Wingdings" w:hAnsi="Wingdings"/>
          <w:sz w:val="24"/>
        </w:rPr>
      </w:pPr>
      <w:r>
        <w:rPr>
          <w:sz w:val="24"/>
        </w:rPr>
        <w:t>právo na výmaz (čl. 17</w:t>
      </w:r>
      <w:r>
        <w:rPr>
          <w:spacing w:val="-1"/>
          <w:sz w:val="24"/>
        </w:rPr>
        <w:t xml:space="preserve"> </w:t>
      </w:r>
      <w:r>
        <w:rPr>
          <w:sz w:val="24"/>
        </w:rPr>
        <w:t>GDPR)</w:t>
      </w:r>
    </w:p>
    <w:p w14:paraId="3427B125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1"/>
        <w:ind w:left="824" w:hanging="349"/>
        <w:jc w:val="left"/>
        <w:rPr>
          <w:rFonts w:ascii="Wingdings" w:hAnsi="Wingdings"/>
          <w:sz w:val="24"/>
        </w:rPr>
      </w:pPr>
      <w:r>
        <w:rPr>
          <w:sz w:val="24"/>
        </w:rPr>
        <w:t>právo na omezení zpracování (čl. 18</w:t>
      </w:r>
      <w:r>
        <w:rPr>
          <w:spacing w:val="-1"/>
          <w:sz w:val="24"/>
        </w:rPr>
        <w:t xml:space="preserve"> </w:t>
      </w:r>
      <w:r>
        <w:rPr>
          <w:sz w:val="24"/>
        </w:rPr>
        <w:t>GDPR)</w:t>
      </w:r>
    </w:p>
    <w:p w14:paraId="71C3A53D" w14:textId="77777777" w:rsidR="001D7D15" w:rsidRDefault="009573FD">
      <w:pPr>
        <w:pStyle w:val="Odstavecseseznamem"/>
        <w:numPr>
          <w:ilvl w:val="1"/>
          <w:numId w:val="1"/>
        </w:numPr>
        <w:tabs>
          <w:tab w:val="left" w:pos="825"/>
        </w:tabs>
        <w:spacing w:before="41"/>
        <w:ind w:left="824" w:hanging="349"/>
        <w:jc w:val="left"/>
        <w:rPr>
          <w:rFonts w:ascii="Wingdings" w:hAnsi="Wingdings"/>
          <w:sz w:val="24"/>
        </w:rPr>
      </w:pPr>
      <w:r>
        <w:rPr>
          <w:sz w:val="24"/>
        </w:rPr>
        <w:t>právo podat proti správci stížnost u dozorového úřadu (čl. 77 GDPR)</w:t>
      </w:r>
    </w:p>
    <w:p w14:paraId="79A71C54" w14:textId="77777777" w:rsidR="001D7D15" w:rsidRDefault="001D7D15">
      <w:pPr>
        <w:pStyle w:val="Zkladntext"/>
        <w:spacing w:before="1"/>
        <w:rPr>
          <w:sz w:val="31"/>
        </w:rPr>
      </w:pPr>
    </w:p>
    <w:p w14:paraId="1AF6B66F" w14:textId="77777777" w:rsidR="001D7D15" w:rsidRDefault="009573FD">
      <w:pPr>
        <w:pStyle w:val="Zkladntext"/>
        <w:spacing w:line="278" w:lineRule="auto"/>
        <w:ind w:left="116"/>
      </w:pPr>
      <w:r>
        <w:t>Podle čl. 21 odst. 1 GDPR má subjekt osobních údajů právo z důvodu své konkrétní situace právo kdykoliv vznést námitku proti zpracování osobních údajů, pokud jsou zpracovávány na</w:t>
      </w:r>
    </w:p>
    <w:p w14:paraId="05C173CE" w14:textId="77777777" w:rsidR="001D7D15" w:rsidRDefault="001D7D15">
      <w:pPr>
        <w:pStyle w:val="Zkladntext"/>
        <w:rPr>
          <w:sz w:val="20"/>
        </w:rPr>
      </w:pPr>
    </w:p>
    <w:p w14:paraId="69845124" w14:textId="6223A3EA" w:rsidR="001D7D15" w:rsidRDefault="009573FD">
      <w:pPr>
        <w:pStyle w:val="Zkladn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D4B5CB" wp14:editId="397F426A">
                <wp:simplePos x="0" y="0"/>
                <wp:positionH relativeFrom="page">
                  <wp:posOffset>899160</wp:posOffset>
                </wp:positionH>
                <wp:positionV relativeFrom="paragraph">
                  <wp:posOffset>132715</wp:posOffset>
                </wp:positionV>
                <wp:extent cx="1829435" cy="1270"/>
                <wp:effectExtent l="0" t="0" r="0" b="0"/>
                <wp:wrapTopAndBottom/>
                <wp:docPr id="652448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ABC4" id="Freeform 2" o:spid="_x0000_s1026" style="position:absolute;margin-left:70.8pt;margin-top:10.4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1429D1D5" w14:textId="77777777" w:rsidR="001D7D15" w:rsidRDefault="009573FD">
      <w:pPr>
        <w:spacing w:before="39" w:line="278" w:lineRule="auto"/>
        <w:ind w:left="116" w:right="119"/>
        <w:rPr>
          <w:rFonts w:ascii="Calibri" w:hAnsi="Calibri"/>
          <w:sz w:val="20"/>
        </w:rPr>
      </w:pPr>
      <w:r>
        <w:rPr>
          <w:rFonts w:ascii="Calibri" w:hAnsi="Calibri"/>
          <w:position w:val="10"/>
          <w:sz w:val="13"/>
        </w:rPr>
        <w:t xml:space="preserve">1 </w:t>
      </w:r>
      <w:r>
        <w:rPr>
          <w:rFonts w:ascii="Calibri" w:hAnsi="Calibri"/>
          <w:sz w:val="20"/>
        </w:rPr>
        <w:t>Zákon č. 499/2004 Sb., o archivnictví a spisové službě a o změně některých zákonů, ve znění pozdějších předpisů</w:t>
      </w:r>
    </w:p>
    <w:p w14:paraId="2363A69B" w14:textId="77777777" w:rsidR="001D7D15" w:rsidRDefault="001D7D15">
      <w:pPr>
        <w:spacing w:line="278" w:lineRule="auto"/>
        <w:rPr>
          <w:rFonts w:ascii="Calibri" w:hAnsi="Calibri"/>
          <w:sz w:val="20"/>
        </w:rPr>
        <w:sectPr w:rsidR="001D7D15">
          <w:pgSz w:w="11910" w:h="16840"/>
          <w:pgMar w:top="1580" w:right="1300" w:bottom="280" w:left="1300" w:header="708" w:footer="708" w:gutter="0"/>
          <w:cols w:space="708"/>
        </w:sectPr>
      </w:pPr>
    </w:p>
    <w:p w14:paraId="40FB5410" w14:textId="77777777" w:rsidR="001D7D15" w:rsidRDefault="009573FD">
      <w:pPr>
        <w:pStyle w:val="Zkladntext"/>
        <w:spacing w:before="72" w:line="278" w:lineRule="auto"/>
        <w:ind w:left="116" w:right="119"/>
      </w:pPr>
      <w:r>
        <w:lastRenderedPageBreak/>
        <w:t>základě právního titulu oprávněného zájmu nebo plnění úkolu prováděného ve veřejném zájmu nebo při výkonu veřejné moci včetně profilování.</w:t>
      </w:r>
    </w:p>
    <w:sectPr w:rsidR="001D7D1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ECB"/>
    <w:multiLevelType w:val="hybridMultilevel"/>
    <w:tmpl w:val="7DF22884"/>
    <w:lvl w:ilvl="0" w:tplc="D98A1B76">
      <w:start w:val="27"/>
      <w:numFmt w:val="decimal"/>
      <w:lvlText w:val="%1."/>
      <w:lvlJc w:val="left"/>
      <w:pPr>
        <w:ind w:left="459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cs-CZ" w:eastAsia="cs-CZ" w:bidi="cs-CZ"/>
      </w:rPr>
    </w:lvl>
    <w:lvl w:ilvl="1" w:tplc="03ECDAD0">
      <w:numFmt w:val="bullet"/>
      <w:lvlText w:val=""/>
      <w:lvlJc w:val="left"/>
      <w:pPr>
        <w:ind w:left="879" w:hanging="305"/>
      </w:pPr>
      <w:rPr>
        <w:rFonts w:hint="default"/>
        <w:w w:val="100"/>
        <w:lang w:val="cs-CZ" w:eastAsia="cs-CZ" w:bidi="cs-CZ"/>
      </w:rPr>
    </w:lvl>
    <w:lvl w:ilvl="2" w:tplc="DC58C656">
      <w:numFmt w:val="bullet"/>
      <w:lvlText w:val=""/>
      <w:lvlJc w:val="left"/>
      <w:pPr>
        <w:ind w:left="1239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3" w:tplc="5FC8E0A8">
      <w:numFmt w:val="bullet"/>
      <w:lvlText w:val="•"/>
      <w:lvlJc w:val="left"/>
      <w:pPr>
        <w:ind w:left="1560" w:hanging="360"/>
      </w:pPr>
      <w:rPr>
        <w:rFonts w:hint="default"/>
        <w:lang w:val="cs-CZ" w:eastAsia="cs-CZ" w:bidi="cs-CZ"/>
      </w:rPr>
    </w:lvl>
    <w:lvl w:ilvl="4" w:tplc="12FA86D8">
      <w:numFmt w:val="bullet"/>
      <w:lvlText w:val="•"/>
      <w:lvlJc w:val="left"/>
      <w:pPr>
        <w:ind w:left="2666" w:hanging="360"/>
      </w:pPr>
      <w:rPr>
        <w:rFonts w:hint="default"/>
        <w:lang w:val="cs-CZ" w:eastAsia="cs-CZ" w:bidi="cs-CZ"/>
      </w:rPr>
    </w:lvl>
    <w:lvl w:ilvl="5" w:tplc="73E8ED2C">
      <w:numFmt w:val="bullet"/>
      <w:lvlText w:val="•"/>
      <w:lvlJc w:val="left"/>
      <w:pPr>
        <w:ind w:left="3773" w:hanging="360"/>
      </w:pPr>
      <w:rPr>
        <w:rFonts w:hint="default"/>
        <w:lang w:val="cs-CZ" w:eastAsia="cs-CZ" w:bidi="cs-CZ"/>
      </w:rPr>
    </w:lvl>
    <w:lvl w:ilvl="6" w:tplc="613EDD28">
      <w:numFmt w:val="bullet"/>
      <w:lvlText w:val="•"/>
      <w:lvlJc w:val="left"/>
      <w:pPr>
        <w:ind w:left="4879" w:hanging="360"/>
      </w:pPr>
      <w:rPr>
        <w:rFonts w:hint="default"/>
        <w:lang w:val="cs-CZ" w:eastAsia="cs-CZ" w:bidi="cs-CZ"/>
      </w:rPr>
    </w:lvl>
    <w:lvl w:ilvl="7" w:tplc="F9943580">
      <w:numFmt w:val="bullet"/>
      <w:lvlText w:val="•"/>
      <w:lvlJc w:val="left"/>
      <w:pPr>
        <w:ind w:left="5986" w:hanging="360"/>
      </w:pPr>
      <w:rPr>
        <w:rFonts w:hint="default"/>
        <w:lang w:val="cs-CZ" w:eastAsia="cs-CZ" w:bidi="cs-CZ"/>
      </w:rPr>
    </w:lvl>
    <w:lvl w:ilvl="8" w:tplc="DE480334">
      <w:numFmt w:val="bullet"/>
      <w:lvlText w:val="•"/>
      <w:lvlJc w:val="left"/>
      <w:pPr>
        <w:ind w:left="7093" w:hanging="360"/>
      </w:pPr>
      <w:rPr>
        <w:rFonts w:hint="default"/>
        <w:lang w:val="cs-CZ" w:eastAsia="cs-CZ" w:bidi="cs-CZ"/>
      </w:rPr>
    </w:lvl>
  </w:abstractNum>
  <w:num w:numId="1" w16cid:durableId="37122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5"/>
    <w:rsid w:val="001D7D15"/>
    <w:rsid w:val="008A3209"/>
    <w:rsid w:val="009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E9059"/>
  <w15:docId w15:val="{47D942E2-1188-4843-BEB7-0CA78DB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erenec@ms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.cz/" TargetMode="External"/><Relationship Id="rId5" Type="http://schemas.openxmlformats.org/officeDocument/2006/relationships/hyperlink" Target="mailto:posta@msp.just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 Kateřina</dc:creator>
  <cp:lastModifiedBy>Večeřa Miloš Ing.</cp:lastModifiedBy>
  <cp:revision>2</cp:revision>
  <dcterms:created xsi:type="dcterms:W3CDTF">2025-05-23T13:50:00Z</dcterms:created>
  <dcterms:modified xsi:type="dcterms:W3CDTF">2025-05-23T13:50:00Z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</Properties>
</file>