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AA91" w14:textId="77777777" w:rsidR="00BA3C06" w:rsidRDefault="007374C0">
      <w:pPr>
        <w:spacing w:after="445" w:line="301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Sprp 337/2025 </w:t>
      </w:r>
    </w:p>
    <w:p w14:paraId="16743DB7" w14:textId="77777777" w:rsidR="00BA3C06" w:rsidRDefault="007374C0">
      <w:pPr>
        <w:pStyle w:val="Nadpis1"/>
      </w:pPr>
      <w:r>
        <w:t xml:space="preserve">VÝBĚROVÉ ŘÍZENÍ </w:t>
      </w:r>
    </w:p>
    <w:p w14:paraId="04706270" w14:textId="77777777" w:rsidR="00BA3C06" w:rsidRDefault="007374C0">
      <w:pPr>
        <w:spacing w:after="88" w:line="259" w:lineRule="auto"/>
        <w:ind w:left="58" w:firstLine="0"/>
        <w:jc w:val="center"/>
      </w:pPr>
      <w:r>
        <w:rPr>
          <w:b/>
        </w:rPr>
        <w:t xml:space="preserve"> </w:t>
      </w:r>
    </w:p>
    <w:p w14:paraId="667D04B4" w14:textId="77777777" w:rsidR="00BA3C06" w:rsidRDefault="007374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179" w:line="259" w:lineRule="auto"/>
        <w:ind w:left="0" w:right="6" w:firstLine="0"/>
        <w:jc w:val="center"/>
      </w:pPr>
      <w:r>
        <w:rPr>
          <w:b/>
        </w:rPr>
        <w:t xml:space="preserve">Městský soud v Praze vyhlašuje výběrové řízení na pracovní pozici  </w:t>
      </w:r>
    </w:p>
    <w:p w14:paraId="652A5910" w14:textId="77777777" w:rsidR="00BA3C06" w:rsidRDefault="007374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149" w:line="259" w:lineRule="auto"/>
        <w:ind w:left="10" w:right="6"/>
        <w:jc w:val="center"/>
      </w:pPr>
      <w:r>
        <w:rPr>
          <w:b/>
          <w:sz w:val="32"/>
        </w:rPr>
        <w:t xml:space="preserve">SOUDNÍ TAJEMNICE/SOUDNÍ TAJEMNÍK </w:t>
      </w:r>
    </w:p>
    <w:p w14:paraId="24A79554" w14:textId="77777777" w:rsidR="00BA3C06" w:rsidRDefault="007374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74" w:line="259" w:lineRule="auto"/>
        <w:ind w:left="10" w:right="6"/>
        <w:jc w:val="center"/>
      </w:pPr>
      <w:r>
        <w:rPr>
          <w:b/>
          <w:sz w:val="32"/>
        </w:rPr>
        <w:t xml:space="preserve">(trestní úsek) </w:t>
      </w:r>
    </w:p>
    <w:p w14:paraId="4C187B2D" w14:textId="77777777" w:rsidR="00BA3C06" w:rsidRDefault="007374C0">
      <w:pPr>
        <w:spacing w:after="13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23A4802" w14:textId="77777777" w:rsidR="00BA3C06" w:rsidRDefault="007374C0">
      <w:pPr>
        <w:spacing w:after="68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0E96CAF" w14:textId="77777777" w:rsidR="00BA3C06" w:rsidRDefault="007374C0">
      <w:pPr>
        <w:tabs>
          <w:tab w:val="center" w:pos="2124"/>
          <w:tab w:val="center" w:pos="2833"/>
        </w:tabs>
        <w:spacing w:after="76"/>
        <w:ind w:left="-15" w:firstLine="0"/>
        <w:jc w:val="left"/>
      </w:pPr>
      <w:r>
        <w:rPr>
          <w:b/>
        </w:rPr>
        <w:t xml:space="preserve">Pracovní náplň: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5FB6E5C" w14:textId="77777777" w:rsidR="00BA3C06" w:rsidRDefault="007374C0">
      <w:pPr>
        <w:numPr>
          <w:ilvl w:val="0"/>
          <w:numId w:val="1"/>
        </w:numPr>
        <w:spacing w:after="121"/>
        <w:ind w:hanging="348"/>
      </w:pPr>
      <w:r>
        <w:rPr>
          <w:color w:val="030303"/>
        </w:rPr>
        <w:t xml:space="preserve">samostatná rozhodovací činnost v trestních věcech vyhrazených jinak podle zákona předsedovi senátu (samosoudci) na základě pověření předsedy soudu v rozsahu vymezeném jednacím řádem pro okresní, krajské a vrchní soudy </w:t>
      </w:r>
    </w:p>
    <w:p w14:paraId="59C591C4" w14:textId="77777777" w:rsidR="00BA3C06" w:rsidRDefault="007374C0">
      <w:pPr>
        <w:spacing w:after="0" w:line="259" w:lineRule="auto"/>
        <w:ind w:left="0" w:firstLine="0"/>
        <w:jc w:val="left"/>
      </w:pPr>
      <w:r>
        <w:rPr>
          <w:color w:val="030303"/>
        </w:rPr>
        <w:t xml:space="preserve"> </w:t>
      </w:r>
    </w:p>
    <w:p w14:paraId="0B75FDF3" w14:textId="77777777" w:rsidR="00BA3C06" w:rsidRDefault="007374C0">
      <w:pPr>
        <w:spacing w:after="76"/>
        <w:ind w:left="-5"/>
        <w:jc w:val="left"/>
      </w:pPr>
      <w:r>
        <w:rPr>
          <w:b/>
        </w:rPr>
        <w:t xml:space="preserve">Kvalifikační předpoklady: </w:t>
      </w:r>
    </w:p>
    <w:p w14:paraId="489BFC6A" w14:textId="77777777" w:rsidR="00BA3C06" w:rsidRDefault="007374C0">
      <w:pPr>
        <w:numPr>
          <w:ilvl w:val="0"/>
          <w:numId w:val="1"/>
        </w:numPr>
        <w:ind w:hanging="348"/>
      </w:pPr>
      <w:r>
        <w:t xml:space="preserve">vysokoškolské vzdělání v bakalářském studijním programu, popř. střední vzdělání s maturitní zkouškou </w:t>
      </w:r>
    </w:p>
    <w:p w14:paraId="232F3DA2" w14:textId="77777777" w:rsidR="00BA3C06" w:rsidRDefault="007374C0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665C427F" w14:textId="77777777" w:rsidR="00BA3C06" w:rsidRDefault="007374C0">
      <w:pPr>
        <w:tabs>
          <w:tab w:val="center" w:pos="1416"/>
        </w:tabs>
        <w:spacing w:after="76"/>
        <w:ind w:left="-15" w:firstLine="0"/>
        <w:jc w:val="left"/>
      </w:pPr>
      <w:r>
        <w:rPr>
          <w:b/>
        </w:rPr>
        <w:t xml:space="preserve">Požadavky: </w:t>
      </w:r>
      <w:r>
        <w:rPr>
          <w:b/>
        </w:rPr>
        <w:tab/>
      </w:r>
      <w:r>
        <w:t xml:space="preserve"> </w:t>
      </w:r>
    </w:p>
    <w:p w14:paraId="7C6FE962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rPr>
          <w:color w:val="030303"/>
        </w:rPr>
        <w:t xml:space="preserve">občanská bezúhonnost </w:t>
      </w:r>
    </w:p>
    <w:p w14:paraId="6C596057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rPr>
          <w:color w:val="030303"/>
        </w:rPr>
        <w:t xml:space="preserve">odolnost vůči stresu </w:t>
      </w:r>
    </w:p>
    <w:p w14:paraId="3BD1E0AB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rPr>
          <w:color w:val="030303"/>
        </w:rPr>
        <w:t xml:space="preserve">vysoké pracovní nasazení </w:t>
      </w:r>
    </w:p>
    <w:p w14:paraId="7DA4CBB8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rPr>
          <w:color w:val="030303"/>
        </w:rPr>
        <w:t xml:space="preserve">odpovědný přístup ke svěřené agendě, pečlivost, flexibilita, schopnost týmové spolupráce </w:t>
      </w:r>
    </w:p>
    <w:p w14:paraId="36285C9D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rPr>
          <w:color w:val="030303"/>
        </w:rPr>
        <w:t xml:space="preserve">uživatelská znalost práce MS Office </w:t>
      </w:r>
    </w:p>
    <w:p w14:paraId="4575B5CC" w14:textId="77777777" w:rsidR="00BA3C06" w:rsidRDefault="007374C0">
      <w:pPr>
        <w:numPr>
          <w:ilvl w:val="0"/>
          <w:numId w:val="1"/>
        </w:numPr>
        <w:spacing w:after="75"/>
        <w:ind w:hanging="348"/>
      </w:pPr>
      <w:r>
        <w:rPr>
          <w:color w:val="030303"/>
        </w:rPr>
        <w:t xml:space="preserve">ochota k dalšímu vzdělávání  </w:t>
      </w:r>
    </w:p>
    <w:p w14:paraId="4FCC26E1" w14:textId="77777777" w:rsidR="00BA3C06" w:rsidRDefault="007374C0">
      <w:pPr>
        <w:spacing w:after="0" w:line="259" w:lineRule="auto"/>
        <w:ind w:left="360" w:firstLine="0"/>
        <w:jc w:val="left"/>
      </w:pPr>
      <w:r>
        <w:t xml:space="preserve"> </w:t>
      </w:r>
    </w:p>
    <w:p w14:paraId="65FC626C" w14:textId="77777777" w:rsidR="00BA3C06" w:rsidRDefault="007374C0">
      <w:pPr>
        <w:spacing w:after="76"/>
        <w:ind w:left="-5"/>
        <w:jc w:val="left"/>
      </w:pPr>
      <w:r>
        <w:rPr>
          <w:b/>
        </w:rPr>
        <w:t xml:space="preserve">Platové zařazení: </w:t>
      </w:r>
    </w:p>
    <w:p w14:paraId="1E58BD87" w14:textId="77777777" w:rsidR="00BA3C06" w:rsidRDefault="007374C0">
      <w:pPr>
        <w:numPr>
          <w:ilvl w:val="0"/>
          <w:numId w:val="1"/>
        </w:numPr>
        <w:spacing w:after="73"/>
        <w:ind w:hanging="348"/>
      </w:pPr>
      <w:r>
        <w:t>10. platová třída dle Nařízení vlády č. 466/2024 Sb., o platových poměrech zaměstnanců ve veřejných službách a správě, ve znění pozdějších předpisů (Platové rozmezí 24 790 Kč do 35 770 Kč dle dosažené praxe)</w:t>
      </w:r>
      <w:r>
        <w:rPr>
          <w:b/>
        </w:rPr>
        <w:t xml:space="preserve"> </w:t>
      </w:r>
    </w:p>
    <w:p w14:paraId="4D6B93EC" w14:textId="77777777" w:rsidR="00BA3C06" w:rsidRDefault="007374C0">
      <w:pPr>
        <w:numPr>
          <w:ilvl w:val="0"/>
          <w:numId w:val="1"/>
        </w:numPr>
        <w:spacing w:after="31"/>
        <w:ind w:hanging="348"/>
      </w:pPr>
      <w:r>
        <w:t>zvláštní příplatek ve výši 2 500 Kč</w:t>
      </w:r>
      <w:r>
        <w:rPr>
          <w:b/>
        </w:rPr>
        <w:t xml:space="preserve"> </w:t>
      </w:r>
    </w:p>
    <w:p w14:paraId="3316A132" w14:textId="77777777" w:rsidR="00BA3C06" w:rsidRDefault="007374C0">
      <w:pPr>
        <w:numPr>
          <w:ilvl w:val="0"/>
          <w:numId w:val="1"/>
        </w:numPr>
        <w:ind w:hanging="348"/>
      </w:pPr>
      <w:r>
        <w:t>možnost přiznání osobního příplatku a mimořádné odměny dle dosažených pracovních výsledků</w:t>
      </w:r>
      <w:r>
        <w:rPr>
          <w:b/>
        </w:rPr>
        <w:t xml:space="preserve"> </w:t>
      </w:r>
    </w:p>
    <w:p w14:paraId="0632DA8D" w14:textId="77777777" w:rsidR="00BA3C06" w:rsidRDefault="007374C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67F70F77" w14:textId="77777777" w:rsidR="00BA3C06" w:rsidRDefault="007374C0">
      <w:pPr>
        <w:spacing w:after="76"/>
        <w:ind w:left="-5"/>
        <w:jc w:val="left"/>
      </w:pPr>
      <w:r>
        <w:rPr>
          <w:b/>
        </w:rPr>
        <w:t xml:space="preserve">Místo výkonu práce: </w:t>
      </w:r>
    </w:p>
    <w:p w14:paraId="0C192392" w14:textId="77777777" w:rsidR="00BA3C06" w:rsidRDefault="007374C0">
      <w:pPr>
        <w:numPr>
          <w:ilvl w:val="0"/>
          <w:numId w:val="1"/>
        </w:numPr>
        <w:ind w:hanging="348"/>
      </w:pPr>
      <w:r>
        <w:t xml:space="preserve">Spálená 6/2, Praha 2 </w:t>
      </w:r>
      <w:r>
        <w:rPr>
          <w:b/>
        </w:rPr>
        <w:t xml:space="preserve"> </w:t>
      </w:r>
    </w:p>
    <w:p w14:paraId="3B765BA0" w14:textId="77777777" w:rsidR="00BA3C06" w:rsidRDefault="007374C0">
      <w:pPr>
        <w:spacing w:after="14" w:line="259" w:lineRule="auto"/>
        <w:ind w:left="720" w:firstLine="0"/>
        <w:jc w:val="left"/>
      </w:pPr>
      <w:r>
        <w:rPr>
          <w:b/>
        </w:rPr>
        <w:t xml:space="preserve"> </w:t>
      </w:r>
    </w:p>
    <w:p w14:paraId="46A5DCD2" w14:textId="77777777" w:rsidR="00BA3C06" w:rsidRDefault="007374C0">
      <w:pPr>
        <w:tabs>
          <w:tab w:val="center" w:pos="1416"/>
          <w:tab w:val="center" w:pos="2124"/>
        </w:tabs>
        <w:spacing w:after="76"/>
        <w:ind w:left="-15" w:firstLine="0"/>
        <w:jc w:val="left"/>
      </w:pPr>
      <w:r>
        <w:rPr>
          <w:b/>
        </w:rPr>
        <w:t xml:space="preserve">Nabízíme: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64153A01" w14:textId="77777777" w:rsidR="00BA3C06" w:rsidRDefault="007374C0">
      <w:pPr>
        <w:numPr>
          <w:ilvl w:val="0"/>
          <w:numId w:val="1"/>
        </w:numPr>
        <w:spacing w:after="27"/>
        <w:ind w:hanging="348"/>
      </w:pPr>
      <w:r>
        <w:t xml:space="preserve">zajímavou a rozmanitou práci </w:t>
      </w:r>
    </w:p>
    <w:p w14:paraId="1D5F30C7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t xml:space="preserve">200 hodin (25 dnů) dovolené  </w:t>
      </w:r>
    </w:p>
    <w:p w14:paraId="67DEF1CC" w14:textId="77777777" w:rsidR="00BA3C06" w:rsidRDefault="007374C0">
      <w:pPr>
        <w:numPr>
          <w:ilvl w:val="0"/>
          <w:numId w:val="1"/>
        </w:numPr>
        <w:spacing w:after="27"/>
        <w:ind w:hanging="348"/>
      </w:pPr>
      <w:r>
        <w:t xml:space="preserve">5 dnů indispozičního volna – po zkušební době </w:t>
      </w:r>
    </w:p>
    <w:p w14:paraId="6EEEFF17" w14:textId="77777777" w:rsidR="00BA3C06" w:rsidRDefault="007374C0">
      <w:pPr>
        <w:numPr>
          <w:ilvl w:val="0"/>
          <w:numId w:val="1"/>
        </w:numPr>
        <w:spacing w:after="26"/>
        <w:ind w:hanging="348"/>
      </w:pPr>
      <w:r>
        <w:lastRenderedPageBreak/>
        <w:t xml:space="preserve">sebevzdělávání prostřednictvím Justiční akademie </w:t>
      </w:r>
    </w:p>
    <w:p w14:paraId="61BD0958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t xml:space="preserve">pružnou pracovní dobu </w:t>
      </w:r>
    </w:p>
    <w:p w14:paraId="2C1C55B4" w14:textId="77777777" w:rsidR="00BA3C06" w:rsidRDefault="007374C0">
      <w:pPr>
        <w:numPr>
          <w:ilvl w:val="0"/>
          <w:numId w:val="1"/>
        </w:numPr>
        <w:ind w:hanging="348"/>
      </w:pPr>
      <w:r>
        <w:t xml:space="preserve">příspěvek na stravování ve výši 120 Kč za odpracovaný den </w:t>
      </w:r>
    </w:p>
    <w:p w14:paraId="5610A0F9" w14:textId="77777777" w:rsidR="00BA3C06" w:rsidRDefault="007374C0">
      <w:pPr>
        <w:spacing w:after="445" w:line="301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Sprp 337/2025 </w:t>
      </w:r>
    </w:p>
    <w:p w14:paraId="56FC4E57" w14:textId="77777777" w:rsidR="00BA3C06" w:rsidRDefault="007374C0">
      <w:pPr>
        <w:numPr>
          <w:ilvl w:val="0"/>
          <w:numId w:val="1"/>
        </w:numPr>
        <w:spacing w:after="30"/>
        <w:ind w:hanging="348"/>
      </w:pPr>
      <w:r>
        <w:t xml:space="preserve">příspěvek na penzijní připojištění do výše 500 Kč/měsíc po zkušební době </w:t>
      </w:r>
    </w:p>
    <w:p w14:paraId="2856504D" w14:textId="77777777" w:rsidR="00BA3C06" w:rsidRDefault="007374C0">
      <w:pPr>
        <w:numPr>
          <w:ilvl w:val="0"/>
          <w:numId w:val="1"/>
        </w:numPr>
        <w:spacing w:after="28"/>
        <w:ind w:hanging="348"/>
      </w:pPr>
      <w:r>
        <w:t xml:space="preserve">příspěvek na kartu MultiSport – zaměstnanec hradí 435 Kč/měsíc </w:t>
      </w:r>
    </w:p>
    <w:p w14:paraId="125354A5" w14:textId="77777777" w:rsidR="00BA3C06" w:rsidRDefault="007374C0">
      <w:pPr>
        <w:numPr>
          <w:ilvl w:val="0"/>
          <w:numId w:val="1"/>
        </w:numPr>
        <w:spacing w:after="75"/>
        <w:ind w:hanging="348"/>
      </w:pPr>
      <w:r>
        <w:t xml:space="preserve">příspěvek až do výše 5 000 Kč ročně (resp. alikvotní část v závislosti na délce trvání pracovního poměru v daném kalendářním roce), čerpání ze systému Cafeteria benefity </w:t>
      </w:r>
    </w:p>
    <w:p w14:paraId="21E2FA09" w14:textId="77777777" w:rsidR="00BA3C06" w:rsidRDefault="007374C0">
      <w:pPr>
        <w:numPr>
          <w:ilvl w:val="0"/>
          <w:numId w:val="1"/>
        </w:numPr>
        <w:spacing w:after="76"/>
        <w:ind w:hanging="348"/>
      </w:pPr>
      <w:r>
        <w:t xml:space="preserve">možnost využití rekreačních zařízení Městského soudu v Praze (chata na Mariánské v Krušných horách, chatky u Sázavy) </w:t>
      </w:r>
    </w:p>
    <w:p w14:paraId="1B9EF8AC" w14:textId="77777777" w:rsidR="00BA3C06" w:rsidRDefault="007374C0">
      <w:pPr>
        <w:numPr>
          <w:ilvl w:val="0"/>
          <w:numId w:val="1"/>
        </w:numPr>
        <w:ind w:hanging="348"/>
      </w:pPr>
      <w:r>
        <w:t xml:space="preserve">a další zaměstnanecké výhody dle FKSP </w:t>
      </w:r>
    </w:p>
    <w:p w14:paraId="3CB6AA50" w14:textId="77777777" w:rsidR="00BA3C06" w:rsidRDefault="007374C0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46B09202" w14:textId="77777777" w:rsidR="00BA3C06" w:rsidRDefault="007374C0">
      <w:pPr>
        <w:tabs>
          <w:tab w:val="center" w:pos="2124"/>
          <w:tab w:val="center" w:pos="2833"/>
        </w:tabs>
        <w:spacing w:after="76"/>
        <w:ind w:left="-15" w:firstLine="0"/>
        <w:jc w:val="left"/>
      </w:pPr>
      <w:r>
        <w:rPr>
          <w:b/>
        </w:rPr>
        <w:t xml:space="preserve">Pracovní úvazek: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7EDE337C" w14:textId="77777777" w:rsidR="00BA3C06" w:rsidRDefault="007374C0">
      <w:pPr>
        <w:numPr>
          <w:ilvl w:val="0"/>
          <w:numId w:val="1"/>
        </w:numPr>
        <w:ind w:hanging="348"/>
      </w:pPr>
      <w:r>
        <w:t xml:space="preserve">plný pracovní úvazek tj. 40 hodin týdně </w:t>
      </w:r>
    </w:p>
    <w:p w14:paraId="2D6A174E" w14:textId="77777777" w:rsidR="00BA3C06" w:rsidRDefault="007374C0">
      <w:pPr>
        <w:spacing w:after="0" w:line="259" w:lineRule="auto"/>
        <w:ind w:left="0" w:firstLine="0"/>
        <w:jc w:val="left"/>
      </w:pPr>
      <w:r>
        <w:t xml:space="preserve"> </w:t>
      </w:r>
    </w:p>
    <w:p w14:paraId="5A0CDD88" w14:textId="77777777" w:rsidR="00BA3C06" w:rsidRDefault="007374C0">
      <w:pPr>
        <w:spacing w:after="76"/>
        <w:ind w:left="-5"/>
        <w:jc w:val="left"/>
      </w:pPr>
      <w:r>
        <w:rPr>
          <w:b/>
        </w:rPr>
        <w:t xml:space="preserve">Pracovní poměr: </w:t>
      </w:r>
    </w:p>
    <w:p w14:paraId="3A9B8E36" w14:textId="77777777" w:rsidR="00BA3C06" w:rsidRDefault="007374C0">
      <w:pPr>
        <w:numPr>
          <w:ilvl w:val="0"/>
          <w:numId w:val="1"/>
        </w:numPr>
        <w:spacing w:after="75"/>
        <w:ind w:hanging="348"/>
      </w:pPr>
      <w:r>
        <w:t>na dobu určitou (1 rok) s možností prodloužení pracovního poměru či jeho změny na dobu neurčitou</w:t>
      </w:r>
      <w:r>
        <w:rPr>
          <w:b/>
        </w:rPr>
        <w:t xml:space="preserve"> </w:t>
      </w:r>
    </w:p>
    <w:p w14:paraId="7CAB855B" w14:textId="77777777" w:rsidR="00BA3C06" w:rsidRDefault="007374C0">
      <w:pPr>
        <w:numPr>
          <w:ilvl w:val="0"/>
          <w:numId w:val="1"/>
        </w:numPr>
        <w:ind w:hanging="348"/>
      </w:pPr>
      <w:r>
        <w:t>zkušební doba 4 měsíce</w:t>
      </w:r>
      <w:r>
        <w:rPr>
          <w:b/>
        </w:rPr>
        <w:t xml:space="preserve"> </w:t>
      </w:r>
    </w:p>
    <w:p w14:paraId="5B27E8CC" w14:textId="77777777" w:rsidR="00BA3C06" w:rsidRDefault="007374C0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251AB3F3" w14:textId="77777777" w:rsidR="00BA3C06" w:rsidRDefault="007374C0">
      <w:pPr>
        <w:tabs>
          <w:tab w:val="center" w:pos="1416"/>
          <w:tab w:val="center" w:pos="2124"/>
        </w:tabs>
        <w:spacing w:after="76"/>
        <w:ind w:left="-15" w:firstLine="0"/>
        <w:jc w:val="left"/>
      </w:pPr>
      <w:r>
        <w:rPr>
          <w:b/>
        </w:rPr>
        <w:t xml:space="preserve">Nástup: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0C7642F4" w14:textId="77777777" w:rsidR="00BA3C06" w:rsidRDefault="007374C0">
      <w:pPr>
        <w:numPr>
          <w:ilvl w:val="0"/>
          <w:numId w:val="1"/>
        </w:numPr>
        <w:ind w:hanging="348"/>
      </w:pPr>
      <w:r>
        <w:t xml:space="preserve">možný ihned, případně dle dohody </w:t>
      </w:r>
    </w:p>
    <w:p w14:paraId="2FF33DAB" w14:textId="77777777" w:rsidR="00BA3C06" w:rsidRDefault="007374C0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21919759" w14:textId="77777777" w:rsidR="00BA3C06" w:rsidRDefault="007374C0">
      <w:pPr>
        <w:tabs>
          <w:tab w:val="center" w:pos="2833"/>
          <w:tab w:val="center" w:pos="3541"/>
        </w:tabs>
        <w:spacing w:after="76"/>
        <w:ind w:left="-15" w:firstLine="0"/>
        <w:jc w:val="left"/>
      </w:pPr>
      <w:r>
        <w:rPr>
          <w:b/>
        </w:rPr>
        <w:t xml:space="preserve">Náležitosti přihlášky: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6967FD15" w14:textId="5C532C8C" w:rsidR="00BA3C06" w:rsidRDefault="007374C0">
      <w:pPr>
        <w:numPr>
          <w:ilvl w:val="0"/>
          <w:numId w:val="1"/>
        </w:numPr>
        <w:spacing w:after="76"/>
        <w:ind w:hanging="348"/>
      </w:pPr>
      <w:r>
        <w:rPr>
          <w:b/>
        </w:rPr>
        <w:t xml:space="preserve">Strukturovaný životopis a motivační dopis zasílejte do </w:t>
      </w:r>
      <w:r w:rsidR="0018652D">
        <w:rPr>
          <w:b/>
        </w:rPr>
        <w:t>30.října</w:t>
      </w:r>
      <w:r>
        <w:rPr>
          <w:b/>
        </w:rPr>
        <w:t xml:space="preserve"> 2025 k rukám personalistky Marty Fučíkové</w:t>
      </w:r>
      <w:r>
        <w:rPr>
          <w:b/>
          <w:color w:val="FF0000"/>
        </w:rPr>
        <w:t xml:space="preserve"> </w:t>
      </w:r>
      <w:r>
        <w:rPr>
          <w:b/>
        </w:rPr>
        <w:t xml:space="preserve">na e-mail: mfucikova@msoud.pha.justice.cz    </w:t>
      </w:r>
    </w:p>
    <w:p w14:paraId="556500F8" w14:textId="77777777" w:rsidR="00BA3C06" w:rsidRDefault="007374C0">
      <w:pPr>
        <w:numPr>
          <w:ilvl w:val="0"/>
          <w:numId w:val="1"/>
        </w:numPr>
        <w:ind w:hanging="348"/>
      </w:pPr>
      <w:r>
        <w:t xml:space="preserve">Městský soud v Praze si vyhrazuje možnost zrušit vyhlášené výběrové řízení kdykoliv v jeho průběhu </w:t>
      </w:r>
    </w:p>
    <w:p w14:paraId="1EE30AFA" w14:textId="77777777" w:rsidR="00BA3C06" w:rsidRDefault="007374C0">
      <w:pPr>
        <w:spacing w:after="18" w:line="259" w:lineRule="auto"/>
        <w:ind w:left="720" w:firstLine="0"/>
        <w:jc w:val="left"/>
      </w:pPr>
      <w:r>
        <w:t xml:space="preserve"> </w:t>
      </w:r>
    </w:p>
    <w:p w14:paraId="0728ED58" w14:textId="77777777" w:rsidR="00BA3C06" w:rsidRDefault="007374C0">
      <w:pPr>
        <w:spacing w:after="76"/>
        <w:ind w:left="-5"/>
        <w:jc w:val="left"/>
      </w:pPr>
      <w:r>
        <w:rPr>
          <w:b/>
        </w:rPr>
        <w:t xml:space="preserve">Souhlas se zpracováním osobních údajů: </w:t>
      </w:r>
    </w:p>
    <w:p w14:paraId="4825F840" w14:textId="77777777" w:rsidR="00BA3C06" w:rsidRDefault="007374C0">
      <w:pPr>
        <w:numPr>
          <w:ilvl w:val="0"/>
          <w:numId w:val="1"/>
        </w:numPr>
        <w:spacing w:after="39"/>
        <w:ind w:hanging="348"/>
      </w:pPr>
      <w:r>
        <w:t xml:space="preserve">Poskytnutím osobních údajů Městskému soudu v Praze prostřednictvím požadovaných podkladů pro výběrové řízení na pracovní pozici </w:t>
      </w:r>
      <w:r>
        <w:rPr>
          <w:b/>
        </w:rPr>
        <w:t>udělujete souhlas</w:t>
      </w:r>
      <w:r>
        <w:t xml:space="preserve"> Městskému soudu v Praze dle čl. 6 odst. 1 písm. a) a čl. 7 Nařízení Evropského parlamentu a Rady (EU) 2016/679 ze dne 27. dubna 2016 o ochraně fyzických osob v souvislosti se zpracováním osobních údajů a volném pohybu těchto údajů a o zrušení Směrnice 95/46/ES, se zpracováním Vašich osobních údajů pro účely a v rozsahu potřebném pro uskutečnění výběrového řízení na pracovní pozici. Udělený souhlas máte právo kdykoliv odvolat, v takovém případě se však již nadále nemůžete účastnit výběrového řízení na pracovní pozici. </w:t>
      </w:r>
    </w:p>
    <w:p w14:paraId="73B17A53" w14:textId="77777777" w:rsidR="00BA3C06" w:rsidRDefault="007374C0">
      <w:pPr>
        <w:numPr>
          <w:ilvl w:val="0"/>
          <w:numId w:val="1"/>
        </w:numPr>
        <w:ind w:hanging="348"/>
      </w:pPr>
      <w:r>
        <w:t xml:space="preserve">Váš životopis a veškeré Vaše osobní údaje získané v průběhu tohoto výběrového řízení budou ihned po jeho ukončení skartovány/smazány v případě, že s Vámi nebude uzavřen pracovněprávní vztah. </w:t>
      </w:r>
    </w:p>
    <w:p w14:paraId="7AAEC280" w14:textId="77777777" w:rsidR="00BA3C06" w:rsidRDefault="007374C0">
      <w:pPr>
        <w:spacing w:after="0" w:line="259" w:lineRule="auto"/>
        <w:ind w:left="720" w:firstLine="0"/>
        <w:jc w:val="left"/>
      </w:pPr>
      <w:r>
        <w:t xml:space="preserve"> </w:t>
      </w:r>
    </w:p>
    <w:p w14:paraId="1D68AE8D" w14:textId="77777777" w:rsidR="00BA3C06" w:rsidRDefault="007374C0">
      <w:pPr>
        <w:spacing w:after="16" w:line="259" w:lineRule="auto"/>
        <w:ind w:left="720" w:firstLine="0"/>
        <w:jc w:val="left"/>
      </w:pPr>
      <w:r>
        <w:lastRenderedPageBreak/>
        <w:t xml:space="preserve"> </w:t>
      </w:r>
    </w:p>
    <w:p w14:paraId="53FD090D" w14:textId="77777777" w:rsidR="00BA3C06" w:rsidRDefault="007374C0">
      <w:pPr>
        <w:spacing w:after="0" w:line="259" w:lineRule="auto"/>
        <w:ind w:left="360" w:firstLine="0"/>
        <w:jc w:val="left"/>
      </w:pPr>
      <w:r>
        <w:t xml:space="preserve"> </w:t>
      </w:r>
    </w:p>
    <w:sectPr w:rsidR="00BA3C06">
      <w:pgSz w:w="11906" w:h="16838"/>
      <w:pgMar w:top="751" w:right="1414" w:bottom="16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499B"/>
    <w:multiLevelType w:val="hybridMultilevel"/>
    <w:tmpl w:val="07E888E2"/>
    <w:lvl w:ilvl="0" w:tplc="C02A9E6A">
      <w:start w:val="1"/>
      <w:numFmt w:val="bullet"/>
      <w:lvlText w:val="▪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AE51E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0A6A0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69FA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0AFBE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A286E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E76A8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C1522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7A4994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303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378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06"/>
    <w:rsid w:val="0018652D"/>
    <w:rsid w:val="001E7D10"/>
    <w:rsid w:val="007374C0"/>
    <w:rsid w:val="00BA3C06"/>
    <w:rsid w:val="00E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64A3"/>
  <w15:docId w15:val="{A3A15C72-BD8C-4F91-BE2B-47203766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370" w:hanging="10"/>
      <w:jc w:val="both"/>
    </w:pPr>
    <w:rPr>
      <w:rFonts w:ascii="Garamond" w:eastAsia="Garamond" w:hAnsi="Garamond" w:cs="Garamond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8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Šenková Marcela Bc.</dc:creator>
  <cp:keywords/>
  <cp:lastModifiedBy>Fučíková Marta</cp:lastModifiedBy>
  <cp:revision>4</cp:revision>
  <dcterms:created xsi:type="dcterms:W3CDTF">2025-09-29T15:05:00Z</dcterms:created>
  <dcterms:modified xsi:type="dcterms:W3CDTF">2025-09-30T04:40:00Z</dcterms:modified>
</cp:coreProperties>
</file>