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3A9C" w14:textId="66A80BF3" w:rsidR="008430BD" w:rsidRPr="00F15667" w:rsidRDefault="008430BD" w:rsidP="008430BD">
      <w:r w:rsidRPr="00F15667">
        <w:rPr>
          <w:noProof/>
          <w:lang w:eastAsia="cs-CZ"/>
        </w:rPr>
        <mc:AlternateContent>
          <mc:Choice Requires="wps">
            <w:drawing>
              <wp:anchor distT="0" distB="0" distL="114300" distR="114300" simplePos="0" relativeHeight="251661312" behindDoc="0" locked="0" layoutInCell="1" allowOverlap="1" wp14:anchorId="5553C3B5" wp14:editId="09D14688">
                <wp:simplePos x="0" y="0"/>
                <wp:positionH relativeFrom="column">
                  <wp:posOffset>1681836</wp:posOffset>
                </wp:positionH>
                <wp:positionV relativeFrom="paragraph">
                  <wp:posOffset>-71755</wp:posOffset>
                </wp:positionV>
                <wp:extent cx="4651200" cy="9219600"/>
                <wp:effectExtent l="0" t="0" r="0" b="635"/>
                <wp:wrapNone/>
                <wp:docPr id="124"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1200" cy="9219600"/>
                        </a:xfrm>
                        <a:prstGeom prst="rect">
                          <a:avLst/>
                        </a:prstGeom>
                        <a:solidFill>
                          <a:sysClr val="window" lastClr="FFFFFF"/>
                        </a:solidFill>
                        <a:ln w="6350">
                          <a:noFill/>
                        </a:ln>
                        <a:effectLst/>
                      </wps:spPr>
                      <wps:txbx>
                        <w:txbxContent>
                          <w:p w14:paraId="24CDB75A" w14:textId="77777777" w:rsidR="009C6207" w:rsidRPr="00311BE7" w:rsidRDefault="009C6207" w:rsidP="008430BD">
                            <w:pPr>
                              <w:spacing w:line="240" w:lineRule="auto"/>
                              <w:rPr>
                                <w:rFonts w:ascii="DIN Next LT Pro Condensed" w:hAnsi="DIN Next LT Pro Condensed"/>
                                <w:color w:val="5D7496"/>
                                <w:sz w:val="150"/>
                              </w:rPr>
                            </w:pPr>
                            <w:r w:rsidRPr="00311BE7">
                              <w:rPr>
                                <w:rFonts w:ascii="DIN Next LT Pro Condensed" w:hAnsi="DIN Next LT Pro Condensed" w:hint="eastAsia"/>
                                <w:color w:val="5D7496"/>
                                <w:sz w:val="150"/>
                              </w:rPr>
                              <w:t>Č</w:t>
                            </w:r>
                            <w:r w:rsidRPr="00311BE7">
                              <w:rPr>
                                <w:rFonts w:ascii="DIN Next LT Pro Condensed" w:hAnsi="DIN Next LT Pro Condensed"/>
                                <w:color w:val="5D7496"/>
                                <w:sz w:val="150"/>
                              </w:rPr>
                              <w:t>esk</w:t>
                            </w:r>
                            <w:r w:rsidRPr="00311BE7">
                              <w:rPr>
                                <w:rFonts w:ascii="DIN Next LT Pro Condensed" w:hAnsi="DIN Next LT Pro Condensed" w:hint="eastAsia"/>
                                <w:color w:val="5D7496"/>
                                <w:sz w:val="150"/>
                              </w:rPr>
                              <w:t>é</w:t>
                            </w:r>
                            <w:r w:rsidRPr="00311BE7">
                              <w:rPr>
                                <w:rFonts w:ascii="DIN Next LT Pro Condensed" w:hAnsi="DIN Next LT Pro Condensed"/>
                                <w:color w:val="5D7496"/>
                                <w:sz w:val="150"/>
                              </w:rPr>
                              <w:t xml:space="preserve"> soudnictv</w:t>
                            </w:r>
                            <w:r w:rsidRPr="00311BE7">
                              <w:rPr>
                                <w:rFonts w:ascii="DIN Next LT Pro Condensed" w:hAnsi="DIN Next LT Pro Condensed" w:hint="eastAsia"/>
                                <w:color w:val="5D7496"/>
                                <w:sz w:val="150"/>
                              </w:rPr>
                              <w:t>í</w:t>
                            </w:r>
                          </w:p>
                          <w:p w14:paraId="02FFB165" w14:textId="16EF24FE" w:rsidR="009C6207" w:rsidRPr="00311BE7" w:rsidRDefault="009C6207" w:rsidP="008430BD">
                            <w:pPr>
                              <w:spacing w:line="240" w:lineRule="auto"/>
                              <w:rPr>
                                <w:rFonts w:ascii="DIN Next LT Pro Condensed" w:hAnsi="DIN Next LT Pro Condensed"/>
                                <w:color w:val="5D7496"/>
                                <w:sz w:val="150"/>
                              </w:rPr>
                            </w:pPr>
                            <w:r w:rsidRPr="00311BE7">
                              <w:rPr>
                                <w:rFonts w:ascii="DIN Next LT Pro Condensed" w:hAnsi="DIN Next LT Pro Condensed"/>
                                <w:color w:val="5D7496"/>
                                <w:sz w:val="150"/>
                              </w:rPr>
                              <w:t>2022:</w:t>
                            </w:r>
                          </w:p>
                          <w:p w14:paraId="26451DED" w14:textId="77777777" w:rsidR="009C6207" w:rsidRPr="00311BE7" w:rsidRDefault="009C6207" w:rsidP="006023DD">
                            <w:pPr>
                              <w:spacing w:before="960" w:line="240" w:lineRule="auto"/>
                              <w:rPr>
                                <w:rFonts w:ascii="DIN Next LT Pro Condensed" w:hAnsi="DIN Next LT Pro Condensed"/>
                                <w:color w:val="5D7496"/>
                                <w:sz w:val="136"/>
                              </w:rPr>
                            </w:pPr>
                            <w:r w:rsidRPr="00311BE7">
                              <w:rPr>
                                <w:rFonts w:ascii="DIN Next LT Pro Condensed" w:hAnsi="DIN Next LT Pro Condensed"/>
                                <w:color w:val="5D7496"/>
                                <w:sz w:val="136"/>
                              </w:rPr>
                              <w:t>V</w:t>
                            </w:r>
                            <w:r w:rsidRPr="00311BE7">
                              <w:rPr>
                                <w:rFonts w:ascii="DIN Next LT Pro Condensed" w:hAnsi="DIN Next LT Pro Condensed" w:hint="eastAsia"/>
                                <w:color w:val="5D7496"/>
                                <w:sz w:val="136"/>
                              </w:rPr>
                              <w:t>ý</w:t>
                            </w:r>
                            <w:r w:rsidRPr="00311BE7">
                              <w:rPr>
                                <w:rFonts w:ascii="DIN Next LT Pro Condensed" w:hAnsi="DIN Next LT Pro Condensed"/>
                                <w:color w:val="5D7496"/>
                                <w:sz w:val="136"/>
                              </w:rPr>
                              <w:t>ro</w:t>
                            </w:r>
                            <w:r w:rsidRPr="00311BE7">
                              <w:rPr>
                                <w:rFonts w:ascii="DIN Next LT Pro Condensed" w:hAnsi="DIN Next LT Pro Condensed" w:hint="eastAsia"/>
                                <w:color w:val="5D7496"/>
                                <w:sz w:val="136"/>
                              </w:rPr>
                              <w:t>č</w:t>
                            </w:r>
                            <w:r w:rsidRPr="00311BE7">
                              <w:rPr>
                                <w:rFonts w:ascii="DIN Next LT Pro Condensed" w:hAnsi="DIN Next LT Pro Condensed"/>
                                <w:color w:val="5D7496"/>
                                <w:sz w:val="136"/>
                              </w:rPr>
                              <w:t>n</w:t>
                            </w:r>
                            <w:r w:rsidRPr="00311BE7">
                              <w:rPr>
                                <w:rFonts w:ascii="DIN Next LT Pro Condensed" w:hAnsi="DIN Next LT Pro Condensed" w:hint="eastAsia"/>
                                <w:color w:val="5D7496"/>
                                <w:sz w:val="136"/>
                              </w:rPr>
                              <w:t>í</w:t>
                            </w:r>
                            <w:r w:rsidRPr="00311BE7">
                              <w:rPr>
                                <w:rFonts w:ascii="DIN Next LT Pro Condensed" w:hAnsi="DIN Next LT Pro Condensed"/>
                                <w:color w:val="5D7496"/>
                                <w:sz w:val="136"/>
                              </w:rPr>
                              <w:t xml:space="preserve"> statistick</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 xml:space="preserve"> zpr</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va</w:t>
                            </w:r>
                          </w:p>
                          <w:p w14:paraId="4499C359" w14:textId="77777777" w:rsidR="009C6207" w:rsidRPr="00311BE7" w:rsidRDefault="009C6207" w:rsidP="008430BD">
                            <w:pPr>
                              <w:spacing w:line="240" w:lineRule="auto"/>
                              <w:rPr>
                                <w:rFonts w:ascii="DIN Next LT Pro Condensed" w:hAnsi="DIN Next LT Pro Condensed"/>
                                <w:color w:val="5D7496"/>
                                <w:sz w:val="56"/>
                              </w:rPr>
                            </w:pPr>
                          </w:p>
                          <w:p w14:paraId="36060D8B" w14:textId="77777777" w:rsidR="009C6207" w:rsidRPr="00311BE7" w:rsidRDefault="009C6207" w:rsidP="008430BD">
                            <w:pPr>
                              <w:spacing w:line="240" w:lineRule="auto"/>
                              <w:rPr>
                                <w:rFonts w:ascii="DIN Next LT Pro Condensed" w:hAnsi="DIN Next LT Pro Condensed"/>
                                <w:color w:val="5D7496"/>
                                <w:sz w:val="56"/>
                              </w:rPr>
                            </w:pPr>
                          </w:p>
                          <w:p w14:paraId="21426A69" w14:textId="77777777" w:rsidR="009C6207" w:rsidRPr="00311BE7" w:rsidRDefault="009C6207" w:rsidP="008430BD">
                            <w:pPr>
                              <w:spacing w:line="240" w:lineRule="auto"/>
                              <w:rPr>
                                <w:rFonts w:ascii="DIN Next LT Pro Condensed" w:hAnsi="DIN Next LT Pro Condensed"/>
                                <w:color w:val="5D7496"/>
                                <w:sz w:val="66"/>
                              </w:rPr>
                            </w:pPr>
                            <w:r w:rsidRPr="00311BE7">
                              <w:rPr>
                                <w:rFonts w:ascii="DIN Next LT Pro Condensed" w:hAnsi="DIN Next LT Pro Condensed"/>
                                <w:color w:val="5D7496"/>
                                <w:sz w:val="66"/>
                              </w:rPr>
                              <w:t>Ministerstvo spravedlnosti</w:t>
                            </w:r>
                          </w:p>
                          <w:p w14:paraId="0BF8FA9D" w14:textId="3D804667" w:rsidR="009C6207" w:rsidRPr="0008533B" w:rsidRDefault="009C6207" w:rsidP="008430BD">
                            <w:pPr>
                              <w:spacing w:line="240" w:lineRule="auto"/>
                              <w:rPr>
                                <w:rFonts w:ascii="DIN Next LT Pro Condensed" w:hAnsi="DIN Next LT Pro Condensed"/>
                                <w:sz w:val="40"/>
                                <w:szCs w:val="40"/>
                              </w:rPr>
                            </w:pPr>
                            <w:r w:rsidRPr="003842AE">
                              <w:rPr>
                                <w:rFonts w:ascii="DIN Next LT Pro Condensed" w:hAnsi="DIN Next LT Pro Condensed"/>
                                <w:smallCaps/>
                                <w:color w:val="5D7496"/>
                                <w:sz w:val="40"/>
                                <w:szCs w:val="40"/>
                              </w:rPr>
                              <w:t>justice.cz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53C3B5" id="_x0000_t202" coordsize="21600,21600" o:spt="202" path="m,l,21600r21600,l21600,xe">
                <v:stroke joinstyle="miter"/>
                <v:path gradientshapeok="t" o:connecttype="rect"/>
              </v:shapetype>
              <v:shape id="Textové pole 71" o:spid="_x0000_s1026" type="#_x0000_t202" style="position:absolute;left:0;text-align:left;margin-left:132.45pt;margin-top:-5.65pt;width:366.25pt;height:7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" fillcolor="window" stroked="f" strokeweight=".5pt">
                <v:textbox>
                  <w:txbxContent>
                    <w:p w14:paraId="24CDB75A" w14:textId="77777777" w:rsidR="009C6207" w:rsidRPr="00311BE7" w:rsidRDefault="009C6207" w:rsidP="008430BD">
                      <w:pPr>
                        <w:spacing w:line="240" w:lineRule="auto"/>
                        <w:rPr>
                          <w:rFonts w:ascii="DIN Next LT Pro Condensed" w:hAnsi="DIN Next LT Pro Condensed"/>
                          <w:color w:val="5D7496"/>
                          <w:sz w:val="150"/>
                        </w:rPr>
                      </w:pPr>
                      <w:r w:rsidRPr="00311BE7">
                        <w:rPr>
                          <w:rFonts w:ascii="DIN Next LT Pro Condensed" w:hAnsi="DIN Next LT Pro Condensed" w:hint="eastAsia"/>
                          <w:color w:val="5D7496"/>
                          <w:sz w:val="150"/>
                        </w:rPr>
                        <w:t>Č</w:t>
                      </w:r>
                      <w:r w:rsidRPr="00311BE7">
                        <w:rPr>
                          <w:rFonts w:ascii="DIN Next LT Pro Condensed" w:hAnsi="DIN Next LT Pro Condensed"/>
                          <w:color w:val="5D7496"/>
                          <w:sz w:val="150"/>
                        </w:rPr>
                        <w:t>esk</w:t>
                      </w:r>
                      <w:r w:rsidRPr="00311BE7">
                        <w:rPr>
                          <w:rFonts w:ascii="DIN Next LT Pro Condensed" w:hAnsi="DIN Next LT Pro Condensed" w:hint="eastAsia"/>
                          <w:color w:val="5D7496"/>
                          <w:sz w:val="150"/>
                        </w:rPr>
                        <w:t>é</w:t>
                      </w:r>
                      <w:r w:rsidRPr="00311BE7">
                        <w:rPr>
                          <w:rFonts w:ascii="DIN Next LT Pro Condensed" w:hAnsi="DIN Next LT Pro Condensed"/>
                          <w:color w:val="5D7496"/>
                          <w:sz w:val="150"/>
                        </w:rPr>
                        <w:t xml:space="preserve"> soudnictv</w:t>
                      </w:r>
                      <w:r w:rsidRPr="00311BE7">
                        <w:rPr>
                          <w:rFonts w:ascii="DIN Next LT Pro Condensed" w:hAnsi="DIN Next LT Pro Condensed" w:hint="eastAsia"/>
                          <w:color w:val="5D7496"/>
                          <w:sz w:val="150"/>
                        </w:rPr>
                        <w:t>í</w:t>
                      </w:r>
                    </w:p>
                    <w:p w14:paraId="02FFB165" w14:textId="16EF24FE" w:rsidR="009C6207" w:rsidRPr="00311BE7" w:rsidRDefault="009C6207" w:rsidP="008430BD">
                      <w:pPr>
                        <w:spacing w:line="240" w:lineRule="auto"/>
                        <w:rPr>
                          <w:rFonts w:ascii="DIN Next LT Pro Condensed" w:hAnsi="DIN Next LT Pro Condensed"/>
                          <w:color w:val="5D7496"/>
                          <w:sz w:val="150"/>
                        </w:rPr>
                      </w:pPr>
                      <w:r w:rsidRPr="00311BE7">
                        <w:rPr>
                          <w:rFonts w:ascii="DIN Next LT Pro Condensed" w:hAnsi="DIN Next LT Pro Condensed"/>
                          <w:color w:val="5D7496"/>
                          <w:sz w:val="150"/>
                        </w:rPr>
                        <w:t>2022:</w:t>
                      </w:r>
                    </w:p>
                    <w:p w14:paraId="26451DED" w14:textId="77777777" w:rsidR="009C6207" w:rsidRPr="00311BE7" w:rsidRDefault="009C6207" w:rsidP="006023DD">
                      <w:pPr>
                        <w:spacing w:before="960" w:line="240" w:lineRule="auto"/>
                        <w:rPr>
                          <w:rFonts w:ascii="DIN Next LT Pro Condensed" w:hAnsi="DIN Next LT Pro Condensed"/>
                          <w:color w:val="5D7496"/>
                          <w:sz w:val="136"/>
                        </w:rPr>
                      </w:pPr>
                      <w:r w:rsidRPr="00311BE7">
                        <w:rPr>
                          <w:rFonts w:ascii="DIN Next LT Pro Condensed" w:hAnsi="DIN Next LT Pro Condensed"/>
                          <w:color w:val="5D7496"/>
                          <w:sz w:val="136"/>
                        </w:rPr>
                        <w:t>V</w:t>
                      </w:r>
                      <w:r w:rsidRPr="00311BE7">
                        <w:rPr>
                          <w:rFonts w:ascii="DIN Next LT Pro Condensed" w:hAnsi="DIN Next LT Pro Condensed" w:hint="eastAsia"/>
                          <w:color w:val="5D7496"/>
                          <w:sz w:val="136"/>
                        </w:rPr>
                        <w:t>ý</w:t>
                      </w:r>
                      <w:r w:rsidRPr="00311BE7">
                        <w:rPr>
                          <w:rFonts w:ascii="DIN Next LT Pro Condensed" w:hAnsi="DIN Next LT Pro Condensed"/>
                          <w:color w:val="5D7496"/>
                          <w:sz w:val="136"/>
                        </w:rPr>
                        <w:t>ro</w:t>
                      </w:r>
                      <w:r w:rsidRPr="00311BE7">
                        <w:rPr>
                          <w:rFonts w:ascii="DIN Next LT Pro Condensed" w:hAnsi="DIN Next LT Pro Condensed" w:hint="eastAsia"/>
                          <w:color w:val="5D7496"/>
                          <w:sz w:val="136"/>
                        </w:rPr>
                        <w:t>č</w:t>
                      </w:r>
                      <w:r w:rsidRPr="00311BE7">
                        <w:rPr>
                          <w:rFonts w:ascii="DIN Next LT Pro Condensed" w:hAnsi="DIN Next LT Pro Condensed"/>
                          <w:color w:val="5D7496"/>
                          <w:sz w:val="136"/>
                        </w:rPr>
                        <w:t>n</w:t>
                      </w:r>
                      <w:r w:rsidRPr="00311BE7">
                        <w:rPr>
                          <w:rFonts w:ascii="DIN Next LT Pro Condensed" w:hAnsi="DIN Next LT Pro Condensed" w:hint="eastAsia"/>
                          <w:color w:val="5D7496"/>
                          <w:sz w:val="136"/>
                        </w:rPr>
                        <w:t>í</w:t>
                      </w:r>
                      <w:r w:rsidRPr="00311BE7">
                        <w:rPr>
                          <w:rFonts w:ascii="DIN Next LT Pro Condensed" w:hAnsi="DIN Next LT Pro Condensed"/>
                          <w:color w:val="5D7496"/>
                          <w:sz w:val="136"/>
                        </w:rPr>
                        <w:t xml:space="preserve"> statistick</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 xml:space="preserve"> zpr</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va</w:t>
                      </w:r>
                    </w:p>
                    <w:p w14:paraId="4499C359" w14:textId="77777777" w:rsidR="009C6207" w:rsidRPr="00311BE7" w:rsidRDefault="009C6207" w:rsidP="008430BD">
                      <w:pPr>
                        <w:spacing w:line="240" w:lineRule="auto"/>
                        <w:rPr>
                          <w:rFonts w:ascii="DIN Next LT Pro Condensed" w:hAnsi="DIN Next LT Pro Condensed"/>
                          <w:color w:val="5D7496"/>
                          <w:sz w:val="56"/>
                        </w:rPr>
                      </w:pPr>
                    </w:p>
                    <w:p w14:paraId="36060D8B" w14:textId="77777777" w:rsidR="009C6207" w:rsidRPr="00311BE7" w:rsidRDefault="009C6207" w:rsidP="008430BD">
                      <w:pPr>
                        <w:spacing w:line="240" w:lineRule="auto"/>
                        <w:rPr>
                          <w:rFonts w:ascii="DIN Next LT Pro Condensed" w:hAnsi="DIN Next LT Pro Condensed"/>
                          <w:color w:val="5D7496"/>
                          <w:sz w:val="56"/>
                        </w:rPr>
                      </w:pPr>
                    </w:p>
                    <w:p w14:paraId="21426A69" w14:textId="77777777" w:rsidR="009C6207" w:rsidRPr="00311BE7" w:rsidRDefault="009C6207" w:rsidP="008430BD">
                      <w:pPr>
                        <w:spacing w:line="240" w:lineRule="auto"/>
                        <w:rPr>
                          <w:rFonts w:ascii="DIN Next LT Pro Condensed" w:hAnsi="DIN Next LT Pro Condensed"/>
                          <w:color w:val="5D7496"/>
                          <w:sz w:val="66"/>
                        </w:rPr>
                      </w:pPr>
                      <w:r w:rsidRPr="00311BE7">
                        <w:rPr>
                          <w:rFonts w:ascii="DIN Next LT Pro Condensed" w:hAnsi="DIN Next LT Pro Condensed"/>
                          <w:color w:val="5D7496"/>
                          <w:sz w:val="66"/>
                        </w:rPr>
                        <w:t>Ministerstvo spravedlnosti</w:t>
                      </w:r>
                    </w:p>
                    <w:p w14:paraId="0BF8FA9D" w14:textId="3D804667" w:rsidR="009C6207" w:rsidRPr="0008533B" w:rsidRDefault="009C6207" w:rsidP="008430BD">
                      <w:pPr>
                        <w:spacing w:line="240" w:lineRule="auto"/>
                        <w:rPr>
                          <w:rFonts w:ascii="DIN Next LT Pro Condensed" w:hAnsi="DIN Next LT Pro Condensed"/>
                          <w:sz w:val="40"/>
                          <w:szCs w:val="40"/>
                        </w:rPr>
                      </w:pPr>
                      <w:r w:rsidRPr="003842AE">
                        <w:rPr>
                          <w:rFonts w:ascii="DIN Next LT Pro Condensed" w:hAnsi="DIN Next LT Pro Condensed"/>
                          <w:smallCaps/>
                          <w:color w:val="5D7496"/>
                          <w:sz w:val="40"/>
                          <w:szCs w:val="40"/>
                        </w:rPr>
                        <w:t>justice.cz</w:t>
                      </w:r>
                    </w:p>
                  </w:txbxContent>
                </v:textbox>
              </v:shape>
            </w:pict>
          </mc:Fallback>
        </mc:AlternateContent>
      </w:r>
      <w:r w:rsidRPr="00F15667">
        <w:rPr>
          <w:noProof/>
          <w:lang w:eastAsia="cs-CZ"/>
        </w:rPr>
        <mc:AlternateContent>
          <mc:Choice Requires="wps">
            <w:drawing>
              <wp:anchor distT="0" distB="0" distL="114299" distR="114299" simplePos="0" relativeHeight="251660288" behindDoc="0" locked="0" layoutInCell="1" allowOverlap="1" wp14:anchorId="3B70FC59" wp14:editId="03AB3B38">
                <wp:simplePos x="0" y="0"/>
                <wp:positionH relativeFrom="column">
                  <wp:posOffset>1442084</wp:posOffset>
                </wp:positionH>
                <wp:positionV relativeFrom="page">
                  <wp:posOffset>898525</wp:posOffset>
                </wp:positionV>
                <wp:extent cx="0" cy="9064625"/>
                <wp:effectExtent l="19050" t="0" r="38100" b="41275"/>
                <wp:wrapNone/>
                <wp:docPr id="123" name="Přímá spojnic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64625"/>
                        </a:xfrm>
                        <a:prstGeom prst="line">
                          <a:avLst/>
                        </a:prstGeom>
                        <a:noFill/>
                        <a:ln w="47625" cap="flat" cmpd="sng" algn="ctr">
                          <a:solidFill>
                            <a:srgbClr val="5D749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C977C9" id="Přímá spojnice 75"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" strokecolor="#5d7496" strokeweight="3.75pt">
                <o:lock v:ext="edit" shapetype="f"/>
                <w10:wrap anchory="page"/>
              </v:line>
            </w:pict>
          </mc:Fallback>
        </mc:AlternateContent>
      </w:r>
      <w:r w:rsidR="00306B8B" w:rsidRPr="00F15667">
        <w:rPr>
          <w:noProof/>
          <w:lang w:eastAsia="cs-CZ"/>
        </w:rPr>
        <w:drawing>
          <wp:inline distT="0" distB="0" distL="0" distR="0" wp14:anchorId="4462B807" wp14:editId="4A4172E8">
            <wp:extent cx="1257300" cy="1428750"/>
            <wp:effectExtent l="0" t="0" r="0"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428750"/>
                    </a:xfrm>
                    <a:prstGeom prst="rect">
                      <a:avLst/>
                    </a:prstGeom>
                    <a:noFill/>
                    <a:ln>
                      <a:noFill/>
                    </a:ln>
                  </pic:spPr>
                </pic:pic>
              </a:graphicData>
            </a:graphic>
          </wp:inline>
        </w:drawing>
      </w:r>
    </w:p>
    <w:p w14:paraId="7DF646AA" w14:textId="77777777" w:rsidR="008430BD" w:rsidRPr="00F15667" w:rsidRDefault="008430BD" w:rsidP="008430BD">
      <w:pPr>
        <w:spacing w:line="240" w:lineRule="auto"/>
        <w:jc w:val="left"/>
        <w:rPr>
          <w:noProof/>
          <w:sz w:val="20"/>
          <w:szCs w:val="40"/>
          <w:lang w:eastAsia="cs-CZ"/>
        </w:rPr>
      </w:pPr>
      <w:r w:rsidRPr="00F15667">
        <w:rPr>
          <w:noProof/>
          <w:sz w:val="20"/>
          <w:szCs w:val="40"/>
          <w:lang w:eastAsia="cs-CZ"/>
        </w:rPr>
        <w:br w:type="page"/>
      </w:r>
    </w:p>
    <w:p w14:paraId="6C01D959" w14:textId="77777777" w:rsidR="008430BD" w:rsidRPr="00F15667" w:rsidRDefault="008430BD" w:rsidP="008430BD">
      <w:pPr>
        <w:spacing w:line="240" w:lineRule="auto"/>
        <w:jc w:val="left"/>
        <w:rPr>
          <w:noProof/>
          <w:sz w:val="20"/>
          <w:szCs w:val="40"/>
          <w:lang w:eastAsia="cs-CZ"/>
        </w:rPr>
      </w:pPr>
    </w:p>
    <w:p w14:paraId="1DFC1343" w14:textId="77777777" w:rsidR="008430BD" w:rsidRPr="00F15667" w:rsidRDefault="008430BD" w:rsidP="008430BD">
      <w:pPr>
        <w:spacing w:line="240" w:lineRule="auto"/>
        <w:jc w:val="left"/>
        <w:rPr>
          <w:noProof/>
          <w:sz w:val="20"/>
          <w:szCs w:val="40"/>
          <w:lang w:eastAsia="cs-CZ"/>
        </w:rPr>
      </w:pPr>
    </w:p>
    <w:p w14:paraId="6A7BA26A" w14:textId="77777777" w:rsidR="008430BD" w:rsidRPr="00F15667" w:rsidRDefault="008430BD" w:rsidP="008430BD">
      <w:pPr>
        <w:spacing w:line="240" w:lineRule="auto"/>
        <w:jc w:val="left"/>
        <w:rPr>
          <w:noProof/>
          <w:sz w:val="20"/>
          <w:szCs w:val="40"/>
          <w:lang w:eastAsia="cs-CZ"/>
        </w:rPr>
      </w:pPr>
    </w:p>
    <w:p w14:paraId="2412BBBD" w14:textId="77777777" w:rsidR="008430BD" w:rsidRPr="00F15667" w:rsidRDefault="008430BD" w:rsidP="008430BD">
      <w:pPr>
        <w:spacing w:line="240" w:lineRule="auto"/>
        <w:jc w:val="left"/>
        <w:rPr>
          <w:noProof/>
          <w:sz w:val="20"/>
          <w:szCs w:val="40"/>
          <w:lang w:eastAsia="cs-CZ"/>
        </w:rPr>
      </w:pPr>
    </w:p>
    <w:p w14:paraId="7DB90578" w14:textId="77777777" w:rsidR="008430BD" w:rsidRPr="00F15667" w:rsidRDefault="008430BD" w:rsidP="008430BD">
      <w:pPr>
        <w:spacing w:line="240" w:lineRule="auto"/>
        <w:jc w:val="left"/>
        <w:rPr>
          <w:noProof/>
          <w:sz w:val="20"/>
          <w:szCs w:val="40"/>
          <w:lang w:eastAsia="cs-CZ"/>
        </w:rPr>
      </w:pPr>
    </w:p>
    <w:p w14:paraId="3E13B532" w14:textId="77777777" w:rsidR="008430BD" w:rsidRPr="00F15667" w:rsidRDefault="008430BD" w:rsidP="008430BD">
      <w:pPr>
        <w:spacing w:line="240" w:lineRule="auto"/>
        <w:jc w:val="left"/>
        <w:rPr>
          <w:noProof/>
          <w:sz w:val="20"/>
          <w:szCs w:val="40"/>
          <w:lang w:eastAsia="cs-CZ"/>
        </w:rPr>
      </w:pPr>
    </w:p>
    <w:p w14:paraId="151B0886" w14:textId="77777777" w:rsidR="008430BD" w:rsidRPr="00F15667" w:rsidRDefault="008430BD" w:rsidP="008430BD">
      <w:pPr>
        <w:spacing w:line="240" w:lineRule="auto"/>
        <w:jc w:val="left"/>
        <w:rPr>
          <w:noProof/>
          <w:sz w:val="20"/>
          <w:szCs w:val="40"/>
          <w:lang w:eastAsia="cs-CZ"/>
        </w:rPr>
      </w:pPr>
    </w:p>
    <w:p w14:paraId="4922A97D" w14:textId="77777777" w:rsidR="008430BD" w:rsidRPr="00F15667" w:rsidRDefault="008430BD" w:rsidP="008430BD">
      <w:pPr>
        <w:spacing w:line="240" w:lineRule="auto"/>
        <w:jc w:val="left"/>
        <w:rPr>
          <w:noProof/>
          <w:sz w:val="20"/>
          <w:szCs w:val="40"/>
          <w:lang w:eastAsia="cs-CZ"/>
        </w:rPr>
      </w:pPr>
    </w:p>
    <w:p w14:paraId="51CCEBB6" w14:textId="77777777" w:rsidR="008430BD" w:rsidRPr="00F15667" w:rsidRDefault="008430BD" w:rsidP="008430BD">
      <w:pPr>
        <w:spacing w:line="240" w:lineRule="auto"/>
        <w:jc w:val="left"/>
        <w:rPr>
          <w:noProof/>
          <w:sz w:val="20"/>
          <w:szCs w:val="40"/>
          <w:lang w:eastAsia="cs-CZ"/>
        </w:rPr>
      </w:pPr>
    </w:p>
    <w:p w14:paraId="3D7B9403" w14:textId="77777777" w:rsidR="008430BD" w:rsidRPr="00F15667" w:rsidRDefault="008430BD" w:rsidP="008430BD">
      <w:pPr>
        <w:spacing w:line="240" w:lineRule="auto"/>
        <w:jc w:val="left"/>
        <w:rPr>
          <w:noProof/>
          <w:sz w:val="20"/>
          <w:szCs w:val="40"/>
          <w:lang w:eastAsia="cs-CZ"/>
        </w:rPr>
      </w:pPr>
    </w:p>
    <w:p w14:paraId="48EA0A56" w14:textId="77777777" w:rsidR="008430BD" w:rsidRPr="00F15667" w:rsidRDefault="008430BD" w:rsidP="008430BD">
      <w:pPr>
        <w:spacing w:line="240" w:lineRule="auto"/>
        <w:jc w:val="left"/>
        <w:rPr>
          <w:noProof/>
          <w:sz w:val="20"/>
          <w:szCs w:val="40"/>
          <w:lang w:eastAsia="cs-CZ"/>
        </w:rPr>
      </w:pPr>
    </w:p>
    <w:p w14:paraId="559B5783" w14:textId="77777777" w:rsidR="008430BD" w:rsidRPr="00F15667" w:rsidRDefault="008430BD" w:rsidP="008430BD">
      <w:pPr>
        <w:spacing w:line="240" w:lineRule="auto"/>
        <w:jc w:val="left"/>
        <w:rPr>
          <w:noProof/>
          <w:sz w:val="20"/>
          <w:szCs w:val="40"/>
          <w:lang w:eastAsia="cs-CZ"/>
        </w:rPr>
      </w:pPr>
    </w:p>
    <w:p w14:paraId="4379275D" w14:textId="77777777" w:rsidR="008430BD" w:rsidRPr="00F15667" w:rsidRDefault="008430BD" w:rsidP="008430BD">
      <w:pPr>
        <w:spacing w:line="240" w:lineRule="auto"/>
        <w:jc w:val="left"/>
        <w:rPr>
          <w:noProof/>
          <w:sz w:val="20"/>
          <w:szCs w:val="40"/>
          <w:lang w:eastAsia="cs-CZ"/>
        </w:rPr>
      </w:pPr>
    </w:p>
    <w:p w14:paraId="19E7EE68" w14:textId="77777777" w:rsidR="008430BD" w:rsidRPr="00F15667" w:rsidRDefault="008430BD" w:rsidP="008430BD">
      <w:pPr>
        <w:spacing w:line="240" w:lineRule="auto"/>
        <w:jc w:val="left"/>
        <w:rPr>
          <w:noProof/>
          <w:sz w:val="20"/>
          <w:szCs w:val="40"/>
          <w:lang w:eastAsia="cs-CZ"/>
        </w:rPr>
      </w:pPr>
    </w:p>
    <w:p w14:paraId="71B1DA87" w14:textId="77777777" w:rsidR="008430BD" w:rsidRPr="00F15667" w:rsidRDefault="008430BD" w:rsidP="008430BD">
      <w:pPr>
        <w:spacing w:line="240" w:lineRule="auto"/>
        <w:jc w:val="left"/>
        <w:rPr>
          <w:noProof/>
          <w:sz w:val="20"/>
          <w:szCs w:val="40"/>
          <w:lang w:eastAsia="cs-CZ"/>
        </w:rPr>
      </w:pPr>
    </w:p>
    <w:p w14:paraId="4F196993" w14:textId="77777777" w:rsidR="008430BD" w:rsidRPr="00F15667" w:rsidRDefault="008430BD" w:rsidP="008430BD">
      <w:pPr>
        <w:spacing w:line="240" w:lineRule="auto"/>
        <w:jc w:val="left"/>
        <w:rPr>
          <w:noProof/>
          <w:sz w:val="20"/>
          <w:szCs w:val="40"/>
          <w:lang w:eastAsia="cs-CZ"/>
        </w:rPr>
      </w:pPr>
    </w:p>
    <w:p w14:paraId="1CF4020C" w14:textId="77777777" w:rsidR="008430BD" w:rsidRPr="00F15667" w:rsidRDefault="008430BD" w:rsidP="008430BD">
      <w:pPr>
        <w:spacing w:line="240" w:lineRule="auto"/>
        <w:jc w:val="left"/>
        <w:rPr>
          <w:noProof/>
          <w:sz w:val="20"/>
          <w:szCs w:val="40"/>
          <w:lang w:eastAsia="cs-CZ"/>
        </w:rPr>
      </w:pPr>
    </w:p>
    <w:p w14:paraId="57FF5170" w14:textId="77777777" w:rsidR="008430BD" w:rsidRPr="00F15667" w:rsidRDefault="008430BD" w:rsidP="008430BD">
      <w:pPr>
        <w:spacing w:line="240" w:lineRule="auto"/>
        <w:jc w:val="left"/>
        <w:rPr>
          <w:noProof/>
          <w:sz w:val="20"/>
          <w:szCs w:val="40"/>
          <w:lang w:eastAsia="cs-CZ"/>
        </w:rPr>
      </w:pPr>
    </w:p>
    <w:p w14:paraId="78E40FAC" w14:textId="77777777" w:rsidR="008430BD" w:rsidRPr="00F15667" w:rsidRDefault="008430BD" w:rsidP="008430BD">
      <w:pPr>
        <w:spacing w:line="240" w:lineRule="auto"/>
        <w:jc w:val="left"/>
        <w:rPr>
          <w:noProof/>
          <w:sz w:val="20"/>
          <w:szCs w:val="40"/>
          <w:lang w:eastAsia="cs-CZ"/>
        </w:rPr>
      </w:pPr>
    </w:p>
    <w:p w14:paraId="603A3F74" w14:textId="77777777" w:rsidR="008430BD" w:rsidRPr="00F15667" w:rsidRDefault="008430BD" w:rsidP="008430BD">
      <w:pPr>
        <w:spacing w:line="240" w:lineRule="auto"/>
        <w:jc w:val="left"/>
        <w:rPr>
          <w:noProof/>
          <w:sz w:val="20"/>
          <w:szCs w:val="40"/>
          <w:lang w:eastAsia="cs-CZ"/>
        </w:rPr>
      </w:pPr>
    </w:p>
    <w:p w14:paraId="35A13CA7" w14:textId="77777777" w:rsidR="008430BD" w:rsidRPr="00F15667" w:rsidRDefault="008430BD" w:rsidP="008430BD">
      <w:pPr>
        <w:spacing w:line="240" w:lineRule="auto"/>
        <w:jc w:val="left"/>
        <w:rPr>
          <w:noProof/>
          <w:sz w:val="20"/>
          <w:szCs w:val="40"/>
          <w:lang w:eastAsia="cs-CZ"/>
        </w:rPr>
      </w:pPr>
    </w:p>
    <w:p w14:paraId="05A0A1A5" w14:textId="77777777" w:rsidR="008430BD" w:rsidRPr="00F15667" w:rsidRDefault="008430BD" w:rsidP="008430BD">
      <w:pPr>
        <w:spacing w:line="240" w:lineRule="auto"/>
        <w:jc w:val="left"/>
        <w:rPr>
          <w:noProof/>
          <w:sz w:val="20"/>
          <w:szCs w:val="40"/>
          <w:lang w:eastAsia="cs-CZ"/>
        </w:rPr>
      </w:pPr>
    </w:p>
    <w:p w14:paraId="7E65FBA6" w14:textId="77777777" w:rsidR="008430BD" w:rsidRPr="00F15667" w:rsidRDefault="008430BD" w:rsidP="008430BD">
      <w:pPr>
        <w:spacing w:line="240" w:lineRule="auto"/>
        <w:jc w:val="left"/>
        <w:rPr>
          <w:noProof/>
          <w:sz w:val="20"/>
          <w:szCs w:val="40"/>
          <w:lang w:eastAsia="cs-CZ"/>
        </w:rPr>
      </w:pPr>
    </w:p>
    <w:p w14:paraId="2973FECD" w14:textId="77777777" w:rsidR="008430BD" w:rsidRPr="00F15667" w:rsidRDefault="008430BD" w:rsidP="008430BD">
      <w:pPr>
        <w:spacing w:line="240" w:lineRule="auto"/>
        <w:jc w:val="left"/>
        <w:rPr>
          <w:noProof/>
          <w:sz w:val="20"/>
          <w:szCs w:val="40"/>
          <w:lang w:eastAsia="cs-CZ"/>
        </w:rPr>
      </w:pPr>
    </w:p>
    <w:p w14:paraId="6202BCBC" w14:textId="77777777" w:rsidR="008430BD" w:rsidRPr="00F15667" w:rsidRDefault="008430BD" w:rsidP="008430BD">
      <w:pPr>
        <w:spacing w:line="240" w:lineRule="auto"/>
        <w:jc w:val="left"/>
        <w:rPr>
          <w:noProof/>
          <w:sz w:val="20"/>
          <w:szCs w:val="40"/>
          <w:lang w:eastAsia="cs-CZ"/>
        </w:rPr>
      </w:pPr>
    </w:p>
    <w:p w14:paraId="1E0F7654" w14:textId="77777777" w:rsidR="008430BD" w:rsidRPr="00F15667" w:rsidRDefault="008430BD" w:rsidP="008430BD">
      <w:pPr>
        <w:spacing w:line="240" w:lineRule="auto"/>
        <w:jc w:val="left"/>
        <w:rPr>
          <w:noProof/>
          <w:sz w:val="20"/>
          <w:szCs w:val="40"/>
          <w:lang w:eastAsia="cs-CZ"/>
        </w:rPr>
      </w:pPr>
    </w:p>
    <w:p w14:paraId="523B3BEC" w14:textId="77777777" w:rsidR="008430BD" w:rsidRPr="00F15667" w:rsidRDefault="008430BD" w:rsidP="008430BD">
      <w:pPr>
        <w:spacing w:line="240" w:lineRule="auto"/>
        <w:jc w:val="left"/>
        <w:rPr>
          <w:noProof/>
          <w:sz w:val="20"/>
          <w:szCs w:val="40"/>
          <w:lang w:eastAsia="cs-CZ"/>
        </w:rPr>
      </w:pPr>
    </w:p>
    <w:p w14:paraId="4576AA8B" w14:textId="77777777" w:rsidR="008430BD" w:rsidRPr="00F15667" w:rsidRDefault="008430BD" w:rsidP="008430BD">
      <w:pPr>
        <w:spacing w:line="240" w:lineRule="auto"/>
        <w:jc w:val="left"/>
        <w:rPr>
          <w:noProof/>
          <w:sz w:val="20"/>
          <w:szCs w:val="40"/>
          <w:lang w:eastAsia="cs-CZ"/>
        </w:rPr>
      </w:pPr>
    </w:p>
    <w:p w14:paraId="74798038" w14:textId="77777777" w:rsidR="008430BD" w:rsidRPr="00F15667" w:rsidRDefault="008430BD" w:rsidP="008430BD">
      <w:pPr>
        <w:spacing w:line="240" w:lineRule="auto"/>
        <w:jc w:val="left"/>
        <w:rPr>
          <w:noProof/>
          <w:sz w:val="20"/>
          <w:szCs w:val="40"/>
          <w:lang w:eastAsia="cs-CZ"/>
        </w:rPr>
      </w:pPr>
    </w:p>
    <w:p w14:paraId="7438C97E" w14:textId="77777777" w:rsidR="008430BD" w:rsidRPr="00F15667" w:rsidRDefault="008430BD" w:rsidP="008430BD">
      <w:pPr>
        <w:spacing w:line="240" w:lineRule="auto"/>
        <w:jc w:val="left"/>
        <w:rPr>
          <w:noProof/>
          <w:sz w:val="20"/>
          <w:szCs w:val="40"/>
          <w:lang w:eastAsia="cs-CZ"/>
        </w:rPr>
      </w:pPr>
    </w:p>
    <w:p w14:paraId="4196EF5E" w14:textId="77777777" w:rsidR="008430BD" w:rsidRPr="00F15667" w:rsidRDefault="008430BD" w:rsidP="008430BD">
      <w:pPr>
        <w:spacing w:line="240" w:lineRule="auto"/>
        <w:jc w:val="left"/>
        <w:rPr>
          <w:noProof/>
          <w:sz w:val="20"/>
          <w:szCs w:val="40"/>
          <w:lang w:eastAsia="cs-CZ"/>
        </w:rPr>
      </w:pPr>
    </w:p>
    <w:p w14:paraId="5669C815" w14:textId="77777777" w:rsidR="008430BD" w:rsidRPr="00F15667" w:rsidRDefault="008430BD" w:rsidP="008430BD">
      <w:pPr>
        <w:spacing w:line="240" w:lineRule="auto"/>
        <w:jc w:val="left"/>
        <w:rPr>
          <w:noProof/>
          <w:sz w:val="20"/>
          <w:szCs w:val="40"/>
          <w:lang w:eastAsia="cs-CZ"/>
        </w:rPr>
      </w:pPr>
    </w:p>
    <w:p w14:paraId="332DACCA" w14:textId="77777777" w:rsidR="008430BD" w:rsidRPr="00F15667" w:rsidRDefault="008430BD" w:rsidP="008430BD">
      <w:pPr>
        <w:spacing w:line="240" w:lineRule="auto"/>
        <w:jc w:val="left"/>
        <w:rPr>
          <w:noProof/>
          <w:sz w:val="20"/>
          <w:szCs w:val="40"/>
          <w:lang w:eastAsia="cs-CZ"/>
        </w:rPr>
      </w:pPr>
    </w:p>
    <w:p w14:paraId="7A4A8F15" w14:textId="77777777" w:rsidR="008430BD" w:rsidRPr="00F15667" w:rsidRDefault="008430BD" w:rsidP="008430BD">
      <w:pPr>
        <w:spacing w:line="240" w:lineRule="auto"/>
        <w:jc w:val="left"/>
        <w:rPr>
          <w:noProof/>
          <w:sz w:val="20"/>
          <w:szCs w:val="40"/>
          <w:lang w:eastAsia="cs-CZ"/>
        </w:rPr>
      </w:pPr>
    </w:p>
    <w:p w14:paraId="19600055" w14:textId="77777777" w:rsidR="008430BD" w:rsidRPr="00F15667" w:rsidRDefault="008430BD" w:rsidP="008430BD">
      <w:pPr>
        <w:spacing w:line="240" w:lineRule="auto"/>
        <w:jc w:val="left"/>
        <w:rPr>
          <w:noProof/>
          <w:sz w:val="20"/>
          <w:szCs w:val="40"/>
          <w:lang w:eastAsia="cs-CZ"/>
        </w:rPr>
      </w:pPr>
    </w:p>
    <w:p w14:paraId="12F97F58" w14:textId="77777777" w:rsidR="008430BD" w:rsidRPr="00F15667" w:rsidRDefault="008430BD" w:rsidP="008430BD">
      <w:pPr>
        <w:spacing w:line="240" w:lineRule="auto"/>
        <w:jc w:val="left"/>
        <w:rPr>
          <w:noProof/>
          <w:sz w:val="20"/>
          <w:szCs w:val="40"/>
          <w:lang w:eastAsia="cs-CZ"/>
        </w:rPr>
      </w:pPr>
    </w:p>
    <w:p w14:paraId="08970ADE" w14:textId="77777777" w:rsidR="008430BD" w:rsidRPr="00F15667" w:rsidRDefault="008430BD" w:rsidP="008430BD">
      <w:pPr>
        <w:spacing w:line="240" w:lineRule="auto"/>
        <w:jc w:val="left"/>
        <w:rPr>
          <w:noProof/>
          <w:sz w:val="20"/>
          <w:szCs w:val="40"/>
          <w:lang w:eastAsia="cs-CZ"/>
        </w:rPr>
      </w:pPr>
    </w:p>
    <w:p w14:paraId="2588AD75" w14:textId="77777777" w:rsidR="008430BD" w:rsidRPr="00F15667" w:rsidRDefault="008430BD" w:rsidP="008430BD">
      <w:pPr>
        <w:spacing w:line="240" w:lineRule="auto"/>
        <w:jc w:val="left"/>
        <w:rPr>
          <w:noProof/>
          <w:sz w:val="20"/>
          <w:szCs w:val="40"/>
          <w:lang w:eastAsia="cs-CZ"/>
        </w:rPr>
      </w:pPr>
    </w:p>
    <w:p w14:paraId="07732DEF" w14:textId="77777777" w:rsidR="008430BD" w:rsidRPr="00F15667" w:rsidRDefault="008430BD" w:rsidP="008430BD">
      <w:pPr>
        <w:spacing w:line="240" w:lineRule="auto"/>
        <w:jc w:val="left"/>
        <w:rPr>
          <w:noProof/>
          <w:sz w:val="20"/>
          <w:szCs w:val="40"/>
          <w:lang w:eastAsia="cs-CZ"/>
        </w:rPr>
      </w:pPr>
    </w:p>
    <w:p w14:paraId="68B5E7CA" w14:textId="77777777" w:rsidR="008430BD" w:rsidRPr="00F15667" w:rsidRDefault="008430BD" w:rsidP="008430BD">
      <w:pPr>
        <w:spacing w:line="240" w:lineRule="auto"/>
        <w:jc w:val="left"/>
        <w:rPr>
          <w:noProof/>
          <w:sz w:val="20"/>
          <w:szCs w:val="40"/>
          <w:lang w:eastAsia="cs-CZ"/>
        </w:rPr>
      </w:pPr>
    </w:p>
    <w:p w14:paraId="258A128A" w14:textId="77777777" w:rsidR="008430BD" w:rsidRPr="00F15667" w:rsidRDefault="008430BD" w:rsidP="008430BD">
      <w:pPr>
        <w:spacing w:line="240" w:lineRule="auto"/>
        <w:jc w:val="left"/>
        <w:rPr>
          <w:noProof/>
          <w:sz w:val="20"/>
          <w:szCs w:val="40"/>
          <w:lang w:eastAsia="cs-CZ"/>
        </w:rPr>
      </w:pPr>
    </w:p>
    <w:p w14:paraId="3CF61006" w14:textId="77777777" w:rsidR="008430BD" w:rsidRPr="00F15667" w:rsidRDefault="008430BD" w:rsidP="008430BD">
      <w:pPr>
        <w:spacing w:line="240" w:lineRule="auto"/>
        <w:jc w:val="left"/>
        <w:rPr>
          <w:noProof/>
          <w:sz w:val="20"/>
          <w:szCs w:val="40"/>
          <w:lang w:eastAsia="cs-CZ"/>
        </w:rPr>
      </w:pPr>
    </w:p>
    <w:p w14:paraId="46D1927E" w14:textId="77777777" w:rsidR="008430BD" w:rsidRPr="00F15667" w:rsidRDefault="008430BD" w:rsidP="008430BD">
      <w:pPr>
        <w:spacing w:line="240" w:lineRule="auto"/>
        <w:jc w:val="left"/>
        <w:rPr>
          <w:noProof/>
          <w:sz w:val="20"/>
          <w:szCs w:val="40"/>
          <w:lang w:eastAsia="cs-CZ"/>
        </w:rPr>
      </w:pPr>
    </w:p>
    <w:p w14:paraId="70EDBD38" w14:textId="77777777" w:rsidR="008430BD" w:rsidRPr="00F15667" w:rsidRDefault="008430BD" w:rsidP="008430BD">
      <w:pPr>
        <w:spacing w:line="240" w:lineRule="auto"/>
        <w:jc w:val="left"/>
        <w:rPr>
          <w:noProof/>
          <w:sz w:val="20"/>
          <w:szCs w:val="40"/>
          <w:lang w:eastAsia="cs-CZ"/>
        </w:rPr>
      </w:pPr>
    </w:p>
    <w:p w14:paraId="6B80F830" w14:textId="77777777" w:rsidR="008430BD" w:rsidRPr="00F15667" w:rsidRDefault="008430BD" w:rsidP="008430BD">
      <w:pPr>
        <w:spacing w:line="240" w:lineRule="auto"/>
        <w:jc w:val="left"/>
        <w:rPr>
          <w:noProof/>
          <w:sz w:val="20"/>
          <w:szCs w:val="40"/>
          <w:lang w:eastAsia="cs-CZ"/>
        </w:rPr>
      </w:pPr>
    </w:p>
    <w:p w14:paraId="4DBE4A8A" w14:textId="77777777" w:rsidR="008430BD" w:rsidRPr="00F15667" w:rsidRDefault="008430BD" w:rsidP="008430BD">
      <w:pPr>
        <w:spacing w:line="240" w:lineRule="auto"/>
        <w:jc w:val="left"/>
        <w:rPr>
          <w:noProof/>
          <w:sz w:val="20"/>
          <w:szCs w:val="40"/>
          <w:lang w:eastAsia="cs-CZ"/>
        </w:rPr>
      </w:pPr>
    </w:p>
    <w:p w14:paraId="183E68C7" w14:textId="77777777" w:rsidR="008430BD" w:rsidRPr="00F15667" w:rsidRDefault="008430BD" w:rsidP="008430BD">
      <w:pPr>
        <w:spacing w:line="240" w:lineRule="auto"/>
        <w:jc w:val="left"/>
        <w:rPr>
          <w:noProof/>
          <w:sz w:val="20"/>
          <w:szCs w:val="40"/>
          <w:lang w:eastAsia="cs-CZ"/>
        </w:rPr>
      </w:pPr>
    </w:p>
    <w:p w14:paraId="2D464933" w14:textId="77777777" w:rsidR="008430BD" w:rsidRPr="00F15667" w:rsidRDefault="008430BD" w:rsidP="008430BD">
      <w:pPr>
        <w:spacing w:line="240" w:lineRule="auto"/>
        <w:jc w:val="left"/>
        <w:rPr>
          <w:noProof/>
          <w:sz w:val="20"/>
          <w:szCs w:val="40"/>
          <w:lang w:eastAsia="cs-CZ"/>
        </w:rPr>
      </w:pPr>
    </w:p>
    <w:p w14:paraId="7C72F820" w14:textId="77777777" w:rsidR="008430BD" w:rsidRPr="00F15667" w:rsidRDefault="008430BD" w:rsidP="008430BD">
      <w:pPr>
        <w:spacing w:line="240" w:lineRule="auto"/>
        <w:jc w:val="left"/>
        <w:rPr>
          <w:noProof/>
          <w:sz w:val="20"/>
          <w:szCs w:val="40"/>
          <w:lang w:eastAsia="cs-CZ"/>
        </w:rPr>
      </w:pPr>
    </w:p>
    <w:p w14:paraId="61A5D238" w14:textId="77777777" w:rsidR="008430BD" w:rsidRPr="00E44FC4" w:rsidRDefault="008430BD" w:rsidP="008430BD">
      <w:pPr>
        <w:spacing w:line="240" w:lineRule="auto"/>
        <w:jc w:val="left"/>
        <w:rPr>
          <w:noProof/>
          <w:sz w:val="20"/>
          <w:szCs w:val="40"/>
          <w:lang w:eastAsia="cs-CZ"/>
        </w:rPr>
      </w:pPr>
    </w:p>
    <w:p w14:paraId="317E8C15" w14:textId="77777777" w:rsidR="008430BD" w:rsidRPr="00E44FC4" w:rsidRDefault="008430BD" w:rsidP="008430BD">
      <w:pPr>
        <w:spacing w:line="240" w:lineRule="auto"/>
        <w:jc w:val="left"/>
        <w:rPr>
          <w:noProof/>
          <w:sz w:val="20"/>
          <w:szCs w:val="40"/>
          <w:lang w:eastAsia="cs-CZ"/>
        </w:rPr>
      </w:pPr>
    </w:p>
    <w:p w14:paraId="5ED0BE05" w14:textId="77777777" w:rsidR="008430BD" w:rsidRPr="00E44FC4" w:rsidRDefault="008430BD" w:rsidP="008430BD">
      <w:pPr>
        <w:spacing w:line="240" w:lineRule="auto"/>
        <w:jc w:val="left"/>
        <w:rPr>
          <w:noProof/>
          <w:sz w:val="20"/>
          <w:szCs w:val="40"/>
          <w:lang w:eastAsia="cs-CZ"/>
        </w:rPr>
      </w:pPr>
    </w:p>
    <w:p w14:paraId="0916AF18" w14:textId="77777777" w:rsidR="008430BD" w:rsidRPr="00E44FC4" w:rsidRDefault="008430BD" w:rsidP="008430BD">
      <w:pPr>
        <w:spacing w:line="240" w:lineRule="auto"/>
        <w:jc w:val="left"/>
        <w:rPr>
          <w:noProof/>
          <w:sz w:val="20"/>
          <w:szCs w:val="40"/>
          <w:lang w:eastAsia="cs-CZ"/>
        </w:rPr>
      </w:pPr>
    </w:p>
    <w:p w14:paraId="4647E710" w14:textId="77777777" w:rsidR="008430BD" w:rsidRPr="00E44FC4" w:rsidRDefault="008430BD" w:rsidP="008430BD">
      <w:pPr>
        <w:spacing w:line="240" w:lineRule="auto"/>
        <w:jc w:val="left"/>
        <w:rPr>
          <w:noProof/>
          <w:sz w:val="20"/>
          <w:szCs w:val="40"/>
          <w:lang w:eastAsia="cs-CZ"/>
        </w:rPr>
      </w:pPr>
    </w:p>
    <w:p w14:paraId="4F782542" w14:textId="77777777" w:rsidR="008430BD" w:rsidRPr="00E44FC4" w:rsidRDefault="008430BD" w:rsidP="008430BD">
      <w:pPr>
        <w:spacing w:line="240" w:lineRule="auto"/>
        <w:jc w:val="left"/>
        <w:rPr>
          <w:noProof/>
          <w:sz w:val="20"/>
          <w:szCs w:val="40"/>
          <w:lang w:eastAsia="cs-CZ"/>
        </w:rPr>
      </w:pPr>
    </w:p>
    <w:p w14:paraId="4F3A23A7" w14:textId="77777777" w:rsidR="008430BD" w:rsidRPr="00E44FC4" w:rsidRDefault="008430BD" w:rsidP="008430BD">
      <w:pPr>
        <w:spacing w:line="240" w:lineRule="auto"/>
        <w:jc w:val="left"/>
        <w:rPr>
          <w:noProof/>
          <w:sz w:val="20"/>
          <w:szCs w:val="40"/>
          <w:lang w:eastAsia="cs-CZ"/>
        </w:rPr>
      </w:pPr>
    </w:p>
    <w:p w14:paraId="04768CDF" w14:textId="08C9D45E" w:rsidR="008430BD" w:rsidRPr="00E44FC4" w:rsidRDefault="008430BD" w:rsidP="008430BD">
      <w:pPr>
        <w:spacing w:line="240" w:lineRule="auto"/>
        <w:jc w:val="left"/>
        <w:rPr>
          <w:sz w:val="20"/>
        </w:rPr>
      </w:pPr>
      <w:r w:rsidRPr="00E44FC4">
        <w:rPr>
          <w:sz w:val="20"/>
        </w:rPr>
        <w:t xml:space="preserve">© Ministerstvo spravedlnosti, </w:t>
      </w:r>
      <w:r w:rsidR="000F1418" w:rsidRPr="00E44FC4">
        <w:rPr>
          <w:sz w:val="20"/>
        </w:rPr>
        <w:t>202</w:t>
      </w:r>
      <w:r w:rsidR="002D6FA3" w:rsidRPr="00E44FC4">
        <w:rPr>
          <w:sz w:val="20"/>
        </w:rPr>
        <w:t>3</w:t>
      </w:r>
    </w:p>
    <w:p w14:paraId="5306FA43" w14:textId="77777777" w:rsidR="008430BD" w:rsidRPr="00E44FC4" w:rsidRDefault="008430BD" w:rsidP="008430BD">
      <w:pPr>
        <w:spacing w:line="240" w:lineRule="auto"/>
        <w:jc w:val="left"/>
        <w:rPr>
          <w:sz w:val="20"/>
        </w:rPr>
      </w:pPr>
      <w:r w:rsidRPr="00E44FC4">
        <w:rPr>
          <w:sz w:val="20"/>
        </w:rPr>
        <w:t>Vyšehradská 16</w:t>
      </w:r>
    </w:p>
    <w:p w14:paraId="4DBBBF78" w14:textId="77777777" w:rsidR="008430BD" w:rsidRPr="00E44FC4" w:rsidRDefault="008430BD" w:rsidP="008430BD">
      <w:pPr>
        <w:spacing w:line="240" w:lineRule="auto"/>
        <w:jc w:val="left"/>
        <w:rPr>
          <w:sz w:val="20"/>
        </w:rPr>
      </w:pPr>
      <w:r w:rsidRPr="00E44FC4">
        <w:rPr>
          <w:sz w:val="20"/>
        </w:rPr>
        <w:t>128 </w:t>
      </w:r>
      <w:proofErr w:type="gramStart"/>
      <w:r w:rsidRPr="00E44FC4">
        <w:rPr>
          <w:sz w:val="20"/>
        </w:rPr>
        <w:t>10  Praha</w:t>
      </w:r>
      <w:proofErr w:type="gramEnd"/>
      <w:r w:rsidRPr="00E44FC4">
        <w:rPr>
          <w:sz w:val="20"/>
        </w:rPr>
        <w:t> 2</w:t>
      </w:r>
    </w:p>
    <w:p w14:paraId="36AD4459" w14:textId="77777777" w:rsidR="008430BD" w:rsidRPr="00E44FC4" w:rsidRDefault="008430BD" w:rsidP="008430BD">
      <w:pPr>
        <w:spacing w:line="240" w:lineRule="auto"/>
        <w:jc w:val="left"/>
        <w:rPr>
          <w:sz w:val="20"/>
        </w:rPr>
      </w:pPr>
      <w:r w:rsidRPr="00E44FC4">
        <w:rPr>
          <w:sz w:val="20"/>
        </w:rPr>
        <w:br w:type="page"/>
      </w:r>
    </w:p>
    <w:p w14:paraId="37B4A228" w14:textId="77777777" w:rsidR="00334F10" w:rsidRDefault="00334F10" w:rsidP="00334F10">
      <w:pPr>
        <w:spacing w:line="240" w:lineRule="auto"/>
        <w:rPr>
          <w:noProof/>
          <w:color w:val="000000" w:themeColor="text1"/>
        </w:rPr>
      </w:pPr>
    </w:p>
    <w:p w14:paraId="27BDBB4A" w14:textId="77777777" w:rsidR="00334F10" w:rsidRDefault="00334F10" w:rsidP="00334F10">
      <w:pPr>
        <w:spacing w:line="240" w:lineRule="auto"/>
        <w:rPr>
          <w:noProof/>
          <w:color w:val="000000" w:themeColor="text1"/>
        </w:rPr>
      </w:pPr>
    </w:p>
    <w:p w14:paraId="34C6C8CB" w14:textId="77777777" w:rsidR="00334F10" w:rsidRDefault="00334F10" w:rsidP="00334F10">
      <w:pPr>
        <w:spacing w:line="240" w:lineRule="auto"/>
        <w:rPr>
          <w:noProof/>
          <w:color w:val="000000" w:themeColor="text1"/>
        </w:rPr>
      </w:pPr>
    </w:p>
    <w:p w14:paraId="4911F574" w14:textId="77777777" w:rsidR="00334F10" w:rsidRDefault="00334F10" w:rsidP="00334F10">
      <w:pPr>
        <w:spacing w:line="240" w:lineRule="auto"/>
        <w:rPr>
          <w:color w:val="000000" w:themeColor="text1"/>
        </w:rPr>
      </w:pPr>
      <w:r>
        <w:rPr>
          <w:noProof/>
        </w:rPr>
        <w:drawing>
          <wp:anchor distT="180340" distB="71755" distL="215900" distR="215900" simplePos="0" relativeHeight="251681792" behindDoc="0" locked="0" layoutInCell="1" allowOverlap="1" wp14:anchorId="5D1B442A" wp14:editId="7A12F4D1">
            <wp:simplePos x="0" y="0"/>
            <wp:positionH relativeFrom="margin">
              <wp:align>left</wp:align>
            </wp:positionH>
            <wp:positionV relativeFrom="margin">
              <wp:posOffset>530860</wp:posOffset>
            </wp:positionV>
            <wp:extent cx="1895475" cy="2412365"/>
            <wp:effectExtent l="0" t="0" r="0" b="6985"/>
            <wp:wrapSquare wrapText="bothSides"/>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2412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4A53">
        <w:rPr>
          <w:color w:val="000000" w:themeColor="text1"/>
        </w:rPr>
        <w:t>Vážené dámy, vážení pánové,</w:t>
      </w:r>
    </w:p>
    <w:p w14:paraId="51023796" w14:textId="77777777" w:rsidR="00334F10" w:rsidRPr="00C34A53" w:rsidRDefault="00334F10" w:rsidP="00334F10">
      <w:pPr>
        <w:spacing w:line="240" w:lineRule="auto"/>
        <w:rPr>
          <w:color w:val="000000" w:themeColor="text1"/>
        </w:rPr>
      </w:pPr>
    </w:p>
    <w:p w14:paraId="2F044C71" w14:textId="31638C53" w:rsidR="00207CC9" w:rsidRPr="00334F10" w:rsidRDefault="00207CC9" w:rsidP="00334F10">
      <w:pPr>
        <w:spacing w:after="240" w:line="300" w:lineRule="auto"/>
        <w:rPr>
          <w:color w:val="000000" w:themeColor="text1"/>
        </w:rPr>
      </w:pPr>
      <w:r w:rsidRPr="00334F10">
        <w:rPr>
          <w:color w:val="000000" w:themeColor="text1"/>
        </w:rPr>
        <w:t>je mi ctí opět se ujmout úvodního slova tradiční výroční statistické zprávy, která poskytuje ucelený přehled o</w:t>
      </w:r>
      <w:r w:rsidR="009B6D63">
        <w:rPr>
          <w:color w:val="000000" w:themeColor="text1"/>
        </w:rPr>
        <w:t> </w:t>
      </w:r>
      <w:r w:rsidRPr="00334F10">
        <w:rPr>
          <w:color w:val="000000" w:themeColor="text1"/>
        </w:rPr>
        <w:t>stavu českého soudnictví. Statistická výroční zpráva je v</w:t>
      </w:r>
      <w:r w:rsidR="009B6D63">
        <w:rPr>
          <w:color w:val="000000" w:themeColor="text1"/>
        </w:rPr>
        <w:t> </w:t>
      </w:r>
      <w:r w:rsidRPr="00334F10">
        <w:rPr>
          <w:color w:val="000000" w:themeColor="text1"/>
        </w:rPr>
        <w:t>mnoha ohledech velmi podobná zprávám předchozím, ovšem určité změny v</w:t>
      </w:r>
      <w:r w:rsidR="00FB077D">
        <w:rPr>
          <w:color w:val="000000" w:themeColor="text1"/>
        </w:rPr>
        <w:t> </w:t>
      </w:r>
      <w:r w:rsidRPr="00334F10">
        <w:rPr>
          <w:color w:val="000000" w:themeColor="text1"/>
        </w:rPr>
        <w:t>ní najdete také letos. Kapitola 1.2. se těmto změnám stručně věnuje a</w:t>
      </w:r>
      <w:r w:rsidR="009B6D63">
        <w:rPr>
          <w:color w:val="000000" w:themeColor="text1"/>
        </w:rPr>
        <w:t> </w:t>
      </w:r>
      <w:r w:rsidRPr="00334F10">
        <w:rPr>
          <w:color w:val="000000" w:themeColor="text1"/>
        </w:rPr>
        <w:t>vyjmenovává nejvýznamnější z</w:t>
      </w:r>
      <w:r w:rsidR="009B6D63">
        <w:rPr>
          <w:color w:val="000000" w:themeColor="text1"/>
        </w:rPr>
        <w:t> </w:t>
      </w:r>
      <w:r w:rsidRPr="00334F10">
        <w:rPr>
          <w:color w:val="000000" w:themeColor="text1"/>
        </w:rPr>
        <w:t>nich.</w:t>
      </w:r>
    </w:p>
    <w:p w14:paraId="29E1BF60" w14:textId="6C50435E" w:rsidR="00207CC9" w:rsidRPr="00334F10" w:rsidRDefault="00207CC9" w:rsidP="00334F10">
      <w:pPr>
        <w:spacing w:after="240" w:line="300" w:lineRule="auto"/>
        <w:rPr>
          <w:color w:val="000000" w:themeColor="text1"/>
        </w:rPr>
      </w:pPr>
      <w:r w:rsidRPr="00334F10">
        <w:rPr>
          <w:color w:val="000000" w:themeColor="text1"/>
        </w:rPr>
        <w:t>Celkově lze označit situaci v</w:t>
      </w:r>
      <w:r w:rsidR="00FB077D">
        <w:rPr>
          <w:color w:val="000000" w:themeColor="text1"/>
        </w:rPr>
        <w:t> </w:t>
      </w:r>
      <w:r w:rsidRPr="00334F10">
        <w:rPr>
          <w:color w:val="000000" w:themeColor="text1"/>
        </w:rPr>
        <w:t>českém soudnictví jako stabilní a</w:t>
      </w:r>
      <w:r w:rsidR="009B6D63">
        <w:rPr>
          <w:color w:val="000000" w:themeColor="text1"/>
        </w:rPr>
        <w:t> </w:t>
      </w:r>
      <w:r w:rsidRPr="00334F10">
        <w:rPr>
          <w:color w:val="000000" w:themeColor="text1"/>
        </w:rPr>
        <w:t>těší mě, že situace ve správním soudnictví se nadále zlepšuje. Ze statistické zprávy také vyplývá, že jedním z</w:t>
      </w:r>
      <w:r w:rsidR="009B6D63">
        <w:rPr>
          <w:color w:val="000000" w:themeColor="text1"/>
        </w:rPr>
        <w:t> </w:t>
      </w:r>
      <w:r w:rsidRPr="00334F10">
        <w:rPr>
          <w:color w:val="000000" w:themeColor="text1"/>
        </w:rPr>
        <w:t>pozitivních trendů je zvýšené využívání ukládání peněžitých trestů či využívání institutu o dohodě o vině a</w:t>
      </w:r>
      <w:r w:rsidR="00FB077D">
        <w:rPr>
          <w:color w:val="000000" w:themeColor="text1"/>
        </w:rPr>
        <w:t> </w:t>
      </w:r>
      <w:r w:rsidRPr="00334F10">
        <w:rPr>
          <w:color w:val="000000" w:themeColor="text1"/>
        </w:rPr>
        <w:t>trestu v</w:t>
      </w:r>
      <w:r w:rsidR="009B6D63">
        <w:rPr>
          <w:color w:val="000000" w:themeColor="text1"/>
        </w:rPr>
        <w:t> </w:t>
      </w:r>
      <w:r w:rsidRPr="00334F10">
        <w:rPr>
          <w:color w:val="000000" w:themeColor="text1"/>
        </w:rPr>
        <w:t>trestní agendě.</w:t>
      </w:r>
    </w:p>
    <w:p w14:paraId="086E4CBD" w14:textId="795C1C85" w:rsidR="00207CC9" w:rsidRPr="00334F10" w:rsidRDefault="00207CC9" w:rsidP="00334F10">
      <w:pPr>
        <w:spacing w:after="240" w:line="300" w:lineRule="auto"/>
        <w:rPr>
          <w:color w:val="000000" w:themeColor="text1"/>
        </w:rPr>
      </w:pPr>
      <w:r w:rsidRPr="00334F10">
        <w:rPr>
          <w:color w:val="000000" w:themeColor="text1"/>
        </w:rPr>
        <w:t>Ministerstvo spravedlnosti od roku 2022 sbírá data o</w:t>
      </w:r>
      <w:r w:rsidR="00FB077D">
        <w:rPr>
          <w:color w:val="000000" w:themeColor="text1"/>
        </w:rPr>
        <w:t> </w:t>
      </w:r>
      <w:r w:rsidRPr="00334F10">
        <w:rPr>
          <w:color w:val="000000" w:themeColor="text1"/>
        </w:rPr>
        <w:t>délce řízení rozvodů. Pozitivní je, že tato řízení netrvají příliš dlouho, zejména v</w:t>
      </w:r>
      <w:r w:rsidR="00FB077D">
        <w:rPr>
          <w:color w:val="000000" w:themeColor="text1"/>
        </w:rPr>
        <w:t> </w:t>
      </w:r>
      <w:r w:rsidRPr="00334F10">
        <w:rPr>
          <w:color w:val="000000" w:themeColor="text1"/>
        </w:rPr>
        <w:t xml:space="preserve">případech, kdy nejsou zapojeny děti. </w:t>
      </w:r>
      <w:r w:rsidR="00E65215">
        <w:rPr>
          <w:color w:val="000000" w:themeColor="text1"/>
        </w:rPr>
        <w:t xml:space="preserve">Typická </w:t>
      </w:r>
      <w:r w:rsidRPr="00334F10">
        <w:rPr>
          <w:color w:val="000000" w:themeColor="text1"/>
        </w:rPr>
        <w:t>délka bezdětných rozvodů činí pouhé 2</w:t>
      </w:r>
      <w:r w:rsidR="00FB077D">
        <w:rPr>
          <w:color w:val="000000" w:themeColor="text1"/>
        </w:rPr>
        <w:t> </w:t>
      </w:r>
      <w:r w:rsidRPr="00334F10">
        <w:rPr>
          <w:color w:val="000000" w:themeColor="text1"/>
        </w:rPr>
        <w:t>měsíce. Další příznivou zprávou je, že rozvodovost u</w:t>
      </w:r>
      <w:r w:rsidR="00FB077D">
        <w:rPr>
          <w:color w:val="000000" w:themeColor="text1"/>
        </w:rPr>
        <w:t> </w:t>
      </w:r>
      <w:r w:rsidRPr="00334F10">
        <w:rPr>
          <w:color w:val="000000" w:themeColor="text1"/>
        </w:rPr>
        <w:t>nás není moc vysoká, ve zprávě jsou také uvedena zajímavá data o rozvodovosti za celou EU.</w:t>
      </w:r>
    </w:p>
    <w:p w14:paraId="51A9BDD7" w14:textId="40919FF6" w:rsidR="00207CC9" w:rsidRPr="00334F10" w:rsidRDefault="00207CC9" w:rsidP="00334F10">
      <w:pPr>
        <w:spacing w:after="240" w:line="300" w:lineRule="auto"/>
        <w:rPr>
          <w:color w:val="000000" w:themeColor="text1"/>
        </w:rPr>
      </w:pPr>
      <w:r w:rsidRPr="00334F10">
        <w:rPr>
          <w:color w:val="000000" w:themeColor="text1"/>
        </w:rPr>
        <w:t>V</w:t>
      </w:r>
      <w:r w:rsidR="00FB077D">
        <w:rPr>
          <w:color w:val="000000" w:themeColor="text1"/>
        </w:rPr>
        <w:t> </w:t>
      </w:r>
      <w:r w:rsidRPr="00334F10">
        <w:rPr>
          <w:color w:val="000000" w:themeColor="text1"/>
        </w:rPr>
        <w:t>rámci mezinárodního srovnání si ČR také nevede špatně a</w:t>
      </w:r>
      <w:r w:rsidR="00FB077D">
        <w:rPr>
          <w:color w:val="000000" w:themeColor="text1"/>
        </w:rPr>
        <w:t> </w:t>
      </w:r>
      <w:r w:rsidRPr="00334F10">
        <w:rPr>
          <w:color w:val="000000" w:themeColor="text1"/>
        </w:rPr>
        <w:t>i</w:t>
      </w:r>
      <w:r w:rsidR="00FB077D">
        <w:rPr>
          <w:color w:val="000000" w:themeColor="text1"/>
        </w:rPr>
        <w:t> </w:t>
      </w:r>
      <w:r w:rsidRPr="00334F10">
        <w:rPr>
          <w:color w:val="000000" w:themeColor="text1"/>
        </w:rPr>
        <w:t>v</w:t>
      </w:r>
      <w:r w:rsidR="00FB077D">
        <w:rPr>
          <w:color w:val="000000" w:themeColor="text1"/>
        </w:rPr>
        <w:t> </w:t>
      </w:r>
      <w:r w:rsidRPr="00334F10">
        <w:rPr>
          <w:color w:val="000000" w:themeColor="text1"/>
        </w:rPr>
        <w:t>tomto srovnání je situace v</w:t>
      </w:r>
      <w:r w:rsidR="00FB077D">
        <w:rPr>
          <w:color w:val="000000" w:themeColor="text1"/>
        </w:rPr>
        <w:t> </w:t>
      </w:r>
      <w:r w:rsidRPr="00334F10">
        <w:rPr>
          <w:color w:val="000000" w:themeColor="text1"/>
        </w:rPr>
        <w:t>posledních letech stabilní. Protože podíl žen na soudech je ukazatelem poměrně stálým, v</w:t>
      </w:r>
      <w:r w:rsidR="00FB077D">
        <w:rPr>
          <w:color w:val="000000" w:themeColor="text1"/>
        </w:rPr>
        <w:t> </w:t>
      </w:r>
      <w:r w:rsidRPr="00334F10">
        <w:rPr>
          <w:color w:val="000000" w:themeColor="text1"/>
        </w:rPr>
        <w:t>letošní zprávě je pro zajímavost doplněn také podíl žen u</w:t>
      </w:r>
      <w:r w:rsidR="00FB077D">
        <w:rPr>
          <w:color w:val="000000" w:themeColor="text1"/>
        </w:rPr>
        <w:t> </w:t>
      </w:r>
      <w:r w:rsidRPr="00334F10">
        <w:rPr>
          <w:color w:val="000000" w:themeColor="text1"/>
        </w:rPr>
        <w:t>„nesoudcovského“ personálu soudů a</w:t>
      </w:r>
      <w:r w:rsidR="00FB077D">
        <w:rPr>
          <w:color w:val="000000" w:themeColor="text1"/>
        </w:rPr>
        <w:t> </w:t>
      </w:r>
      <w:r w:rsidRPr="00334F10">
        <w:rPr>
          <w:color w:val="000000" w:themeColor="text1"/>
        </w:rPr>
        <w:t>mezi státními zástupci.</w:t>
      </w:r>
    </w:p>
    <w:p w14:paraId="202921F4" w14:textId="3A6FD273" w:rsidR="00207CC9" w:rsidRPr="00334F10" w:rsidRDefault="00207CC9" w:rsidP="00334F10">
      <w:pPr>
        <w:spacing w:after="240" w:line="300" w:lineRule="auto"/>
        <w:rPr>
          <w:color w:val="000000" w:themeColor="text1"/>
        </w:rPr>
      </w:pPr>
      <w:r w:rsidRPr="00334F10">
        <w:rPr>
          <w:color w:val="000000" w:themeColor="text1"/>
        </w:rPr>
        <w:t>Těší mě, že česká justice si stále vede velmi dobře. Přesto je před námi spousta výzev, které je třeba akceptovat a</w:t>
      </w:r>
      <w:r w:rsidR="00FB077D">
        <w:rPr>
          <w:color w:val="000000" w:themeColor="text1"/>
        </w:rPr>
        <w:t> </w:t>
      </w:r>
      <w:r w:rsidRPr="00334F10">
        <w:rPr>
          <w:color w:val="000000" w:themeColor="text1"/>
        </w:rPr>
        <w:t>postavit se jim čelem. Ať už je to pokračování elektronizace justice či její celková postupná modernizace.</w:t>
      </w:r>
    </w:p>
    <w:p w14:paraId="65085D23" w14:textId="77777777" w:rsidR="00207CC9" w:rsidRPr="00334F10" w:rsidRDefault="00207CC9" w:rsidP="00334F10">
      <w:pPr>
        <w:rPr>
          <w:rFonts w:cs="Arial"/>
          <w:szCs w:val="24"/>
        </w:rPr>
      </w:pPr>
    </w:p>
    <w:p w14:paraId="0CE9FD35" w14:textId="77777777" w:rsidR="00207CC9" w:rsidRPr="00334F10" w:rsidRDefault="00207CC9" w:rsidP="00334F10">
      <w:pPr>
        <w:rPr>
          <w:rFonts w:cs="Arial"/>
          <w:szCs w:val="24"/>
        </w:rPr>
      </w:pPr>
    </w:p>
    <w:p w14:paraId="07A3868A" w14:textId="77777777" w:rsidR="00207CC9" w:rsidRPr="00334F10" w:rsidRDefault="00207CC9" w:rsidP="00334F10">
      <w:pPr>
        <w:rPr>
          <w:rFonts w:cs="Arial"/>
          <w:szCs w:val="24"/>
        </w:rPr>
      </w:pPr>
    </w:p>
    <w:p w14:paraId="276D1D06" w14:textId="77777777" w:rsidR="00207CC9" w:rsidRPr="00334F10" w:rsidRDefault="00207CC9" w:rsidP="00334F10">
      <w:pPr>
        <w:ind w:left="4536" w:firstLine="5"/>
        <w:jc w:val="center"/>
        <w:rPr>
          <w:rFonts w:cs="Arial"/>
          <w:i/>
          <w:szCs w:val="24"/>
        </w:rPr>
      </w:pPr>
      <w:r w:rsidRPr="00334F10">
        <w:rPr>
          <w:rFonts w:cs="Arial"/>
          <w:i/>
          <w:szCs w:val="24"/>
        </w:rPr>
        <w:t>JUDr. Pavel Blažek, Ph.D.</w:t>
      </w:r>
    </w:p>
    <w:p w14:paraId="5526ED46" w14:textId="10C3F46C" w:rsidR="004D295C" w:rsidRPr="00334F10" w:rsidRDefault="00207CC9" w:rsidP="00334F10">
      <w:pPr>
        <w:ind w:left="4536" w:firstLine="5"/>
        <w:jc w:val="center"/>
        <w:rPr>
          <w:rFonts w:cs="Arial"/>
          <w:i/>
          <w:szCs w:val="24"/>
        </w:rPr>
      </w:pPr>
      <w:r w:rsidRPr="00334F10">
        <w:rPr>
          <w:rFonts w:cs="Arial"/>
          <w:i/>
          <w:szCs w:val="24"/>
        </w:rPr>
        <w:t>ministr spravedlnosti</w:t>
      </w:r>
    </w:p>
    <w:p w14:paraId="48847E2B" w14:textId="77777777" w:rsidR="00334F10" w:rsidRPr="00E44FC4" w:rsidRDefault="00334F10" w:rsidP="00207CC9">
      <w:pPr>
        <w:spacing w:line="240" w:lineRule="auto"/>
        <w:rPr>
          <w:noProof/>
        </w:rPr>
      </w:pPr>
    </w:p>
    <w:p w14:paraId="2752BBFE" w14:textId="396305EA" w:rsidR="00F47516" w:rsidRPr="00334F10" w:rsidRDefault="00F47516" w:rsidP="00334F10">
      <w:pPr>
        <w:spacing w:after="160" w:line="259" w:lineRule="auto"/>
        <w:rPr>
          <w:noProof/>
        </w:rPr>
      </w:pPr>
      <w:r w:rsidRPr="00E44FC4">
        <w:rPr>
          <w:b/>
          <w:bCs/>
          <w:noProof/>
        </w:rPr>
        <w:br w:type="page"/>
      </w:r>
    </w:p>
    <w:p w14:paraId="6A0C93A4" w14:textId="77777777" w:rsidR="008430BD" w:rsidRPr="00E44FC4" w:rsidRDefault="008430BD" w:rsidP="008430BD">
      <w:pPr>
        <w:pStyle w:val="Nadpis1"/>
        <w:ind w:left="432" w:hanging="432"/>
      </w:pPr>
      <w:bookmarkStart w:id="0" w:name="_Toc508873365"/>
      <w:bookmarkStart w:id="1" w:name="_Toc106092708"/>
      <w:bookmarkStart w:id="2" w:name="_Toc144104329"/>
      <w:r w:rsidRPr="00E44FC4">
        <w:lastRenderedPageBreak/>
        <w:t>Obsah</w:t>
      </w:r>
      <w:bookmarkEnd w:id="0"/>
      <w:bookmarkEnd w:id="1"/>
      <w:bookmarkEnd w:id="2"/>
    </w:p>
    <w:p w14:paraId="23B8DA0F" w14:textId="77777777" w:rsidR="00EC44A7" w:rsidRPr="00E44FC4" w:rsidRDefault="00EC44A7">
      <w:pPr>
        <w:pStyle w:val="Obsah1"/>
      </w:pPr>
    </w:p>
    <w:p w14:paraId="4F6D48D2" w14:textId="5FD93316" w:rsidR="00D4102B" w:rsidRDefault="008430BD">
      <w:pPr>
        <w:pStyle w:val="Obsah1"/>
        <w:rPr>
          <w:rFonts w:asciiTheme="minorHAnsi" w:eastAsiaTheme="minorEastAsia" w:hAnsiTheme="minorHAnsi" w:cstheme="minorBidi"/>
          <w:noProof/>
          <w:sz w:val="22"/>
          <w:lang w:eastAsia="cs-CZ"/>
        </w:rPr>
      </w:pPr>
      <w:r w:rsidRPr="00E44FC4">
        <w:fldChar w:fldCharType="begin"/>
      </w:r>
      <w:r w:rsidRPr="00E44FC4">
        <w:instrText xml:space="preserve"> TOC \o "1-3" \h \z \u </w:instrText>
      </w:r>
      <w:r w:rsidRPr="00E44FC4">
        <w:fldChar w:fldCharType="separate"/>
      </w:r>
      <w:hyperlink w:anchor="_Toc144104329" w:history="1">
        <w:r w:rsidR="00D4102B" w:rsidRPr="0047292F">
          <w:rPr>
            <w:rStyle w:val="Hypertextovodkaz"/>
            <w:noProof/>
          </w:rPr>
          <w:t>Obsah</w:t>
        </w:r>
        <w:r w:rsidR="00D4102B">
          <w:rPr>
            <w:noProof/>
            <w:webHidden/>
          </w:rPr>
          <w:tab/>
        </w:r>
        <w:r w:rsidR="00D4102B">
          <w:rPr>
            <w:noProof/>
            <w:webHidden/>
          </w:rPr>
          <w:fldChar w:fldCharType="begin"/>
        </w:r>
        <w:r w:rsidR="00D4102B">
          <w:rPr>
            <w:noProof/>
            <w:webHidden/>
          </w:rPr>
          <w:instrText xml:space="preserve"> PAGEREF _Toc144104329 \h </w:instrText>
        </w:r>
        <w:r w:rsidR="00D4102B">
          <w:rPr>
            <w:noProof/>
            <w:webHidden/>
          </w:rPr>
        </w:r>
        <w:r w:rsidR="00D4102B">
          <w:rPr>
            <w:noProof/>
            <w:webHidden/>
          </w:rPr>
          <w:fldChar w:fldCharType="separate"/>
        </w:r>
        <w:r w:rsidR="001E1A67">
          <w:rPr>
            <w:noProof/>
            <w:webHidden/>
          </w:rPr>
          <w:t>4</w:t>
        </w:r>
        <w:r w:rsidR="00D4102B">
          <w:rPr>
            <w:noProof/>
            <w:webHidden/>
          </w:rPr>
          <w:fldChar w:fldCharType="end"/>
        </w:r>
      </w:hyperlink>
    </w:p>
    <w:p w14:paraId="2E8F7E1A" w14:textId="405723CE" w:rsidR="00D4102B" w:rsidRDefault="002734FA">
      <w:pPr>
        <w:pStyle w:val="Obsah1"/>
        <w:tabs>
          <w:tab w:val="left" w:pos="482"/>
        </w:tabs>
        <w:rPr>
          <w:rFonts w:asciiTheme="minorHAnsi" w:eastAsiaTheme="minorEastAsia" w:hAnsiTheme="minorHAnsi" w:cstheme="minorBidi"/>
          <w:noProof/>
          <w:sz w:val="22"/>
          <w:lang w:eastAsia="cs-CZ"/>
        </w:rPr>
      </w:pPr>
      <w:hyperlink w:anchor="_Toc144104330" w:history="1">
        <w:r w:rsidR="00D4102B" w:rsidRPr="0047292F">
          <w:rPr>
            <w:rStyle w:val="Hypertextovodkaz"/>
            <w:noProof/>
          </w:rPr>
          <w:t>1</w:t>
        </w:r>
        <w:r w:rsidR="00D4102B">
          <w:rPr>
            <w:rFonts w:asciiTheme="minorHAnsi" w:eastAsiaTheme="minorEastAsia" w:hAnsiTheme="minorHAnsi" w:cstheme="minorBidi"/>
            <w:noProof/>
            <w:sz w:val="22"/>
            <w:lang w:eastAsia="cs-CZ"/>
          </w:rPr>
          <w:tab/>
        </w:r>
        <w:r w:rsidR="00D4102B" w:rsidRPr="0047292F">
          <w:rPr>
            <w:rStyle w:val="Hypertextovodkaz"/>
            <w:noProof/>
          </w:rPr>
          <w:t>Úvod</w:t>
        </w:r>
        <w:r w:rsidR="00D4102B">
          <w:rPr>
            <w:noProof/>
            <w:webHidden/>
          </w:rPr>
          <w:tab/>
        </w:r>
        <w:r w:rsidR="00D4102B">
          <w:rPr>
            <w:noProof/>
            <w:webHidden/>
          </w:rPr>
          <w:fldChar w:fldCharType="begin"/>
        </w:r>
        <w:r w:rsidR="00D4102B">
          <w:rPr>
            <w:noProof/>
            <w:webHidden/>
          </w:rPr>
          <w:instrText xml:space="preserve"> PAGEREF _Toc144104330 \h </w:instrText>
        </w:r>
        <w:r w:rsidR="00D4102B">
          <w:rPr>
            <w:noProof/>
            <w:webHidden/>
          </w:rPr>
        </w:r>
        <w:r w:rsidR="00D4102B">
          <w:rPr>
            <w:noProof/>
            <w:webHidden/>
          </w:rPr>
          <w:fldChar w:fldCharType="separate"/>
        </w:r>
        <w:r w:rsidR="001E1A67">
          <w:rPr>
            <w:noProof/>
            <w:webHidden/>
          </w:rPr>
          <w:t>7</w:t>
        </w:r>
        <w:r w:rsidR="00D4102B">
          <w:rPr>
            <w:noProof/>
            <w:webHidden/>
          </w:rPr>
          <w:fldChar w:fldCharType="end"/>
        </w:r>
      </w:hyperlink>
    </w:p>
    <w:p w14:paraId="51E56ECE" w14:textId="6BA30826" w:rsidR="00D4102B" w:rsidRDefault="002734FA">
      <w:pPr>
        <w:pStyle w:val="Obsah2"/>
        <w:rPr>
          <w:rFonts w:asciiTheme="minorHAnsi" w:eastAsiaTheme="minorEastAsia" w:hAnsiTheme="minorHAnsi" w:cstheme="minorBidi"/>
          <w:sz w:val="22"/>
          <w:lang w:eastAsia="cs-CZ"/>
        </w:rPr>
      </w:pPr>
      <w:hyperlink w:anchor="_Toc144104331" w:history="1">
        <w:r w:rsidR="00D4102B" w:rsidRPr="0047292F">
          <w:rPr>
            <w:rStyle w:val="Hypertextovodkaz"/>
          </w:rPr>
          <w:t>1.1</w:t>
        </w:r>
        <w:r w:rsidR="00D4102B">
          <w:rPr>
            <w:rFonts w:asciiTheme="minorHAnsi" w:eastAsiaTheme="minorEastAsia" w:hAnsiTheme="minorHAnsi" w:cstheme="minorBidi"/>
            <w:sz w:val="22"/>
            <w:lang w:eastAsia="cs-CZ"/>
          </w:rPr>
          <w:tab/>
        </w:r>
        <w:r w:rsidR="00D4102B" w:rsidRPr="0047292F">
          <w:rPr>
            <w:rStyle w:val="Hypertextovodkaz"/>
          </w:rPr>
          <w:t>Základní východiska, předpoklady, omezení a upřesňující poznámky</w:t>
        </w:r>
        <w:r w:rsidR="00D4102B">
          <w:rPr>
            <w:webHidden/>
          </w:rPr>
          <w:tab/>
        </w:r>
        <w:r w:rsidR="00D4102B">
          <w:rPr>
            <w:webHidden/>
          </w:rPr>
          <w:fldChar w:fldCharType="begin"/>
        </w:r>
        <w:r w:rsidR="00D4102B">
          <w:rPr>
            <w:webHidden/>
          </w:rPr>
          <w:instrText xml:space="preserve"> PAGEREF _Toc144104331 \h </w:instrText>
        </w:r>
        <w:r w:rsidR="00D4102B">
          <w:rPr>
            <w:webHidden/>
          </w:rPr>
        </w:r>
        <w:r w:rsidR="00D4102B">
          <w:rPr>
            <w:webHidden/>
          </w:rPr>
          <w:fldChar w:fldCharType="separate"/>
        </w:r>
        <w:r w:rsidR="001E1A67">
          <w:rPr>
            <w:webHidden/>
          </w:rPr>
          <w:t>7</w:t>
        </w:r>
        <w:r w:rsidR="00D4102B">
          <w:rPr>
            <w:webHidden/>
          </w:rPr>
          <w:fldChar w:fldCharType="end"/>
        </w:r>
      </w:hyperlink>
    </w:p>
    <w:p w14:paraId="69D8B9FD" w14:textId="0DF3BEA6" w:rsidR="00D4102B" w:rsidRDefault="002734FA">
      <w:pPr>
        <w:pStyle w:val="Obsah2"/>
        <w:rPr>
          <w:rFonts w:asciiTheme="minorHAnsi" w:eastAsiaTheme="minorEastAsia" w:hAnsiTheme="minorHAnsi" w:cstheme="minorBidi"/>
          <w:sz w:val="22"/>
          <w:lang w:eastAsia="cs-CZ"/>
        </w:rPr>
      </w:pPr>
      <w:hyperlink w:anchor="_Toc144104332" w:history="1">
        <w:r w:rsidR="00D4102B" w:rsidRPr="0047292F">
          <w:rPr>
            <w:rStyle w:val="Hypertextovodkaz"/>
          </w:rPr>
          <w:t>1.2</w:t>
        </w:r>
        <w:r w:rsidR="00D4102B">
          <w:rPr>
            <w:rFonts w:asciiTheme="minorHAnsi" w:eastAsiaTheme="minorEastAsia" w:hAnsiTheme="minorHAnsi" w:cstheme="minorBidi"/>
            <w:sz w:val="22"/>
            <w:lang w:eastAsia="cs-CZ"/>
          </w:rPr>
          <w:tab/>
        </w:r>
        <w:r w:rsidR="00D4102B" w:rsidRPr="0047292F">
          <w:rPr>
            <w:rStyle w:val="Hypertextovodkaz"/>
          </w:rPr>
          <w:t>Změny oproti verzi z minulého roku</w:t>
        </w:r>
        <w:r w:rsidR="00D4102B">
          <w:rPr>
            <w:webHidden/>
          </w:rPr>
          <w:tab/>
        </w:r>
        <w:r w:rsidR="00D4102B">
          <w:rPr>
            <w:webHidden/>
          </w:rPr>
          <w:fldChar w:fldCharType="begin"/>
        </w:r>
        <w:r w:rsidR="00D4102B">
          <w:rPr>
            <w:webHidden/>
          </w:rPr>
          <w:instrText xml:space="preserve"> PAGEREF _Toc144104332 \h </w:instrText>
        </w:r>
        <w:r w:rsidR="00D4102B">
          <w:rPr>
            <w:webHidden/>
          </w:rPr>
        </w:r>
        <w:r w:rsidR="00D4102B">
          <w:rPr>
            <w:webHidden/>
          </w:rPr>
          <w:fldChar w:fldCharType="separate"/>
        </w:r>
        <w:r w:rsidR="001E1A67">
          <w:rPr>
            <w:webHidden/>
          </w:rPr>
          <w:t>10</w:t>
        </w:r>
        <w:r w:rsidR="00D4102B">
          <w:rPr>
            <w:webHidden/>
          </w:rPr>
          <w:fldChar w:fldCharType="end"/>
        </w:r>
      </w:hyperlink>
    </w:p>
    <w:p w14:paraId="3A6400FE" w14:textId="35A27B52" w:rsidR="00D4102B" w:rsidRDefault="002734FA">
      <w:pPr>
        <w:pStyle w:val="Obsah1"/>
        <w:tabs>
          <w:tab w:val="left" w:pos="482"/>
        </w:tabs>
        <w:rPr>
          <w:rFonts w:asciiTheme="minorHAnsi" w:eastAsiaTheme="minorEastAsia" w:hAnsiTheme="minorHAnsi" w:cstheme="minorBidi"/>
          <w:noProof/>
          <w:sz w:val="22"/>
          <w:lang w:eastAsia="cs-CZ"/>
        </w:rPr>
      </w:pPr>
      <w:hyperlink w:anchor="_Toc144104333" w:history="1">
        <w:r w:rsidR="00D4102B" w:rsidRPr="0047292F">
          <w:rPr>
            <w:rStyle w:val="Hypertextovodkaz"/>
            <w:noProof/>
          </w:rPr>
          <w:t>2</w:t>
        </w:r>
        <w:r w:rsidR="00D4102B">
          <w:rPr>
            <w:rFonts w:asciiTheme="minorHAnsi" w:eastAsiaTheme="minorEastAsia" w:hAnsiTheme="minorHAnsi" w:cstheme="minorBidi"/>
            <w:noProof/>
            <w:sz w:val="22"/>
            <w:lang w:eastAsia="cs-CZ"/>
          </w:rPr>
          <w:tab/>
        </w:r>
        <w:r w:rsidR="00D4102B" w:rsidRPr="0047292F">
          <w:rPr>
            <w:rStyle w:val="Hypertextovodkaz"/>
            <w:noProof/>
          </w:rPr>
          <w:t>Okresní soudy</w:t>
        </w:r>
        <w:r w:rsidR="00D4102B">
          <w:rPr>
            <w:noProof/>
            <w:webHidden/>
          </w:rPr>
          <w:tab/>
        </w:r>
        <w:r w:rsidR="00D4102B">
          <w:rPr>
            <w:noProof/>
            <w:webHidden/>
          </w:rPr>
          <w:fldChar w:fldCharType="begin"/>
        </w:r>
        <w:r w:rsidR="00D4102B">
          <w:rPr>
            <w:noProof/>
            <w:webHidden/>
          </w:rPr>
          <w:instrText xml:space="preserve"> PAGEREF _Toc144104333 \h </w:instrText>
        </w:r>
        <w:r w:rsidR="00D4102B">
          <w:rPr>
            <w:noProof/>
            <w:webHidden/>
          </w:rPr>
        </w:r>
        <w:r w:rsidR="00D4102B">
          <w:rPr>
            <w:noProof/>
            <w:webHidden/>
          </w:rPr>
          <w:fldChar w:fldCharType="separate"/>
        </w:r>
        <w:r w:rsidR="001E1A67">
          <w:rPr>
            <w:noProof/>
            <w:webHidden/>
          </w:rPr>
          <w:t>11</w:t>
        </w:r>
        <w:r w:rsidR="00D4102B">
          <w:rPr>
            <w:noProof/>
            <w:webHidden/>
          </w:rPr>
          <w:fldChar w:fldCharType="end"/>
        </w:r>
      </w:hyperlink>
    </w:p>
    <w:p w14:paraId="2986E133" w14:textId="02E332CC" w:rsidR="00D4102B" w:rsidRDefault="002734FA">
      <w:pPr>
        <w:pStyle w:val="Obsah2"/>
        <w:rPr>
          <w:rFonts w:asciiTheme="minorHAnsi" w:eastAsiaTheme="minorEastAsia" w:hAnsiTheme="minorHAnsi" w:cstheme="minorBidi"/>
          <w:sz w:val="22"/>
          <w:lang w:eastAsia="cs-CZ"/>
        </w:rPr>
      </w:pPr>
      <w:hyperlink w:anchor="_Toc144104334" w:history="1">
        <w:r w:rsidR="00D4102B" w:rsidRPr="0047292F">
          <w:rPr>
            <w:rStyle w:val="Hypertextovodkaz"/>
          </w:rPr>
          <w:t>2.1</w:t>
        </w:r>
        <w:r w:rsidR="00D4102B">
          <w:rPr>
            <w:rFonts w:asciiTheme="minorHAnsi" w:eastAsiaTheme="minorEastAsia" w:hAnsiTheme="minorHAnsi" w:cstheme="minorBidi"/>
            <w:sz w:val="22"/>
            <w:lang w:eastAsia="cs-CZ"/>
          </w:rPr>
          <w:tab/>
        </w:r>
        <w:r w:rsidR="00D4102B" w:rsidRPr="0047292F">
          <w:rPr>
            <w:rStyle w:val="Hypertextovodkaz"/>
          </w:rPr>
          <w:t>Personál</w:t>
        </w:r>
        <w:r w:rsidR="00D4102B">
          <w:rPr>
            <w:webHidden/>
          </w:rPr>
          <w:tab/>
        </w:r>
        <w:r w:rsidR="00D4102B">
          <w:rPr>
            <w:webHidden/>
          </w:rPr>
          <w:fldChar w:fldCharType="begin"/>
        </w:r>
        <w:r w:rsidR="00D4102B">
          <w:rPr>
            <w:webHidden/>
          </w:rPr>
          <w:instrText xml:space="preserve"> PAGEREF _Toc144104334 \h </w:instrText>
        </w:r>
        <w:r w:rsidR="00D4102B">
          <w:rPr>
            <w:webHidden/>
          </w:rPr>
        </w:r>
        <w:r w:rsidR="00D4102B">
          <w:rPr>
            <w:webHidden/>
          </w:rPr>
          <w:fldChar w:fldCharType="separate"/>
        </w:r>
        <w:r w:rsidR="001E1A67">
          <w:rPr>
            <w:webHidden/>
          </w:rPr>
          <w:t>11</w:t>
        </w:r>
        <w:r w:rsidR="00D4102B">
          <w:rPr>
            <w:webHidden/>
          </w:rPr>
          <w:fldChar w:fldCharType="end"/>
        </w:r>
      </w:hyperlink>
    </w:p>
    <w:p w14:paraId="367A1B99" w14:textId="332C4D44" w:rsidR="00D4102B" w:rsidRDefault="002734FA">
      <w:pPr>
        <w:pStyle w:val="Obsah3"/>
        <w:rPr>
          <w:rFonts w:asciiTheme="minorHAnsi" w:eastAsiaTheme="minorEastAsia" w:hAnsiTheme="minorHAnsi" w:cstheme="minorBidi"/>
          <w:noProof/>
          <w:sz w:val="22"/>
          <w:lang w:eastAsia="cs-CZ"/>
        </w:rPr>
      </w:pPr>
      <w:hyperlink w:anchor="_Toc144104335" w:history="1">
        <w:r w:rsidR="00D4102B" w:rsidRPr="0047292F">
          <w:rPr>
            <w:rStyle w:val="Hypertextovodkaz"/>
            <w:noProof/>
          </w:rPr>
          <w:t>2.1.1</w:t>
        </w:r>
        <w:r w:rsidR="00D4102B">
          <w:rPr>
            <w:rFonts w:asciiTheme="minorHAnsi" w:eastAsiaTheme="minorEastAsia" w:hAnsiTheme="minorHAnsi" w:cstheme="minorBidi"/>
            <w:noProof/>
            <w:sz w:val="22"/>
            <w:lang w:eastAsia="cs-CZ"/>
          </w:rPr>
          <w:tab/>
        </w:r>
        <w:r w:rsidR="00D4102B" w:rsidRPr="0047292F">
          <w:rPr>
            <w:rStyle w:val="Hypertextovodkaz"/>
            <w:noProof/>
          </w:rPr>
          <w:t>Soudci</w:t>
        </w:r>
        <w:r w:rsidR="00D4102B">
          <w:rPr>
            <w:noProof/>
            <w:webHidden/>
          </w:rPr>
          <w:tab/>
        </w:r>
        <w:r w:rsidR="00D4102B">
          <w:rPr>
            <w:noProof/>
            <w:webHidden/>
          </w:rPr>
          <w:fldChar w:fldCharType="begin"/>
        </w:r>
        <w:r w:rsidR="00D4102B">
          <w:rPr>
            <w:noProof/>
            <w:webHidden/>
          </w:rPr>
          <w:instrText xml:space="preserve"> PAGEREF _Toc144104335 \h </w:instrText>
        </w:r>
        <w:r w:rsidR="00D4102B">
          <w:rPr>
            <w:noProof/>
            <w:webHidden/>
          </w:rPr>
        </w:r>
        <w:r w:rsidR="00D4102B">
          <w:rPr>
            <w:noProof/>
            <w:webHidden/>
          </w:rPr>
          <w:fldChar w:fldCharType="separate"/>
        </w:r>
        <w:r w:rsidR="001E1A67">
          <w:rPr>
            <w:noProof/>
            <w:webHidden/>
          </w:rPr>
          <w:t>11</w:t>
        </w:r>
        <w:r w:rsidR="00D4102B">
          <w:rPr>
            <w:noProof/>
            <w:webHidden/>
          </w:rPr>
          <w:fldChar w:fldCharType="end"/>
        </w:r>
      </w:hyperlink>
    </w:p>
    <w:p w14:paraId="05818DA9" w14:textId="2F92EBBA" w:rsidR="00D4102B" w:rsidRDefault="002734FA">
      <w:pPr>
        <w:pStyle w:val="Obsah3"/>
        <w:rPr>
          <w:rFonts w:asciiTheme="minorHAnsi" w:eastAsiaTheme="minorEastAsia" w:hAnsiTheme="minorHAnsi" w:cstheme="minorBidi"/>
          <w:noProof/>
          <w:sz w:val="22"/>
          <w:lang w:eastAsia="cs-CZ"/>
        </w:rPr>
      </w:pPr>
      <w:hyperlink w:anchor="_Toc144104336" w:history="1">
        <w:r w:rsidR="00D4102B" w:rsidRPr="0047292F">
          <w:rPr>
            <w:rStyle w:val="Hypertextovodkaz"/>
            <w:noProof/>
          </w:rPr>
          <w:t>2.1.2</w:t>
        </w:r>
        <w:r w:rsidR="00D4102B">
          <w:rPr>
            <w:rFonts w:asciiTheme="minorHAnsi" w:eastAsiaTheme="minorEastAsia" w:hAnsiTheme="minorHAnsi" w:cstheme="minorBidi"/>
            <w:noProof/>
            <w:sz w:val="22"/>
            <w:lang w:eastAsia="cs-CZ"/>
          </w:rPr>
          <w:tab/>
        </w:r>
        <w:r w:rsidR="00D4102B" w:rsidRPr="0047292F">
          <w:rPr>
            <w:rStyle w:val="Hypertextovodkaz"/>
            <w:noProof/>
          </w:rPr>
          <w:t>Zaměstnanci ve výkonu a ve správě</w:t>
        </w:r>
        <w:r w:rsidR="00D4102B">
          <w:rPr>
            <w:noProof/>
            <w:webHidden/>
          </w:rPr>
          <w:tab/>
        </w:r>
        <w:r w:rsidR="00D4102B">
          <w:rPr>
            <w:noProof/>
            <w:webHidden/>
          </w:rPr>
          <w:fldChar w:fldCharType="begin"/>
        </w:r>
        <w:r w:rsidR="00D4102B">
          <w:rPr>
            <w:noProof/>
            <w:webHidden/>
          </w:rPr>
          <w:instrText xml:space="preserve"> PAGEREF _Toc144104336 \h </w:instrText>
        </w:r>
        <w:r w:rsidR="00D4102B">
          <w:rPr>
            <w:noProof/>
            <w:webHidden/>
          </w:rPr>
        </w:r>
        <w:r w:rsidR="00D4102B">
          <w:rPr>
            <w:noProof/>
            <w:webHidden/>
          </w:rPr>
          <w:fldChar w:fldCharType="separate"/>
        </w:r>
        <w:r w:rsidR="001E1A67">
          <w:rPr>
            <w:noProof/>
            <w:webHidden/>
          </w:rPr>
          <w:t>18</w:t>
        </w:r>
        <w:r w:rsidR="00D4102B">
          <w:rPr>
            <w:noProof/>
            <w:webHidden/>
          </w:rPr>
          <w:fldChar w:fldCharType="end"/>
        </w:r>
      </w:hyperlink>
    </w:p>
    <w:p w14:paraId="56242E09" w14:textId="29431C52" w:rsidR="00D4102B" w:rsidRDefault="002734FA">
      <w:pPr>
        <w:pStyle w:val="Obsah3"/>
        <w:rPr>
          <w:rFonts w:asciiTheme="minorHAnsi" w:eastAsiaTheme="minorEastAsia" w:hAnsiTheme="minorHAnsi" w:cstheme="minorBidi"/>
          <w:noProof/>
          <w:sz w:val="22"/>
          <w:lang w:eastAsia="cs-CZ"/>
        </w:rPr>
      </w:pPr>
      <w:hyperlink w:anchor="_Toc144104337" w:history="1">
        <w:r w:rsidR="00D4102B" w:rsidRPr="0047292F">
          <w:rPr>
            <w:rStyle w:val="Hypertextovodkaz"/>
            <w:noProof/>
          </w:rPr>
          <w:t>2.1.3</w:t>
        </w:r>
        <w:r w:rsidR="00D4102B">
          <w:rPr>
            <w:rFonts w:asciiTheme="minorHAnsi" w:eastAsiaTheme="minorEastAsia" w:hAnsiTheme="minorHAnsi" w:cstheme="minorBidi"/>
            <w:noProof/>
            <w:sz w:val="22"/>
            <w:lang w:eastAsia="cs-CZ"/>
          </w:rPr>
          <w:tab/>
        </w:r>
        <w:r w:rsidR="00D4102B" w:rsidRPr="0047292F">
          <w:rPr>
            <w:rStyle w:val="Hypertextovodkaz"/>
            <w:noProof/>
          </w:rPr>
          <w:t>Přísedící soudu</w:t>
        </w:r>
        <w:r w:rsidR="00D4102B">
          <w:rPr>
            <w:noProof/>
            <w:webHidden/>
          </w:rPr>
          <w:tab/>
        </w:r>
        <w:r w:rsidR="00D4102B">
          <w:rPr>
            <w:noProof/>
            <w:webHidden/>
          </w:rPr>
          <w:fldChar w:fldCharType="begin"/>
        </w:r>
        <w:r w:rsidR="00D4102B">
          <w:rPr>
            <w:noProof/>
            <w:webHidden/>
          </w:rPr>
          <w:instrText xml:space="preserve"> PAGEREF _Toc144104337 \h </w:instrText>
        </w:r>
        <w:r w:rsidR="00D4102B">
          <w:rPr>
            <w:noProof/>
            <w:webHidden/>
          </w:rPr>
        </w:r>
        <w:r w:rsidR="00D4102B">
          <w:rPr>
            <w:noProof/>
            <w:webHidden/>
          </w:rPr>
          <w:fldChar w:fldCharType="separate"/>
        </w:r>
        <w:r w:rsidR="001E1A67">
          <w:rPr>
            <w:noProof/>
            <w:webHidden/>
          </w:rPr>
          <w:t>20</w:t>
        </w:r>
        <w:r w:rsidR="00D4102B">
          <w:rPr>
            <w:noProof/>
            <w:webHidden/>
          </w:rPr>
          <w:fldChar w:fldCharType="end"/>
        </w:r>
      </w:hyperlink>
    </w:p>
    <w:p w14:paraId="4506FE77" w14:textId="01FE3A60" w:rsidR="00D4102B" w:rsidRDefault="002734FA">
      <w:pPr>
        <w:pStyle w:val="Obsah2"/>
        <w:rPr>
          <w:rFonts w:asciiTheme="minorHAnsi" w:eastAsiaTheme="minorEastAsia" w:hAnsiTheme="minorHAnsi" w:cstheme="minorBidi"/>
          <w:sz w:val="22"/>
          <w:lang w:eastAsia="cs-CZ"/>
        </w:rPr>
      </w:pPr>
      <w:hyperlink w:anchor="_Toc144104338" w:history="1">
        <w:r w:rsidR="00D4102B" w:rsidRPr="0047292F">
          <w:rPr>
            <w:rStyle w:val="Hypertextovodkaz"/>
          </w:rPr>
          <w:t>2.2</w:t>
        </w:r>
        <w:r w:rsidR="00D4102B">
          <w:rPr>
            <w:rFonts w:asciiTheme="minorHAnsi" w:eastAsiaTheme="minorEastAsia" w:hAnsiTheme="minorHAnsi" w:cstheme="minorBidi"/>
            <w:sz w:val="22"/>
            <w:lang w:eastAsia="cs-CZ"/>
          </w:rPr>
          <w:tab/>
        </w:r>
        <w:r w:rsidR="00D4102B" w:rsidRPr="0047292F">
          <w:rPr>
            <w:rStyle w:val="Hypertextovodkaz"/>
          </w:rPr>
          <w:t>Civilní agenda</w:t>
        </w:r>
        <w:r w:rsidR="00D4102B">
          <w:rPr>
            <w:webHidden/>
          </w:rPr>
          <w:tab/>
        </w:r>
        <w:r w:rsidR="00D4102B">
          <w:rPr>
            <w:webHidden/>
          </w:rPr>
          <w:fldChar w:fldCharType="begin"/>
        </w:r>
        <w:r w:rsidR="00D4102B">
          <w:rPr>
            <w:webHidden/>
          </w:rPr>
          <w:instrText xml:space="preserve"> PAGEREF _Toc144104338 \h </w:instrText>
        </w:r>
        <w:r w:rsidR="00D4102B">
          <w:rPr>
            <w:webHidden/>
          </w:rPr>
        </w:r>
        <w:r w:rsidR="00D4102B">
          <w:rPr>
            <w:webHidden/>
          </w:rPr>
          <w:fldChar w:fldCharType="separate"/>
        </w:r>
        <w:r w:rsidR="001E1A67">
          <w:rPr>
            <w:webHidden/>
          </w:rPr>
          <w:t>22</w:t>
        </w:r>
        <w:r w:rsidR="00D4102B">
          <w:rPr>
            <w:webHidden/>
          </w:rPr>
          <w:fldChar w:fldCharType="end"/>
        </w:r>
      </w:hyperlink>
    </w:p>
    <w:p w14:paraId="385CE3FD" w14:textId="7E5E307D" w:rsidR="00D4102B" w:rsidRDefault="002734FA">
      <w:pPr>
        <w:pStyle w:val="Obsah3"/>
        <w:rPr>
          <w:rFonts w:asciiTheme="minorHAnsi" w:eastAsiaTheme="minorEastAsia" w:hAnsiTheme="minorHAnsi" w:cstheme="minorBidi"/>
          <w:noProof/>
          <w:sz w:val="22"/>
          <w:lang w:eastAsia="cs-CZ"/>
        </w:rPr>
      </w:pPr>
      <w:hyperlink w:anchor="_Toc144104339" w:history="1">
        <w:r w:rsidR="00D4102B" w:rsidRPr="0047292F">
          <w:rPr>
            <w:rStyle w:val="Hypertextovodkaz"/>
            <w:noProof/>
          </w:rPr>
          <w:t>2.2.1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_Toc144104339 \h </w:instrText>
        </w:r>
        <w:r w:rsidR="00D4102B">
          <w:rPr>
            <w:noProof/>
            <w:webHidden/>
          </w:rPr>
        </w:r>
        <w:r w:rsidR="00D4102B">
          <w:rPr>
            <w:noProof/>
            <w:webHidden/>
          </w:rPr>
          <w:fldChar w:fldCharType="separate"/>
        </w:r>
        <w:r w:rsidR="001E1A67">
          <w:rPr>
            <w:noProof/>
            <w:webHidden/>
          </w:rPr>
          <w:t>22</w:t>
        </w:r>
        <w:r w:rsidR="00D4102B">
          <w:rPr>
            <w:noProof/>
            <w:webHidden/>
          </w:rPr>
          <w:fldChar w:fldCharType="end"/>
        </w:r>
      </w:hyperlink>
    </w:p>
    <w:p w14:paraId="5EA322B2" w14:textId="3E7784D9" w:rsidR="00D4102B" w:rsidRDefault="002734FA">
      <w:pPr>
        <w:pStyle w:val="Obsah3"/>
        <w:rPr>
          <w:rFonts w:asciiTheme="minorHAnsi" w:eastAsiaTheme="minorEastAsia" w:hAnsiTheme="minorHAnsi" w:cstheme="minorBidi"/>
          <w:noProof/>
          <w:sz w:val="22"/>
          <w:lang w:eastAsia="cs-CZ"/>
        </w:rPr>
      </w:pPr>
      <w:hyperlink w:anchor="_Toc144104340" w:history="1">
        <w:r w:rsidR="00D4102B" w:rsidRPr="0047292F">
          <w:rPr>
            <w:rStyle w:val="Hypertextovodkaz"/>
            <w:noProof/>
          </w:rPr>
          <w:t>2.2.2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_Toc144104340 \h </w:instrText>
        </w:r>
        <w:r w:rsidR="00D4102B">
          <w:rPr>
            <w:noProof/>
            <w:webHidden/>
          </w:rPr>
        </w:r>
        <w:r w:rsidR="00D4102B">
          <w:rPr>
            <w:noProof/>
            <w:webHidden/>
          </w:rPr>
          <w:fldChar w:fldCharType="separate"/>
        </w:r>
        <w:r w:rsidR="001E1A67">
          <w:rPr>
            <w:noProof/>
            <w:webHidden/>
          </w:rPr>
          <w:t>26</w:t>
        </w:r>
        <w:r w:rsidR="00D4102B">
          <w:rPr>
            <w:noProof/>
            <w:webHidden/>
          </w:rPr>
          <w:fldChar w:fldCharType="end"/>
        </w:r>
      </w:hyperlink>
    </w:p>
    <w:p w14:paraId="3376F2F0" w14:textId="785C7F1F" w:rsidR="00D4102B" w:rsidRDefault="002734FA">
      <w:pPr>
        <w:pStyle w:val="Obsah3"/>
        <w:rPr>
          <w:rFonts w:asciiTheme="minorHAnsi" w:eastAsiaTheme="minorEastAsia" w:hAnsiTheme="minorHAnsi" w:cstheme="minorBidi"/>
          <w:noProof/>
          <w:sz w:val="22"/>
          <w:lang w:eastAsia="cs-CZ"/>
        </w:rPr>
      </w:pPr>
      <w:hyperlink w:anchor="_Toc144104341" w:history="1">
        <w:r w:rsidR="00D4102B" w:rsidRPr="0047292F">
          <w:rPr>
            <w:rStyle w:val="Hypertextovodkaz"/>
            <w:noProof/>
          </w:rPr>
          <w:t>2.2.3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 v přepočtu na soudce</w:t>
        </w:r>
        <w:r w:rsidR="00D4102B">
          <w:rPr>
            <w:noProof/>
            <w:webHidden/>
          </w:rPr>
          <w:tab/>
        </w:r>
        <w:r w:rsidR="00D4102B">
          <w:rPr>
            <w:noProof/>
            <w:webHidden/>
          </w:rPr>
          <w:fldChar w:fldCharType="begin"/>
        </w:r>
        <w:r w:rsidR="00D4102B">
          <w:rPr>
            <w:noProof/>
            <w:webHidden/>
          </w:rPr>
          <w:instrText xml:space="preserve"> PAGEREF _Toc144104341 \h </w:instrText>
        </w:r>
        <w:r w:rsidR="00D4102B">
          <w:rPr>
            <w:noProof/>
            <w:webHidden/>
          </w:rPr>
        </w:r>
        <w:r w:rsidR="00D4102B">
          <w:rPr>
            <w:noProof/>
            <w:webHidden/>
          </w:rPr>
          <w:fldChar w:fldCharType="separate"/>
        </w:r>
        <w:r w:rsidR="001E1A67">
          <w:rPr>
            <w:noProof/>
            <w:webHidden/>
          </w:rPr>
          <w:t>28</w:t>
        </w:r>
        <w:r w:rsidR="00D4102B">
          <w:rPr>
            <w:noProof/>
            <w:webHidden/>
          </w:rPr>
          <w:fldChar w:fldCharType="end"/>
        </w:r>
      </w:hyperlink>
    </w:p>
    <w:p w14:paraId="7552A6B8" w14:textId="1AB30B9E" w:rsidR="00D4102B" w:rsidRDefault="002734FA">
      <w:pPr>
        <w:pStyle w:val="Obsah3"/>
        <w:rPr>
          <w:rFonts w:asciiTheme="minorHAnsi" w:eastAsiaTheme="minorEastAsia" w:hAnsiTheme="minorHAnsi" w:cstheme="minorBidi"/>
          <w:noProof/>
          <w:sz w:val="22"/>
          <w:lang w:eastAsia="cs-CZ"/>
        </w:rPr>
      </w:pPr>
      <w:hyperlink w:anchor="_Toc144104342" w:history="1">
        <w:r w:rsidR="00D4102B" w:rsidRPr="0047292F">
          <w:rPr>
            <w:rStyle w:val="Hypertextovodkaz"/>
            <w:noProof/>
          </w:rPr>
          <w:t>2.2.4</w:t>
        </w:r>
        <w:r w:rsidR="00D4102B">
          <w:rPr>
            <w:rFonts w:asciiTheme="minorHAnsi" w:eastAsiaTheme="minorEastAsia" w:hAnsiTheme="minorHAnsi" w:cstheme="minorBidi"/>
            <w:noProof/>
            <w:sz w:val="22"/>
            <w:lang w:eastAsia="cs-CZ"/>
          </w:rPr>
          <w:tab/>
        </w:r>
        <w:r w:rsidR="00D4102B" w:rsidRPr="0047292F">
          <w:rPr>
            <w:rStyle w:val="Hypertextovodkaz"/>
            <w:noProof/>
          </w:rPr>
          <w:t>Disposition time (dispoziční čas)</w:t>
        </w:r>
        <w:r w:rsidR="00D4102B">
          <w:rPr>
            <w:noProof/>
            <w:webHidden/>
          </w:rPr>
          <w:tab/>
        </w:r>
        <w:r w:rsidR="00D4102B">
          <w:rPr>
            <w:noProof/>
            <w:webHidden/>
          </w:rPr>
          <w:fldChar w:fldCharType="begin"/>
        </w:r>
        <w:r w:rsidR="00D4102B">
          <w:rPr>
            <w:noProof/>
            <w:webHidden/>
          </w:rPr>
          <w:instrText xml:space="preserve"> PAGEREF _Toc144104342 \h </w:instrText>
        </w:r>
        <w:r w:rsidR="00D4102B">
          <w:rPr>
            <w:noProof/>
            <w:webHidden/>
          </w:rPr>
        </w:r>
        <w:r w:rsidR="00D4102B">
          <w:rPr>
            <w:noProof/>
            <w:webHidden/>
          </w:rPr>
          <w:fldChar w:fldCharType="separate"/>
        </w:r>
        <w:r w:rsidR="001E1A67">
          <w:rPr>
            <w:noProof/>
            <w:webHidden/>
          </w:rPr>
          <w:t>30</w:t>
        </w:r>
        <w:r w:rsidR="00D4102B">
          <w:rPr>
            <w:noProof/>
            <w:webHidden/>
          </w:rPr>
          <w:fldChar w:fldCharType="end"/>
        </w:r>
      </w:hyperlink>
    </w:p>
    <w:p w14:paraId="7ED2D042" w14:textId="3A82AD16" w:rsidR="00D4102B" w:rsidRDefault="002734FA">
      <w:pPr>
        <w:pStyle w:val="Obsah3"/>
        <w:rPr>
          <w:rFonts w:asciiTheme="minorHAnsi" w:eastAsiaTheme="minorEastAsia" w:hAnsiTheme="minorHAnsi" w:cstheme="minorBidi"/>
          <w:noProof/>
          <w:sz w:val="22"/>
          <w:lang w:eastAsia="cs-CZ"/>
        </w:rPr>
      </w:pPr>
      <w:hyperlink w:anchor="_Toc144104343" w:history="1">
        <w:r w:rsidR="00D4102B" w:rsidRPr="0047292F">
          <w:rPr>
            <w:rStyle w:val="Hypertextovodkaz"/>
            <w:noProof/>
          </w:rPr>
          <w:t>2.2.5</w:t>
        </w:r>
        <w:r w:rsidR="00D4102B">
          <w:rPr>
            <w:rFonts w:asciiTheme="minorHAnsi" w:eastAsiaTheme="minorEastAsia" w:hAnsiTheme="minorHAnsi" w:cstheme="minorBidi"/>
            <w:noProof/>
            <w:sz w:val="22"/>
            <w:lang w:eastAsia="cs-CZ"/>
          </w:rPr>
          <w:tab/>
        </w:r>
        <w:r w:rsidR="00D4102B" w:rsidRPr="0047292F">
          <w:rPr>
            <w:rStyle w:val="Hypertextovodkaz"/>
            <w:noProof/>
          </w:rPr>
          <w:t>Další statistiky</w:t>
        </w:r>
        <w:r w:rsidR="00D4102B">
          <w:rPr>
            <w:noProof/>
            <w:webHidden/>
          </w:rPr>
          <w:tab/>
        </w:r>
        <w:r w:rsidR="00D4102B">
          <w:rPr>
            <w:noProof/>
            <w:webHidden/>
          </w:rPr>
          <w:fldChar w:fldCharType="begin"/>
        </w:r>
        <w:r w:rsidR="00D4102B">
          <w:rPr>
            <w:noProof/>
            <w:webHidden/>
          </w:rPr>
          <w:instrText xml:space="preserve"> PAGEREF _Toc144104343 \h </w:instrText>
        </w:r>
        <w:r w:rsidR="00D4102B">
          <w:rPr>
            <w:noProof/>
            <w:webHidden/>
          </w:rPr>
        </w:r>
        <w:r w:rsidR="00D4102B">
          <w:rPr>
            <w:noProof/>
            <w:webHidden/>
          </w:rPr>
          <w:fldChar w:fldCharType="separate"/>
        </w:r>
        <w:r w:rsidR="001E1A67">
          <w:rPr>
            <w:noProof/>
            <w:webHidden/>
          </w:rPr>
          <w:t>33</w:t>
        </w:r>
        <w:r w:rsidR="00D4102B">
          <w:rPr>
            <w:noProof/>
            <w:webHidden/>
          </w:rPr>
          <w:fldChar w:fldCharType="end"/>
        </w:r>
      </w:hyperlink>
    </w:p>
    <w:p w14:paraId="788C7812" w14:textId="5453921C" w:rsidR="00D4102B" w:rsidRDefault="002734FA">
      <w:pPr>
        <w:pStyle w:val="Obsah2"/>
        <w:rPr>
          <w:rFonts w:asciiTheme="minorHAnsi" w:eastAsiaTheme="minorEastAsia" w:hAnsiTheme="minorHAnsi" w:cstheme="minorBidi"/>
          <w:sz w:val="22"/>
          <w:lang w:eastAsia="cs-CZ"/>
        </w:rPr>
      </w:pPr>
      <w:hyperlink w:anchor="_Toc144104344" w:history="1">
        <w:r w:rsidR="00D4102B" w:rsidRPr="0047292F">
          <w:rPr>
            <w:rStyle w:val="Hypertextovodkaz"/>
          </w:rPr>
          <w:t>2.3</w:t>
        </w:r>
        <w:r w:rsidR="00D4102B">
          <w:rPr>
            <w:rFonts w:asciiTheme="minorHAnsi" w:eastAsiaTheme="minorEastAsia" w:hAnsiTheme="minorHAnsi" w:cstheme="minorBidi"/>
            <w:sz w:val="22"/>
            <w:lang w:eastAsia="cs-CZ"/>
          </w:rPr>
          <w:tab/>
        </w:r>
        <w:r w:rsidR="00D4102B" w:rsidRPr="0047292F">
          <w:rPr>
            <w:rStyle w:val="Hypertextovodkaz"/>
          </w:rPr>
          <w:t>Civilní agenda – elektronické rozkazní řízení</w:t>
        </w:r>
        <w:r w:rsidR="00D4102B">
          <w:rPr>
            <w:webHidden/>
          </w:rPr>
          <w:tab/>
        </w:r>
        <w:r w:rsidR="00D4102B">
          <w:rPr>
            <w:webHidden/>
          </w:rPr>
          <w:fldChar w:fldCharType="begin"/>
        </w:r>
        <w:r w:rsidR="00D4102B">
          <w:rPr>
            <w:webHidden/>
          </w:rPr>
          <w:instrText xml:space="preserve"> PAGEREF _Toc144104344 \h </w:instrText>
        </w:r>
        <w:r w:rsidR="00D4102B">
          <w:rPr>
            <w:webHidden/>
          </w:rPr>
        </w:r>
        <w:r w:rsidR="00D4102B">
          <w:rPr>
            <w:webHidden/>
          </w:rPr>
          <w:fldChar w:fldCharType="separate"/>
        </w:r>
        <w:r w:rsidR="001E1A67">
          <w:rPr>
            <w:webHidden/>
          </w:rPr>
          <w:t>38</w:t>
        </w:r>
        <w:r w:rsidR="00D4102B">
          <w:rPr>
            <w:webHidden/>
          </w:rPr>
          <w:fldChar w:fldCharType="end"/>
        </w:r>
      </w:hyperlink>
    </w:p>
    <w:p w14:paraId="3FE753BC" w14:textId="4DF2A852" w:rsidR="00D4102B" w:rsidRDefault="002734FA">
      <w:pPr>
        <w:pStyle w:val="Obsah3"/>
        <w:rPr>
          <w:rFonts w:asciiTheme="minorHAnsi" w:eastAsiaTheme="minorEastAsia" w:hAnsiTheme="minorHAnsi" w:cstheme="minorBidi"/>
          <w:noProof/>
          <w:sz w:val="22"/>
          <w:lang w:eastAsia="cs-CZ"/>
        </w:rPr>
      </w:pPr>
      <w:hyperlink w:anchor="_Toc144104345" w:history="1">
        <w:r w:rsidR="00D4102B" w:rsidRPr="0047292F">
          <w:rPr>
            <w:rStyle w:val="Hypertextovodkaz"/>
            <w:noProof/>
          </w:rPr>
          <w:t>2.3.1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_Toc144104345 \h </w:instrText>
        </w:r>
        <w:r w:rsidR="00D4102B">
          <w:rPr>
            <w:noProof/>
            <w:webHidden/>
          </w:rPr>
        </w:r>
        <w:r w:rsidR="00D4102B">
          <w:rPr>
            <w:noProof/>
            <w:webHidden/>
          </w:rPr>
          <w:fldChar w:fldCharType="separate"/>
        </w:r>
        <w:r w:rsidR="001E1A67">
          <w:rPr>
            <w:noProof/>
            <w:webHidden/>
          </w:rPr>
          <w:t>38</w:t>
        </w:r>
        <w:r w:rsidR="00D4102B">
          <w:rPr>
            <w:noProof/>
            <w:webHidden/>
          </w:rPr>
          <w:fldChar w:fldCharType="end"/>
        </w:r>
      </w:hyperlink>
    </w:p>
    <w:p w14:paraId="28841D41" w14:textId="638488F0" w:rsidR="00D4102B" w:rsidRDefault="002734FA">
      <w:pPr>
        <w:pStyle w:val="Obsah3"/>
        <w:rPr>
          <w:rFonts w:asciiTheme="minorHAnsi" w:eastAsiaTheme="minorEastAsia" w:hAnsiTheme="minorHAnsi" w:cstheme="minorBidi"/>
          <w:noProof/>
          <w:sz w:val="22"/>
          <w:lang w:eastAsia="cs-CZ"/>
        </w:rPr>
      </w:pPr>
      <w:hyperlink w:anchor="_Toc144104346" w:history="1">
        <w:r w:rsidR="00D4102B" w:rsidRPr="0047292F">
          <w:rPr>
            <w:rStyle w:val="Hypertextovodkaz"/>
            <w:noProof/>
          </w:rPr>
          <w:t>2.3.2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_Toc144104346 \h </w:instrText>
        </w:r>
        <w:r w:rsidR="00D4102B">
          <w:rPr>
            <w:noProof/>
            <w:webHidden/>
          </w:rPr>
        </w:r>
        <w:r w:rsidR="00D4102B">
          <w:rPr>
            <w:noProof/>
            <w:webHidden/>
          </w:rPr>
          <w:fldChar w:fldCharType="separate"/>
        </w:r>
        <w:r w:rsidR="001E1A67">
          <w:rPr>
            <w:noProof/>
            <w:webHidden/>
          </w:rPr>
          <w:t>40</w:t>
        </w:r>
        <w:r w:rsidR="00D4102B">
          <w:rPr>
            <w:noProof/>
            <w:webHidden/>
          </w:rPr>
          <w:fldChar w:fldCharType="end"/>
        </w:r>
      </w:hyperlink>
    </w:p>
    <w:p w14:paraId="6F6304CD" w14:textId="319F2CAD" w:rsidR="00D4102B" w:rsidRDefault="002734FA">
      <w:pPr>
        <w:pStyle w:val="Obsah3"/>
        <w:rPr>
          <w:rFonts w:asciiTheme="minorHAnsi" w:eastAsiaTheme="minorEastAsia" w:hAnsiTheme="minorHAnsi" w:cstheme="minorBidi"/>
          <w:noProof/>
          <w:sz w:val="22"/>
          <w:lang w:eastAsia="cs-CZ"/>
        </w:rPr>
      </w:pPr>
      <w:hyperlink w:anchor="_Toc144104347" w:history="1">
        <w:r w:rsidR="00D4102B" w:rsidRPr="0047292F">
          <w:rPr>
            <w:rStyle w:val="Hypertextovodkaz"/>
            <w:noProof/>
          </w:rPr>
          <w:t>2.3.3</w:t>
        </w:r>
        <w:r w:rsidR="00D4102B">
          <w:rPr>
            <w:rFonts w:asciiTheme="minorHAnsi" w:eastAsiaTheme="minorEastAsia" w:hAnsiTheme="minorHAnsi" w:cstheme="minorBidi"/>
            <w:noProof/>
            <w:sz w:val="22"/>
            <w:lang w:eastAsia="cs-CZ"/>
          </w:rPr>
          <w:tab/>
        </w:r>
        <w:r w:rsidR="00D4102B" w:rsidRPr="0047292F">
          <w:rPr>
            <w:rStyle w:val="Hypertextovodkaz"/>
            <w:noProof/>
          </w:rPr>
          <w:t>Další statistiky</w:t>
        </w:r>
        <w:r w:rsidR="00D4102B">
          <w:rPr>
            <w:noProof/>
            <w:webHidden/>
          </w:rPr>
          <w:tab/>
        </w:r>
        <w:r w:rsidR="00D4102B">
          <w:rPr>
            <w:noProof/>
            <w:webHidden/>
          </w:rPr>
          <w:fldChar w:fldCharType="begin"/>
        </w:r>
        <w:r w:rsidR="00D4102B">
          <w:rPr>
            <w:noProof/>
            <w:webHidden/>
          </w:rPr>
          <w:instrText xml:space="preserve"> PAGEREF _Toc144104347 \h </w:instrText>
        </w:r>
        <w:r w:rsidR="00D4102B">
          <w:rPr>
            <w:noProof/>
            <w:webHidden/>
          </w:rPr>
        </w:r>
        <w:r w:rsidR="00D4102B">
          <w:rPr>
            <w:noProof/>
            <w:webHidden/>
          </w:rPr>
          <w:fldChar w:fldCharType="separate"/>
        </w:r>
        <w:r w:rsidR="001E1A67">
          <w:rPr>
            <w:noProof/>
            <w:webHidden/>
          </w:rPr>
          <w:t>41</w:t>
        </w:r>
        <w:r w:rsidR="00D4102B">
          <w:rPr>
            <w:noProof/>
            <w:webHidden/>
          </w:rPr>
          <w:fldChar w:fldCharType="end"/>
        </w:r>
      </w:hyperlink>
    </w:p>
    <w:p w14:paraId="44BC2389" w14:textId="06F42D2A" w:rsidR="00D4102B" w:rsidRDefault="002734FA">
      <w:pPr>
        <w:pStyle w:val="Obsah2"/>
        <w:rPr>
          <w:rFonts w:asciiTheme="minorHAnsi" w:eastAsiaTheme="minorEastAsia" w:hAnsiTheme="minorHAnsi" w:cstheme="minorBidi"/>
          <w:sz w:val="22"/>
          <w:lang w:eastAsia="cs-CZ"/>
        </w:rPr>
      </w:pPr>
      <w:hyperlink w:anchor="_Toc144104348" w:history="1">
        <w:r w:rsidR="00D4102B" w:rsidRPr="0047292F">
          <w:rPr>
            <w:rStyle w:val="Hypertextovodkaz"/>
          </w:rPr>
          <w:t>2.4</w:t>
        </w:r>
        <w:r w:rsidR="00D4102B">
          <w:rPr>
            <w:rFonts w:asciiTheme="minorHAnsi" w:eastAsiaTheme="minorEastAsia" w:hAnsiTheme="minorHAnsi" w:cstheme="minorBidi"/>
            <w:sz w:val="22"/>
            <w:lang w:eastAsia="cs-CZ"/>
          </w:rPr>
          <w:tab/>
        </w:r>
        <w:r w:rsidR="00D4102B" w:rsidRPr="0047292F">
          <w:rPr>
            <w:rStyle w:val="Hypertextovodkaz"/>
          </w:rPr>
          <w:t>Trestní agenda</w:t>
        </w:r>
        <w:r w:rsidR="00D4102B">
          <w:rPr>
            <w:webHidden/>
          </w:rPr>
          <w:tab/>
        </w:r>
        <w:r w:rsidR="00D4102B">
          <w:rPr>
            <w:webHidden/>
          </w:rPr>
          <w:fldChar w:fldCharType="begin"/>
        </w:r>
        <w:r w:rsidR="00D4102B">
          <w:rPr>
            <w:webHidden/>
          </w:rPr>
          <w:instrText xml:space="preserve"> PAGEREF _Toc144104348 \h </w:instrText>
        </w:r>
        <w:r w:rsidR="00D4102B">
          <w:rPr>
            <w:webHidden/>
          </w:rPr>
        </w:r>
        <w:r w:rsidR="00D4102B">
          <w:rPr>
            <w:webHidden/>
          </w:rPr>
          <w:fldChar w:fldCharType="separate"/>
        </w:r>
        <w:r w:rsidR="001E1A67">
          <w:rPr>
            <w:webHidden/>
          </w:rPr>
          <w:t>43</w:t>
        </w:r>
        <w:r w:rsidR="00D4102B">
          <w:rPr>
            <w:webHidden/>
          </w:rPr>
          <w:fldChar w:fldCharType="end"/>
        </w:r>
      </w:hyperlink>
    </w:p>
    <w:p w14:paraId="00AC0A60" w14:textId="124BC69C" w:rsidR="00D4102B" w:rsidRDefault="002734FA">
      <w:pPr>
        <w:pStyle w:val="Obsah3"/>
        <w:rPr>
          <w:rFonts w:asciiTheme="minorHAnsi" w:eastAsiaTheme="minorEastAsia" w:hAnsiTheme="minorHAnsi" w:cstheme="minorBidi"/>
          <w:noProof/>
          <w:sz w:val="22"/>
          <w:lang w:eastAsia="cs-CZ"/>
        </w:rPr>
      </w:pPr>
      <w:hyperlink w:anchor="_Toc144104349" w:history="1">
        <w:r w:rsidR="00D4102B" w:rsidRPr="0047292F">
          <w:rPr>
            <w:rStyle w:val="Hypertextovodkaz"/>
            <w:noProof/>
          </w:rPr>
          <w:t>2.4.1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_Toc144104349 \h </w:instrText>
        </w:r>
        <w:r w:rsidR="00D4102B">
          <w:rPr>
            <w:noProof/>
            <w:webHidden/>
          </w:rPr>
        </w:r>
        <w:r w:rsidR="00D4102B">
          <w:rPr>
            <w:noProof/>
            <w:webHidden/>
          </w:rPr>
          <w:fldChar w:fldCharType="separate"/>
        </w:r>
        <w:r w:rsidR="001E1A67">
          <w:rPr>
            <w:noProof/>
            <w:webHidden/>
          </w:rPr>
          <w:t>43</w:t>
        </w:r>
        <w:r w:rsidR="00D4102B">
          <w:rPr>
            <w:noProof/>
            <w:webHidden/>
          </w:rPr>
          <w:fldChar w:fldCharType="end"/>
        </w:r>
      </w:hyperlink>
    </w:p>
    <w:p w14:paraId="6316C2EA" w14:textId="594B4F10" w:rsidR="00D4102B" w:rsidRDefault="002734FA">
      <w:pPr>
        <w:pStyle w:val="Obsah3"/>
        <w:rPr>
          <w:rFonts w:asciiTheme="minorHAnsi" w:eastAsiaTheme="minorEastAsia" w:hAnsiTheme="minorHAnsi" w:cstheme="minorBidi"/>
          <w:noProof/>
          <w:sz w:val="22"/>
          <w:lang w:eastAsia="cs-CZ"/>
        </w:rPr>
      </w:pPr>
      <w:hyperlink w:anchor="_Toc144104350" w:history="1">
        <w:r w:rsidR="00D4102B" w:rsidRPr="0047292F">
          <w:rPr>
            <w:rStyle w:val="Hypertextovodkaz"/>
            <w:noProof/>
          </w:rPr>
          <w:t>2.4.2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_Toc144104350 \h </w:instrText>
        </w:r>
        <w:r w:rsidR="00D4102B">
          <w:rPr>
            <w:noProof/>
            <w:webHidden/>
          </w:rPr>
        </w:r>
        <w:r w:rsidR="00D4102B">
          <w:rPr>
            <w:noProof/>
            <w:webHidden/>
          </w:rPr>
          <w:fldChar w:fldCharType="separate"/>
        </w:r>
        <w:r w:rsidR="001E1A67">
          <w:rPr>
            <w:noProof/>
            <w:webHidden/>
          </w:rPr>
          <w:t>47</w:t>
        </w:r>
        <w:r w:rsidR="00D4102B">
          <w:rPr>
            <w:noProof/>
            <w:webHidden/>
          </w:rPr>
          <w:fldChar w:fldCharType="end"/>
        </w:r>
      </w:hyperlink>
    </w:p>
    <w:p w14:paraId="7B407421" w14:textId="5CED6867" w:rsidR="00D4102B" w:rsidRDefault="002734FA">
      <w:pPr>
        <w:pStyle w:val="Obsah3"/>
        <w:rPr>
          <w:rFonts w:asciiTheme="minorHAnsi" w:eastAsiaTheme="minorEastAsia" w:hAnsiTheme="minorHAnsi" w:cstheme="minorBidi"/>
          <w:noProof/>
          <w:sz w:val="22"/>
          <w:lang w:eastAsia="cs-CZ"/>
        </w:rPr>
      </w:pPr>
      <w:hyperlink w:anchor="_Toc144104351" w:history="1">
        <w:r w:rsidR="00D4102B" w:rsidRPr="0047292F">
          <w:rPr>
            <w:rStyle w:val="Hypertextovodkaz"/>
            <w:noProof/>
          </w:rPr>
          <w:t>2.4.3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 v přepočtu na soudce</w:t>
        </w:r>
        <w:r w:rsidR="00D4102B">
          <w:rPr>
            <w:noProof/>
            <w:webHidden/>
          </w:rPr>
          <w:tab/>
        </w:r>
        <w:r w:rsidR="00D4102B">
          <w:rPr>
            <w:noProof/>
            <w:webHidden/>
          </w:rPr>
          <w:fldChar w:fldCharType="begin"/>
        </w:r>
        <w:r w:rsidR="00D4102B">
          <w:rPr>
            <w:noProof/>
            <w:webHidden/>
          </w:rPr>
          <w:instrText xml:space="preserve"> PAGEREF _Toc144104351 \h </w:instrText>
        </w:r>
        <w:r w:rsidR="00D4102B">
          <w:rPr>
            <w:noProof/>
            <w:webHidden/>
          </w:rPr>
        </w:r>
        <w:r w:rsidR="00D4102B">
          <w:rPr>
            <w:noProof/>
            <w:webHidden/>
          </w:rPr>
          <w:fldChar w:fldCharType="separate"/>
        </w:r>
        <w:r w:rsidR="001E1A67">
          <w:rPr>
            <w:noProof/>
            <w:webHidden/>
          </w:rPr>
          <w:t>48</w:t>
        </w:r>
        <w:r w:rsidR="00D4102B">
          <w:rPr>
            <w:noProof/>
            <w:webHidden/>
          </w:rPr>
          <w:fldChar w:fldCharType="end"/>
        </w:r>
      </w:hyperlink>
    </w:p>
    <w:p w14:paraId="72B41B95" w14:textId="7C649701" w:rsidR="00D4102B" w:rsidRDefault="002734FA">
      <w:pPr>
        <w:pStyle w:val="Obsah3"/>
        <w:rPr>
          <w:rFonts w:asciiTheme="minorHAnsi" w:eastAsiaTheme="minorEastAsia" w:hAnsiTheme="minorHAnsi" w:cstheme="minorBidi"/>
          <w:noProof/>
          <w:sz w:val="22"/>
          <w:lang w:eastAsia="cs-CZ"/>
        </w:rPr>
      </w:pPr>
      <w:hyperlink w:anchor="_Toc144104352" w:history="1">
        <w:r w:rsidR="00D4102B" w:rsidRPr="0047292F">
          <w:rPr>
            <w:rStyle w:val="Hypertextovodkaz"/>
            <w:noProof/>
          </w:rPr>
          <w:t>2.4.4</w:t>
        </w:r>
        <w:r w:rsidR="00D4102B">
          <w:rPr>
            <w:rFonts w:asciiTheme="minorHAnsi" w:eastAsiaTheme="minorEastAsia" w:hAnsiTheme="minorHAnsi" w:cstheme="minorBidi"/>
            <w:noProof/>
            <w:sz w:val="22"/>
            <w:lang w:eastAsia="cs-CZ"/>
          </w:rPr>
          <w:tab/>
        </w:r>
        <w:r w:rsidR="00D4102B" w:rsidRPr="0047292F">
          <w:rPr>
            <w:rStyle w:val="Hypertextovodkaz"/>
            <w:noProof/>
          </w:rPr>
          <w:t>Disposition time (dispoziční čas)</w:t>
        </w:r>
        <w:r w:rsidR="00D4102B">
          <w:rPr>
            <w:noProof/>
            <w:webHidden/>
          </w:rPr>
          <w:tab/>
        </w:r>
        <w:r w:rsidR="00D4102B">
          <w:rPr>
            <w:noProof/>
            <w:webHidden/>
          </w:rPr>
          <w:fldChar w:fldCharType="begin"/>
        </w:r>
        <w:r w:rsidR="00D4102B">
          <w:rPr>
            <w:noProof/>
            <w:webHidden/>
          </w:rPr>
          <w:instrText xml:space="preserve"> PAGEREF _Toc144104352 \h </w:instrText>
        </w:r>
        <w:r w:rsidR="00D4102B">
          <w:rPr>
            <w:noProof/>
            <w:webHidden/>
          </w:rPr>
        </w:r>
        <w:r w:rsidR="00D4102B">
          <w:rPr>
            <w:noProof/>
            <w:webHidden/>
          </w:rPr>
          <w:fldChar w:fldCharType="separate"/>
        </w:r>
        <w:r w:rsidR="001E1A67">
          <w:rPr>
            <w:noProof/>
            <w:webHidden/>
          </w:rPr>
          <w:t>49</w:t>
        </w:r>
        <w:r w:rsidR="00D4102B">
          <w:rPr>
            <w:noProof/>
            <w:webHidden/>
          </w:rPr>
          <w:fldChar w:fldCharType="end"/>
        </w:r>
      </w:hyperlink>
    </w:p>
    <w:p w14:paraId="02931E3D" w14:textId="7BDA5436" w:rsidR="00D4102B" w:rsidRDefault="002734FA">
      <w:pPr>
        <w:pStyle w:val="Obsah3"/>
        <w:rPr>
          <w:rFonts w:asciiTheme="minorHAnsi" w:eastAsiaTheme="minorEastAsia" w:hAnsiTheme="minorHAnsi" w:cstheme="minorBidi"/>
          <w:noProof/>
          <w:sz w:val="22"/>
          <w:lang w:eastAsia="cs-CZ"/>
        </w:rPr>
      </w:pPr>
      <w:hyperlink w:anchor="_Toc144104353" w:history="1">
        <w:r w:rsidR="00D4102B" w:rsidRPr="0047292F">
          <w:rPr>
            <w:rStyle w:val="Hypertextovodkaz"/>
            <w:noProof/>
          </w:rPr>
          <w:t>2.4.5</w:t>
        </w:r>
        <w:r w:rsidR="00D4102B">
          <w:rPr>
            <w:rFonts w:asciiTheme="minorHAnsi" w:eastAsiaTheme="minorEastAsia" w:hAnsiTheme="minorHAnsi" w:cstheme="minorBidi"/>
            <w:noProof/>
            <w:sz w:val="22"/>
            <w:lang w:eastAsia="cs-CZ"/>
          </w:rPr>
          <w:tab/>
        </w:r>
        <w:r w:rsidR="00D4102B" w:rsidRPr="0047292F">
          <w:rPr>
            <w:rStyle w:val="Hypertextovodkaz"/>
            <w:noProof/>
          </w:rPr>
          <w:t>Další statistiky</w:t>
        </w:r>
        <w:r w:rsidR="00D4102B">
          <w:rPr>
            <w:noProof/>
            <w:webHidden/>
          </w:rPr>
          <w:tab/>
        </w:r>
        <w:r w:rsidR="00D4102B">
          <w:rPr>
            <w:noProof/>
            <w:webHidden/>
          </w:rPr>
          <w:fldChar w:fldCharType="begin"/>
        </w:r>
        <w:r w:rsidR="00D4102B">
          <w:rPr>
            <w:noProof/>
            <w:webHidden/>
          </w:rPr>
          <w:instrText xml:space="preserve"> PAGEREF _Toc144104353 \h </w:instrText>
        </w:r>
        <w:r w:rsidR="00D4102B">
          <w:rPr>
            <w:noProof/>
            <w:webHidden/>
          </w:rPr>
        </w:r>
        <w:r w:rsidR="00D4102B">
          <w:rPr>
            <w:noProof/>
            <w:webHidden/>
          </w:rPr>
          <w:fldChar w:fldCharType="separate"/>
        </w:r>
        <w:r w:rsidR="001E1A67">
          <w:rPr>
            <w:noProof/>
            <w:webHidden/>
          </w:rPr>
          <w:t>52</w:t>
        </w:r>
        <w:r w:rsidR="00D4102B">
          <w:rPr>
            <w:noProof/>
            <w:webHidden/>
          </w:rPr>
          <w:fldChar w:fldCharType="end"/>
        </w:r>
      </w:hyperlink>
    </w:p>
    <w:p w14:paraId="60FBCE6B" w14:textId="2B1D56BA" w:rsidR="00D4102B" w:rsidRDefault="002734FA">
      <w:pPr>
        <w:pStyle w:val="Obsah2"/>
        <w:rPr>
          <w:rFonts w:asciiTheme="minorHAnsi" w:eastAsiaTheme="minorEastAsia" w:hAnsiTheme="minorHAnsi" w:cstheme="minorBidi"/>
          <w:sz w:val="22"/>
          <w:lang w:eastAsia="cs-CZ"/>
        </w:rPr>
      </w:pPr>
      <w:hyperlink w:anchor="_Toc144104354" w:history="1">
        <w:r w:rsidR="00D4102B" w:rsidRPr="0047292F">
          <w:rPr>
            <w:rStyle w:val="Hypertextovodkaz"/>
          </w:rPr>
          <w:t>2.5</w:t>
        </w:r>
        <w:r w:rsidR="00D4102B">
          <w:rPr>
            <w:rFonts w:asciiTheme="minorHAnsi" w:eastAsiaTheme="minorEastAsia" w:hAnsiTheme="minorHAnsi" w:cstheme="minorBidi"/>
            <w:sz w:val="22"/>
            <w:lang w:eastAsia="cs-CZ"/>
          </w:rPr>
          <w:tab/>
        </w:r>
        <w:r w:rsidR="00D4102B" w:rsidRPr="0047292F">
          <w:rPr>
            <w:rStyle w:val="Hypertextovodkaz"/>
          </w:rPr>
          <w:t>Opatrovnická agenda</w:t>
        </w:r>
        <w:r w:rsidR="00D4102B">
          <w:rPr>
            <w:webHidden/>
          </w:rPr>
          <w:tab/>
        </w:r>
        <w:r w:rsidR="00D4102B">
          <w:rPr>
            <w:webHidden/>
          </w:rPr>
          <w:fldChar w:fldCharType="begin"/>
        </w:r>
        <w:r w:rsidR="00D4102B">
          <w:rPr>
            <w:webHidden/>
          </w:rPr>
          <w:instrText xml:space="preserve"> PAGEREF _Toc144104354 \h </w:instrText>
        </w:r>
        <w:r w:rsidR="00D4102B">
          <w:rPr>
            <w:webHidden/>
          </w:rPr>
        </w:r>
        <w:r w:rsidR="00D4102B">
          <w:rPr>
            <w:webHidden/>
          </w:rPr>
          <w:fldChar w:fldCharType="separate"/>
        </w:r>
        <w:r w:rsidR="001E1A67">
          <w:rPr>
            <w:webHidden/>
          </w:rPr>
          <w:t>59</w:t>
        </w:r>
        <w:r w:rsidR="00D4102B">
          <w:rPr>
            <w:webHidden/>
          </w:rPr>
          <w:fldChar w:fldCharType="end"/>
        </w:r>
      </w:hyperlink>
    </w:p>
    <w:p w14:paraId="372ACAEC" w14:textId="309C830E" w:rsidR="00D4102B" w:rsidRDefault="002734FA">
      <w:pPr>
        <w:pStyle w:val="Obsah3"/>
        <w:rPr>
          <w:rFonts w:asciiTheme="minorHAnsi" w:eastAsiaTheme="minorEastAsia" w:hAnsiTheme="minorHAnsi" w:cstheme="minorBidi"/>
          <w:noProof/>
          <w:sz w:val="22"/>
          <w:lang w:eastAsia="cs-CZ"/>
        </w:rPr>
      </w:pPr>
      <w:hyperlink w:anchor="_Toc144104355" w:history="1">
        <w:r w:rsidR="00D4102B" w:rsidRPr="0047292F">
          <w:rPr>
            <w:rStyle w:val="Hypertextovodkaz"/>
            <w:noProof/>
          </w:rPr>
          <w:t>2.5.1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_Toc144104355 \h </w:instrText>
        </w:r>
        <w:r w:rsidR="00D4102B">
          <w:rPr>
            <w:noProof/>
            <w:webHidden/>
          </w:rPr>
        </w:r>
        <w:r w:rsidR="00D4102B">
          <w:rPr>
            <w:noProof/>
            <w:webHidden/>
          </w:rPr>
          <w:fldChar w:fldCharType="separate"/>
        </w:r>
        <w:r w:rsidR="001E1A67">
          <w:rPr>
            <w:noProof/>
            <w:webHidden/>
          </w:rPr>
          <w:t>59</w:t>
        </w:r>
        <w:r w:rsidR="00D4102B">
          <w:rPr>
            <w:noProof/>
            <w:webHidden/>
          </w:rPr>
          <w:fldChar w:fldCharType="end"/>
        </w:r>
      </w:hyperlink>
    </w:p>
    <w:p w14:paraId="7FB7875D" w14:textId="18E84005" w:rsidR="00D4102B" w:rsidRDefault="002734FA">
      <w:pPr>
        <w:pStyle w:val="Obsah3"/>
        <w:rPr>
          <w:rFonts w:asciiTheme="minorHAnsi" w:eastAsiaTheme="minorEastAsia" w:hAnsiTheme="minorHAnsi" w:cstheme="minorBidi"/>
          <w:noProof/>
          <w:sz w:val="22"/>
          <w:lang w:eastAsia="cs-CZ"/>
        </w:rPr>
      </w:pPr>
      <w:hyperlink w:anchor="_Toc144104356" w:history="1">
        <w:r w:rsidR="00D4102B" w:rsidRPr="0047292F">
          <w:rPr>
            <w:rStyle w:val="Hypertextovodkaz"/>
            <w:noProof/>
          </w:rPr>
          <w:t>2.5.2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_Toc144104356 \h </w:instrText>
        </w:r>
        <w:r w:rsidR="00D4102B">
          <w:rPr>
            <w:noProof/>
            <w:webHidden/>
          </w:rPr>
        </w:r>
        <w:r w:rsidR="00D4102B">
          <w:rPr>
            <w:noProof/>
            <w:webHidden/>
          </w:rPr>
          <w:fldChar w:fldCharType="separate"/>
        </w:r>
        <w:r w:rsidR="001E1A67">
          <w:rPr>
            <w:noProof/>
            <w:webHidden/>
          </w:rPr>
          <w:t>63</w:t>
        </w:r>
        <w:r w:rsidR="00D4102B">
          <w:rPr>
            <w:noProof/>
            <w:webHidden/>
          </w:rPr>
          <w:fldChar w:fldCharType="end"/>
        </w:r>
      </w:hyperlink>
    </w:p>
    <w:p w14:paraId="3ED0ED80" w14:textId="333F9A93" w:rsidR="00D4102B" w:rsidRDefault="002734FA">
      <w:pPr>
        <w:pStyle w:val="Obsah3"/>
        <w:rPr>
          <w:rFonts w:asciiTheme="minorHAnsi" w:eastAsiaTheme="minorEastAsia" w:hAnsiTheme="minorHAnsi" w:cstheme="minorBidi"/>
          <w:noProof/>
          <w:sz w:val="22"/>
          <w:lang w:eastAsia="cs-CZ"/>
        </w:rPr>
      </w:pPr>
      <w:hyperlink w:anchor="_Toc144104357" w:history="1">
        <w:r w:rsidR="00D4102B" w:rsidRPr="0047292F">
          <w:rPr>
            <w:rStyle w:val="Hypertextovodkaz"/>
            <w:noProof/>
          </w:rPr>
          <w:t>2.5.3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 přepočtu na soudce</w:t>
        </w:r>
        <w:r w:rsidR="00D4102B">
          <w:rPr>
            <w:noProof/>
            <w:webHidden/>
          </w:rPr>
          <w:tab/>
        </w:r>
        <w:r w:rsidR="00D4102B">
          <w:rPr>
            <w:noProof/>
            <w:webHidden/>
          </w:rPr>
          <w:fldChar w:fldCharType="begin"/>
        </w:r>
        <w:r w:rsidR="00D4102B">
          <w:rPr>
            <w:noProof/>
            <w:webHidden/>
          </w:rPr>
          <w:instrText xml:space="preserve"> PAGEREF _Toc144104357 \h </w:instrText>
        </w:r>
        <w:r w:rsidR="00D4102B">
          <w:rPr>
            <w:noProof/>
            <w:webHidden/>
          </w:rPr>
        </w:r>
        <w:r w:rsidR="00D4102B">
          <w:rPr>
            <w:noProof/>
            <w:webHidden/>
          </w:rPr>
          <w:fldChar w:fldCharType="separate"/>
        </w:r>
        <w:r w:rsidR="001E1A67">
          <w:rPr>
            <w:noProof/>
            <w:webHidden/>
          </w:rPr>
          <w:t>64</w:t>
        </w:r>
        <w:r w:rsidR="00D4102B">
          <w:rPr>
            <w:noProof/>
            <w:webHidden/>
          </w:rPr>
          <w:fldChar w:fldCharType="end"/>
        </w:r>
      </w:hyperlink>
    </w:p>
    <w:p w14:paraId="703424EF" w14:textId="3AF50CC4" w:rsidR="00D4102B" w:rsidRDefault="002734FA">
      <w:pPr>
        <w:pStyle w:val="Obsah3"/>
        <w:rPr>
          <w:rFonts w:asciiTheme="minorHAnsi" w:eastAsiaTheme="minorEastAsia" w:hAnsiTheme="minorHAnsi" w:cstheme="minorBidi"/>
          <w:noProof/>
          <w:sz w:val="22"/>
          <w:lang w:eastAsia="cs-CZ"/>
        </w:rPr>
      </w:pPr>
      <w:hyperlink w:anchor="_Toc144104358" w:history="1">
        <w:r w:rsidR="00D4102B" w:rsidRPr="0047292F">
          <w:rPr>
            <w:rStyle w:val="Hypertextovodkaz"/>
            <w:noProof/>
          </w:rPr>
          <w:t>2.5.4</w:t>
        </w:r>
        <w:r w:rsidR="00D4102B">
          <w:rPr>
            <w:rFonts w:asciiTheme="minorHAnsi" w:eastAsiaTheme="minorEastAsia" w:hAnsiTheme="minorHAnsi" w:cstheme="minorBidi"/>
            <w:noProof/>
            <w:sz w:val="22"/>
            <w:lang w:eastAsia="cs-CZ"/>
          </w:rPr>
          <w:tab/>
        </w:r>
        <w:r w:rsidR="00D4102B" w:rsidRPr="0047292F">
          <w:rPr>
            <w:rStyle w:val="Hypertextovodkaz"/>
            <w:noProof/>
          </w:rPr>
          <w:t>Disposition time (dispoziční čas)</w:t>
        </w:r>
        <w:r w:rsidR="00D4102B">
          <w:rPr>
            <w:noProof/>
            <w:webHidden/>
          </w:rPr>
          <w:tab/>
        </w:r>
        <w:r w:rsidR="00D4102B">
          <w:rPr>
            <w:noProof/>
            <w:webHidden/>
          </w:rPr>
          <w:fldChar w:fldCharType="begin"/>
        </w:r>
        <w:r w:rsidR="00D4102B">
          <w:rPr>
            <w:noProof/>
            <w:webHidden/>
          </w:rPr>
          <w:instrText xml:space="preserve"> PAGEREF _Toc144104358 \h </w:instrText>
        </w:r>
        <w:r w:rsidR="00D4102B">
          <w:rPr>
            <w:noProof/>
            <w:webHidden/>
          </w:rPr>
        </w:r>
        <w:r w:rsidR="00D4102B">
          <w:rPr>
            <w:noProof/>
            <w:webHidden/>
          </w:rPr>
          <w:fldChar w:fldCharType="separate"/>
        </w:r>
        <w:r w:rsidR="001E1A67">
          <w:rPr>
            <w:noProof/>
            <w:webHidden/>
          </w:rPr>
          <w:t>66</w:t>
        </w:r>
        <w:r w:rsidR="00D4102B">
          <w:rPr>
            <w:noProof/>
            <w:webHidden/>
          </w:rPr>
          <w:fldChar w:fldCharType="end"/>
        </w:r>
      </w:hyperlink>
    </w:p>
    <w:p w14:paraId="1B79D212" w14:textId="65C19CCE" w:rsidR="00D4102B" w:rsidRDefault="002734FA">
      <w:pPr>
        <w:pStyle w:val="Obsah3"/>
        <w:rPr>
          <w:rFonts w:asciiTheme="minorHAnsi" w:eastAsiaTheme="minorEastAsia" w:hAnsiTheme="minorHAnsi" w:cstheme="minorBidi"/>
          <w:noProof/>
          <w:sz w:val="22"/>
          <w:lang w:eastAsia="cs-CZ"/>
        </w:rPr>
      </w:pPr>
      <w:hyperlink w:anchor="_Toc144104359" w:history="1">
        <w:r w:rsidR="00D4102B" w:rsidRPr="0047292F">
          <w:rPr>
            <w:rStyle w:val="Hypertextovodkaz"/>
            <w:noProof/>
          </w:rPr>
          <w:t>2.5.5</w:t>
        </w:r>
        <w:r w:rsidR="00D4102B">
          <w:rPr>
            <w:rFonts w:asciiTheme="minorHAnsi" w:eastAsiaTheme="minorEastAsia" w:hAnsiTheme="minorHAnsi" w:cstheme="minorBidi"/>
            <w:noProof/>
            <w:sz w:val="22"/>
            <w:lang w:eastAsia="cs-CZ"/>
          </w:rPr>
          <w:tab/>
        </w:r>
        <w:r w:rsidR="00D4102B" w:rsidRPr="0047292F">
          <w:rPr>
            <w:rStyle w:val="Hypertextovodkaz"/>
            <w:noProof/>
          </w:rPr>
          <w:t>Další statistiky</w:t>
        </w:r>
        <w:r w:rsidR="00D4102B">
          <w:rPr>
            <w:noProof/>
            <w:webHidden/>
          </w:rPr>
          <w:tab/>
        </w:r>
        <w:r w:rsidR="00D4102B">
          <w:rPr>
            <w:noProof/>
            <w:webHidden/>
          </w:rPr>
          <w:fldChar w:fldCharType="begin"/>
        </w:r>
        <w:r w:rsidR="00D4102B">
          <w:rPr>
            <w:noProof/>
            <w:webHidden/>
          </w:rPr>
          <w:instrText xml:space="preserve"> PAGEREF _Toc144104359 \h </w:instrText>
        </w:r>
        <w:r w:rsidR="00D4102B">
          <w:rPr>
            <w:noProof/>
            <w:webHidden/>
          </w:rPr>
        </w:r>
        <w:r w:rsidR="00D4102B">
          <w:rPr>
            <w:noProof/>
            <w:webHidden/>
          </w:rPr>
          <w:fldChar w:fldCharType="separate"/>
        </w:r>
        <w:r w:rsidR="001E1A67">
          <w:rPr>
            <w:noProof/>
            <w:webHidden/>
          </w:rPr>
          <w:t>68</w:t>
        </w:r>
        <w:r w:rsidR="00D4102B">
          <w:rPr>
            <w:noProof/>
            <w:webHidden/>
          </w:rPr>
          <w:fldChar w:fldCharType="end"/>
        </w:r>
      </w:hyperlink>
    </w:p>
    <w:p w14:paraId="2B7CD016" w14:textId="32FAB654" w:rsidR="00D4102B" w:rsidRDefault="002734FA">
      <w:pPr>
        <w:pStyle w:val="Obsah1"/>
        <w:tabs>
          <w:tab w:val="left" w:pos="482"/>
        </w:tabs>
        <w:rPr>
          <w:rFonts w:asciiTheme="minorHAnsi" w:eastAsiaTheme="minorEastAsia" w:hAnsiTheme="minorHAnsi" w:cstheme="minorBidi"/>
          <w:noProof/>
          <w:sz w:val="22"/>
          <w:lang w:eastAsia="cs-CZ"/>
        </w:rPr>
      </w:pPr>
      <w:hyperlink w:anchor="_Toc144104360" w:history="1">
        <w:r w:rsidR="00D4102B" w:rsidRPr="0047292F">
          <w:rPr>
            <w:rStyle w:val="Hypertextovodkaz"/>
            <w:noProof/>
          </w:rPr>
          <w:t>3</w:t>
        </w:r>
        <w:r w:rsidR="00D4102B">
          <w:rPr>
            <w:rFonts w:asciiTheme="minorHAnsi" w:eastAsiaTheme="minorEastAsia" w:hAnsiTheme="minorHAnsi" w:cstheme="minorBidi"/>
            <w:noProof/>
            <w:sz w:val="22"/>
            <w:lang w:eastAsia="cs-CZ"/>
          </w:rPr>
          <w:tab/>
        </w:r>
        <w:r w:rsidR="00D4102B" w:rsidRPr="0047292F">
          <w:rPr>
            <w:rStyle w:val="Hypertextovodkaz"/>
            <w:noProof/>
          </w:rPr>
          <w:t>Krajské soudy</w:t>
        </w:r>
        <w:r w:rsidR="00D4102B">
          <w:rPr>
            <w:noProof/>
            <w:webHidden/>
          </w:rPr>
          <w:tab/>
        </w:r>
        <w:r w:rsidR="00D4102B">
          <w:rPr>
            <w:noProof/>
            <w:webHidden/>
          </w:rPr>
          <w:fldChar w:fldCharType="begin"/>
        </w:r>
        <w:r w:rsidR="00D4102B">
          <w:rPr>
            <w:noProof/>
            <w:webHidden/>
          </w:rPr>
          <w:instrText xml:space="preserve"> PAGEREF _Toc144104360 \h </w:instrText>
        </w:r>
        <w:r w:rsidR="00D4102B">
          <w:rPr>
            <w:noProof/>
            <w:webHidden/>
          </w:rPr>
        </w:r>
        <w:r w:rsidR="00D4102B">
          <w:rPr>
            <w:noProof/>
            <w:webHidden/>
          </w:rPr>
          <w:fldChar w:fldCharType="separate"/>
        </w:r>
        <w:r w:rsidR="001E1A67">
          <w:rPr>
            <w:noProof/>
            <w:webHidden/>
          </w:rPr>
          <w:t>76</w:t>
        </w:r>
        <w:r w:rsidR="00D4102B">
          <w:rPr>
            <w:noProof/>
            <w:webHidden/>
          </w:rPr>
          <w:fldChar w:fldCharType="end"/>
        </w:r>
      </w:hyperlink>
    </w:p>
    <w:p w14:paraId="6E47A3C5" w14:textId="20B6A72F" w:rsidR="00D4102B" w:rsidRDefault="002734FA">
      <w:pPr>
        <w:pStyle w:val="Obsah2"/>
        <w:rPr>
          <w:rFonts w:asciiTheme="minorHAnsi" w:eastAsiaTheme="minorEastAsia" w:hAnsiTheme="minorHAnsi" w:cstheme="minorBidi"/>
          <w:sz w:val="22"/>
          <w:lang w:eastAsia="cs-CZ"/>
        </w:rPr>
      </w:pPr>
      <w:hyperlink w:anchor="_Toc144104361" w:history="1">
        <w:r w:rsidR="00D4102B" w:rsidRPr="0047292F">
          <w:rPr>
            <w:rStyle w:val="Hypertextovodkaz"/>
          </w:rPr>
          <w:t>3.1</w:t>
        </w:r>
        <w:r w:rsidR="00D4102B">
          <w:rPr>
            <w:rFonts w:asciiTheme="minorHAnsi" w:eastAsiaTheme="minorEastAsia" w:hAnsiTheme="minorHAnsi" w:cstheme="minorBidi"/>
            <w:sz w:val="22"/>
            <w:lang w:eastAsia="cs-CZ"/>
          </w:rPr>
          <w:tab/>
        </w:r>
        <w:r w:rsidR="00D4102B" w:rsidRPr="0047292F">
          <w:rPr>
            <w:rStyle w:val="Hypertextovodkaz"/>
          </w:rPr>
          <w:t>Personál</w:t>
        </w:r>
        <w:r w:rsidR="00D4102B">
          <w:rPr>
            <w:webHidden/>
          </w:rPr>
          <w:tab/>
        </w:r>
        <w:r w:rsidR="00D4102B">
          <w:rPr>
            <w:webHidden/>
          </w:rPr>
          <w:fldChar w:fldCharType="begin"/>
        </w:r>
        <w:r w:rsidR="00D4102B">
          <w:rPr>
            <w:webHidden/>
          </w:rPr>
          <w:instrText xml:space="preserve"> PAGEREF _Toc144104361 \h </w:instrText>
        </w:r>
        <w:r w:rsidR="00D4102B">
          <w:rPr>
            <w:webHidden/>
          </w:rPr>
        </w:r>
        <w:r w:rsidR="00D4102B">
          <w:rPr>
            <w:webHidden/>
          </w:rPr>
          <w:fldChar w:fldCharType="separate"/>
        </w:r>
        <w:r w:rsidR="001E1A67">
          <w:rPr>
            <w:webHidden/>
          </w:rPr>
          <w:t>76</w:t>
        </w:r>
        <w:r w:rsidR="00D4102B">
          <w:rPr>
            <w:webHidden/>
          </w:rPr>
          <w:fldChar w:fldCharType="end"/>
        </w:r>
      </w:hyperlink>
    </w:p>
    <w:p w14:paraId="4D62BD38" w14:textId="04C82EC6" w:rsidR="00D4102B" w:rsidRDefault="002734FA">
      <w:pPr>
        <w:pStyle w:val="Obsah3"/>
        <w:rPr>
          <w:rFonts w:asciiTheme="minorHAnsi" w:eastAsiaTheme="minorEastAsia" w:hAnsiTheme="minorHAnsi" w:cstheme="minorBidi"/>
          <w:noProof/>
          <w:sz w:val="22"/>
          <w:lang w:eastAsia="cs-CZ"/>
        </w:rPr>
      </w:pPr>
      <w:hyperlink w:anchor="_Toc144104362" w:history="1">
        <w:r w:rsidR="00D4102B" w:rsidRPr="0047292F">
          <w:rPr>
            <w:rStyle w:val="Hypertextovodkaz"/>
            <w:noProof/>
          </w:rPr>
          <w:t>3.1.1</w:t>
        </w:r>
        <w:r w:rsidR="00D4102B">
          <w:rPr>
            <w:rFonts w:asciiTheme="minorHAnsi" w:eastAsiaTheme="minorEastAsia" w:hAnsiTheme="minorHAnsi" w:cstheme="minorBidi"/>
            <w:noProof/>
            <w:sz w:val="22"/>
            <w:lang w:eastAsia="cs-CZ"/>
          </w:rPr>
          <w:tab/>
        </w:r>
        <w:r w:rsidR="00D4102B" w:rsidRPr="0047292F">
          <w:rPr>
            <w:rStyle w:val="Hypertextovodkaz"/>
            <w:noProof/>
          </w:rPr>
          <w:t>Soudci</w:t>
        </w:r>
        <w:r w:rsidR="00D4102B">
          <w:rPr>
            <w:noProof/>
            <w:webHidden/>
          </w:rPr>
          <w:tab/>
        </w:r>
        <w:r w:rsidR="00D4102B">
          <w:rPr>
            <w:noProof/>
            <w:webHidden/>
          </w:rPr>
          <w:fldChar w:fldCharType="begin"/>
        </w:r>
        <w:r w:rsidR="00D4102B">
          <w:rPr>
            <w:noProof/>
            <w:webHidden/>
          </w:rPr>
          <w:instrText xml:space="preserve"> PAGEREF _Toc144104362 \h </w:instrText>
        </w:r>
        <w:r w:rsidR="00D4102B">
          <w:rPr>
            <w:noProof/>
            <w:webHidden/>
          </w:rPr>
        </w:r>
        <w:r w:rsidR="00D4102B">
          <w:rPr>
            <w:noProof/>
            <w:webHidden/>
          </w:rPr>
          <w:fldChar w:fldCharType="separate"/>
        </w:r>
        <w:r w:rsidR="001E1A67">
          <w:rPr>
            <w:noProof/>
            <w:webHidden/>
          </w:rPr>
          <w:t>76</w:t>
        </w:r>
        <w:r w:rsidR="00D4102B">
          <w:rPr>
            <w:noProof/>
            <w:webHidden/>
          </w:rPr>
          <w:fldChar w:fldCharType="end"/>
        </w:r>
      </w:hyperlink>
    </w:p>
    <w:p w14:paraId="6001E289" w14:textId="1FC013D6" w:rsidR="00D4102B" w:rsidRDefault="002734FA">
      <w:pPr>
        <w:pStyle w:val="Obsah3"/>
        <w:rPr>
          <w:rFonts w:asciiTheme="minorHAnsi" w:eastAsiaTheme="minorEastAsia" w:hAnsiTheme="minorHAnsi" w:cstheme="minorBidi"/>
          <w:noProof/>
          <w:sz w:val="22"/>
          <w:lang w:eastAsia="cs-CZ"/>
        </w:rPr>
      </w:pPr>
      <w:hyperlink w:anchor="_Toc144104363" w:history="1">
        <w:r w:rsidR="00D4102B" w:rsidRPr="0047292F">
          <w:rPr>
            <w:rStyle w:val="Hypertextovodkaz"/>
            <w:noProof/>
          </w:rPr>
          <w:t>3.1.2</w:t>
        </w:r>
        <w:r w:rsidR="00D4102B">
          <w:rPr>
            <w:rFonts w:asciiTheme="minorHAnsi" w:eastAsiaTheme="minorEastAsia" w:hAnsiTheme="minorHAnsi" w:cstheme="minorBidi"/>
            <w:noProof/>
            <w:sz w:val="22"/>
            <w:lang w:eastAsia="cs-CZ"/>
          </w:rPr>
          <w:tab/>
        </w:r>
        <w:r w:rsidR="00D4102B" w:rsidRPr="0047292F">
          <w:rPr>
            <w:rStyle w:val="Hypertextovodkaz"/>
            <w:noProof/>
          </w:rPr>
          <w:t>Zaměstnanci ve výkonu a ve správě</w:t>
        </w:r>
        <w:r w:rsidR="00D4102B">
          <w:rPr>
            <w:noProof/>
            <w:webHidden/>
          </w:rPr>
          <w:tab/>
        </w:r>
        <w:r w:rsidR="00D4102B">
          <w:rPr>
            <w:noProof/>
            <w:webHidden/>
          </w:rPr>
          <w:fldChar w:fldCharType="begin"/>
        </w:r>
        <w:r w:rsidR="00D4102B">
          <w:rPr>
            <w:noProof/>
            <w:webHidden/>
          </w:rPr>
          <w:instrText xml:space="preserve"> PAGEREF _Toc144104363 \h </w:instrText>
        </w:r>
        <w:r w:rsidR="00D4102B">
          <w:rPr>
            <w:noProof/>
            <w:webHidden/>
          </w:rPr>
        </w:r>
        <w:r w:rsidR="00D4102B">
          <w:rPr>
            <w:noProof/>
            <w:webHidden/>
          </w:rPr>
          <w:fldChar w:fldCharType="separate"/>
        </w:r>
        <w:r w:rsidR="001E1A67">
          <w:rPr>
            <w:noProof/>
            <w:webHidden/>
          </w:rPr>
          <w:t>81</w:t>
        </w:r>
        <w:r w:rsidR="00D4102B">
          <w:rPr>
            <w:noProof/>
            <w:webHidden/>
          </w:rPr>
          <w:fldChar w:fldCharType="end"/>
        </w:r>
      </w:hyperlink>
    </w:p>
    <w:p w14:paraId="435C8FC4" w14:textId="0AF654CB" w:rsidR="00D4102B" w:rsidRDefault="002734FA">
      <w:pPr>
        <w:pStyle w:val="Obsah3"/>
        <w:rPr>
          <w:rFonts w:asciiTheme="minorHAnsi" w:eastAsiaTheme="minorEastAsia" w:hAnsiTheme="minorHAnsi" w:cstheme="minorBidi"/>
          <w:noProof/>
          <w:sz w:val="22"/>
          <w:lang w:eastAsia="cs-CZ"/>
        </w:rPr>
      </w:pPr>
      <w:hyperlink w:anchor="_Toc144104364" w:history="1">
        <w:r w:rsidR="00D4102B" w:rsidRPr="0047292F">
          <w:rPr>
            <w:rStyle w:val="Hypertextovodkaz"/>
            <w:noProof/>
          </w:rPr>
          <w:t>3.1.3</w:t>
        </w:r>
        <w:r w:rsidR="00D4102B">
          <w:rPr>
            <w:rFonts w:asciiTheme="minorHAnsi" w:eastAsiaTheme="minorEastAsia" w:hAnsiTheme="minorHAnsi" w:cstheme="minorBidi"/>
            <w:noProof/>
            <w:sz w:val="22"/>
            <w:lang w:eastAsia="cs-CZ"/>
          </w:rPr>
          <w:tab/>
        </w:r>
        <w:r w:rsidR="00D4102B" w:rsidRPr="0047292F">
          <w:rPr>
            <w:rStyle w:val="Hypertextovodkaz"/>
            <w:noProof/>
          </w:rPr>
          <w:t>Přísedící soudu</w:t>
        </w:r>
        <w:r w:rsidR="00D4102B">
          <w:rPr>
            <w:noProof/>
            <w:webHidden/>
          </w:rPr>
          <w:tab/>
        </w:r>
        <w:r w:rsidR="00D4102B">
          <w:rPr>
            <w:noProof/>
            <w:webHidden/>
          </w:rPr>
          <w:fldChar w:fldCharType="begin"/>
        </w:r>
        <w:r w:rsidR="00D4102B">
          <w:rPr>
            <w:noProof/>
            <w:webHidden/>
          </w:rPr>
          <w:instrText xml:space="preserve"> PAGEREF _Toc144104364 \h </w:instrText>
        </w:r>
        <w:r w:rsidR="00D4102B">
          <w:rPr>
            <w:noProof/>
            <w:webHidden/>
          </w:rPr>
        </w:r>
        <w:r w:rsidR="00D4102B">
          <w:rPr>
            <w:noProof/>
            <w:webHidden/>
          </w:rPr>
          <w:fldChar w:fldCharType="separate"/>
        </w:r>
        <w:r w:rsidR="001E1A67">
          <w:rPr>
            <w:noProof/>
            <w:webHidden/>
          </w:rPr>
          <w:t>82</w:t>
        </w:r>
        <w:r w:rsidR="00D4102B">
          <w:rPr>
            <w:noProof/>
            <w:webHidden/>
          </w:rPr>
          <w:fldChar w:fldCharType="end"/>
        </w:r>
      </w:hyperlink>
    </w:p>
    <w:p w14:paraId="51041E8E" w14:textId="021C2686" w:rsidR="00D4102B" w:rsidRDefault="002734FA">
      <w:pPr>
        <w:pStyle w:val="Obsah2"/>
        <w:rPr>
          <w:rFonts w:asciiTheme="minorHAnsi" w:eastAsiaTheme="minorEastAsia" w:hAnsiTheme="minorHAnsi" w:cstheme="minorBidi"/>
          <w:sz w:val="22"/>
          <w:lang w:eastAsia="cs-CZ"/>
        </w:rPr>
      </w:pPr>
      <w:hyperlink w:anchor="_Toc144104365" w:history="1">
        <w:r w:rsidR="00D4102B" w:rsidRPr="0047292F">
          <w:rPr>
            <w:rStyle w:val="Hypertextovodkaz"/>
          </w:rPr>
          <w:t>3.2</w:t>
        </w:r>
        <w:r w:rsidR="00D4102B">
          <w:rPr>
            <w:rFonts w:asciiTheme="minorHAnsi" w:eastAsiaTheme="minorEastAsia" w:hAnsiTheme="minorHAnsi" w:cstheme="minorBidi"/>
            <w:sz w:val="22"/>
            <w:lang w:eastAsia="cs-CZ"/>
          </w:rPr>
          <w:tab/>
        </w:r>
        <w:r w:rsidR="00D4102B" w:rsidRPr="0047292F">
          <w:rPr>
            <w:rStyle w:val="Hypertextovodkaz"/>
          </w:rPr>
          <w:t>Prvostupňová civilní a obchodní agenda</w:t>
        </w:r>
        <w:r w:rsidR="00D4102B">
          <w:rPr>
            <w:webHidden/>
          </w:rPr>
          <w:tab/>
        </w:r>
        <w:r w:rsidR="00D4102B">
          <w:rPr>
            <w:webHidden/>
          </w:rPr>
          <w:fldChar w:fldCharType="begin"/>
        </w:r>
        <w:r w:rsidR="00D4102B">
          <w:rPr>
            <w:webHidden/>
          </w:rPr>
          <w:instrText xml:space="preserve"> PAGEREF _Toc144104365 \h </w:instrText>
        </w:r>
        <w:r w:rsidR="00D4102B">
          <w:rPr>
            <w:webHidden/>
          </w:rPr>
        </w:r>
        <w:r w:rsidR="00D4102B">
          <w:rPr>
            <w:webHidden/>
          </w:rPr>
          <w:fldChar w:fldCharType="separate"/>
        </w:r>
        <w:r w:rsidR="001E1A67">
          <w:rPr>
            <w:webHidden/>
          </w:rPr>
          <w:t>84</w:t>
        </w:r>
        <w:r w:rsidR="00D4102B">
          <w:rPr>
            <w:webHidden/>
          </w:rPr>
          <w:fldChar w:fldCharType="end"/>
        </w:r>
      </w:hyperlink>
    </w:p>
    <w:p w14:paraId="26150AF3" w14:textId="1D2C95B5" w:rsidR="00D4102B" w:rsidRDefault="002734FA">
      <w:pPr>
        <w:pStyle w:val="Obsah3"/>
        <w:rPr>
          <w:rFonts w:asciiTheme="minorHAnsi" w:eastAsiaTheme="minorEastAsia" w:hAnsiTheme="minorHAnsi" w:cstheme="minorBidi"/>
          <w:noProof/>
          <w:sz w:val="22"/>
          <w:lang w:eastAsia="cs-CZ"/>
        </w:rPr>
      </w:pPr>
      <w:hyperlink w:anchor="_Toc144104366" w:history="1">
        <w:r w:rsidR="00D4102B" w:rsidRPr="0047292F">
          <w:rPr>
            <w:rStyle w:val="Hypertextovodkaz"/>
            <w:noProof/>
          </w:rPr>
          <w:t>3.2.1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_Toc144104366 \h </w:instrText>
        </w:r>
        <w:r w:rsidR="00D4102B">
          <w:rPr>
            <w:noProof/>
            <w:webHidden/>
          </w:rPr>
        </w:r>
        <w:r w:rsidR="00D4102B">
          <w:rPr>
            <w:noProof/>
            <w:webHidden/>
          </w:rPr>
          <w:fldChar w:fldCharType="separate"/>
        </w:r>
        <w:r w:rsidR="001E1A67">
          <w:rPr>
            <w:noProof/>
            <w:webHidden/>
          </w:rPr>
          <w:t>84</w:t>
        </w:r>
        <w:r w:rsidR="00D4102B">
          <w:rPr>
            <w:noProof/>
            <w:webHidden/>
          </w:rPr>
          <w:fldChar w:fldCharType="end"/>
        </w:r>
      </w:hyperlink>
    </w:p>
    <w:p w14:paraId="1051CC32" w14:textId="63955AF1" w:rsidR="00D4102B" w:rsidRDefault="002734FA">
      <w:pPr>
        <w:pStyle w:val="Obsah3"/>
        <w:rPr>
          <w:rFonts w:asciiTheme="minorHAnsi" w:eastAsiaTheme="minorEastAsia" w:hAnsiTheme="minorHAnsi" w:cstheme="minorBidi"/>
          <w:noProof/>
          <w:sz w:val="22"/>
          <w:lang w:eastAsia="cs-CZ"/>
        </w:rPr>
      </w:pPr>
      <w:hyperlink w:anchor="_Toc144104367" w:history="1">
        <w:r w:rsidR="00D4102B" w:rsidRPr="0047292F">
          <w:rPr>
            <w:rStyle w:val="Hypertextovodkaz"/>
            <w:noProof/>
          </w:rPr>
          <w:t>3.2.2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_Toc144104367 \h </w:instrText>
        </w:r>
        <w:r w:rsidR="00D4102B">
          <w:rPr>
            <w:noProof/>
            <w:webHidden/>
          </w:rPr>
        </w:r>
        <w:r w:rsidR="00D4102B">
          <w:rPr>
            <w:noProof/>
            <w:webHidden/>
          </w:rPr>
          <w:fldChar w:fldCharType="separate"/>
        </w:r>
        <w:r w:rsidR="001E1A67">
          <w:rPr>
            <w:noProof/>
            <w:webHidden/>
          </w:rPr>
          <w:t>87</w:t>
        </w:r>
        <w:r w:rsidR="00D4102B">
          <w:rPr>
            <w:noProof/>
            <w:webHidden/>
          </w:rPr>
          <w:fldChar w:fldCharType="end"/>
        </w:r>
      </w:hyperlink>
    </w:p>
    <w:p w14:paraId="2D134B52" w14:textId="5D3930FC" w:rsidR="00D4102B" w:rsidRDefault="002734FA">
      <w:pPr>
        <w:pStyle w:val="Obsah3"/>
        <w:rPr>
          <w:rFonts w:asciiTheme="minorHAnsi" w:eastAsiaTheme="minorEastAsia" w:hAnsiTheme="minorHAnsi" w:cstheme="minorBidi"/>
          <w:noProof/>
          <w:sz w:val="22"/>
          <w:lang w:eastAsia="cs-CZ"/>
        </w:rPr>
      </w:pPr>
      <w:hyperlink w:anchor="_Toc144104368" w:history="1">
        <w:r w:rsidR="00D4102B" w:rsidRPr="0047292F">
          <w:rPr>
            <w:rStyle w:val="Hypertextovodkaz"/>
            <w:noProof/>
          </w:rPr>
          <w:t>3.2.3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 přepočtu na soudce</w:t>
        </w:r>
        <w:r w:rsidR="00D4102B">
          <w:rPr>
            <w:noProof/>
            <w:webHidden/>
          </w:rPr>
          <w:tab/>
        </w:r>
        <w:r w:rsidR="00D4102B">
          <w:rPr>
            <w:noProof/>
            <w:webHidden/>
          </w:rPr>
          <w:fldChar w:fldCharType="begin"/>
        </w:r>
        <w:r w:rsidR="00D4102B">
          <w:rPr>
            <w:noProof/>
            <w:webHidden/>
          </w:rPr>
          <w:instrText xml:space="preserve"> PAGEREF _Toc144104368 \h </w:instrText>
        </w:r>
        <w:r w:rsidR="00D4102B">
          <w:rPr>
            <w:noProof/>
            <w:webHidden/>
          </w:rPr>
        </w:r>
        <w:r w:rsidR="00D4102B">
          <w:rPr>
            <w:noProof/>
            <w:webHidden/>
          </w:rPr>
          <w:fldChar w:fldCharType="separate"/>
        </w:r>
        <w:r w:rsidR="001E1A67">
          <w:rPr>
            <w:noProof/>
            <w:webHidden/>
          </w:rPr>
          <w:t>89</w:t>
        </w:r>
        <w:r w:rsidR="00D4102B">
          <w:rPr>
            <w:noProof/>
            <w:webHidden/>
          </w:rPr>
          <w:fldChar w:fldCharType="end"/>
        </w:r>
      </w:hyperlink>
    </w:p>
    <w:p w14:paraId="583D4242" w14:textId="3E61EFC0" w:rsidR="00D4102B" w:rsidRDefault="002734FA">
      <w:pPr>
        <w:pStyle w:val="Obsah3"/>
        <w:rPr>
          <w:rFonts w:asciiTheme="minorHAnsi" w:eastAsiaTheme="minorEastAsia" w:hAnsiTheme="minorHAnsi" w:cstheme="minorBidi"/>
          <w:noProof/>
          <w:sz w:val="22"/>
          <w:lang w:eastAsia="cs-CZ"/>
        </w:rPr>
      </w:pPr>
      <w:hyperlink w:anchor="_Toc144104369" w:history="1">
        <w:r w:rsidR="00D4102B" w:rsidRPr="0047292F">
          <w:rPr>
            <w:rStyle w:val="Hypertextovodkaz"/>
            <w:noProof/>
          </w:rPr>
          <w:t>3.2.4</w:t>
        </w:r>
        <w:r w:rsidR="00D4102B">
          <w:rPr>
            <w:rFonts w:asciiTheme="minorHAnsi" w:eastAsiaTheme="minorEastAsia" w:hAnsiTheme="minorHAnsi" w:cstheme="minorBidi"/>
            <w:noProof/>
            <w:sz w:val="22"/>
            <w:lang w:eastAsia="cs-CZ"/>
          </w:rPr>
          <w:tab/>
        </w:r>
        <w:r w:rsidR="00D4102B" w:rsidRPr="0047292F">
          <w:rPr>
            <w:rStyle w:val="Hypertextovodkaz"/>
            <w:noProof/>
          </w:rPr>
          <w:t>Disposition time (dispoziční čas)</w:t>
        </w:r>
        <w:r w:rsidR="00D4102B">
          <w:rPr>
            <w:noProof/>
            <w:webHidden/>
          </w:rPr>
          <w:tab/>
        </w:r>
        <w:r w:rsidR="00D4102B">
          <w:rPr>
            <w:noProof/>
            <w:webHidden/>
          </w:rPr>
          <w:fldChar w:fldCharType="begin"/>
        </w:r>
        <w:r w:rsidR="00D4102B">
          <w:rPr>
            <w:noProof/>
            <w:webHidden/>
          </w:rPr>
          <w:instrText xml:space="preserve"> PAGEREF _Toc144104369 \h </w:instrText>
        </w:r>
        <w:r w:rsidR="00D4102B">
          <w:rPr>
            <w:noProof/>
            <w:webHidden/>
          </w:rPr>
        </w:r>
        <w:r w:rsidR="00D4102B">
          <w:rPr>
            <w:noProof/>
            <w:webHidden/>
          </w:rPr>
          <w:fldChar w:fldCharType="separate"/>
        </w:r>
        <w:r w:rsidR="001E1A67">
          <w:rPr>
            <w:noProof/>
            <w:webHidden/>
          </w:rPr>
          <w:t>90</w:t>
        </w:r>
        <w:r w:rsidR="00D4102B">
          <w:rPr>
            <w:noProof/>
            <w:webHidden/>
          </w:rPr>
          <w:fldChar w:fldCharType="end"/>
        </w:r>
      </w:hyperlink>
    </w:p>
    <w:p w14:paraId="4123C407" w14:textId="4267432E" w:rsidR="00D4102B" w:rsidRDefault="002734FA">
      <w:pPr>
        <w:pStyle w:val="Obsah3"/>
        <w:rPr>
          <w:rFonts w:asciiTheme="minorHAnsi" w:eastAsiaTheme="minorEastAsia" w:hAnsiTheme="minorHAnsi" w:cstheme="minorBidi"/>
          <w:noProof/>
          <w:sz w:val="22"/>
          <w:lang w:eastAsia="cs-CZ"/>
        </w:rPr>
      </w:pPr>
      <w:hyperlink w:anchor="_Toc144104370" w:history="1">
        <w:r w:rsidR="00D4102B" w:rsidRPr="0047292F">
          <w:rPr>
            <w:rStyle w:val="Hypertextovodkaz"/>
            <w:noProof/>
          </w:rPr>
          <w:t>3.2.5</w:t>
        </w:r>
        <w:r w:rsidR="00D4102B">
          <w:rPr>
            <w:rFonts w:asciiTheme="minorHAnsi" w:eastAsiaTheme="minorEastAsia" w:hAnsiTheme="minorHAnsi" w:cstheme="minorBidi"/>
            <w:noProof/>
            <w:sz w:val="22"/>
            <w:lang w:eastAsia="cs-CZ"/>
          </w:rPr>
          <w:tab/>
        </w:r>
        <w:r w:rsidR="00D4102B" w:rsidRPr="0047292F">
          <w:rPr>
            <w:rStyle w:val="Hypertextovodkaz"/>
            <w:noProof/>
          </w:rPr>
          <w:t>Další statistiky</w:t>
        </w:r>
        <w:r w:rsidR="00D4102B">
          <w:rPr>
            <w:noProof/>
            <w:webHidden/>
          </w:rPr>
          <w:tab/>
        </w:r>
        <w:r w:rsidR="00D4102B">
          <w:rPr>
            <w:noProof/>
            <w:webHidden/>
          </w:rPr>
          <w:fldChar w:fldCharType="begin"/>
        </w:r>
        <w:r w:rsidR="00D4102B">
          <w:rPr>
            <w:noProof/>
            <w:webHidden/>
          </w:rPr>
          <w:instrText xml:space="preserve"> PAGEREF _Toc144104370 \h </w:instrText>
        </w:r>
        <w:r w:rsidR="00D4102B">
          <w:rPr>
            <w:noProof/>
            <w:webHidden/>
          </w:rPr>
        </w:r>
        <w:r w:rsidR="00D4102B">
          <w:rPr>
            <w:noProof/>
            <w:webHidden/>
          </w:rPr>
          <w:fldChar w:fldCharType="separate"/>
        </w:r>
        <w:r w:rsidR="001E1A67">
          <w:rPr>
            <w:noProof/>
            <w:webHidden/>
          </w:rPr>
          <w:t>92</w:t>
        </w:r>
        <w:r w:rsidR="00D4102B">
          <w:rPr>
            <w:noProof/>
            <w:webHidden/>
          </w:rPr>
          <w:fldChar w:fldCharType="end"/>
        </w:r>
      </w:hyperlink>
    </w:p>
    <w:p w14:paraId="14242985" w14:textId="3BAAD84B" w:rsidR="00D4102B" w:rsidRDefault="002734FA">
      <w:pPr>
        <w:pStyle w:val="Obsah2"/>
        <w:rPr>
          <w:rFonts w:asciiTheme="minorHAnsi" w:eastAsiaTheme="minorEastAsia" w:hAnsiTheme="minorHAnsi" w:cstheme="minorBidi"/>
          <w:sz w:val="22"/>
          <w:lang w:eastAsia="cs-CZ"/>
        </w:rPr>
      </w:pPr>
      <w:hyperlink w:anchor="_Toc144104371" w:history="1">
        <w:r w:rsidR="00D4102B" w:rsidRPr="0047292F">
          <w:rPr>
            <w:rStyle w:val="Hypertextovodkaz"/>
          </w:rPr>
          <w:t>3.3</w:t>
        </w:r>
        <w:r w:rsidR="00D4102B">
          <w:rPr>
            <w:rFonts w:asciiTheme="minorHAnsi" w:eastAsiaTheme="minorEastAsia" w:hAnsiTheme="minorHAnsi" w:cstheme="minorBidi"/>
            <w:sz w:val="22"/>
            <w:lang w:eastAsia="cs-CZ"/>
          </w:rPr>
          <w:tab/>
        </w:r>
        <w:r w:rsidR="00D4102B" w:rsidRPr="0047292F">
          <w:rPr>
            <w:rStyle w:val="Hypertextovodkaz"/>
          </w:rPr>
          <w:t>Civilní odvolací agenda</w:t>
        </w:r>
        <w:r w:rsidR="00D4102B">
          <w:rPr>
            <w:webHidden/>
          </w:rPr>
          <w:tab/>
        </w:r>
        <w:r w:rsidR="00D4102B">
          <w:rPr>
            <w:webHidden/>
          </w:rPr>
          <w:fldChar w:fldCharType="begin"/>
        </w:r>
        <w:r w:rsidR="00D4102B">
          <w:rPr>
            <w:webHidden/>
          </w:rPr>
          <w:instrText xml:space="preserve"> PAGEREF _Toc144104371 \h </w:instrText>
        </w:r>
        <w:r w:rsidR="00D4102B">
          <w:rPr>
            <w:webHidden/>
          </w:rPr>
        </w:r>
        <w:r w:rsidR="00D4102B">
          <w:rPr>
            <w:webHidden/>
          </w:rPr>
          <w:fldChar w:fldCharType="separate"/>
        </w:r>
        <w:r w:rsidR="001E1A67">
          <w:rPr>
            <w:webHidden/>
          </w:rPr>
          <w:t>96</w:t>
        </w:r>
        <w:r w:rsidR="00D4102B">
          <w:rPr>
            <w:webHidden/>
          </w:rPr>
          <w:fldChar w:fldCharType="end"/>
        </w:r>
      </w:hyperlink>
    </w:p>
    <w:p w14:paraId="4A599926" w14:textId="26C52876" w:rsidR="00D4102B" w:rsidRDefault="002734FA">
      <w:pPr>
        <w:pStyle w:val="Obsah3"/>
        <w:rPr>
          <w:rFonts w:asciiTheme="minorHAnsi" w:eastAsiaTheme="minorEastAsia" w:hAnsiTheme="minorHAnsi" w:cstheme="minorBidi"/>
          <w:noProof/>
          <w:sz w:val="22"/>
          <w:lang w:eastAsia="cs-CZ"/>
        </w:rPr>
      </w:pPr>
      <w:hyperlink w:anchor="_Toc144104372" w:history="1">
        <w:r w:rsidR="00D4102B" w:rsidRPr="0047292F">
          <w:rPr>
            <w:rStyle w:val="Hypertextovodkaz"/>
            <w:noProof/>
          </w:rPr>
          <w:t>3.3.1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_Toc144104372 \h </w:instrText>
        </w:r>
        <w:r w:rsidR="00D4102B">
          <w:rPr>
            <w:noProof/>
            <w:webHidden/>
          </w:rPr>
        </w:r>
        <w:r w:rsidR="00D4102B">
          <w:rPr>
            <w:noProof/>
            <w:webHidden/>
          </w:rPr>
          <w:fldChar w:fldCharType="separate"/>
        </w:r>
        <w:r w:rsidR="001E1A67">
          <w:rPr>
            <w:noProof/>
            <w:webHidden/>
          </w:rPr>
          <w:t>96</w:t>
        </w:r>
        <w:r w:rsidR="00D4102B">
          <w:rPr>
            <w:noProof/>
            <w:webHidden/>
          </w:rPr>
          <w:fldChar w:fldCharType="end"/>
        </w:r>
      </w:hyperlink>
    </w:p>
    <w:p w14:paraId="6A552BBB" w14:textId="535991B8" w:rsidR="00D4102B" w:rsidRDefault="002734FA">
      <w:pPr>
        <w:pStyle w:val="Obsah3"/>
        <w:rPr>
          <w:rFonts w:asciiTheme="minorHAnsi" w:eastAsiaTheme="minorEastAsia" w:hAnsiTheme="minorHAnsi" w:cstheme="minorBidi"/>
          <w:noProof/>
          <w:sz w:val="22"/>
          <w:lang w:eastAsia="cs-CZ"/>
        </w:rPr>
      </w:pPr>
      <w:hyperlink w:anchor="_Toc144104373" w:history="1">
        <w:r w:rsidR="00D4102B" w:rsidRPr="0047292F">
          <w:rPr>
            <w:rStyle w:val="Hypertextovodkaz"/>
            <w:noProof/>
          </w:rPr>
          <w:t>3.3.2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_Toc144104373 \h </w:instrText>
        </w:r>
        <w:r w:rsidR="00D4102B">
          <w:rPr>
            <w:noProof/>
            <w:webHidden/>
          </w:rPr>
        </w:r>
        <w:r w:rsidR="00D4102B">
          <w:rPr>
            <w:noProof/>
            <w:webHidden/>
          </w:rPr>
          <w:fldChar w:fldCharType="separate"/>
        </w:r>
        <w:r w:rsidR="001E1A67">
          <w:rPr>
            <w:noProof/>
            <w:webHidden/>
          </w:rPr>
          <w:t>98</w:t>
        </w:r>
        <w:r w:rsidR="00D4102B">
          <w:rPr>
            <w:noProof/>
            <w:webHidden/>
          </w:rPr>
          <w:fldChar w:fldCharType="end"/>
        </w:r>
      </w:hyperlink>
    </w:p>
    <w:p w14:paraId="607B9879" w14:textId="3C407D96" w:rsidR="00D4102B" w:rsidRDefault="002734FA">
      <w:pPr>
        <w:pStyle w:val="Obsah3"/>
        <w:rPr>
          <w:rFonts w:asciiTheme="minorHAnsi" w:eastAsiaTheme="minorEastAsia" w:hAnsiTheme="minorHAnsi" w:cstheme="minorBidi"/>
          <w:noProof/>
          <w:sz w:val="22"/>
          <w:lang w:eastAsia="cs-CZ"/>
        </w:rPr>
      </w:pPr>
      <w:hyperlink w:anchor="_Toc144104374" w:history="1">
        <w:r w:rsidR="00D4102B" w:rsidRPr="0047292F">
          <w:rPr>
            <w:rStyle w:val="Hypertextovodkaz"/>
            <w:noProof/>
          </w:rPr>
          <w:t>3.3.3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 v přepočtu na soudce</w:t>
        </w:r>
        <w:r w:rsidR="00D4102B">
          <w:rPr>
            <w:noProof/>
            <w:webHidden/>
          </w:rPr>
          <w:tab/>
        </w:r>
        <w:r w:rsidR="00D4102B">
          <w:rPr>
            <w:noProof/>
            <w:webHidden/>
          </w:rPr>
          <w:fldChar w:fldCharType="begin"/>
        </w:r>
        <w:r w:rsidR="00D4102B">
          <w:rPr>
            <w:noProof/>
            <w:webHidden/>
          </w:rPr>
          <w:instrText xml:space="preserve"> PAGEREF _Toc144104374 \h </w:instrText>
        </w:r>
        <w:r w:rsidR="00D4102B">
          <w:rPr>
            <w:noProof/>
            <w:webHidden/>
          </w:rPr>
        </w:r>
        <w:r w:rsidR="00D4102B">
          <w:rPr>
            <w:noProof/>
            <w:webHidden/>
          </w:rPr>
          <w:fldChar w:fldCharType="separate"/>
        </w:r>
        <w:r w:rsidR="001E1A67">
          <w:rPr>
            <w:noProof/>
            <w:webHidden/>
          </w:rPr>
          <w:t>99</w:t>
        </w:r>
        <w:r w:rsidR="00D4102B">
          <w:rPr>
            <w:noProof/>
            <w:webHidden/>
          </w:rPr>
          <w:fldChar w:fldCharType="end"/>
        </w:r>
      </w:hyperlink>
    </w:p>
    <w:p w14:paraId="0095373F" w14:textId="64776A5C" w:rsidR="00D4102B" w:rsidRDefault="002734FA">
      <w:pPr>
        <w:pStyle w:val="Obsah3"/>
        <w:rPr>
          <w:rFonts w:asciiTheme="minorHAnsi" w:eastAsiaTheme="minorEastAsia" w:hAnsiTheme="minorHAnsi" w:cstheme="minorBidi"/>
          <w:noProof/>
          <w:sz w:val="22"/>
          <w:lang w:eastAsia="cs-CZ"/>
        </w:rPr>
      </w:pPr>
      <w:hyperlink w:anchor="_Toc144104375" w:history="1">
        <w:r w:rsidR="00D4102B" w:rsidRPr="0047292F">
          <w:rPr>
            <w:rStyle w:val="Hypertextovodkaz"/>
            <w:noProof/>
          </w:rPr>
          <w:t>3.3.4</w:t>
        </w:r>
        <w:r w:rsidR="00D4102B">
          <w:rPr>
            <w:rFonts w:asciiTheme="minorHAnsi" w:eastAsiaTheme="minorEastAsia" w:hAnsiTheme="minorHAnsi" w:cstheme="minorBidi"/>
            <w:noProof/>
            <w:sz w:val="22"/>
            <w:lang w:eastAsia="cs-CZ"/>
          </w:rPr>
          <w:tab/>
        </w:r>
        <w:r w:rsidR="00D4102B" w:rsidRPr="0047292F">
          <w:rPr>
            <w:rStyle w:val="Hypertextovodkaz"/>
            <w:noProof/>
          </w:rPr>
          <w:t>Disposition time (dispoziční čas)</w:t>
        </w:r>
        <w:r w:rsidR="00D4102B">
          <w:rPr>
            <w:noProof/>
            <w:webHidden/>
          </w:rPr>
          <w:tab/>
        </w:r>
        <w:r w:rsidR="00D4102B">
          <w:rPr>
            <w:noProof/>
            <w:webHidden/>
          </w:rPr>
          <w:fldChar w:fldCharType="begin"/>
        </w:r>
        <w:r w:rsidR="00D4102B">
          <w:rPr>
            <w:noProof/>
            <w:webHidden/>
          </w:rPr>
          <w:instrText xml:space="preserve"> PAGEREF _Toc144104375 \h </w:instrText>
        </w:r>
        <w:r w:rsidR="00D4102B">
          <w:rPr>
            <w:noProof/>
            <w:webHidden/>
          </w:rPr>
        </w:r>
        <w:r w:rsidR="00D4102B">
          <w:rPr>
            <w:noProof/>
            <w:webHidden/>
          </w:rPr>
          <w:fldChar w:fldCharType="separate"/>
        </w:r>
        <w:r w:rsidR="001E1A67">
          <w:rPr>
            <w:noProof/>
            <w:webHidden/>
          </w:rPr>
          <w:t>100</w:t>
        </w:r>
        <w:r w:rsidR="00D4102B">
          <w:rPr>
            <w:noProof/>
            <w:webHidden/>
          </w:rPr>
          <w:fldChar w:fldCharType="end"/>
        </w:r>
      </w:hyperlink>
    </w:p>
    <w:p w14:paraId="777524D4" w14:textId="09284AF2" w:rsidR="00D4102B" w:rsidRDefault="002734FA">
      <w:pPr>
        <w:pStyle w:val="Obsah2"/>
        <w:rPr>
          <w:rFonts w:asciiTheme="minorHAnsi" w:eastAsiaTheme="minorEastAsia" w:hAnsiTheme="minorHAnsi" w:cstheme="minorBidi"/>
          <w:sz w:val="22"/>
          <w:lang w:eastAsia="cs-CZ"/>
        </w:rPr>
      </w:pPr>
      <w:hyperlink w:anchor="_Toc144104376" w:history="1">
        <w:r w:rsidR="00D4102B" w:rsidRPr="0047292F">
          <w:rPr>
            <w:rStyle w:val="Hypertextovodkaz"/>
          </w:rPr>
          <w:t>3.4</w:t>
        </w:r>
        <w:r w:rsidR="00D4102B">
          <w:rPr>
            <w:rFonts w:asciiTheme="minorHAnsi" w:eastAsiaTheme="minorEastAsia" w:hAnsiTheme="minorHAnsi" w:cstheme="minorBidi"/>
            <w:sz w:val="22"/>
            <w:lang w:eastAsia="cs-CZ"/>
          </w:rPr>
          <w:tab/>
        </w:r>
        <w:r w:rsidR="00D4102B" w:rsidRPr="0047292F">
          <w:rPr>
            <w:rStyle w:val="Hypertextovodkaz"/>
          </w:rPr>
          <w:t>Trestní prvostupňová agenda</w:t>
        </w:r>
        <w:r w:rsidR="00D4102B">
          <w:rPr>
            <w:webHidden/>
          </w:rPr>
          <w:tab/>
        </w:r>
        <w:r w:rsidR="00D4102B">
          <w:rPr>
            <w:webHidden/>
          </w:rPr>
          <w:fldChar w:fldCharType="begin"/>
        </w:r>
        <w:r w:rsidR="00D4102B">
          <w:rPr>
            <w:webHidden/>
          </w:rPr>
          <w:instrText xml:space="preserve"> PAGEREF _Toc144104376 \h </w:instrText>
        </w:r>
        <w:r w:rsidR="00D4102B">
          <w:rPr>
            <w:webHidden/>
          </w:rPr>
        </w:r>
        <w:r w:rsidR="00D4102B">
          <w:rPr>
            <w:webHidden/>
          </w:rPr>
          <w:fldChar w:fldCharType="separate"/>
        </w:r>
        <w:r w:rsidR="001E1A67">
          <w:rPr>
            <w:webHidden/>
          </w:rPr>
          <w:t>102</w:t>
        </w:r>
        <w:r w:rsidR="00D4102B">
          <w:rPr>
            <w:webHidden/>
          </w:rPr>
          <w:fldChar w:fldCharType="end"/>
        </w:r>
      </w:hyperlink>
    </w:p>
    <w:p w14:paraId="6412DB04" w14:textId="67605127" w:rsidR="00D4102B" w:rsidRDefault="002734FA">
      <w:pPr>
        <w:pStyle w:val="Obsah3"/>
        <w:rPr>
          <w:rFonts w:asciiTheme="minorHAnsi" w:eastAsiaTheme="minorEastAsia" w:hAnsiTheme="minorHAnsi" w:cstheme="minorBidi"/>
          <w:noProof/>
          <w:sz w:val="22"/>
          <w:lang w:eastAsia="cs-CZ"/>
        </w:rPr>
      </w:pPr>
      <w:hyperlink w:anchor="_Toc144104377" w:history="1">
        <w:r w:rsidR="00D4102B" w:rsidRPr="0047292F">
          <w:rPr>
            <w:rStyle w:val="Hypertextovodkaz"/>
            <w:noProof/>
          </w:rPr>
          <w:t>3.4.1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_Toc144104377 \h </w:instrText>
        </w:r>
        <w:r w:rsidR="00D4102B">
          <w:rPr>
            <w:noProof/>
            <w:webHidden/>
          </w:rPr>
        </w:r>
        <w:r w:rsidR="00D4102B">
          <w:rPr>
            <w:noProof/>
            <w:webHidden/>
          </w:rPr>
          <w:fldChar w:fldCharType="separate"/>
        </w:r>
        <w:r w:rsidR="001E1A67">
          <w:rPr>
            <w:noProof/>
            <w:webHidden/>
          </w:rPr>
          <w:t>102</w:t>
        </w:r>
        <w:r w:rsidR="00D4102B">
          <w:rPr>
            <w:noProof/>
            <w:webHidden/>
          </w:rPr>
          <w:fldChar w:fldCharType="end"/>
        </w:r>
      </w:hyperlink>
    </w:p>
    <w:p w14:paraId="42691387" w14:textId="6DA1D688" w:rsidR="00D4102B" w:rsidRDefault="002734FA">
      <w:pPr>
        <w:pStyle w:val="Obsah3"/>
        <w:rPr>
          <w:rFonts w:asciiTheme="minorHAnsi" w:eastAsiaTheme="minorEastAsia" w:hAnsiTheme="minorHAnsi" w:cstheme="minorBidi"/>
          <w:noProof/>
          <w:sz w:val="22"/>
          <w:lang w:eastAsia="cs-CZ"/>
        </w:rPr>
      </w:pPr>
      <w:hyperlink w:anchor="_Toc144104378" w:history="1">
        <w:r w:rsidR="00D4102B" w:rsidRPr="0047292F">
          <w:rPr>
            <w:rStyle w:val="Hypertextovodkaz"/>
            <w:noProof/>
          </w:rPr>
          <w:t>3.4.2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_Toc144104378 \h </w:instrText>
        </w:r>
        <w:r w:rsidR="00D4102B">
          <w:rPr>
            <w:noProof/>
            <w:webHidden/>
          </w:rPr>
        </w:r>
        <w:r w:rsidR="00D4102B">
          <w:rPr>
            <w:noProof/>
            <w:webHidden/>
          </w:rPr>
          <w:fldChar w:fldCharType="separate"/>
        </w:r>
        <w:r w:rsidR="001E1A67">
          <w:rPr>
            <w:noProof/>
            <w:webHidden/>
          </w:rPr>
          <w:t>104</w:t>
        </w:r>
        <w:r w:rsidR="00D4102B">
          <w:rPr>
            <w:noProof/>
            <w:webHidden/>
          </w:rPr>
          <w:fldChar w:fldCharType="end"/>
        </w:r>
      </w:hyperlink>
    </w:p>
    <w:p w14:paraId="541EEB2C" w14:textId="238B777D" w:rsidR="00D4102B" w:rsidRDefault="002734FA">
      <w:pPr>
        <w:pStyle w:val="Obsah3"/>
        <w:rPr>
          <w:rFonts w:asciiTheme="minorHAnsi" w:eastAsiaTheme="minorEastAsia" w:hAnsiTheme="minorHAnsi" w:cstheme="minorBidi"/>
          <w:noProof/>
          <w:sz w:val="22"/>
          <w:lang w:eastAsia="cs-CZ"/>
        </w:rPr>
      </w:pPr>
      <w:hyperlink w:anchor="_Toc144104379" w:history="1">
        <w:r w:rsidR="00D4102B" w:rsidRPr="0047292F">
          <w:rPr>
            <w:rStyle w:val="Hypertextovodkaz"/>
            <w:noProof/>
          </w:rPr>
          <w:t>3.4.3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 v přepočtu na soudce</w:t>
        </w:r>
        <w:r w:rsidR="00D4102B">
          <w:rPr>
            <w:noProof/>
            <w:webHidden/>
          </w:rPr>
          <w:tab/>
        </w:r>
        <w:r w:rsidR="00D4102B">
          <w:rPr>
            <w:noProof/>
            <w:webHidden/>
          </w:rPr>
          <w:fldChar w:fldCharType="begin"/>
        </w:r>
        <w:r w:rsidR="00D4102B">
          <w:rPr>
            <w:noProof/>
            <w:webHidden/>
          </w:rPr>
          <w:instrText xml:space="preserve"> PAGEREF _Toc144104379 \h </w:instrText>
        </w:r>
        <w:r w:rsidR="00D4102B">
          <w:rPr>
            <w:noProof/>
            <w:webHidden/>
          </w:rPr>
        </w:r>
        <w:r w:rsidR="00D4102B">
          <w:rPr>
            <w:noProof/>
            <w:webHidden/>
          </w:rPr>
          <w:fldChar w:fldCharType="separate"/>
        </w:r>
        <w:r w:rsidR="001E1A67">
          <w:rPr>
            <w:noProof/>
            <w:webHidden/>
          </w:rPr>
          <w:t>105</w:t>
        </w:r>
        <w:r w:rsidR="00D4102B">
          <w:rPr>
            <w:noProof/>
            <w:webHidden/>
          </w:rPr>
          <w:fldChar w:fldCharType="end"/>
        </w:r>
      </w:hyperlink>
    </w:p>
    <w:p w14:paraId="4130DB9D" w14:textId="4D68002A" w:rsidR="00D4102B" w:rsidRDefault="002734FA">
      <w:pPr>
        <w:pStyle w:val="Obsah3"/>
        <w:rPr>
          <w:rFonts w:asciiTheme="minorHAnsi" w:eastAsiaTheme="minorEastAsia" w:hAnsiTheme="minorHAnsi" w:cstheme="minorBidi"/>
          <w:noProof/>
          <w:sz w:val="22"/>
          <w:lang w:eastAsia="cs-CZ"/>
        </w:rPr>
      </w:pPr>
      <w:hyperlink w:anchor="_Toc144104380" w:history="1">
        <w:r w:rsidR="00D4102B" w:rsidRPr="0047292F">
          <w:rPr>
            <w:rStyle w:val="Hypertextovodkaz"/>
            <w:noProof/>
          </w:rPr>
          <w:t>3.4.4</w:t>
        </w:r>
        <w:r w:rsidR="00D4102B">
          <w:rPr>
            <w:rFonts w:asciiTheme="minorHAnsi" w:eastAsiaTheme="minorEastAsia" w:hAnsiTheme="minorHAnsi" w:cstheme="minorBidi"/>
            <w:noProof/>
            <w:sz w:val="22"/>
            <w:lang w:eastAsia="cs-CZ"/>
          </w:rPr>
          <w:tab/>
        </w:r>
        <w:r w:rsidR="00D4102B" w:rsidRPr="0047292F">
          <w:rPr>
            <w:rStyle w:val="Hypertextovodkaz"/>
            <w:noProof/>
          </w:rPr>
          <w:t>Disposition time (dispoziční čas)</w:t>
        </w:r>
        <w:r w:rsidR="00D4102B">
          <w:rPr>
            <w:noProof/>
            <w:webHidden/>
          </w:rPr>
          <w:tab/>
        </w:r>
        <w:r w:rsidR="00D4102B">
          <w:rPr>
            <w:noProof/>
            <w:webHidden/>
          </w:rPr>
          <w:fldChar w:fldCharType="begin"/>
        </w:r>
        <w:r w:rsidR="00D4102B">
          <w:rPr>
            <w:noProof/>
            <w:webHidden/>
          </w:rPr>
          <w:instrText xml:space="preserve"> PAGEREF _Toc144104380 \h </w:instrText>
        </w:r>
        <w:r w:rsidR="00D4102B">
          <w:rPr>
            <w:noProof/>
            <w:webHidden/>
          </w:rPr>
        </w:r>
        <w:r w:rsidR="00D4102B">
          <w:rPr>
            <w:noProof/>
            <w:webHidden/>
          </w:rPr>
          <w:fldChar w:fldCharType="separate"/>
        </w:r>
        <w:r w:rsidR="001E1A67">
          <w:rPr>
            <w:noProof/>
            <w:webHidden/>
          </w:rPr>
          <w:t>106</w:t>
        </w:r>
        <w:r w:rsidR="00D4102B">
          <w:rPr>
            <w:noProof/>
            <w:webHidden/>
          </w:rPr>
          <w:fldChar w:fldCharType="end"/>
        </w:r>
      </w:hyperlink>
    </w:p>
    <w:p w14:paraId="0A65EDB4" w14:textId="5730C17E" w:rsidR="00D4102B" w:rsidRDefault="002734FA">
      <w:pPr>
        <w:pStyle w:val="Obsah3"/>
        <w:rPr>
          <w:rFonts w:asciiTheme="minorHAnsi" w:eastAsiaTheme="minorEastAsia" w:hAnsiTheme="minorHAnsi" w:cstheme="minorBidi"/>
          <w:noProof/>
          <w:sz w:val="22"/>
          <w:lang w:eastAsia="cs-CZ"/>
        </w:rPr>
      </w:pPr>
      <w:hyperlink w:anchor="_Toc144104381" w:history="1">
        <w:r w:rsidR="00D4102B" w:rsidRPr="0047292F">
          <w:rPr>
            <w:rStyle w:val="Hypertextovodkaz"/>
            <w:noProof/>
          </w:rPr>
          <w:t>3.4.5</w:t>
        </w:r>
        <w:r w:rsidR="00D4102B">
          <w:rPr>
            <w:rFonts w:asciiTheme="minorHAnsi" w:eastAsiaTheme="minorEastAsia" w:hAnsiTheme="minorHAnsi" w:cstheme="minorBidi"/>
            <w:noProof/>
            <w:sz w:val="22"/>
            <w:lang w:eastAsia="cs-CZ"/>
          </w:rPr>
          <w:tab/>
        </w:r>
        <w:r w:rsidR="00D4102B" w:rsidRPr="0047292F">
          <w:rPr>
            <w:rStyle w:val="Hypertextovodkaz"/>
            <w:noProof/>
          </w:rPr>
          <w:t>Další statistiky</w:t>
        </w:r>
        <w:r w:rsidR="00D4102B">
          <w:rPr>
            <w:noProof/>
            <w:webHidden/>
          </w:rPr>
          <w:tab/>
        </w:r>
        <w:r w:rsidR="00D4102B">
          <w:rPr>
            <w:noProof/>
            <w:webHidden/>
          </w:rPr>
          <w:fldChar w:fldCharType="begin"/>
        </w:r>
        <w:r w:rsidR="00D4102B">
          <w:rPr>
            <w:noProof/>
            <w:webHidden/>
          </w:rPr>
          <w:instrText xml:space="preserve"> PAGEREF _Toc144104381 \h </w:instrText>
        </w:r>
        <w:r w:rsidR="00D4102B">
          <w:rPr>
            <w:noProof/>
            <w:webHidden/>
          </w:rPr>
        </w:r>
        <w:r w:rsidR="00D4102B">
          <w:rPr>
            <w:noProof/>
            <w:webHidden/>
          </w:rPr>
          <w:fldChar w:fldCharType="separate"/>
        </w:r>
        <w:r w:rsidR="001E1A67">
          <w:rPr>
            <w:noProof/>
            <w:webHidden/>
          </w:rPr>
          <w:t>107</w:t>
        </w:r>
        <w:r w:rsidR="00D4102B">
          <w:rPr>
            <w:noProof/>
            <w:webHidden/>
          </w:rPr>
          <w:fldChar w:fldCharType="end"/>
        </w:r>
      </w:hyperlink>
    </w:p>
    <w:p w14:paraId="035CD9CD" w14:textId="22A41D7F" w:rsidR="00D4102B" w:rsidRDefault="002734FA">
      <w:pPr>
        <w:pStyle w:val="Obsah2"/>
        <w:rPr>
          <w:rFonts w:asciiTheme="minorHAnsi" w:eastAsiaTheme="minorEastAsia" w:hAnsiTheme="minorHAnsi" w:cstheme="minorBidi"/>
          <w:sz w:val="22"/>
          <w:lang w:eastAsia="cs-CZ"/>
        </w:rPr>
      </w:pPr>
      <w:hyperlink w:anchor="_Toc144104382" w:history="1">
        <w:r w:rsidR="00D4102B" w:rsidRPr="0047292F">
          <w:rPr>
            <w:rStyle w:val="Hypertextovodkaz"/>
          </w:rPr>
          <w:t>3.5</w:t>
        </w:r>
        <w:r w:rsidR="00D4102B">
          <w:rPr>
            <w:rFonts w:asciiTheme="minorHAnsi" w:eastAsiaTheme="minorEastAsia" w:hAnsiTheme="minorHAnsi" w:cstheme="minorBidi"/>
            <w:sz w:val="22"/>
            <w:lang w:eastAsia="cs-CZ"/>
          </w:rPr>
          <w:tab/>
        </w:r>
        <w:r w:rsidR="00D4102B" w:rsidRPr="0047292F">
          <w:rPr>
            <w:rStyle w:val="Hypertextovodkaz"/>
          </w:rPr>
          <w:t>Trestní odvolací agenda</w:t>
        </w:r>
        <w:r w:rsidR="00D4102B">
          <w:rPr>
            <w:webHidden/>
          </w:rPr>
          <w:tab/>
        </w:r>
        <w:r w:rsidR="00D4102B">
          <w:rPr>
            <w:webHidden/>
          </w:rPr>
          <w:fldChar w:fldCharType="begin"/>
        </w:r>
        <w:r w:rsidR="00D4102B">
          <w:rPr>
            <w:webHidden/>
          </w:rPr>
          <w:instrText xml:space="preserve"> PAGEREF _Toc144104382 \h </w:instrText>
        </w:r>
        <w:r w:rsidR="00D4102B">
          <w:rPr>
            <w:webHidden/>
          </w:rPr>
        </w:r>
        <w:r w:rsidR="00D4102B">
          <w:rPr>
            <w:webHidden/>
          </w:rPr>
          <w:fldChar w:fldCharType="separate"/>
        </w:r>
        <w:r w:rsidR="001E1A67">
          <w:rPr>
            <w:webHidden/>
          </w:rPr>
          <w:t>110</w:t>
        </w:r>
        <w:r w:rsidR="00D4102B">
          <w:rPr>
            <w:webHidden/>
          </w:rPr>
          <w:fldChar w:fldCharType="end"/>
        </w:r>
      </w:hyperlink>
    </w:p>
    <w:p w14:paraId="1C1C44EC" w14:textId="2D462EF7" w:rsidR="00D4102B" w:rsidRDefault="002734FA">
      <w:pPr>
        <w:pStyle w:val="Obsah3"/>
        <w:rPr>
          <w:rFonts w:asciiTheme="minorHAnsi" w:eastAsiaTheme="minorEastAsia" w:hAnsiTheme="minorHAnsi" w:cstheme="minorBidi"/>
          <w:noProof/>
          <w:sz w:val="22"/>
          <w:lang w:eastAsia="cs-CZ"/>
        </w:rPr>
      </w:pPr>
      <w:hyperlink w:anchor="_Toc144104383" w:history="1">
        <w:r w:rsidR="00D4102B" w:rsidRPr="0047292F">
          <w:rPr>
            <w:rStyle w:val="Hypertextovodkaz"/>
            <w:noProof/>
          </w:rPr>
          <w:t>3.5.1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_Toc144104383 \h </w:instrText>
        </w:r>
        <w:r w:rsidR="00D4102B">
          <w:rPr>
            <w:noProof/>
            <w:webHidden/>
          </w:rPr>
        </w:r>
        <w:r w:rsidR="00D4102B">
          <w:rPr>
            <w:noProof/>
            <w:webHidden/>
          </w:rPr>
          <w:fldChar w:fldCharType="separate"/>
        </w:r>
        <w:r w:rsidR="001E1A67">
          <w:rPr>
            <w:noProof/>
            <w:webHidden/>
          </w:rPr>
          <w:t>110</w:t>
        </w:r>
        <w:r w:rsidR="00D4102B">
          <w:rPr>
            <w:noProof/>
            <w:webHidden/>
          </w:rPr>
          <w:fldChar w:fldCharType="end"/>
        </w:r>
      </w:hyperlink>
    </w:p>
    <w:p w14:paraId="038CD519" w14:textId="0CFC494E" w:rsidR="00D4102B" w:rsidRDefault="002734FA">
      <w:pPr>
        <w:pStyle w:val="Obsah3"/>
        <w:rPr>
          <w:rFonts w:asciiTheme="minorHAnsi" w:eastAsiaTheme="minorEastAsia" w:hAnsiTheme="minorHAnsi" w:cstheme="minorBidi"/>
          <w:noProof/>
          <w:sz w:val="22"/>
          <w:lang w:eastAsia="cs-CZ"/>
        </w:rPr>
      </w:pPr>
      <w:hyperlink w:anchor="_Toc144104384" w:history="1">
        <w:r w:rsidR="00D4102B" w:rsidRPr="0047292F">
          <w:rPr>
            <w:rStyle w:val="Hypertextovodkaz"/>
            <w:noProof/>
          </w:rPr>
          <w:t>3.5.2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_Toc144104384 \h </w:instrText>
        </w:r>
        <w:r w:rsidR="00D4102B">
          <w:rPr>
            <w:noProof/>
            <w:webHidden/>
          </w:rPr>
        </w:r>
        <w:r w:rsidR="00D4102B">
          <w:rPr>
            <w:noProof/>
            <w:webHidden/>
          </w:rPr>
          <w:fldChar w:fldCharType="separate"/>
        </w:r>
        <w:r w:rsidR="001E1A67">
          <w:rPr>
            <w:noProof/>
            <w:webHidden/>
          </w:rPr>
          <w:t>112</w:t>
        </w:r>
        <w:r w:rsidR="00D4102B">
          <w:rPr>
            <w:noProof/>
            <w:webHidden/>
          </w:rPr>
          <w:fldChar w:fldCharType="end"/>
        </w:r>
      </w:hyperlink>
    </w:p>
    <w:p w14:paraId="4CD7DEDF" w14:textId="7FB6A292" w:rsidR="00D4102B" w:rsidRDefault="002734FA">
      <w:pPr>
        <w:pStyle w:val="Obsah3"/>
        <w:rPr>
          <w:rFonts w:asciiTheme="minorHAnsi" w:eastAsiaTheme="minorEastAsia" w:hAnsiTheme="minorHAnsi" w:cstheme="minorBidi"/>
          <w:noProof/>
          <w:sz w:val="22"/>
          <w:lang w:eastAsia="cs-CZ"/>
        </w:rPr>
      </w:pPr>
      <w:hyperlink w:anchor="_Toc144104385" w:history="1">
        <w:r w:rsidR="00D4102B" w:rsidRPr="0047292F">
          <w:rPr>
            <w:rStyle w:val="Hypertextovodkaz"/>
            <w:noProof/>
          </w:rPr>
          <w:t>3.5.3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 přepočtu na soudce</w:t>
        </w:r>
        <w:r w:rsidR="00D4102B">
          <w:rPr>
            <w:noProof/>
            <w:webHidden/>
          </w:rPr>
          <w:tab/>
        </w:r>
        <w:r w:rsidR="00D4102B">
          <w:rPr>
            <w:noProof/>
            <w:webHidden/>
          </w:rPr>
          <w:fldChar w:fldCharType="begin"/>
        </w:r>
        <w:r w:rsidR="00D4102B">
          <w:rPr>
            <w:noProof/>
            <w:webHidden/>
          </w:rPr>
          <w:instrText xml:space="preserve"> PAGEREF _Toc144104385 \h </w:instrText>
        </w:r>
        <w:r w:rsidR="00D4102B">
          <w:rPr>
            <w:noProof/>
            <w:webHidden/>
          </w:rPr>
        </w:r>
        <w:r w:rsidR="00D4102B">
          <w:rPr>
            <w:noProof/>
            <w:webHidden/>
          </w:rPr>
          <w:fldChar w:fldCharType="separate"/>
        </w:r>
        <w:r w:rsidR="001E1A67">
          <w:rPr>
            <w:noProof/>
            <w:webHidden/>
          </w:rPr>
          <w:t>113</w:t>
        </w:r>
        <w:r w:rsidR="00D4102B">
          <w:rPr>
            <w:noProof/>
            <w:webHidden/>
          </w:rPr>
          <w:fldChar w:fldCharType="end"/>
        </w:r>
      </w:hyperlink>
    </w:p>
    <w:p w14:paraId="108DF319" w14:textId="1F4C3E15" w:rsidR="00D4102B" w:rsidRDefault="002734FA">
      <w:pPr>
        <w:pStyle w:val="Obsah3"/>
        <w:rPr>
          <w:rFonts w:asciiTheme="minorHAnsi" w:eastAsiaTheme="minorEastAsia" w:hAnsiTheme="minorHAnsi" w:cstheme="minorBidi"/>
          <w:noProof/>
          <w:sz w:val="22"/>
          <w:lang w:eastAsia="cs-CZ"/>
        </w:rPr>
      </w:pPr>
      <w:hyperlink w:anchor="_Toc144104386" w:history="1">
        <w:r w:rsidR="00D4102B" w:rsidRPr="0047292F">
          <w:rPr>
            <w:rStyle w:val="Hypertextovodkaz"/>
            <w:noProof/>
          </w:rPr>
          <w:t>3.5.4</w:t>
        </w:r>
        <w:r w:rsidR="00D4102B">
          <w:rPr>
            <w:rFonts w:asciiTheme="minorHAnsi" w:eastAsiaTheme="minorEastAsia" w:hAnsiTheme="minorHAnsi" w:cstheme="minorBidi"/>
            <w:noProof/>
            <w:sz w:val="22"/>
            <w:lang w:eastAsia="cs-CZ"/>
          </w:rPr>
          <w:tab/>
        </w:r>
        <w:r w:rsidR="00D4102B" w:rsidRPr="0047292F">
          <w:rPr>
            <w:rStyle w:val="Hypertextovodkaz"/>
            <w:noProof/>
          </w:rPr>
          <w:t>Disposition time (dispoziční čas)</w:t>
        </w:r>
        <w:r w:rsidR="00D4102B">
          <w:rPr>
            <w:noProof/>
            <w:webHidden/>
          </w:rPr>
          <w:tab/>
        </w:r>
        <w:r w:rsidR="00D4102B">
          <w:rPr>
            <w:noProof/>
            <w:webHidden/>
          </w:rPr>
          <w:fldChar w:fldCharType="begin"/>
        </w:r>
        <w:r w:rsidR="00D4102B">
          <w:rPr>
            <w:noProof/>
            <w:webHidden/>
          </w:rPr>
          <w:instrText xml:space="preserve"> PAGEREF _Toc144104386 \h </w:instrText>
        </w:r>
        <w:r w:rsidR="00D4102B">
          <w:rPr>
            <w:noProof/>
            <w:webHidden/>
          </w:rPr>
        </w:r>
        <w:r w:rsidR="00D4102B">
          <w:rPr>
            <w:noProof/>
            <w:webHidden/>
          </w:rPr>
          <w:fldChar w:fldCharType="separate"/>
        </w:r>
        <w:r w:rsidR="001E1A67">
          <w:rPr>
            <w:noProof/>
            <w:webHidden/>
          </w:rPr>
          <w:t>114</w:t>
        </w:r>
        <w:r w:rsidR="00D4102B">
          <w:rPr>
            <w:noProof/>
            <w:webHidden/>
          </w:rPr>
          <w:fldChar w:fldCharType="end"/>
        </w:r>
      </w:hyperlink>
    </w:p>
    <w:p w14:paraId="30B3B0A4" w14:textId="69E4B262" w:rsidR="00D4102B" w:rsidRDefault="002734FA">
      <w:pPr>
        <w:pStyle w:val="Obsah2"/>
        <w:rPr>
          <w:rFonts w:asciiTheme="minorHAnsi" w:eastAsiaTheme="minorEastAsia" w:hAnsiTheme="minorHAnsi" w:cstheme="minorBidi"/>
          <w:sz w:val="22"/>
          <w:lang w:eastAsia="cs-CZ"/>
        </w:rPr>
      </w:pPr>
      <w:hyperlink w:anchor="_Toc144104387" w:history="1">
        <w:r w:rsidR="00D4102B" w:rsidRPr="0047292F">
          <w:rPr>
            <w:rStyle w:val="Hypertextovodkaz"/>
          </w:rPr>
          <w:t>3.6</w:t>
        </w:r>
        <w:r w:rsidR="00D4102B">
          <w:rPr>
            <w:rFonts w:asciiTheme="minorHAnsi" w:eastAsiaTheme="minorEastAsia" w:hAnsiTheme="minorHAnsi" w:cstheme="minorBidi"/>
            <w:sz w:val="22"/>
            <w:lang w:eastAsia="cs-CZ"/>
          </w:rPr>
          <w:tab/>
        </w:r>
        <w:r w:rsidR="00D4102B" w:rsidRPr="0047292F">
          <w:rPr>
            <w:rStyle w:val="Hypertextovodkaz"/>
          </w:rPr>
          <w:t>Správní agenda</w:t>
        </w:r>
        <w:r w:rsidR="00D4102B">
          <w:rPr>
            <w:webHidden/>
          </w:rPr>
          <w:tab/>
        </w:r>
        <w:r w:rsidR="00D4102B">
          <w:rPr>
            <w:webHidden/>
          </w:rPr>
          <w:fldChar w:fldCharType="begin"/>
        </w:r>
        <w:r w:rsidR="00D4102B">
          <w:rPr>
            <w:webHidden/>
          </w:rPr>
          <w:instrText xml:space="preserve"> PAGEREF _Toc144104387 \h </w:instrText>
        </w:r>
        <w:r w:rsidR="00D4102B">
          <w:rPr>
            <w:webHidden/>
          </w:rPr>
        </w:r>
        <w:r w:rsidR="00D4102B">
          <w:rPr>
            <w:webHidden/>
          </w:rPr>
          <w:fldChar w:fldCharType="separate"/>
        </w:r>
        <w:r w:rsidR="001E1A67">
          <w:rPr>
            <w:webHidden/>
          </w:rPr>
          <w:t>116</w:t>
        </w:r>
        <w:r w:rsidR="00D4102B">
          <w:rPr>
            <w:webHidden/>
          </w:rPr>
          <w:fldChar w:fldCharType="end"/>
        </w:r>
      </w:hyperlink>
    </w:p>
    <w:p w14:paraId="788C6402" w14:textId="5609553A" w:rsidR="00D4102B" w:rsidRDefault="002734FA">
      <w:pPr>
        <w:pStyle w:val="Obsah3"/>
        <w:rPr>
          <w:rFonts w:asciiTheme="minorHAnsi" w:eastAsiaTheme="minorEastAsia" w:hAnsiTheme="minorHAnsi" w:cstheme="minorBidi"/>
          <w:noProof/>
          <w:sz w:val="22"/>
          <w:lang w:eastAsia="cs-CZ"/>
        </w:rPr>
      </w:pPr>
      <w:hyperlink w:anchor="_Toc144104388" w:history="1">
        <w:r w:rsidR="00D4102B" w:rsidRPr="0047292F">
          <w:rPr>
            <w:rStyle w:val="Hypertextovodkaz"/>
            <w:noProof/>
          </w:rPr>
          <w:t>3.6.1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_Toc144104388 \h </w:instrText>
        </w:r>
        <w:r w:rsidR="00D4102B">
          <w:rPr>
            <w:noProof/>
            <w:webHidden/>
          </w:rPr>
        </w:r>
        <w:r w:rsidR="00D4102B">
          <w:rPr>
            <w:noProof/>
            <w:webHidden/>
          </w:rPr>
          <w:fldChar w:fldCharType="separate"/>
        </w:r>
        <w:r w:rsidR="001E1A67">
          <w:rPr>
            <w:noProof/>
            <w:webHidden/>
          </w:rPr>
          <w:t>116</w:t>
        </w:r>
        <w:r w:rsidR="00D4102B">
          <w:rPr>
            <w:noProof/>
            <w:webHidden/>
          </w:rPr>
          <w:fldChar w:fldCharType="end"/>
        </w:r>
      </w:hyperlink>
    </w:p>
    <w:p w14:paraId="3CE5982A" w14:textId="042E51CF" w:rsidR="00D4102B" w:rsidRDefault="002734FA">
      <w:pPr>
        <w:pStyle w:val="Obsah3"/>
        <w:rPr>
          <w:rFonts w:asciiTheme="minorHAnsi" w:eastAsiaTheme="minorEastAsia" w:hAnsiTheme="minorHAnsi" w:cstheme="minorBidi"/>
          <w:noProof/>
          <w:sz w:val="22"/>
          <w:lang w:eastAsia="cs-CZ"/>
        </w:rPr>
      </w:pPr>
      <w:hyperlink w:anchor="_Toc144104389" w:history="1">
        <w:r w:rsidR="00D4102B" w:rsidRPr="0047292F">
          <w:rPr>
            <w:rStyle w:val="Hypertextovodkaz"/>
            <w:noProof/>
          </w:rPr>
          <w:t>3.6.2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_Toc144104389 \h </w:instrText>
        </w:r>
        <w:r w:rsidR="00D4102B">
          <w:rPr>
            <w:noProof/>
            <w:webHidden/>
          </w:rPr>
        </w:r>
        <w:r w:rsidR="00D4102B">
          <w:rPr>
            <w:noProof/>
            <w:webHidden/>
          </w:rPr>
          <w:fldChar w:fldCharType="separate"/>
        </w:r>
        <w:r w:rsidR="001E1A67">
          <w:rPr>
            <w:noProof/>
            <w:webHidden/>
          </w:rPr>
          <w:t>118</w:t>
        </w:r>
        <w:r w:rsidR="00D4102B">
          <w:rPr>
            <w:noProof/>
            <w:webHidden/>
          </w:rPr>
          <w:fldChar w:fldCharType="end"/>
        </w:r>
      </w:hyperlink>
    </w:p>
    <w:p w14:paraId="4F0B4B6A" w14:textId="5DABF03D" w:rsidR="00D4102B" w:rsidRDefault="002734FA">
      <w:pPr>
        <w:pStyle w:val="Obsah3"/>
        <w:rPr>
          <w:rFonts w:asciiTheme="minorHAnsi" w:eastAsiaTheme="minorEastAsia" w:hAnsiTheme="minorHAnsi" w:cstheme="minorBidi"/>
          <w:noProof/>
          <w:sz w:val="22"/>
          <w:lang w:eastAsia="cs-CZ"/>
        </w:rPr>
      </w:pPr>
      <w:hyperlink w:anchor="_Toc144104390" w:history="1">
        <w:r w:rsidR="00D4102B" w:rsidRPr="0047292F">
          <w:rPr>
            <w:rStyle w:val="Hypertextovodkaz"/>
            <w:noProof/>
          </w:rPr>
          <w:t>3.6.3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 v přepočtu na soudce</w:t>
        </w:r>
        <w:r w:rsidR="00D4102B">
          <w:rPr>
            <w:noProof/>
            <w:webHidden/>
          </w:rPr>
          <w:tab/>
        </w:r>
        <w:r w:rsidR="00D4102B">
          <w:rPr>
            <w:noProof/>
            <w:webHidden/>
          </w:rPr>
          <w:fldChar w:fldCharType="begin"/>
        </w:r>
        <w:r w:rsidR="00D4102B">
          <w:rPr>
            <w:noProof/>
            <w:webHidden/>
          </w:rPr>
          <w:instrText xml:space="preserve"> PAGEREF _Toc144104390 \h </w:instrText>
        </w:r>
        <w:r w:rsidR="00D4102B">
          <w:rPr>
            <w:noProof/>
            <w:webHidden/>
          </w:rPr>
        </w:r>
        <w:r w:rsidR="00D4102B">
          <w:rPr>
            <w:noProof/>
            <w:webHidden/>
          </w:rPr>
          <w:fldChar w:fldCharType="separate"/>
        </w:r>
        <w:r w:rsidR="001E1A67">
          <w:rPr>
            <w:noProof/>
            <w:webHidden/>
          </w:rPr>
          <w:t>121</w:t>
        </w:r>
        <w:r w:rsidR="00D4102B">
          <w:rPr>
            <w:noProof/>
            <w:webHidden/>
          </w:rPr>
          <w:fldChar w:fldCharType="end"/>
        </w:r>
      </w:hyperlink>
    </w:p>
    <w:p w14:paraId="7F58F845" w14:textId="42E1EA8B" w:rsidR="00D4102B" w:rsidRDefault="002734FA">
      <w:pPr>
        <w:pStyle w:val="Obsah3"/>
        <w:rPr>
          <w:rFonts w:asciiTheme="minorHAnsi" w:eastAsiaTheme="minorEastAsia" w:hAnsiTheme="minorHAnsi" w:cstheme="minorBidi"/>
          <w:noProof/>
          <w:sz w:val="22"/>
          <w:lang w:eastAsia="cs-CZ"/>
        </w:rPr>
      </w:pPr>
      <w:hyperlink w:anchor="_Toc144104391" w:history="1">
        <w:r w:rsidR="00D4102B" w:rsidRPr="0047292F">
          <w:rPr>
            <w:rStyle w:val="Hypertextovodkaz"/>
            <w:noProof/>
          </w:rPr>
          <w:t>3.6.4</w:t>
        </w:r>
        <w:r w:rsidR="00D4102B">
          <w:rPr>
            <w:rFonts w:asciiTheme="minorHAnsi" w:eastAsiaTheme="minorEastAsia" w:hAnsiTheme="minorHAnsi" w:cstheme="minorBidi"/>
            <w:noProof/>
            <w:sz w:val="22"/>
            <w:lang w:eastAsia="cs-CZ"/>
          </w:rPr>
          <w:tab/>
        </w:r>
        <w:r w:rsidR="00D4102B" w:rsidRPr="0047292F">
          <w:rPr>
            <w:rStyle w:val="Hypertextovodkaz"/>
            <w:noProof/>
          </w:rPr>
          <w:t>Disposition time (dispoziční čas)</w:t>
        </w:r>
        <w:r w:rsidR="00D4102B">
          <w:rPr>
            <w:noProof/>
            <w:webHidden/>
          </w:rPr>
          <w:tab/>
        </w:r>
        <w:r w:rsidR="00D4102B">
          <w:rPr>
            <w:noProof/>
            <w:webHidden/>
          </w:rPr>
          <w:fldChar w:fldCharType="begin"/>
        </w:r>
        <w:r w:rsidR="00D4102B">
          <w:rPr>
            <w:noProof/>
            <w:webHidden/>
          </w:rPr>
          <w:instrText xml:space="preserve"> PAGEREF _Toc144104391 \h </w:instrText>
        </w:r>
        <w:r w:rsidR="00D4102B">
          <w:rPr>
            <w:noProof/>
            <w:webHidden/>
          </w:rPr>
        </w:r>
        <w:r w:rsidR="00D4102B">
          <w:rPr>
            <w:noProof/>
            <w:webHidden/>
          </w:rPr>
          <w:fldChar w:fldCharType="separate"/>
        </w:r>
        <w:r w:rsidR="001E1A67">
          <w:rPr>
            <w:noProof/>
            <w:webHidden/>
          </w:rPr>
          <w:t>121</w:t>
        </w:r>
        <w:r w:rsidR="00D4102B">
          <w:rPr>
            <w:noProof/>
            <w:webHidden/>
          </w:rPr>
          <w:fldChar w:fldCharType="end"/>
        </w:r>
      </w:hyperlink>
    </w:p>
    <w:p w14:paraId="13397C4F" w14:textId="5633489B" w:rsidR="00D4102B" w:rsidRDefault="002734FA">
      <w:pPr>
        <w:pStyle w:val="Obsah2"/>
        <w:rPr>
          <w:rFonts w:asciiTheme="minorHAnsi" w:eastAsiaTheme="minorEastAsia" w:hAnsiTheme="minorHAnsi" w:cstheme="minorBidi"/>
          <w:sz w:val="22"/>
          <w:lang w:eastAsia="cs-CZ"/>
        </w:rPr>
      </w:pPr>
      <w:hyperlink w:anchor="_Toc144104392" w:history="1">
        <w:r w:rsidR="00D4102B" w:rsidRPr="0047292F">
          <w:rPr>
            <w:rStyle w:val="Hypertextovodkaz"/>
          </w:rPr>
          <w:t>3.7</w:t>
        </w:r>
        <w:r w:rsidR="00D4102B">
          <w:rPr>
            <w:rFonts w:asciiTheme="minorHAnsi" w:eastAsiaTheme="minorEastAsia" w:hAnsiTheme="minorHAnsi" w:cstheme="minorBidi"/>
            <w:sz w:val="22"/>
            <w:lang w:eastAsia="cs-CZ"/>
          </w:rPr>
          <w:tab/>
        </w:r>
        <w:r w:rsidR="00D4102B" w:rsidRPr="0047292F">
          <w:rPr>
            <w:rStyle w:val="Hypertextovodkaz"/>
          </w:rPr>
          <w:t>Insolvenční agenda</w:t>
        </w:r>
        <w:r w:rsidR="00D4102B">
          <w:rPr>
            <w:webHidden/>
          </w:rPr>
          <w:tab/>
        </w:r>
        <w:r w:rsidR="00D4102B">
          <w:rPr>
            <w:webHidden/>
          </w:rPr>
          <w:fldChar w:fldCharType="begin"/>
        </w:r>
        <w:r w:rsidR="00D4102B">
          <w:rPr>
            <w:webHidden/>
          </w:rPr>
          <w:instrText xml:space="preserve"> PAGEREF _Toc144104392 \h </w:instrText>
        </w:r>
        <w:r w:rsidR="00D4102B">
          <w:rPr>
            <w:webHidden/>
          </w:rPr>
        </w:r>
        <w:r w:rsidR="00D4102B">
          <w:rPr>
            <w:webHidden/>
          </w:rPr>
          <w:fldChar w:fldCharType="separate"/>
        </w:r>
        <w:r w:rsidR="001E1A67">
          <w:rPr>
            <w:webHidden/>
          </w:rPr>
          <w:t>123</w:t>
        </w:r>
        <w:r w:rsidR="00D4102B">
          <w:rPr>
            <w:webHidden/>
          </w:rPr>
          <w:fldChar w:fldCharType="end"/>
        </w:r>
      </w:hyperlink>
    </w:p>
    <w:p w14:paraId="1F62A550" w14:textId="1840250F" w:rsidR="00D4102B" w:rsidRDefault="002734FA">
      <w:pPr>
        <w:pStyle w:val="Obsah3"/>
        <w:rPr>
          <w:rFonts w:asciiTheme="minorHAnsi" w:eastAsiaTheme="minorEastAsia" w:hAnsiTheme="minorHAnsi" w:cstheme="minorBidi"/>
          <w:noProof/>
          <w:sz w:val="22"/>
          <w:lang w:eastAsia="cs-CZ"/>
        </w:rPr>
      </w:pPr>
      <w:hyperlink w:anchor="_Toc144104393" w:history="1">
        <w:r w:rsidR="00D4102B" w:rsidRPr="0047292F">
          <w:rPr>
            <w:rStyle w:val="Hypertextovodkaz"/>
            <w:noProof/>
          </w:rPr>
          <w:t>3.7.1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_Toc144104393 \h </w:instrText>
        </w:r>
        <w:r w:rsidR="00D4102B">
          <w:rPr>
            <w:noProof/>
            <w:webHidden/>
          </w:rPr>
        </w:r>
        <w:r w:rsidR="00D4102B">
          <w:rPr>
            <w:noProof/>
            <w:webHidden/>
          </w:rPr>
          <w:fldChar w:fldCharType="separate"/>
        </w:r>
        <w:r w:rsidR="001E1A67">
          <w:rPr>
            <w:noProof/>
            <w:webHidden/>
          </w:rPr>
          <w:t>123</w:t>
        </w:r>
        <w:r w:rsidR="00D4102B">
          <w:rPr>
            <w:noProof/>
            <w:webHidden/>
          </w:rPr>
          <w:fldChar w:fldCharType="end"/>
        </w:r>
      </w:hyperlink>
    </w:p>
    <w:p w14:paraId="266CB3E6" w14:textId="2C8DDADA" w:rsidR="00D4102B" w:rsidRDefault="002734FA">
      <w:pPr>
        <w:pStyle w:val="Obsah3"/>
        <w:rPr>
          <w:rFonts w:asciiTheme="minorHAnsi" w:eastAsiaTheme="minorEastAsia" w:hAnsiTheme="minorHAnsi" w:cstheme="minorBidi"/>
          <w:noProof/>
          <w:sz w:val="22"/>
          <w:lang w:eastAsia="cs-CZ"/>
        </w:rPr>
      </w:pPr>
      <w:hyperlink w:anchor="_Toc144104394" w:history="1">
        <w:r w:rsidR="00D4102B" w:rsidRPr="0047292F">
          <w:rPr>
            <w:rStyle w:val="Hypertextovodkaz"/>
            <w:noProof/>
          </w:rPr>
          <w:t>3.7.2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_Toc144104394 \h </w:instrText>
        </w:r>
        <w:r w:rsidR="00D4102B">
          <w:rPr>
            <w:noProof/>
            <w:webHidden/>
          </w:rPr>
        </w:r>
        <w:r w:rsidR="00D4102B">
          <w:rPr>
            <w:noProof/>
            <w:webHidden/>
          </w:rPr>
          <w:fldChar w:fldCharType="separate"/>
        </w:r>
        <w:r w:rsidR="001E1A67">
          <w:rPr>
            <w:noProof/>
            <w:webHidden/>
          </w:rPr>
          <w:t>125</w:t>
        </w:r>
        <w:r w:rsidR="00D4102B">
          <w:rPr>
            <w:noProof/>
            <w:webHidden/>
          </w:rPr>
          <w:fldChar w:fldCharType="end"/>
        </w:r>
      </w:hyperlink>
    </w:p>
    <w:p w14:paraId="333E3D1F" w14:textId="14EA4580" w:rsidR="00D4102B" w:rsidRDefault="002734FA">
      <w:pPr>
        <w:pStyle w:val="Obsah3"/>
        <w:rPr>
          <w:rFonts w:asciiTheme="minorHAnsi" w:eastAsiaTheme="minorEastAsia" w:hAnsiTheme="minorHAnsi" w:cstheme="minorBidi"/>
          <w:noProof/>
          <w:sz w:val="22"/>
          <w:lang w:eastAsia="cs-CZ"/>
        </w:rPr>
      </w:pPr>
      <w:hyperlink w:anchor="_Toc144104395" w:history="1">
        <w:r w:rsidR="00D4102B" w:rsidRPr="0047292F">
          <w:rPr>
            <w:rStyle w:val="Hypertextovodkaz"/>
            <w:noProof/>
          </w:rPr>
          <w:t>3.7.3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 v přepočtu na soudce</w:t>
        </w:r>
        <w:r w:rsidR="00D4102B">
          <w:rPr>
            <w:noProof/>
            <w:webHidden/>
          </w:rPr>
          <w:tab/>
        </w:r>
        <w:r w:rsidR="00D4102B">
          <w:rPr>
            <w:noProof/>
            <w:webHidden/>
          </w:rPr>
          <w:fldChar w:fldCharType="begin"/>
        </w:r>
        <w:r w:rsidR="00D4102B">
          <w:rPr>
            <w:noProof/>
            <w:webHidden/>
          </w:rPr>
          <w:instrText xml:space="preserve"> PAGEREF _Toc144104395 \h </w:instrText>
        </w:r>
        <w:r w:rsidR="00D4102B">
          <w:rPr>
            <w:noProof/>
            <w:webHidden/>
          </w:rPr>
        </w:r>
        <w:r w:rsidR="00D4102B">
          <w:rPr>
            <w:noProof/>
            <w:webHidden/>
          </w:rPr>
          <w:fldChar w:fldCharType="separate"/>
        </w:r>
        <w:r w:rsidR="001E1A67">
          <w:rPr>
            <w:noProof/>
            <w:webHidden/>
          </w:rPr>
          <w:t>127</w:t>
        </w:r>
        <w:r w:rsidR="00D4102B">
          <w:rPr>
            <w:noProof/>
            <w:webHidden/>
          </w:rPr>
          <w:fldChar w:fldCharType="end"/>
        </w:r>
      </w:hyperlink>
    </w:p>
    <w:p w14:paraId="75BB9B6F" w14:textId="0E33654E" w:rsidR="00D4102B" w:rsidRDefault="002734FA">
      <w:pPr>
        <w:pStyle w:val="Obsah3"/>
        <w:rPr>
          <w:rFonts w:asciiTheme="minorHAnsi" w:eastAsiaTheme="minorEastAsia" w:hAnsiTheme="minorHAnsi" w:cstheme="minorBidi"/>
          <w:noProof/>
          <w:sz w:val="22"/>
          <w:lang w:eastAsia="cs-CZ"/>
        </w:rPr>
      </w:pPr>
      <w:hyperlink w:anchor="_Toc144104396" w:history="1">
        <w:r w:rsidR="00D4102B" w:rsidRPr="0047292F">
          <w:rPr>
            <w:rStyle w:val="Hypertextovodkaz"/>
            <w:noProof/>
          </w:rPr>
          <w:t>3.7.4</w:t>
        </w:r>
        <w:r w:rsidR="00D4102B">
          <w:rPr>
            <w:rFonts w:asciiTheme="minorHAnsi" w:eastAsiaTheme="minorEastAsia" w:hAnsiTheme="minorHAnsi" w:cstheme="minorBidi"/>
            <w:noProof/>
            <w:sz w:val="22"/>
            <w:lang w:eastAsia="cs-CZ"/>
          </w:rPr>
          <w:tab/>
        </w:r>
        <w:r w:rsidR="00D4102B" w:rsidRPr="0047292F">
          <w:rPr>
            <w:rStyle w:val="Hypertextovodkaz"/>
            <w:noProof/>
          </w:rPr>
          <w:t>Další statistiky</w:t>
        </w:r>
        <w:r w:rsidR="00D4102B">
          <w:rPr>
            <w:noProof/>
            <w:webHidden/>
          </w:rPr>
          <w:tab/>
        </w:r>
        <w:r w:rsidR="00D4102B">
          <w:rPr>
            <w:noProof/>
            <w:webHidden/>
          </w:rPr>
          <w:fldChar w:fldCharType="begin"/>
        </w:r>
        <w:r w:rsidR="00D4102B">
          <w:rPr>
            <w:noProof/>
            <w:webHidden/>
          </w:rPr>
          <w:instrText xml:space="preserve"> PAGEREF _Toc144104396 \h </w:instrText>
        </w:r>
        <w:r w:rsidR="00D4102B">
          <w:rPr>
            <w:noProof/>
            <w:webHidden/>
          </w:rPr>
        </w:r>
        <w:r w:rsidR="00D4102B">
          <w:rPr>
            <w:noProof/>
            <w:webHidden/>
          </w:rPr>
          <w:fldChar w:fldCharType="separate"/>
        </w:r>
        <w:r w:rsidR="001E1A67">
          <w:rPr>
            <w:noProof/>
            <w:webHidden/>
          </w:rPr>
          <w:t>128</w:t>
        </w:r>
        <w:r w:rsidR="00D4102B">
          <w:rPr>
            <w:noProof/>
            <w:webHidden/>
          </w:rPr>
          <w:fldChar w:fldCharType="end"/>
        </w:r>
      </w:hyperlink>
    </w:p>
    <w:p w14:paraId="3946F4F9" w14:textId="04D33F2B" w:rsidR="00D4102B" w:rsidRDefault="002734FA">
      <w:pPr>
        <w:pStyle w:val="Obsah2"/>
        <w:rPr>
          <w:rFonts w:asciiTheme="minorHAnsi" w:eastAsiaTheme="minorEastAsia" w:hAnsiTheme="minorHAnsi" w:cstheme="minorBidi"/>
          <w:sz w:val="22"/>
          <w:lang w:eastAsia="cs-CZ"/>
        </w:rPr>
      </w:pPr>
      <w:hyperlink w:anchor="_Toc144104397" w:history="1">
        <w:r w:rsidR="00D4102B" w:rsidRPr="0047292F">
          <w:rPr>
            <w:rStyle w:val="Hypertextovodkaz"/>
          </w:rPr>
          <w:t>3.8</w:t>
        </w:r>
        <w:r w:rsidR="00D4102B">
          <w:rPr>
            <w:rFonts w:asciiTheme="minorHAnsi" w:eastAsiaTheme="minorEastAsia" w:hAnsiTheme="minorHAnsi" w:cstheme="minorBidi"/>
            <w:sz w:val="22"/>
            <w:lang w:eastAsia="cs-CZ"/>
          </w:rPr>
          <w:tab/>
        </w:r>
        <w:r w:rsidR="00D4102B" w:rsidRPr="0047292F">
          <w:rPr>
            <w:rStyle w:val="Hypertextovodkaz"/>
          </w:rPr>
          <w:t>Incidenční spory</w:t>
        </w:r>
        <w:r w:rsidR="00D4102B">
          <w:rPr>
            <w:webHidden/>
          </w:rPr>
          <w:tab/>
        </w:r>
        <w:r w:rsidR="00D4102B">
          <w:rPr>
            <w:webHidden/>
          </w:rPr>
          <w:fldChar w:fldCharType="begin"/>
        </w:r>
        <w:r w:rsidR="00D4102B">
          <w:rPr>
            <w:webHidden/>
          </w:rPr>
          <w:instrText xml:space="preserve"> PAGEREF _Toc144104397 \h </w:instrText>
        </w:r>
        <w:r w:rsidR="00D4102B">
          <w:rPr>
            <w:webHidden/>
          </w:rPr>
        </w:r>
        <w:r w:rsidR="00D4102B">
          <w:rPr>
            <w:webHidden/>
          </w:rPr>
          <w:fldChar w:fldCharType="separate"/>
        </w:r>
        <w:r w:rsidR="001E1A67">
          <w:rPr>
            <w:webHidden/>
          </w:rPr>
          <w:t>129</w:t>
        </w:r>
        <w:r w:rsidR="00D4102B">
          <w:rPr>
            <w:webHidden/>
          </w:rPr>
          <w:fldChar w:fldCharType="end"/>
        </w:r>
      </w:hyperlink>
    </w:p>
    <w:p w14:paraId="7230D3D7" w14:textId="0A6F26E9" w:rsidR="00D4102B" w:rsidRDefault="002734FA">
      <w:pPr>
        <w:pStyle w:val="Obsah3"/>
        <w:rPr>
          <w:rFonts w:asciiTheme="minorHAnsi" w:eastAsiaTheme="minorEastAsia" w:hAnsiTheme="minorHAnsi" w:cstheme="minorBidi"/>
          <w:noProof/>
          <w:sz w:val="22"/>
          <w:lang w:eastAsia="cs-CZ"/>
        </w:rPr>
      </w:pPr>
      <w:hyperlink w:anchor="_Toc144104398" w:history="1">
        <w:r w:rsidR="00D4102B" w:rsidRPr="0047292F">
          <w:rPr>
            <w:rStyle w:val="Hypertextovodkaz"/>
            <w:noProof/>
          </w:rPr>
          <w:t>3.8.1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_Toc144104398 \h </w:instrText>
        </w:r>
        <w:r w:rsidR="00D4102B">
          <w:rPr>
            <w:noProof/>
            <w:webHidden/>
          </w:rPr>
        </w:r>
        <w:r w:rsidR="00D4102B">
          <w:rPr>
            <w:noProof/>
            <w:webHidden/>
          </w:rPr>
          <w:fldChar w:fldCharType="separate"/>
        </w:r>
        <w:r w:rsidR="001E1A67">
          <w:rPr>
            <w:noProof/>
            <w:webHidden/>
          </w:rPr>
          <w:t>129</w:t>
        </w:r>
        <w:r w:rsidR="00D4102B">
          <w:rPr>
            <w:noProof/>
            <w:webHidden/>
          </w:rPr>
          <w:fldChar w:fldCharType="end"/>
        </w:r>
      </w:hyperlink>
    </w:p>
    <w:p w14:paraId="563BC1B6" w14:textId="28162812" w:rsidR="00D4102B" w:rsidRDefault="002734FA">
      <w:pPr>
        <w:pStyle w:val="Obsah3"/>
        <w:rPr>
          <w:rFonts w:asciiTheme="minorHAnsi" w:eastAsiaTheme="minorEastAsia" w:hAnsiTheme="minorHAnsi" w:cstheme="minorBidi"/>
          <w:noProof/>
          <w:sz w:val="22"/>
          <w:lang w:eastAsia="cs-CZ"/>
        </w:rPr>
      </w:pPr>
      <w:hyperlink w:anchor="_Toc144104399" w:history="1">
        <w:r w:rsidR="00D4102B" w:rsidRPr="0047292F">
          <w:rPr>
            <w:rStyle w:val="Hypertextovodkaz"/>
            <w:noProof/>
          </w:rPr>
          <w:t>3.8.2</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_Toc144104399 \h </w:instrText>
        </w:r>
        <w:r w:rsidR="00D4102B">
          <w:rPr>
            <w:noProof/>
            <w:webHidden/>
          </w:rPr>
        </w:r>
        <w:r w:rsidR="00D4102B">
          <w:rPr>
            <w:noProof/>
            <w:webHidden/>
          </w:rPr>
          <w:fldChar w:fldCharType="separate"/>
        </w:r>
        <w:r w:rsidR="001E1A67">
          <w:rPr>
            <w:noProof/>
            <w:webHidden/>
          </w:rPr>
          <w:t>131</w:t>
        </w:r>
        <w:r w:rsidR="00D4102B">
          <w:rPr>
            <w:noProof/>
            <w:webHidden/>
          </w:rPr>
          <w:fldChar w:fldCharType="end"/>
        </w:r>
      </w:hyperlink>
    </w:p>
    <w:p w14:paraId="4D833E74" w14:textId="6B42E13C" w:rsidR="00D4102B" w:rsidRDefault="002734FA">
      <w:pPr>
        <w:pStyle w:val="Obsah3"/>
        <w:rPr>
          <w:rFonts w:asciiTheme="minorHAnsi" w:eastAsiaTheme="minorEastAsia" w:hAnsiTheme="minorHAnsi" w:cstheme="minorBidi"/>
          <w:noProof/>
          <w:sz w:val="22"/>
          <w:lang w:eastAsia="cs-CZ"/>
        </w:rPr>
      </w:pPr>
      <w:hyperlink w:anchor="_Toc144104400" w:history="1">
        <w:r w:rsidR="00D4102B" w:rsidRPr="0047292F">
          <w:rPr>
            <w:rStyle w:val="Hypertextovodkaz"/>
            <w:noProof/>
          </w:rPr>
          <w:t>3.8.3</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 v přepočtu na soudce</w:t>
        </w:r>
        <w:r w:rsidR="00D4102B">
          <w:rPr>
            <w:noProof/>
            <w:webHidden/>
          </w:rPr>
          <w:tab/>
        </w:r>
        <w:r w:rsidR="00D4102B">
          <w:rPr>
            <w:noProof/>
            <w:webHidden/>
          </w:rPr>
          <w:fldChar w:fldCharType="begin"/>
        </w:r>
        <w:r w:rsidR="00D4102B">
          <w:rPr>
            <w:noProof/>
            <w:webHidden/>
          </w:rPr>
          <w:instrText xml:space="preserve"> PAGEREF _Toc144104400 \h </w:instrText>
        </w:r>
        <w:r w:rsidR="00D4102B">
          <w:rPr>
            <w:noProof/>
            <w:webHidden/>
          </w:rPr>
        </w:r>
        <w:r w:rsidR="00D4102B">
          <w:rPr>
            <w:noProof/>
            <w:webHidden/>
          </w:rPr>
          <w:fldChar w:fldCharType="separate"/>
        </w:r>
        <w:r w:rsidR="001E1A67">
          <w:rPr>
            <w:noProof/>
            <w:webHidden/>
          </w:rPr>
          <w:t>132</w:t>
        </w:r>
        <w:r w:rsidR="00D4102B">
          <w:rPr>
            <w:noProof/>
            <w:webHidden/>
          </w:rPr>
          <w:fldChar w:fldCharType="end"/>
        </w:r>
      </w:hyperlink>
    </w:p>
    <w:p w14:paraId="3EFFD217" w14:textId="2BEAC5EC" w:rsidR="00D4102B" w:rsidRDefault="002734FA">
      <w:pPr>
        <w:pStyle w:val="Obsah3"/>
        <w:rPr>
          <w:rFonts w:asciiTheme="minorHAnsi" w:eastAsiaTheme="minorEastAsia" w:hAnsiTheme="minorHAnsi" w:cstheme="minorBidi"/>
          <w:noProof/>
          <w:sz w:val="22"/>
          <w:lang w:eastAsia="cs-CZ"/>
        </w:rPr>
      </w:pPr>
      <w:hyperlink w:anchor="_Toc144104401" w:history="1">
        <w:r w:rsidR="00D4102B" w:rsidRPr="0047292F">
          <w:rPr>
            <w:rStyle w:val="Hypertextovodkaz"/>
            <w:noProof/>
          </w:rPr>
          <w:t>3.8.4</w:t>
        </w:r>
        <w:r w:rsidR="00D4102B">
          <w:rPr>
            <w:rFonts w:asciiTheme="minorHAnsi" w:eastAsiaTheme="minorEastAsia" w:hAnsiTheme="minorHAnsi" w:cstheme="minorBidi"/>
            <w:noProof/>
            <w:sz w:val="22"/>
            <w:lang w:eastAsia="cs-CZ"/>
          </w:rPr>
          <w:tab/>
        </w:r>
        <w:r w:rsidR="00D4102B" w:rsidRPr="0047292F">
          <w:rPr>
            <w:rStyle w:val="Hypertextovodkaz"/>
            <w:noProof/>
          </w:rPr>
          <w:t>Disposition time (dispoziční čas)</w:t>
        </w:r>
        <w:r w:rsidR="00D4102B">
          <w:rPr>
            <w:noProof/>
            <w:webHidden/>
          </w:rPr>
          <w:tab/>
        </w:r>
        <w:r w:rsidR="00D4102B">
          <w:rPr>
            <w:noProof/>
            <w:webHidden/>
          </w:rPr>
          <w:fldChar w:fldCharType="begin"/>
        </w:r>
        <w:r w:rsidR="00D4102B">
          <w:rPr>
            <w:noProof/>
            <w:webHidden/>
          </w:rPr>
          <w:instrText xml:space="preserve"> PAGEREF _Toc144104401 \h </w:instrText>
        </w:r>
        <w:r w:rsidR="00D4102B">
          <w:rPr>
            <w:noProof/>
            <w:webHidden/>
          </w:rPr>
        </w:r>
        <w:r w:rsidR="00D4102B">
          <w:rPr>
            <w:noProof/>
            <w:webHidden/>
          </w:rPr>
          <w:fldChar w:fldCharType="separate"/>
        </w:r>
        <w:r w:rsidR="001E1A67">
          <w:rPr>
            <w:noProof/>
            <w:webHidden/>
          </w:rPr>
          <w:t>133</w:t>
        </w:r>
        <w:r w:rsidR="00D4102B">
          <w:rPr>
            <w:noProof/>
            <w:webHidden/>
          </w:rPr>
          <w:fldChar w:fldCharType="end"/>
        </w:r>
      </w:hyperlink>
    </w:p>
    <w:p w14:paraId="772B900C" w14:textId="6A88A440" w:rsidR="00D4102B" w:rsidRDefault="002734FA">
      <w:pPr>
        <w:pStyle w:val="Obsah1"/>
        <w:tabs>
          <w:tab w:val="left" w:pos="482"/>
        </w:tabs>
        <w:rPr>
          <w:rFonts w:asciiTheme="minorHAnsi" w:eastAsiaTheme="minorEastAsia" w:hAnsiTheme="minorHAnsi" w:cstheme="minorBidi"/>
          <w:noProof/>
          <w:sz w:val="22"/>
          <w:lang w:eastAsia="cs-CZ"/>
        </w:rPr>
      </w:pPr>
      <w:hyperlink w:anchor="_Toc144104402" w:history="1">
        <w:r w:rsidR="00D4102B" w:rsidRPr="0047292F">
          <w:rPr>
            <w:rStyle w:val="Hypertextovodkaz"/>
            <w:noProof/>
            <w:lang w:eastAsia="cs-CZ"/>
          </w:rPr>
          <w:t>4</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Vrchní soudy</w:t>
        </w:r>
        <w:r w:rsidR="00D4102B">
          <w:rPr>
            <w:noProof/>
            <w:webHidden/>
          </w:rPr>
          <w:tab/>
        </w:r>
        <w:r w:rsidR="00D4102B">
          <w:rPr>
            <w:noProof/>
            <w:webHidden/>
          </w:rPr>
          <w:fldChar w:fldCharType="begin"/>
        </w:r>
        <w:r w:rsidR="00D4102B">
          <w:rPr>
            <w:noProof/>
            <w:webHidden/>
          </w:rPr>
          <w:instrText xml:space="preserve"> PAGEREF _Toc144104402 \h </w:instrText>
        </w:r>
        <w:r w:rsidR="00D4102B">
          <w:rPr>
            <w:noProof/>
            <w:webHidden/>
          </w:rPr>
        </w:r>
        <w:r w:rsidR="00D4102B">
          <w:rPr>
            <w:noProof/>
            <w:webHidden/>
          </w:rPr>
          <w:fldChar w:fldCharType="separate"/>
        </w:r>
        <w:r w:rsidR="001E1A67">
          <w:rPr>
            <w:noProof/>
            <w:webHidden/>
          </w:rPr>
          <w:t>135</w:t>
        </w:r>
        <w:r w:rsidR="00D4102B">
          <w:rPr>
            <w:noProof/>
            <w:webHidden/>
          </w:rPr>
          <w:fldChar w:fldCharType="end"/>
        </w:r>
      </w:hyperlink>
    </w:p>
    <w:p w14:paraId="5D421870" w14:textId="2A8AC752" w:rsidR="00D4102B" w:rsidRDefault="002734FA">
      <w:pPr>
        <w:pStyle w:val="Obsah2"/>
        <w:rPr>
          <w:rFonts w:asciiTheme="minorHAnsi" w:eastAsiaTheme="minorEastAsia" w:hAnsiTheme="minorHAnsi" w:cstheme="minorBidi"/>
          <w:sz w:val="22"/>
          <w:lang w:eastAsia="cs-CZ"/>
        </w:rPr>
      </w:pPr>
      <w:hyperlink w:anchor="_Toc144104403" w:history="1">
        <w:r w:rsidR="00D4102B" w:rsidRPr="0047292F">
          <w:rPr>
            <w:rStyle w:val="Hypertextovodkaz"/>
            <w:lang w:eastAsia="cs-CZ"/>
          </w:rPr>
          <w:t>4.1</w:t>
        </w:r>
        <w:r w:rsidR="00D4102B">
          <w:rPr>
            <w:rFonts w:asciiTheme="minorHAnsi" w:eastAsiaTheme="minorEastAsia" w:hAnsiTheme="minorHAnsi" w:cstheme="minorBidi"/>
            <w:sz w:val="22"/>
            <w:lang w:eastAsia="cs-CZ"/>
          </w:rPr>
          <w:tab/>
        </w:r>
        <w:r w:rsidR="00D4102B" w:rsidRPr="0047292F">
          <w:rPr>
            <w:rStyle w:val="Hypertextovodkaz"/>
            <w:lang w:eastAsia="cs-CZ"/>
          </w:rPr>
          <w:t>Personál</w:t>
        </w:r>
        <w:r w:rsidR="00D4102B">
          <w:rPr>
            <w:webHidden/>
          </w:rPr>
          <w:tab/>
        </w:r>
        <w:r w:rsidR="00D4102B">
          <w:rPr>
            <w:webHidden/>
          </w:rPr>
          <w:fldChar w:fldCharType="begin"/>
        </w:r>
        <w:r w:rsidR="00D4102B">
          <w:rPr>
            <w:webHidden/>
          </w:rPr>
          <w:instrText xml:space="preserve"> PAGEREF _Toc144104403 \h </w:instrText>
        </w:r>
        <w:r w:rsidR="00D4102B">
          <w:rPr>
            <w:webHidden/>
          </w:rPr>
        </w:r>
        <w:r w:rsidR="00D4102B">
          <w:rPr>
            <w:webHidden/>
          </w:rPr>
          <w:fldChar w:fldCharType="separate"/>
        </w:r>
        <w:r w:rsidR="001E1A67">
          <w:rPr>
            <w:webHidden/>
          </w:rPr>
          <w:t>135</w:t>
        </w:r>
        <w:r w:rsidR="00D4102B">
          <w:rPr>
            <w:webHidden/>
          </w:rPr>
          <w:fldChar w:fldCharType="end"/>
        </w:r>
      </w:hyperlink>
    </w:p>
    <w:p w14:paraId="4BB07919" w14:textId="010F828C" w:rsidR="00D4102B" w:rsidRDefault="002734FA">
      <w:pPr>
        <w:pStyle w:val="Obsah3"/>
        <w:rPr>
          <w:rFonts w:asciiTheme="minorHAnsi" w:eastAsiaTheme="minorEastAsia" w:hAnsiTheme="minorHAnsi" w:cstheme="minorBidi"/>
          <w:noProof/>
          <w:sz w:val="22"/>
          <w:lang w:eastAsia="cs-CZ"/>
        </w:rPr>
      </w:pPr>
      <w:hyperlink w:anchor="_Toc144104404" w:history="1">
        <w:r w:rsidR="00D4102B" w:rsidRPr="0047292F">
          <w:rPr>
            <w:rStyle w:val="Hypertextovodkaz"/>
            <w:noProof/>
            <w:lang w:eastAsia="cs-CZ"/>
          </w:rPr>
          <w:t>4.1.1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Soudci</w:t>
        </w:r>
        <w:r w:rsidR="00D4102B">
          <w:rPr>
            <w:noProof/>
            <w:webHidden/>
          </w:rPr>
          <w:tab/>
        </w:r>
        <w:r w:rsidR="00D4102B">
          <w:rPr>
            <w:noProof/>
            <w:webHidden/>
          </w:rPr>
          <w:fldChar w:fldCharType="begin"/>
        </w:r>
        <w:r w:rsidR="00D4102B">
          <w:rPr>
            <w:noProof/>
            <w:webHidden/>
          </w:rPr>
          <w:instrText xml:space="preserve"> PAGEREF _Toc144104404 \h </w:instrText>
        </w:r>
        <w:r w:rsidR="00D4102B">
          <w:rPr>
            <w:noProof/>
            <w:webHidden/>
          </w:rPr>
        </w:r>
        <w:r w:rsidR="00D4102B">
          <w:rPr>
            <w:noProof/>
            <w:webHidden/>
          </w:rPr>
          <w:fldChar w:fldCharType="separate"/>
        </w:r>
        <w:r w:rsidR="001E1A67">
          <w:rPr>
            <w:noProof/>
            <w:webHidden/>
          </w:rPr>
          <w:t>135</w:t>
        </w:r>
        <w:r w:rsidR="00D4102B">
          <w:rPr>
            <w:noProof/>
            <w:webHidden/>
          </w:rPr>
          <w:fldChar w:fldCharType="end"/>
        </w:r>
      </w:hyperlink>
    </w:p>
    <w:p w14:paraId="4C2289F3" w14:textId="3BC14362" w:rsidR="00D4102B" w:rsidRDefault="002734FA">
      <w:pPr>
        <w:pStyle w:val="Obsah3"/>
        <w:rPr>
          <w:rFonts w:asciiTheme="minorHAnsi" w:eastAsiaTheme="minorEastAsia" w:hAnsiTheme="minorHAnsi" w:cstheme="minorBidi"/>
          <w:noProof/>
          <w:sz w:val="22"/>
          <w:lang w:eastAsia="cs-CZ"/>
        </w:rPr>
      </w:pPr>
      <w:hyperlink w:anchor="_Toc144104405" w:history="1">
        <w:r w:rsidR="00D4102B" w:rsidRPr="0047292F">
          <w:rPr>
            <w:rStyle w:val="Hypertextovodkaz"/>
            <w:noProof/>
            <w:lang w:eastAsia="cs-CZ"/>
          </w:rPr>
          <w:t>4.1.2</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Zaměstnanci ve výkonu</w:t>
        </w:r>
        <w:r w:rsidR="00D4102B">
          <w:rPr>
            <w:noProof/>
            <w:webHidden/>
          </w:rPr>
          <w:tab/>
        </w:r>
        <w:r w:rsidR="00D4102B">
          <w:rPr>
            <w:noProof/>
            <w:webHidden/>
          </w:rPr>
          <w:fldChar w:fldCharType="begin"/>
        </w:r>
        <w:r w:rsidR="00D4102B">
          <w:rPr>
            <w:noProof/>
            <w:webHidden/>
          </w:rPr>
          <w:instrText xml:space="preserve"> PAGEREF _Toc144104405 \h </w:instrText>
        </w:r>
        <w:r w:rsidR="00D4102B">
          <w:rPr>
            <w:noProof/>
            <w:webHidden/>
          </w:rPr>
        </w:r>
        <w:r w:rsidR="00D4102B">
          <w:rPr>
            <w:noProof/>
            <w:webHidden/>
          </w:rPr>
          <w:fldChar w:fldCharType="separate"/>
        </w:r>
        <w:r w:rsidR="001E1A67">
          <w:rPr>
            <w:noProof/>
            <w:webHidden/>
          </w:rPr>
          <w:t>139</w:t>
        </w:r>
        <w:r w:rsidR="00D4102B">
          <w:rPr>
            <w:noProof/>
            <w:webHidden/>
          </w:rPr>
          <w:fldChar w:fldCharType="end"/>
        </w:r>
      </w:hyperlink>
    </w:p>
    <w:p w14:paraId="64130F42" w14:textId="1EB2175B" w:rsidR="00D4102B" w:rsidRDefault="002734FA">
      <w:pPr>
        <w:pStyle w:val="Obsah2"/>
        <w:rPr>
          <w:rFonts w:asciiTheme="minorHAnsi" w:eastAsiaTheme="minorEastAsia" w:hAnsiTheme="minorHAnsi" w:cstheme="minorBidi"/>
          <w:sz w:val="22"/>
          <w:lang w:eastAsia="cs-CZ"/>
        </w:rPr>
      </w:pPr>
      <w:hyperlink w:anchor="_Toc144104406" w:history="1">
        <w:r w:rsidR="00D4102B" w:rsidRPr="0047292F">
          <w:rPr>
            <w:rStyle w:val="Hypertextovodkaz"/>
          </w:rPr>
          <w:t>4.2</w:t>
        </w:r>
        <w:r w:rsidR="00D4102B">
          <w:rPr>
            <w:rFonts w:asciiTheme="minorHAnsi" w:eastAsiaTheme="minorEastAsia" w:hAnsiTheme="minorHAnsi" w:cstheme="minorBidi"/>
            <w:sz w:val="22"/>
            <w:lang w:eastAsia="cs-CZ"/>
          </w:rPr>
          <w:tab/>
        </w:r>
        <w:r w:rsidR="00D4102B" w:rsidRPr="0047292F">
          <w:rPr>
            <w:rStyle w:val="Hypertextovodkaz"/>
          </w:rPr>
          <w:t>Civilní a obchodní odvolací agenda</w:t>
        </w:r>
        <w:r w:rsidR="00D4102B">
          <w:rPr>
            <w:webHidden/>
          </w:rPr>
          <w:tab/>
        </w:r>
        <w:r w:rsidR="00D4102B">
          <w:rPr>
            <w:webHidden/>
          </w:rPr>
          <w:fldChar w:fldCharType="begin"/>
        </w:r>
        <w:r w:rsidR="00D4102B">
          <w:rPr>
            <w:webHidden/>
          </w:rPr>
          <w:instrText xml:space="preserve"> PAGEREF _Toc144104406 \h </w:instrText>
        </w:r>
        <w:r w:rsidR="00D4102B">
          <w:rPr>
            <w:webHidden/>
          </w:rPr>
        </w:r>
        <w:r w:rsidR="00D4102B">
          <w:rPr>
            <w:webHidden/>
          </w:rPr>
          <w:fldChar w:fldCharType="separate"/>
        </w:r>
        <w:r w:rsidR="001E1A67">
          <w:rPr>
            <w:webHidden/>
          </w:rPr>
          <w:t>140</w:t>
        </w:r>
        <w:r w:rsidR="00D4102B">
          <w:rPr>
            <w:webHidden/>
          </w:rPr>
          <w:fldChar w:fldCharType="end"/>
        </w:r>
      </w:hyperlink>
    </w:p>
    <w:p w14:paraId="4A3D4AF7" w14:textId="1ECC20B6" w:rsidR="00D4102B" w:rsidRDefault="002734FA">
      <w:pPr>
        <w:pStyle w:val="Obsah3"/>
        <w:rPr>
          <w:rFonts w:asciiTheme="minorHAnsi" w:eastAsiaTheme="minorEastAsia" w:hAnsiTheme="minorHAnsi" w:cstheme="minorBidi"/>
          <w:noProof/>
          <w:sz w:val="22"/>
          <w:lang w:eastAsia="cs-CZ"/>
        </w:rPr>
      </w:pPr>
      <w:hyperlink w:anchor="_Toc144104407" w:history="1">
        <w:r w:rsidR="00D4102B" w:rsidRPr="0047292F">
          <w:rPr>
            <w:rStyle w:val="Hypertextovodkaz"/>
            <w:noProof/>
            <w:lang w:eastAsia="cs-CZ"/>
          </w:rPr>
          <w:t>4.2.1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Délka řízení</w:t>
        </w:r>
        <w:r w:rsidR="00D4102B">
          <w:rPr>
            <w:noProof/>
            <w:webHidden/>
          </w:rPr>
          <w:tab/>
        </w:r>
        <w:r w:rsidR="00D4102B">
          <w:rPr>
            <w:noProof/>
            <w:webHidden/>
          </w:rPr>
          <w:fldChar w:fldCharType="begin"/>
        </w:r>
        <w:r w:rsidR="00D4102B">
          <w:rPr>
            <w:noProof/>
            <w:webHidden/>
          </w:rPr>
          <w:instrText xml:space="preserve"> PAGEREF _Toc144104407 \h </w:instrText>
        </w:r>
        <w:r w:rsidR="00D4102B">
          <w:rPr>
            <w:noProof/>
            <w:webHidden/>
          </w:rPr>
        </w:r>
        <w:r w:rsidR="00D4102B">
          <w:rPr>
            <w:noProof/>
            <w:webHidden/>
          </w:rPr>
          <w:fldChar w:fldCharType="separate"/>
        </w:r>
        <w:r w:rsidR="001E1A67">
          <w:rPr>
            <w:noProof/>
            <w:webHidden/>
          </w:rPr>
          <w:t>140</w:t>
        </w:r>
        <w:r w:rsidR="00D4102B">
          <w:rPr>
            <w:noProof/>
            <w:webHidden/>
          </w:rPr>
          <w:fldChar w:fldCharType="end"/>
        </w:r>
      </w:hyperlink>
    </w:p>
    <w:p w14:paraId="2C71C677" w14:textId="2CCE6800" w:rsidR="00D4102B" w:rsidRDefault="002734FA">
      <w:pPr>
        <w:pStyle w:val="Obsah3"/>
        <w:rPr>
          <w:rFonts w:asciiTheme="minorHAnsi" w:eastAsiaTheme="minorEastAsia" w:hAnsiTheme="minorHAnsi" w:cstheme="minorBidi"/>
          <w:noProof/>
          <w:sz w:val="22"/>
          <w:lang w:eastAsia="cs-CZ"/>
        </w:rPr>
      </w:pPr>
      <w:hyperlink w:anchor="_Toc144104408" w:history="1">
        <w:r w:rsidR="00D4102B" w:rsidRPr="0047292F">
          <w:rPr>
            <w:rStyle w:val="Hypertextovodkaz"/>
            <w:noProof/>
            <w:lang w:eastAsia="cs-CZ"/>
          </w:rPr>
          <w:t>4.2.2</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Vyřizování věcí</w:t>
        </w:r>
        <w:r w:rsidR="00D4102B">
          <w:rPr>
            <w:noProof/>
            <w:webHidden/>
          </w:rPr>
          <w:tab/>
        </w:r>
        <w:r w:rsidR="00D4102B">
          <w:rPr>
            <w:noProof/>
            <w:webHidden/>
          </w:rPr>
          <w:fldChar w:fldCharType="begin"/>
        </w:r>
        <w:r w:rsidR="00D4102B">
          <w:rPr>
            <w:noProof/>
            <w:webHidden/>
          </w:rPr>
          <w:instrText xml:space="preserve"> PAGEREF _Toc144104408 \h </w:instrText>
        </w:r>
        <w:r w:rsidR="00D4102B">
          <w:rPr>
            <w:noProof/>
            <w:webHidden/>
          </w:rPr>
        </w:r>
        <w:r w:rsidR="00D4102B">
          <w:rPr>
            <w:noProof/>
            <w:webHidden/>
          </w:rPr>
          <w:fldChar w:fldCharType="separate"/>
        </w:r>
        <w:r w:rsidR="001E1A67">
          <w:rPr>
            <w:noProof/>
            <w:webHidden/>
          </w:rPr>
          <w:t>141</w:t>
        </w:r>
        <w:r w:rsidR="00D4102B">
          <w:rPr>
            <w:noProof/>
            <w:webHidden/>
          </w:rPr>
          <w:fldChar w:fldCharType="end"/>
        </w:r>
      </w:hyperlink>
    </w:p>
    <w:p w14:paraId="23D789D1" w14:textId="7D19C6FA" w:rsidR="00D4102B" w:rsidRDefault="002734FA">
      <w:pPr>
        <w:pStyle w:val="Obsah3"/>
        <w:rPr>
          <w:rFonts w:asciiTheme="minorHAnsi" w:eastAsiaTheme="minorEastAsia" w:hAnsiTheme="minorHAnsi" w:cstheme="minorBidi"/>
          <w:noProof/>
          <w:sz w:val="22"/>
          <w:lang w:eastAsia="cs-CZ"/>
        </w:rPr>
      </w:pPr>
      <w:hyperlink w:anchor="_Toc144104409" w:history="1">
        <w:r w:rsidR="00D4102B" w:rsidRPr="0047292F">
          <w:rPr>
            <w:rStyle w:val="Hypertextovodkaz"/>
            <w:noProof/>
            <w:lang w:eastAsia="cs-CZ"/>
          </w:rPr>
          <w:t>4.2.3</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Vyřizování v přepočtu na soudce</w:t>
        </w:r>
        <w:r w:rsidR="00D4102B">
          <w:rPr>
            <w:noProof/>
            <w:webHidden/>
          </w:rPr>
          <w:tab/>
        </w:r>
        <w:r w:rsidR="00D4102B">
          <w:rPr>
            <w:noProof/>
            <w:webHidden/>
          </w:rPr>
          <w:fldChar w:fldCharType="begin"/>
        </w:r>
        <w:r w:rsidR="00D4102B">
          <w:rPr>
            <w:noProof/>
            <w:webHidden/>
          </w:rPr>
          <w:instrText xml:space="preserve"> PAGEREF _Toc144104409 \h </w:instrText>
        </w:r>
        <w:r w:rsidR="00D4102B">
          <w:rPr>
            <w:noProof/>
            <w:webHidden/>
          </w:rPr>
        </w:r>
        <w:r w:rsidR="00D4102B">
          <w:rPr>
            <w:noProof/>
            <w:webHidden/>
          </w:rPr>
          <w:fldChar w:fldCharType="separate"/>
        </w:r>
        <w:r w:rsidR="001E1A67">
          <w:rPr>
            <w:noProof/>
            <w:webHidden/>
          </w:rPr>
          <w:t>142</w:t>
        </w:r>
        <w:r w:rsidR="00D4102B">
          <w:rPr>
            <w:noProof/>
            <w:webHidden/>
          </w:rPr>
          <w:fldChar w:fldCharType="end"/>
        </w:r>
      </w:hyperlink>
    </w:p>
    <w:p w14:paraId="1ECECE73" w14:textId="72F35A4F" w:rsidR="00D4102B" w:rsidRDefault="002734FA">
      <w:pPr>
        <w:pStyle w:val="Obsah3"/>
        <w:rPr>
          <w:rFonts w:asciiTheme="minorHAnsi" w:eastAsiaTheme="minorEastAsia" w:hAnsiTheme="minorHAnsi" w:cstheme="minorBidi"/>
          <w:noProof/>
          <w:sz w:val="22"/>
          <w:lang w:eastAsia="cs-CZ"/>
        </w:rPr>
      </w:pPr>
      <w:hyperlink w:anchor="_Toc144104410" w:history="1">
        <w:r w:rsidR="00D4102B" w:rsidRPr="0047292F">
          <w:rPr>
            <w:rStyle w:val="Hypertextovodkaz"/>
            <w:noProof/>
            <w:lang w:eastAsia="cs-CZ"/>
          </w:rPr>
          <w:t>4.2.4</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Disposition time (dispoziční čas)</w:t>
        </w:r>
        <w:r w:rsidR="00D4102B">
          <w:rPr>
            <w:noProof/>
            <w:webHidden/>
          </w:rPr>
          <w:tab/>
        </w:r>
        <w:r w:rsidR="00D4102B">
          <w:rPr>
            <w:noProof/>
            <w:webHidden/>
          </w:rPr>
          <w:fldChar w:fldCharType="begin"/>
        </w:r>
        <w:r w:rsidR="00D4102B">
          <w:rPr>
            <w:noProof/>
            <w:webHidden/>
          </w:rPr>
          <w:instrText xml:space="preserve"> PAGEREF _Toc144104410 \h </w:instrText>
        </w:r>
        <w:r w:rsidR="00D4102B">
          <w:rPr>
            <w:noProof/>
            <w:webHidden/>
          </w:rPr>
        </w:r>
        <w:r w:rsidR="00D4102B">
          <w:rPr>
            <w:noProof/>
            <w:webHidden/>
          </w:rPr>
          <w:fldChar w:fldCharType="separate"/>
        </w:r>
        <w:r w:rsidR="001E1A67">
          <w:rPr>
            <w:noProof/>
            <w:webHidden/>
          </w:rPr>
          <w:t>142</w:t>
        </w:r>
        <w:r w:rsidR="00D4102B">
          <w:rPr>
            <w:noProof/>
            <w:webHidden/>
          </w:rPr>
          <w:fldChar w:fldCharType="end"/>
        </w:r>
      </w:hyperlink>
    </w:p>
    <w:p w14:paraId="7ED2DC1A" w14:textId="308E997F" w:rsidR="00D4102B" w:rsidRDefault="002734FA">
      <w:pPr>
        <w:pStyle w:val="Obsah2"/>
        <w:rPr>
          <w:rFonts w:asciiTheme="minorHAnsi" w:eastAsiaTheme="minorEastAsia" w:hAnsiTheme="minorHAnsi" w:cstheme="minorBidi"/>
          <w:sz w:val="22"/>
          <w:lang w:eastAsia="cs-CZ"/>
        </w:rPr>
      </w:pPr>
      <w:hyperlink w:anchor="_Toc144104411" w:history="1">
        <w:r w:rsidR="00D4102B" w:rsidRPr="0047292F">
          <w:rPr>
            <w:rStyle w:val="Hypertextovodkaz"/>
            <w:lang w:eastAsia="cs-CZ"/>
          </w:rPr>
          <w:t>4.3</w:t>
        </w:r>
        <w:r w:rsidR="00D4102B">
          <w:rPr>
            <w:rFonts w:asciiTheme="minorHAnsi" w:eastAsiaTheme="minorEastAsia" w:hAnsiTheme="minorHAnsi" w:cstheme="minorBidi"/>
            <w:sz w:val="22"/>
            <w:lang w:eastAsia="cs-CZ"/>
          </w:rPr>
          <w:tab/>
        </w:r>
        <w:r w:rsidR="00D4102B" w:rsidRPr="0047292F">
          <w:rPr>
            <w:rStyle w:val="Hypertextovodkaz"/>
            <w:lang w:eastAsia="cs-CZ"/>
          </w:rPr>
          <w:t>Trestní odvolací agenda</w:t>
        </w:r>
        <w:r w:rsidR="00D4102B">
          <w:rPr>
            <w:webHidden/>
          </w:rPr>
          <w:tab/>
        </w:r>
        <w:r w:rsidR="00D4102B">
          <w:rPr>
            <w:webHidden/>
          </w:rPr>
          <w:fldChar w:fldCharType="begin"/>
        </w:r>
        <w:r w:rsidR="00D4102B">
          <w:rPr>
            <w:webHidden/>
          </w:rPr>
          <w:instrText xml:space="preserve"> PAGEREF _Toc144104411 \h </w:instrText>
        </w:r>
        <w:r w:rsidR="00D4102B">
          <w:rPr>
            <w:webHidden/>
          </w:rPr>
        </w:r>
        <w:r w:rsidR="00D4102B">
          <w:rPr>
            <w:webHidden/>
          </w:rPr>
          <w:fldChar w:fldCharType="separate"/>
        </w:r>
        <w:r w:rsidR="001E1A67">
          <w:rPr>
            <w:webHidden/>
          </w:rPr>
          <w:t>144</w:t>
        </w:r>
        <w:r w:rsidR="00D4102B">
          <w:rPr>
            <w:webHidden/>
          </w:rPr>
          <w:fldChar w:fldCharType="end"/>
        </w:r>
      </w:hyperlink>
    </w:p>
    <w:p w14:paraId="7A52D8D6" w14:textId="3B974ED8" w:rsidR="00D4102B" w:rsidRDefault="002734FA">
      <w:pPr>
        <w:pStyle w:val="Obsah3"/>
        <w:rPr>
          <w:rFonts w:asciiTheme="minorHAnsi" w:eastAsiaTheme="minorEastAsia" w:hAnsiTheme="minorHAnsi" w:cstheme="minorBidi"/>
          <w:noProof/>
          <w:sz w:val="22"/>
          <w:lang w:eastAsia="cs-CZ"/>
        </w:rPr>
      </w:pPr>
      <w:hyperlink w:anchor="_Toc144104412" w:history="1">
        <w:r w:rsidR="00D4102B" w:rsidRPr="0047292F">
          <w:rPr>
            <w:rStyle w:val="Hypertextovodkaz"/>
            <w:noProof/>
            <w:lang w:eastAsia="cs-CZ"/>
          </w:rPr>
          <w:t>4.3.1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Délka řízení</w:t>
        </w:r>
        <w:r w:rsidR="00D4102B">
          <w:rPr>
            <w:noProof/>
            <w:webHidden/>
          </w:rPr>
          <w:tab/>
        </w:r>
        <w:r w:rsidR="00D4102B">
          <w:rPr>
            <w:noProof/>
            <w:webHidden/>
          </w:rPr>
          <w:fldChar w:fldCharType="begin"/>
        </w:r>
        <w:r w:rsidR="00D4102B">
          <w:rPr>
            <w:noProof/>
            <w:webHidden/>
          </w:rPr>
          <w:instrText xml:space="preserve"> PAGEREF _Toc144104412 \h </w:instrText>
        </w:r>
        <w:r w:rsidR="00D4102B">
          <w:rPr>
            <w:noProof/>
            <w:webHidden/>
          </w:rPr>
        </w:r>
        <w:r w:rsidR="00D4102B">
          <w:rPr>
            <w:noProof/>
            <w:webHidden/>
          </w:rPr>
          <w:fldChar w:fldCharType="separate"/>
        </w:r>
        <w:r w:rsidR="001E1A67">
          <w:rPr>
            <w:noProof/>
            <w:webHidden/>
          </w:rPr>
          <w:t>144</w:t>
        </w:r>
        <w:r w:rsidR="00D4102B">
          <w:rPr>
            <w:noProof/>
            <w:webHidden/>
          </w:rPr>
          <w:fldChar w:fldCharType="end"/>
        </w:r>
      </w:hyperlink>
    </w:p>
    <w:p w14:paraId="575592A3" w14:textId="5E5E1F38" w:rsidR="00D4102B" w:rsidRDefault="002734FA">
      <w:pPr>
        <w:pStyle w:val="Obsah3"/>
        <w:rPr>
          <w:rFonts w:asciiTheme="minorHAnsi" w:eastAsiaTheme="minorEastAsia" w:hAnsiTheme="minorHAnsi" w:cstheme="minorBidi"/>
          <w:noProof/>
          <w:sz w:val="22"/>
          <w:lang w:eastAsia="cs-CZ"/>
        </w:rPr>
      </w:pPr>
      <w:hyperlink w:anchor="_Toc144104413" w:history="1">
        <w:r w:rsidR="00D4102B" w:rsidRPr="0047292F">
          <w:rPr>
            <w:rStyle w:val="Hypertextovodkaz"/>
            <w:noProof/>
            <w:lang w:eastAsia="cs-CZ"/>
          </w:rPr>
          <w:t>4.3.2</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Vyřizování věcí</w:t>
        </w:r>
        <w:r w:rsidR="00D4102B">
          <w:rPr>
            <w:noProof/>
            <w:webHidden/>
          </w:rPr>
          <w:tab/>
        </w:r>
        <w:r w:rsidR="00D4102B">
          <w:rPr>
            <w:noProof/>
            <w:webHidden/>
          </w:rPr>
          <w:fldChar w:fldCharType="begin"/>
        </w:r>
        <w:r w:rsidR="00D4102B">
          <w:rPr>
            <w:noProof/>
            <w:webHidden/>
          </w:rPr>
          <w:instrText xml:space="preserve"> PAGEREF _Toc144104413 \h </w:instrText>
        </w:r>
        <w:r w:rsidR="00D4102B">
          <w:rPr>
            <w:noProof/>
            <w:webHidden/>
          </w:rPr>
        </w:r>
        <w:r w:rsidR="00D4102B">
          <w:rPr>
            <w:noProof/>
            <w:webHidden/>
          </w:rPr>
          <w:fldChar w:fldCharType="separate"/>
        </w:r>
        <w:r w:rsidR="001E1A67">
          <w:rPr>
            <w:noProof/>
            <w:webHidden/>
          </w:rPr>
          <w:t>145</w:t>
        </w:r>
        <w:r w:rsidR="00D4102B">
          <w:rPr>
            <w:noProof/>
            <w:webHidden/>
          </w:rPr>
          <w:fldChar w:fldCharType="end"/>
        </w:r>
      </w:hyperlink>
    </w:p>
    <w:p w14:paraId="08E74BAA" w14:textId="505B27A4" w:rsidR="00D4102B" w:rsidRDefault="002734FA">
      <w:pPr>
        <w:pStyle w:val="Obsah3"/>
        <w:rPr>
          <w:rFonts w:asciiTheme="minorHAnsi" w:eastAsiaTheme="minorEastAsia" w:hAnsiTheme="minorHAnsi" w:cstheme="minorBidi"/>
          <w:noProof/>
          <w:sz w:val="22"/>
          <w:lang w:eastAsia="cs-CZ"/>
        </w:rPr>
      </w:pPr>
      <w:hyperlink w:anchor="_Toc144104414" w:history="1">
        <w:r w:rsidR="00D4102B" w:rsidRPr="0047292F">
          <w:rPr>
            <w:rStyle w:val="Hypertextovodkaz"/>
            <w:noProof/>
            <w:lang w:eastAsia="cs-CZ"/>
          </w:rPr>
          <w:t>4.3.3</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Vyřizování věcí v přepočtu na soudce</w:t>
        </w:r>
        <w:r w:rsidR="00D4102B">
          <w:rPr>
            <w:noProof/>
            <w:webHidden/>
          </w:rPr>
          <w:tab/>
        </w:r>
        <w:r w:rsidR="00D4102B">
          <w:rPr>
            <w:noProof/>
            <w:webHidden/>
          </w:rPr>
          <w:fldChar w:fldCharType="begin"/>
        </w:r>
        <w:r w:rsidR="00D4102B">
          <w:rPr>
            <w:noProof/>
            <w:webHidden/>
          </w:rPr>
          <w:instrText xml:space="preserve"> PAGEREF _Toc144104414 \h </w:instrText>
        </w:r>
        <w:r w:rsidR="00D4102B">
          <w:rPr>
            <w:noProof/>
            <w:webHidden/>
          </w:rPr>
        </w:r>
        <w:r w:rsidR="00D4102B">
          <w:rPr>
            <w:noProof/>
            <w:webHidden/>
          </w:rPr>
          <w:fldChar w:fldCharType="separate"/>
        </w:r>
        <w:r w:rsidR="001E1A67">
          <w:rPr>
            <w:noProof/>
            <w:webHidden/>
          </w:rPr>
          <w:t>146</w:t>
        </w:r>
        <w:r w:rsidR="00D4102B">
          <w:rPr>
            <w:noProof/>
            <w:webHidden/>
          </w:rPr>
          <w:fldChar w:fldCharType="end"/>
        </w:r>
      </w:hyperlink>
    </w:p>
    <w:p w14:paraId="2C4E6112" w14:textId="01F555E9" w:rsidR="00D4102B" w:rsidRDefault="002734FA">
      <w:pPr>
        <w:pStyle w:val="Obsah3"/>
        <w:rPr>
          <w:rFonts w:asciiTheme="minorHAnsi" w:eastAsiaTheme="minorEastAsia" w:hAnsiTheme="minorHAnsi" w:cstheme="minorBidi"/>
          <w:noProof/>
          <w:sz w:val="22"/>
          <w:lang w:eastAsia="cs-CZ"/>
        </w:rPr>
      </w:pPr>
      <w:hyperlink w:anchor="_Toc144104415" w:history="1">
        <w:r w:rsidR="00D4102B" w:rsidRPr="0047292F">
          <w:rPr>
            <w:rStyle w:val="Hypertextovodkaz"/>
            <w:noProof/>
            <w:lang w:eastAsia="cs-CZ"/>
          </w:rPr>
          <w:t>4.3.4</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Disposition time</w:t>
        </w:r>
        <w:r w:rsidR="00D4102B">
          <w:rPr>
            <w:noProof/>
            <w:webHidden/>
          </w:rPr>
          <w:tab/>
        </w:r>
        <w:r w:rsidR="00D4102B">
          <w:rPr>
            <w:noProof/>
            <w:webHidden/>
          </w:rPr>
          <w:fldChar w:fldCharType="begin"/>
        </w:r>
        <w:r w:rsidR="00D4102B">
          <w:rPr>
            <w:noProof/>
            <w:webHidden/>
          </w:rPr>
          <w:instrText xml:space="preserve"> PAGEREF _Toc144104415 \h </w:instrText>
        </w:r>
        <w:r w:rsidR="00D4102B">
          <w:rPr>
            <w:noProof/>
            <w:webHidden/>
          </w:rPr>
        </w:r>
        <w:r w:rsidR="00D4102B">
          <w:rPr>
            <w:noProof/>
            <w:webHidden/>
          </w:rPr>
          <w:fldChar w:fldCharType="separate"/>
        </w:r>
        <w:r w:rsidR="001E1A67">
          <w:rPr>
            <w:noProof/>
            <w:webHidden/>
          </w:rPr>
          <w:t>147</w:t>
        </w:r>
        <w:r w:rsidR="00D4102B">
          <w:rPr>
            <w:noProof/>
            <w:webHidden/>
          </w:rPr>
          <w:fldChar w:fldCharType="end"/>
        </w:r>
      </w:hyperlink>
    </w:p>
    <w:p w14:paraId="55EEBEBD" w14:textId="1FF0A86C" w:rsidR="00D4102B" w:rsidRDefault="002734FA">
      <w:pPr>
        <w:pStyle w:val="Obsah2"/>
        <w:rPr>
          <w:rFonts w:asciiTheme="minorHAnsi" w:eastAsiaTheme="minorEastAsia" w:hAnsiTheme="minorHAnsi" w:cstheme="minorBidi"/>
          <w:sz w:val="22"/>
          <w:lang w:eastAsia="cs-CZ"/>
        </w:rPr>
      </w:pPr>
      <w:hyperlink w:anchor="_Toc144104416" w:history="1">
        <w:r w:rsidR="00D4102B" w:rsidRPr="0047292F">
          <w:rPr>
            <w:rStyle w:val="Hypertextovodkaz"/>
          </w:rPr>
          <w:t>4.4</w:t>
        </w:r>
        <w:r w:rsidR="00D4102B">
          <w:rPr>
            <w:rFonts w:asciiTheme="minorHAnsi" w:eastAsiaTheme="minorEastAsia" w:hAnsiTheme="minorHAnsi" w:cstheme="minorBidi"/>
            <w:sz w:val="22"/>
            <w:lang w:eastAsia="cs-CZ"/>
          </w:rPr>
          <w:tab/>
        </w:r>
        <w:r w:rsidR="00D4102B" w:rsidRPr="0047292F">
          <w:rPr>
            <w:rStyle w:val="Hypertextovodkaz"/>
          </w:rPr>
          <w:t>Insolvenční agenda – II. Stupeň</w:t>
        </w:r>
        <w:r w:rsidR="00D4102B">
          <w:rPr>
            <w:webHidden/>
          </w:rPr>
          <w:tab/>
        </w:r>
        <w:r w:rsidR="00D4102B">
          <w:rPr>
            <w:webHidden/>
          </w:rPr>
          <w:fldChar w:fldCharType="begin"/>
        </w:r>
        <w:r w:rsidR="00D4102B">
          <w:rPr>
            <w:webHidden/>
          </w:rPr>
          <w:instrText xml:space="preserve"> PAGEREF _Toc144104416 \h </w:instrText>
        </w:r>
        <w:r w:rsidR="00D4102B">
          <w:rPr>
            <w:webHidden/>
          </w:rPr>
        </w:r>
        <w:r w:rsidR="00D4102B">
          <w:rPr>
            <w:webHidden/>
          </w:rPr>
          <w:fldChar w:fldCharType="separate"/>
        </w:r>
        <w:r w:rsidR="001E1A67">
          <w:rPr>
            <w:webHidden/>
          </w:rPr>
          <w:t>148</w:t>
        </w:r>
        <w:r w:rsidR="00D4102B">
          <w:rPr>
            <w:webHidden/>
          </w:rPr>
          <w:fldChar w:fldCharType="end"/>
        </w:r>
      </w:hyperlink>
    </w:p>
    <w:p w14:paraId="43183246" w14:textId="59BD50CB" w:rsidR="00D4102B" w:rsidRDefault="002734FA">
      <w:pPr>
        <w:pStyle w:val="Obsah3"/>
        <w:rPr>
          <w:rFonts w:asciiTheme="minorHAnsi" w:eastAsiaTheme="minorEastAsia" w:hAnsiTheme="minorHAnsi" w:cstheme="minorBidi"/>
          <w:noProof/>
          <w:sz w:val="22"/>
          <w:lang w:eastAsia="cs-CZ"/>
        </w:rPr>
      </w:pPr>
      <w:hyperlink w:anchor="_Toc144104417" w:history="1">
        <w:r w:rsidR="00D4102B" w:rsidRPr="0047292F">
          <w:rPr>
            <w:rStyle w:val="Hypertextovodkaz"/>
            <w:noProof/>
            <w:lang w:eastAsia="cs-CZ"/>
          </w:rPr>
          <w:t>4.4.1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Vyřizování věcí</w:t>
        </w:r>
        <w:r w:rsidR="00D4102B">
          <w:rPr>
            <w:noProof/>
            <w:webHidden/>
          </w:rPr>
          <w:tab/>
        </w:r>
        <w:r w:rsidR="00D4102B">
          <w:rPr>
            <w:noProof/>
            <w:webHidden/>
          </w:rPr>
          <w:fldChar w:fldCharType="begin"/>
        </w:r>
        <w:r w:rsidR="00D4102B">
          <w:rPr>
            <w:noProof/>
            <w:webHidden/>
          </w:rPr>
          <w:instrText xml:space="preserve"> PAGEREF _Toc144104417 \h </w:instrText>
        </w:r>
        <w:r w:rsidR="00D4102B">
          <w:rPr>
            <w:noProof/>
            <w:webHidden/>
          </w:rPr>
        </w:r>
        <w:r w:rsidR="00D4102B">
          <w:rPr>
            <w:noProof/>
            <w:webHidden/>
          </w:rPr>
          <w:fldChar w:fldCharType="separate"/>
        </w:r>
        <w:r w:rsidR="001E1A67">
          <w:rPr>
            <w:noProof/>
            <w:webHidden/>
          </w:rPr>
          <w:t>148</w:t>
        </w:r>
        <w:r w:rsidR="00D4102B">
          <w:rPr>
            <w:noProof/>
            <w:webHidden/>
          </w:rPr>
          <w:fldChar w:fldCharType="end"/>
        </w:r>
      </w:hyperlink>
    </w:p>
    <w:p w14:paraId="124D8A90" w14:textId="4F71314D" w:rsidR="00D4102B" w:rsidRDefault="002734FA">
      <w:pPr>
        <w:pStyle w:val="Obsah3"/>
        <w:rPr>
          <w:rFonts w:asciiTheme="minorHAnsi" w:eastAsiaTheme="minorEastAsia" w:hAnsiTheme="minorHAnsi" w:cstheme="minorBidi"/>
          <w:noProof/>
          <w:sz w:val="22"/>
          <w:lang w:eastAsia="cs-CZ"/>
        </w:rPr>
      </w:pPr>
      <w:hyperlink w:anchor="_Toc144104418" w:history="1">
        <w:r w:rsidR="00D4102B" w:rsidRPr="0047292F">
          <w:rPr>
            <w:rStyle w:val="Hypertextovodkaz"/>
            <w:noProof/>
            <w:lang w:eastAsia="cs-CZ"/>
          </w:rPr>
          <w:t>4.4.2</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Disposition time (dispoziční čas)</w:t>
        </w:r>
        <w:r w:rsidR="00D4102B">
          <w:rPr>
            <w:noProof/>
            <w:webHidden/>
          </w:rPr>
          <w:tab/>
        </w:r>
        <w:r w:rsidR="00D4102B">
          <w:rPr>
            <w:noProof/>
            <w:webHidden/>
          </w:rPr>
          <w:fldChar w:fldCharType="begin"/>
        </w:r>
        <w:r w:rsidR="00D4102B">
          <w:rPr>
            <w:noProof/>
            <w:webHidden/>
          </w:rPr>
          <w:instrText xml:space="preserve"> PAGEREF _Toc144104418 \h </w:instrText>
        </w:r>
        <w:r w:rsidR="00D4102B">
          <w:rPr>
            <w:noProof/>
            <w:webHidden/>
          </w:rPr>
        </w:r>
        <w:r w:rsidR="00D4102B">
          <w:rPr>
            <w:noProof/>
            <w:webHidden/>
          </w:rPr>
          <w:fldChar w:fldCharType="separate"/>
        </w:r>
        <w:r w:rsidR="001E1A67">
          <w:rPr>
            <w:noProof/>
            <w:webHidden/>
          </w:rPr>
          <w:t>149</w:t>
        </w:r>
        <w:r w:rsidR="00D4102B">
          <w:rPr>
            <w:noProof/>
            <w:webHidden/>
          </w:rPr>
          <w:fldChar w:fldCharType="end"/>
        </w:r>
      </w:hyperlink>
    </w:p>
    <w:p w14:paraId="43C975B4" w14:textId="1439110B" w:rsidR="00D4102B" w:rsidRDefault="002734FA">
      <w:pPr>
        <w:pStyle w:val="Obsah2"/>
        <w:rPr>
          <w:rFonts w:asciiTheme="minorHAnsi" w:eastAsiaTheme="minorEastAsia" w:hAnsiTheme="minorHAnsi" w:cstheme="minorBidi"/>
          <w:sz w:val="22"/>
          <w:lang w:eastAsia="cs-CZ"/>
        </w:rPr>
      </w:pPr>
      <w:hyperlink w:anchor="_Toc144104419" w:history="1">
        <w:r w:rsidR="00D4102B" w:rsidRPr="0047292F">
          <w:rPr>
            <w:rStyle w:val="Hypertextovodkaz"/>
          </w:rPr>
          <w:t>4.5</w:t>
        </w:r>
        <w:r w:rsidR="00D4102B">
          <w:rPr>
            <w:rFonts w:asciiTheme="minorHAnsi" w:eastAsiaTheme="minorEastAsia" w:hAnsiTheme="minorHAnsi" w:cstheme="minorBidi"/>
            <w:sz w:val="22"/>
            <w:lang w:eastAsia="cs-CZ"/>
          </w:rPr>
          <w:tab/>
        </w:r>
        <w:r w:rsidR="00D4102B" w:rsidRPr="0047292F">
          <w:rPr>
            <w:rStyle w:val="Hypertextovodkaz"/>
          </w:rPr>
          <w:t>Incidenční spory – II. Stupeň</w:t>
        </w:r>
        <w:r w:rsidR="00D4102B">
          <w:rPr>
            <w:webHidden/>
          </w:rPr>
          <w:tab/>
        </w:r>
        <w:r w:rsidR="00D4102B">
          <w:rPr>
            <w:webHidden/>
          </w:rPr>
          <w:fldChar w:fldCharType="begin"/>
        </w:r>
        <w:r w:rsidR="00D4102B">
          <w:rPr>
            <w:webHidden/>
          </w:rPr>
          <w:instrText xml:space="preserve"> PAGEREF _Toc144104419 \h </w:instrText>
        </w:r>
        <w:r w:rsidR="00D4102B">
          <w:rPr>
            <w:webHidden/>
          </w:rPr>
        </w:r>
        <w:r w:rsidR="00D4102B">
          <w:rPr>
            <w:webHidden/>
          </w:rPr>
          <w:fldChar w:fldCharType="separate"/>
        </w:r>
        <w:r w:rsidR="001E1A67">
          <w:rPr>
            <w:webHidden/>
          </w:rPr>
          <w:t>151</w:t>
        </w:r>
        <w:r w:rsidR="00D4102B">
          <w:rPr>
            <w:webHidden/>
          </w:rPr>
          <w:fldChar w:fldCharType="end"/>
        </w:r>
      </w:hyperlink>
    </w:p>
    <w:p w14:paraId="22B5477E" w14:textId="452DFBDE" w:rsidR="00D4102B" w:rsidRDefault="002734FA">
      <w:pPr>
        <w:pStyle w:val="Obsah3"/>
        <w:rPr>
          <w:rFonts w:asciiTheme="minorHAnsi" w:eastAsiaTheme="minorEastAsia" w:hAnsiTheme="minorHAnsi" w:cstheme="minorBidi"/>
          <w:noProof/>
          <w:sz w:val="22"/>
          <w:lang w:eastAsia="cs-CZ"/>
        </w:rPr>
      </w:pPr>
      <w:hyperlink w:anchor="_Toc144104420" w:history="1">
        <w:r w:rsidR="00D4102B" w:rsidRPr="0047292F">
          <w:rPr>
            <w:rStyle w:val="Hypertextovodkaz"/>
            <w:noProof/>
          </w:rPr>
          <w:t>4.5.1</w:t>
        </w:r>
        <w:r w:rsidR="00D4102B">
          <w:rPr>
            <w:rFonts w:asciiTheme="minorHAnsi" w:eastAsiaTheme="minorEastAsia" w:hAnsiTheme="minorHAnsi" w:cstheme="minorBidi"/>
            <w:noProof/>
            <w:sz w:val="22"/>
            <w:lang w:eastAsia="cs-CZ"/>
          </w:rPr>
          <w:tab/>
        </w:r>
        <w:r w:rsidR="00D4102B" w:rsidRPr="0047292F">
          <w:rPr>
            <w:rStyle w:val="Hypertextovodkaz"/>
            <w:noProof/>
          </w:rPr>
          <w:t>Délka řízení</w:t>
        </w:r>
        <w:r w:rsidR="00D4102B">
          <w:rPr>
            <w:noProof/>
            <w:webHidden/>
          </w:rPr>
          <w:tab/>
        </w:r>
        <w:r w:rsidR="00D4102B">
          <w:rPr>
            <w:noProof/>
            <w:webHidden/>
          </w:rPr>
          <w:fldChar w:fldCharType="begin"/>
        </w:r>
        <w:r w:rsidR="00D4102B">
          <w:rPr>
            <w:noProof/>
            <w:webHidden/>
          </w:rPr>
          <w:instrText xml:space="preserve"> PAGEREF _Toc144104420 \h </w:instrText>
        </w:r>
        <w:r w:rsidR="00D4102B">
          <w:rPr>
            <w:noProof/>
            <w:webHidden/>
          </w:rPr>
        </w:r>
        <w:r w:rsidR="00D4102B">
          <w:rPr>
            <w:noProof/>
            <w:webHidden/>
          </w:rPr>
          <w:fldChar w:fldCharType="separate"/>
        </w:r>
        <w:r w:rsidR="001E1A67">
          <w:rPr>
            <w:noProof/>
            <w:webHidden/>
          </w:rPr>
          <w:t>151</w:t>
        </w:r>
        <w:r w:rsidR="00D4102B">
          <w:rPr>
            <w:noProof/>
            <w:webHidden/>
          </w:rPr>
          <w:fldChar w:fldCharType="end"/>
        </w:r>
      </w:hyperlink>
    </w:p>
    <w:p w14:paraId="1F848318" w14:textId="59959EE9" w:rsidR="00D4102B" w:rsidRDefault="002734FA">
      <w:pPr>
        <w:pStyle w:val="Obsah3"/>
        <w:rPr>
          <w:rFonts w:asciiTheme="minorHAnsi" w:eastAsiaTheme="minorEastAsia" w:hAnsiTheme="minorHAnsi" w:cstheme="minorBidi"/>
          <w:noProof/>
          <w:sz w:val="22"/>
          <w:lang w:eastAsia="cs-CZ"/>
        </w:rPr>
      </w:pPr>
      <w:hyperlink w:anchor="_Toc144104421" w:history="1">
        <w:r w:rsidR="00D4102B" w:rsidRPr="0047292F">
          <w:rPr>
            <w:rStyle w:val="Hypertextovodkaz"/>
            <w:noProof/>
            <w:lang w:eastAsia="cs-CZ"/>
          </w:rPr>
          <w:t>4.5.2</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Vyřizování věcí</w:t>
        </w:r>
        <w:r w:rsidR="00D4102B">
          <w:rPr>
            <w:noProof/>
            <w:webHidden/>
          </w:rPr>
          <w:tab/>
        </w:r>
        <w:r w:rsidR="00D4102B">
          <w:rPr>
            <w:noProof/>
            <w:webHidden/>
          </w:rPr>
          <w:fldChar w:fldCharType="begin"/>
        </w:r>
        <w:r w:rsidR="00D4102B">
          <w:rPr>
            <w:noProof/>
            <w:webHidden/>
          </w:rPr>
          <w:instrText xml:space="preserve"> PAGEREF _Toc144104421 \h </w:instrText>
        </w:r>
        <w:r w:rsidR="00D4102B">
          <w:rPr>
            <w:noProof/>
            <w:webHidden/>
          </w:rPr>
        </w:r>
        <w:r w:rsidR="00D4102B">
          <w:rPr>
            <w:noProof/>
            <w:webHidden/>
          </w:rPr>
          <w:fldChar w:fldCharType="separate"/>
        </w:r>
        <w:r w:rsidR="001E1A67">
          <w:rPr>
            <w:noProof/>
            <w:webHidden/>
          </w:rPr>
          <w:t>153</w:t>
        </w:r>
        <w:r w:rsidR="00D4102B">
          <w:rPr>
            <w:noProof/>
            <w:webHidden/>
          </w:rPr>
          <w:fldChar w:fldCharType="end"/>
        </w:r>
      </w:hyperlink>
    </w:p>
    <w:p w14:paraId="39A5ECC9" w14:textId="4437401C" w:rsidR="00D4102B" w:rsidRDefault="002734FA">
      <w:pPr>
        <w:pStyle w:val="Obsah3"/>
        <w:rPr>
          <w:rFonts w:asciiTheme="minorHAnsi" w:eastAsiaTheme="minorEastAsia" w:hAnsiTheme="minorHAnsi" w:cstheme="minorBidi"/>
          <w:noProof/>
          <w:sz w:val="22"/>
          <w:lang w:eastAsia="cs-CZ"/>
        </w:rPr>
      </w:pPr>
      <w:hyperlink w:anchor="_Toc144104422" w:history="1">
        <w:r w:rsidR="00D4102B" w:rsidRPr="0047292F">
          <w:rPr>
            <w:rStyle w:val="Hypertextovodkaz"/>
            <w:noProof/>
            <w:lang w:eastAsia="cs-CZ"/>
          </w:rPr>
          <w:t>4.5.3</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Disposition time (dispoziční čas)</w:t>
        </w:r>
        <w:r w:rsidR="00D4102B">
          <w:rPr>
            <w:noProof/>
            <w:webHidden/>
          </w:rPr>
          <w:tab/>
        </w:r>
        <w:r w:rsidR="00D4102B">
          <w:rPr>
            <w:noProof/>
            <w:webHidden/>
          </w:rPr>
          <w:fldChar w:fldCharType="begin"/>
        </w:r>
        <w:r w:rsidR="00D4102B">
          <w:rPr>
            <w:noProof/>
            <w:webHidden/>
          </w:rPr>
          <w:instrText xml:space="preserve"> PAGEREF _Toc144104422 \h </w:instrText>
        </w:r>
        <w:r w:rsidR="00D4102B">
          <w:rPr>
            <w:noProof/>
            <w:webHidden/>
          </w:rPr>
        </w:r>
        <w:r w:rsidR="00D4102B">
          <w:rPr>
            <w:noProof/>
            <w:webHidden/>
          </w:rPr>
          <w:fldChar w:fldCharType="separate"/>
        </w:r>
        <w:r w:rsidR="001E1A67">
          <w:rPr>
            <w:noProof/>
            <w:webHidden/>
          </w:rPr>
          <w:t>154</w:t>
        </w:r>
        <w:r w:rsidR="00D4102B">
          <w:rPr>
            <w:noProof/>
            <w:webHidden/>
          </w:rPr>
          <w:fldChar w:fldCharType="end"/>
        </w:r>
      </w:hyperlink>
    </w:p>
    <w:p w14:paraId="2D79B649" w14:textId="13234FB2" w:rsidR="00D4102B" w:rsidRDefault="002734FA">
      <w:pPr>
        <w:pStyle w:val="Obsah1"/>
        <w:tabs>
          <w:tab w:val="left" w:pos="482"/>
        </w:tabs>
        <w:rPr>
          <w:rFonts w:asciiTheme="minorHAnsi" w:eastAsiaTheme="minorEastAsia" w:hAnsiTheme="minorHAnsi" w:cstheme="minorBidi"/>
          <w:noProof/>
          <w:sz w:val="22"/>
          <w:lang w:eastAsia="cs-CZ"/>
        </w:rPr>
      </w:pPr>
      <w:hyperlink w:anchor="_Toc144104423" w:history="1">
        <w:r w:rsidR="00D4102B" w:rsidRPr="0047292F">
          <w:rPr>
            <w:rStyle w:val="Hypertextovodkaz"/>
            <w:noProof/>
            <w:lang w:eastAsia="cs-CZ"/>
          </w:rPr>
          <w:t>5</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Nejvyšší soud</w:t>
        </w:r>
        <w:r w:rsidR="00D4102B">
          <w:rPr>
            <w:noProof/>
            <w:webHidden/>
          </w:rPr>
          <w:tab/>
        </w:r>
        <w:r w:rsidR="00D4102B">
          <w:rPr>
            <w:noProof/>
            <w:webHidden/>
          </w:rPr>
          <w:fldChar w:fldCharType="begin"/>
        </w:r>
        <w:r w:rsidR="00D4102B">
          <w:rPr>
            <w:noProof/>
            <w:webHidden/>
          </w:rPr>
          <w:instrText xml:space="preserve"> PAGEREF _Toc144104423 \h </w:instrText>
        </w:r>
        <w:r w:rsidR="00D4102B">
          <w:rPr>
            <w:noProof/>
            <w:webHidden/>
          </w:rPr>
        </w:r>
        <w:r w:rsidR="00D4102B">
          <w:rPr>
            <w:noProof/>
            <w:webHidden/>
          </w:rPr>
          <w:fldChar w:fldCharType="separate"/>
        </w:r>
        <w:r w:rsidR="001E1A67">
          <w:rPr>
            <w:noProof/>
            <w:webHidden/>
          </w:rPr>
          <w:t>155</w:t>
        </w:r>
        <w:r w:rsidR="00D4102B">
          <w:rPr>
            <w:noProof/>
            <w:webHidden/>
          </w:rPr>
          <w:fldChar w:fldCharType="end"/>
        </w:r>
      </w:hyperlink>
    </w:p>
    <w:p w14:paraId="3152CB23" w14:textId="58926A6C" w:rsidR="00D4102B" w:rsidRDefault="002734FA">
      <w:pPr>
        <w:pStyle w:val="Obsah2"/>
        <w:rPr>
          <w:rFonts w:asciiTheme="minorHAnsi" w:eastAsiaTheme="minorEastAsia" w:hAnsiTheme="minorHAnsi" w:cstheme="minorBidi"/>
          <w:sz w:val="22"/>
          <w:lang w:eastAsia="cs-CZ"/>
        </w:rPr>
      </w:pPr>
      <w:hyperlink w:anchor="_Toc144104424" w:history="1">
        <w:r w:rsidR="00D4102B" w:rsidRPr="0047292F">
          <w:rPr>
            <w:rStyle w:val="Hypertextovodkaz"/>
            <w:lang w:eastAsia="cs-CZ"/>
          </w:rPr>
          <w:t>5.1</w:t>
        </w:r>
        <w:r w:rsidR="00D4102B">
          <w:rPr>
            <w:rFonts w:asciiTheme="minorHAnsi" w:eastAsiaTheme="minorEastAsia" w:hAnsiTheme="minorHAnsi" w:cstheme="minorBidi"/>
            <w:sz w:val="22"/>
            <w:lang w:eastAsia="cs-CZ"/>
          </w:rPr>
          <w:tab/>
        </w:r>
        <w:r w:rsidR="00D4102B" w:rsidRPr="0047292F">
          <w:rPr>
            <w:rStyle w:val="Hypertextovodkaz"/>
            <w:lang w:eastAsia="cs-CZ"/>
          </w:rPr>
          <w:t>Personál</w:t>
        </w:r>
        <w:r w:rsidR="00D4102B">
          <w:rPr>
            <w:webHidden/>
          </w:rPr>
          <w:tab/>
        </w:r>
        <w:r w:rsidR="00D4102B">
          <w:rPr>
            <w:webHidden/>
          </w:rPr>
          <w:fldChar w:fldCharType="begin"/>
        </w:r>
        <w:r w:rsidR="00D4102B">
          <w:rPr>
            <w:webHidden/>
          </w:rPr>
          <w:instrText xml:space="preserve"> PAGEREF _Toc144104424 \h </w:instrText>
        </w:r>
        <w:r w:rsidR="00D4102B">
          <w:rPr>
            <w:webHidden/>
          </w:rPr>
        </w:r>
        <w:r w:rsidR="00D4102B">
          <w:rPr>
            <w:webHidden/>
          </w:rPr>
          <w:fldChar w:fldCharType="separate"/>
        </w:r>
        <w:r w:rsidR="001E1A67">
          <w:rPr>
            <w:webHidden/>
          </w:rPr>
          <w:t>155</w:t>
        </w:r>
        <w:r w:rsidR="00D4102B">
          <w:rPr>
            <w:webHidden/>
          </w:rPr>
          <w:fldChar w:fldCharType="end"/>
        </w:r>
      </w:hyperlink>
    </w:p>
    <w:p w14:paraId="5047D588" w14:textId="00200770" w:rsidR="00D4102B" w:rsidRDefault="002734FA">
      <w:pPr>
        <w:pStyle w:val="Obsah3"/>
        <w:rPr>
          <w:rFonts w:asciiTheme="minorHAnsi" w:eastAsiaTheme="minorEastAsia" w:hAnsiTheme="minorHAnsi" w:cstheme="minorBidi"/>
          <w:noProof/>
          <w:sz w:val="22"/>
          <w:lang w:eastAsia="cs-CZ"/>
        </w:rPr>
      </w:pPr>
      <w:hyperlink w:anchor="_Toc144104425" w:history="1">
        <w:r w:rsidR="00D4102B" w:rsidRPr="0047292F">
          <w:rPr>
            <w:rStyle w:val="Hypertextovodkaz"/>
            <w:noProof/>
            <w:lang w:eastAsia="cs-CZ"/>
          </w:rPr>
          <w:t>5.1.1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Soudci</w:t>
        </w:r>
        <w:r w:rsidR="00D4102B">
          <w:rPr>
            <w:noProof/>
            <w:webHidden/>
          </w:rPr>
          <w:tab/>
        </w:r>
        <w:r w:rsidR="00D4102B">
          <w:rPr>
            <w:noProof/>
            <w:webHidden/>
          </w:rPr>
          <w:fldChar w:fldCharType="begin"/>
        </w:r>
        <w:r w:rsidR="00D4102B">
          <w:rPr>
            <w:noProof/>
            <w:webHidden/>
          </w:rPr>
          <w:instrText xml:space="preserve"> PAGEREF _Toc144104425 \h </w:instrText>
        </w:r>
        <w:r w:rsidR="00D4102B">
          <w:rPr>
            <w:noProof/>
            <w:webHidden/>
          </w:rPr>
        </w:r>
        <w:r w:rsidR="00D4102B">
          <w:rPr>
            <w:noProof/>
            <w:webHidden/>
          </w:rPr>
          <w:fldChar w:fldCharType="separate"/>
        </w:r>
        <w:r w:rsidR="001E1A67">
          <w:rPr>
            <w:noProof/>
            <w:webHidden/>
          </w:rPr>
          <w:t>155</w:t>
        </w:r>
        <w:r w:rsidR="00D4102B">
          <w:rPr>
            <w:noProof/>
            <w:webHidden/>
          </w:rPr>
          <w:fldChar w:fldCharType="end"/>
        </w:r>
      </w:hyperlink>
    </w:p>
    <w:p w14:paraId="6ED797BF" w14:textId="4A5F8081" w:rsidR="00D4102B" w:rsidRDefault="002734FA">
      <w:pPr>
        <w:pStyle w:val="Obsah3"/>
        <w:rPr>
          <w:rFonts w:asciiTheme="minorHAnsi" w:eastAsiaTheme="minorEastAsia" w:hAnsiTheme="minorHAnsi" w:cstheme="minorBidi"/>
          <w:noProof/>
          <w:sz w:val="22"/>
          <w:lang w:eastAsia="cs-CZ"/>
        </w:rPr>
      </w:pPr>
      <w:hyperlink w:anchor="_Toc144104426" w:history="1">
        <w:r w:rsidR="00D4102B" w:rsidRPr="0047292F">
          <w:rPr>
            <w:rStyle w:val="Hypertextovodkaz"/>
            <w:noProof/>
            <w:lang w:eastAsia="cs-CZ"/>
          </w:rPr>
          <w:t>5.1.2</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Zaměstnanci ve výkonu</w:t>
        </w:r>
        <w:r w:rsidR="00D4102B">
          <w:rPr>
            <w:noProof/>
            <w:webHidden/>
          </w:rPr>
          <w:tab/>
        </w:r>
        <w:r w:rsidR="00D4102B">
          <w:rPr>
            <w:noProof/>
            <w:webHidden/>
          </w:rPr>
          <w:fldChar w:fldCharType="begin"/>
        </w:r>
        <w:r w:rsidR="00D4102B">
          <w:rPr>
            <w:noProof/>
            <w:webHidden/>
          </w:rPr>
          <w:instrText xml:space="preserve"> PAGEREF _Toc144104426 \h </w:instrText>
        </w:r>
        <w:r w:rsidR="00D4102B">
          <w:rPr>
            <w:noProof/>
            <w:webHidden/>
          </w:rPr>
        </w:r>
        <w:r w:rsidR="00D4102B">
          <w:rPr>
            <w:noProof/>
            <w:webHidden/>
          </w:rPr>
          <w:fldChar w:fldCharType="separate"/>
        </w:r>
        <w:r w:rsidR="001E1A67">
          <w:rPr>
            <w:noProof/>
            <w:webHidden/>
          </w:rPr>
          <w:t>158</w:t>
        </w:r>
        <w:r w:rsidR="00D4102B">
          <w:rPr>
            <w:noProof/>
            <w:webHidden/>
          </w:rPr>
          <w:fldChar w:fldCharType="end"/>
        </w:r>
      </w:hyperlink>
    </w:p>
    <w:p w14:paraId="5FE57651" w14:textId="21DA9011" w:rsidR="00D4102B" w:rsidRDefault="002734FA">
      <w:pPr>
        <w:pStyle w:val="Obsah2"/>
        <w:rPr>
          <w:rFonts w:asciiTheme="minorHAnsi" w:eastAsiaTheme="minorEastAsia" w:hAnsiTheme="minorHAnsi" w:cstheme="minorBidi"/>
          <w:sz w:val="22"/>
          <w:lang w:eastAsia="cs-CZ"/>
        </w:rPr>
      </w:pPr>
      <w:hyperlink w:anchor="_Toc144104427" w:history="1">
        <w:r w:rsidR="00D4102B" w:rsidRPr="0047292F">
          <w:rPr>
            <w:rStyle w:val="Hypertextovodkaz"/>
            <w:lang w:eastAsia="cs-CZ"/>
          </w:rPr>
          <w:t>5.2</w:t>
        </w:r>
        <w:r w:rsidR="00D4102B">
          <w:rPr>
            <w:rFonts w:asciiTheme="minorHAnsi" w:eastAsiaTheme="minorEastAsia" w:hAnsiTheme="minorHAnsi" w:cstheme="minorBidi"/>
            <w:sz w:val="22"/>
            <w:lang w:eastAsia="cs-CZ"/>
          </w:rPr>
          <w:tab/>
        </w:r>
        <w:r w:rsidR="00D4102B" w:rsidRPr="0047292F">
          <w:rPr>
            <w:rStyle w:val="Hypertextovodkaz"/>
            <w:lang w:eastAsia="cs-CZ"/>
          </w:rPr>
          <w:t>Civilní dovolací agenda</w:t>
        </w:r>
        <w:r w:rsidR="00D4102B">
          <w:rPr>
            <w:webHidden/>
          </w:rPr>
          <w:tab/>
        </w:r>
        <w:r w:rsidR="00D4102B">
          <w:rPr>
            <w:webHidden/>
          </w:rPr>
          <w:fldChar w:fldCharType="begin"/>
        </w:r>
        <w:r w:rsidR="00D4102B">
          <w:rPr>
            <w:webHidden/>
          </w:rPr>
          <w:instrText xml:space="preserve"> PAGEREF _Toc144104427 \h </w:instrText>
        </w:r>
        <w:r w:rsidR="00D4102B">
          <w:rPr>
            <w:webHidden/>
          </w:rPr>
        </w:r>
        <w:r w:rsidR="00D4102B">
          <w:rPr>
            <w:webHidden/>
          </w:rPr>
          <w:fldChar w:fldCharType="separate"/>
        </w:r>
        <w:r w:rsidR="001E1A67">
          <w:rPr>
            <w:webHidden/>
          </w:rPr>
          <w:t>159</w:t>
        </w:r>
        <w:r w:rsidR="00D4102B">
          <w:rPr>
            <w:webHidden/>
          </w:rPr>
          <w:fldChar w:fldCharType="end"/>
        </w:r>
      </w:hyperlink>
    </w:p>
    <w:p w14:paraId="00F8EC0E" w14:textId="1689ED99" w:rsidR="00D4102B" w:rsidRDefault="002734FA">
      <w:pPr>
        <w:pStyle w:val="Obsah3"/>
        <w:rPr>
          <w:rFonts w:asciiTheme="minorHAnsi" w:eastAsiaTheme="minorEastAsia" w:hAnsiTheme="minorHAnsi" w:cstheme="minorBidi"/>
          <w:noProof/>
          <w:sz w:val="22"/>
          <w:lang w:eastAsia="cs-CZ"/>
        </w:rPr>
      </w:pPr>
      <w:hyperlink w:anchor="_Toc144104428" w:history="1">
        <w:r w:rsidR="00D4102B" w:rsidRPr="0047292F">
          <w:rPr>
            <w:rStyle w:val="Hypertextovodkaz"/>
            <w:noProof/>
            <w:lang w:eastAsia="cs-CZ"/>
          </w:rPr>
          <w:t>5.2.1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Vyřizování věcí</w:t>
        </w:r>
        <w:r w:rsidR="00D4102B">
          <w:rPr>
            <w:noProof/>
            <w:webHidden/>
          </w:rPr>
          <w:tab/>
        </w:r>
        <w:r w:rsidR="00D4102B">
          <w:rPr>
            <w:noProof/>
            <w:webHidden/>
          </w:rPr>
          <w:fldChar w:fldCharType="begin"/>
        </w:r>
        <w:r w:rsidR="00D4102B">
          <w:rPr>
            <w:noProof/>
            <w:webHidden/>
          </w:rPr>
          <w:instrText xml:space="preserve"> PAGEREF _Toc144104428 \h </w:instrText>
        </w:r>
        <w:r w:rsidR="00D4102B">
          <w:rPr>
            <w:noProof/>
            <w:webHidden/>
          </w:rPr>
        </w:r>
        <w:r w:rsidR="00D4102B">
          <w:rPr>
            <w:noProof/>
            <w:webHidden/>
          </w:rPr>
          <w:fldChar w:fldCharType="separate"/>
        </w:r>
        <w:r w:rsidR="001E1A67">
          <w:rPr>
            <w:noProof/>
            <w:webHidden/>
          </w:rPr>
          <w:t>159</w:t>
        </w:r>
        <w:r w:rsidR="00D4102B">
          <w:rPr>
            <w:noProof/>
            <w:webHidden/>
          </w:rPr>
          <w:fldChar w:fldCharType="end"/>
        </w:r>
      </w:hyperlink>
    </w:p>
    <w:p w14:paraId="68847467" w14:textId="1BC89080" w:rsidR="00D4102B" w:rsidRDefault="002734FA">
      <w:pPr>
        <w:pStyle w:val="Obsah2"/>
        <w:rPr>
          <w:rFonts w:asciiTheme="minorHAnsi" w:eastAsiaTheme="minorEastAsia" w:hAnsiTheme="minorHAnsi" w:cstheme="minorBidi"/>
          <w:sz w:val="22"/>
          <w:lang w:eastAsia="cs-CZ"/>
        </w:rPr>
      </w:pPr>
      <w:hyperlink w:anchor="_Toc144104429" w:history="1">
        <w:r w:rsidR="00D4102B" w:rsidRPr="0047292F">
          <w:rPr>
            <w:rStyle w:val="Hypertextovodkaz"/>
          </w:rPr>
          <w:t>5.3</w:t>
        </w:r>
        <w:r w:rsidR="00D4102B">
          <w:rPr>
            <w:rFonts w:asciiTheme="minorHAnsi" w:eastAsiaTheme="minorEastAsia" w:hAnsiTheme="minorHAnsi" w:cstheme="minorBidi"/>
            <w:sz w:val="22"/>
            <w:lang w:eastAsia="cs-CZ"/>
          </w:rPr>
          <w:tab/>
        </w:r>
        <w:r w:rsidR="00D4102B" w:rsidRPr="0047292F">
          <w:rPr>
            <w:rStyle w:val="Hypertextovodkaz"/>
          </w:rPr>
          <w:t>Trestní dovolací agenda</w:t>
        </w:r>
        <w:r w:rsidR="00D4102B">
          <w:rPr>
            <w:webHidden/>
          </w:rPr>
          <w:tab/>
        </w:r>
        <w:r w:rsidR="00D4102B">
          <w:rPr>
            <w:webHidden/>
          </w:rPr>
          <w:fldChar w:fldCharType="begin"/>
        </w:r>
        <w:r w:rsidR="00D4102B">
          <w:rPr>
            <w:webHidden/>
          </w:rPr>
          <w:instrText xml:space="preserve"> PAGEREF _Toc144104429 \h </w:instrText>
        </w:r>
        <w:r w:rsidR="00D4102B">
          <w:rPr>
            <w:webHidden/>
          </w:rPr>
        </w:r>
        <w:r w:rsidR="00D4102B">
          <w:rPr>
            <w:webHidden/>
          </w:rPr>
          <w:fldChar w:fldCharType="separate"/>
        </w:r>
        <w:r w:rsidR="001E1A67">
          <w:rPr>
            <w:webHidden/>
          </w:rPr>
          <w:t>161</w:t>
        </w:r>
        <w:r w:rsidR="00D4102B">
          <w:rPr>
            <w:webHidden/>
          </w:rPr>
          <w:fldChar w:fldCharType="end"/>
        </w:r>
      </w:hyperlink>
    </w:p>
    <w:p w14:paraId="3C7290C6" w14:textId="06F2B318" w:rsidR="00D4102B" w:rsidRDefault="002734FA">
      <w:pPr>
        <w:pStyle w:val="Obsah3"/>
        <w:rPr>
          <w:rFonts w:asciiTheme="minorHAnsi" w:eastAsiaTheme="minorEastAsia" w:hAnsiTheme="minorHAnsi" w:cstheme="minorBidi"/>
          <w:noProof/>
          <w:sz w:val="22"/>
          <w:lang w:eastAsia="cs-CZ"/>
        </w:rPr>
      </w:pPr>
      <w:hyperlink w:anchor="_Toc144104430" w:history="1">
        <w:r w:rsidR="00D4102B" w:rsidRPr="0047292F">
          <w:rPr>
            <w:rStyle w:val="Hypertextovodkaz"/>
            <w:noProof/>
            <w:lang w:eastAsia="cs-CZ"/>
          </w:rPr>
          <w:t>5.3.1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Vyřizování věcí</w:t>
        </w:r>
        <w:r w:rsidR="00D4102B">
          <w:rPr>
            <w:noProof/>
            <w:webHidden/>
          </w:rPr>
          <w:tab/>
        </w:r>
        <w:r w:rsidR="00D4102B">
          <w:rPr>
            <w:noProof/>
            <w:webHidden/>
          </w:rPr>
          <w:fldChar w:fldCharType="begin"/>
        </w:r>
        <w:r w:rsidR="00D4102B">
          <w:rPr>
            <w:noProof/>
            <w:webHidden/>
          </w:rPr>
          <w:instrText xml:space="preserve"> PAGEREF _Toc144104430 \h </w:instrText>
        </w:r>
        <w:r w:rsidR="00D4102B">
          <w:rPr>
            <w:noProof/>
            <w:webHidden/>
          </w:rPr>
        </w:r>
        <w:r w:rsidR="00D4102B">
          <w:rPr>
            <w:noProof/>
            <w:webHidden/>
          </w:rPr>
          <w:fldChar w:fldCharType="separate"/>
        </w:r>
        <w:r w:rsidR="001E1A67">
          <w:rPr>
            <w:noProof/>
            <w:webHidden/>
          </w:rPr>
          <w:t>161</w:t>
        </w:r>
        <w:r w:rsidR="00D4102B">
          <w:rPr>
            <w:noProof/>
            <w:webHidden/>
          </w:rPr>
          <w:fldChar w:fldCharType="end"/>
        </w:r>
      </w:hyperlink>
    </w:p>
    <w:p w14:paraId="1228DCD1" w14:textId="0D5EDB6C" w:rsidR="00D4102B" w:rsidRDefault="002734FA">
      <w:pPr>
        <w:pStyle w:val="Obsah2"/>
        <w:rPr>
          <w:rFonts w:asciiTheme="minorHAnsi" w:eastAsiaTheme="minorEastAsia" w:hAnsiTheme="minorHAnsi" w:cstheme="minorBidi"/>
          <w:sz w:val="22"/>
          <w:lang w:eastAsia="cs-CZ"/>
        </w:rPr>
      </w:pPr>
      <w:hyperlink w:anchor="_Toc144104431" w:history="1">
        <w:r w:rsidR="00D4102B" w:rsidRPr="0047292F">
          <w:rPr>
            <w:rStyle w:val="Hypertextovodkaz"/>
          </w:rPr>
          <w:t>5.4</w:t>
        </w:r>
        <w:r w:rsidR="00D4102B">
          <w:rPr>
            <w:rFonts w:asciiTheme="minorHAnsi" w:eastAsiaTheme="minorEastAsia" w:hAnsiTheme="minorHAnsi" w:cstheme="minorBidi"/>
            <w:sz w:val="22"/>
            <w:lang w:eastAsia="cs-CZ"/>
          </w:rPr>
          <w:tab/>
        </w:r>
        <w:r w:rsidR="00D4102B" w:rsidRPr="0047292F">
          <w:rPr>
            <w:rStyle w:val="Hypertextovodkaz"/>
          </w:rPr>
          <w:t>Stížnosti pro porušení zákona</w:t>
        </w:r>
        <w:r w:rsidR="00D4102B">
          <w:rPr>
            <w:webHidden/>
          </w:rPr>
          <w:tab/>
        </w:r>
        <w:r w:rsidR="00D4102B">
          <w:rPr>
            <w:webHidden/>
          </w:rPr>
          <w:fldChar w:fldCharType="begin"/>
        </w:r>
        <w:r w:rsidR="00D4102B">
          <w:rPr>
            <w:webHidden/>
          </w:rPr>
          <w:instrText xml:space="preserve"> PAGEREF _Toc144104431 \h </w:instrText>
        </w:r>
        <w:r w:rsidR="00D4102B">
          <w:rPr>
            <w:webHidden/>
          </w:rPr>
        </w:r>
        <w:r w:rsidR="00D4102B">
          <w:rPr>
            <w:webHidden/>
          </w:rPr>
          <w:fldChar w:fldCharType="separate"/>
        </w:r>
        <w:r w:rsidR="001E1A67">
          <w:rPr>
            <w:webHidden/>
          </w:rPr>
          <w:t>162</w:t>
        </w:r>
        <w:r w:rsidR="00D4102B">
          <w:rPr>
            <w:webHidden/>
          </w:rPr>
          <w:fldChar w:fldCharType="end"/>
        </w:r>
      </w:hyperlink>
    </w:p>
    <w:p w14:paraId="44ABEC15" w14:textId="2B975691" w:rsidR="00D4102B" w:rsidRDefault="002734FA">
      <w:pPr>
        <w:pStyle w:val="Obsah2"/>
        <w:rPr>
          <w:rFonts w:asciiTheme="minorHAnsi" w:eastAsiaTheme="minorEastAsia" w:hAnsiTheme="minorHAnsi" w:cstheme="minorBidi"/>
          <w:sz w:val="22"/>
          <w:lang w:eastAsia="cs-CZ"/>
        </w:rPr>
      </w:pPr>
      <w:hyperlink w:anchor="_Toc144104432" w:history="1">
        <w:r w:rsidR="00D4102B" w:rsidRPr="0047292F">
          <w:rPr>
            <w:rStyle w:val="Hypertextovodkaz"/>
          </w:rPr>
          <w:t>5.5</w:t>
        </w:r>
        <w:r w:rsidR="00D4102B">
          <w:rPr>
            <w:rFonts w:asciiTheme="minorHAnsi" w:eastAsiaTheme="minorEastAsia" w:hAnsiTheme="minorHAnsi" w:cstheme="minorBidi"/>
            <w:sz w:val="22"/>
            <w:lang w:eastAsia="cs-CZ"/>
          </w:rPr>
          <w:tab/>
        </w:r>
        <w:r w:rsidR="00D4102B" w:rsidRPr="0047292F">
          <w:rPr>
            <w:rStyle w:val="Hypertextovodkaz"/>
          </w:rPr>
          <w:t>Insolvenční agenda</w:t>
        </w:r>
        <w:r w:rsidR="00D4102B">
          <w:rPr>
            <w:webHidden/>
          </w:rPr>
          <w:tab/>
        </w:r>
        <w:r w:rsidR="00D4102B">
          <w:rPr>
            <w:webHidden/>
          </w:rPr>
          <w:fldChar w:fldCharType="begin"/>
        </w:r>
        <w:r w:rsidR="00D4102B">
          <w:rPr>
            <w:webHidden/>
          </w:rPr>
          <w:instrText xml:space="preserve"> PAGEREF _Toc144104432 \h </w:instrText>
        </w:r>
        <w:r w:rsidR="00D4102B">
          <w:rPr>
            <w:webHidden/>
          </w:rPr>
        </w:r>
        <w:r w:rsidR="00D4102B">
          <w:rPr>
            <w:webHidden/>
          </w:rPr>
          <w:fldChar w:fldCharType="separate"/>
        </w:r>
        <w:r w:rsidR="001E1A67">
          <w:rPr>
            <w:webHidden/>
          </w:rPr>
          <w:t>163</w:t>
        </w:r>
        <w:r w:rsidR="00D4102B">
          <w:rPr>
            <w:webHidden/>
          </w:rPr>
          <w:fldChar w:fldCharType="end"/>
        </w:r>
      </w:hyperlink>
    </w:p>
    <w:p w14:paraId="128CB746" w14:textId="32361A76" w:rsidR="00D4102B" w:rsidRDefault="002734FA">
      <w:pPr>
        <w:pStyle w:val="Obsah1"/>
        <w:tabs>
          <w:tab w:val="left" w:pos="482"/>
        </w:tabs>
        <w:rPr>
          <w:rFonts w:asciiTheme="minorHAnsi" w:eastAsiaTheme="minorEastAsia" w:hAnsiTheme="minorHAnsi" w:cstheme="minorBidi"/>
          <w:noProof/>
          <w:sz w:val="22"/>
          <w:lang w:eastAsia="cs-CZ"/>
        </w:rPr>
      </w:pPr>
      <w:hyperlink w:anchor="_Toc144104433" w:history="1">
        <w:r w:rsidR="00D4102B" w:rsidRPr="0047292F">
          <w:rPr>
            <w:rStyle w:val="Hypertextovodkaz"/>
            <w:noProof/>
            <w:lang w:eastAsia="cs-CZ"/>
          </w:rPr>
          <w:t>6</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Nejvyšší správní soud</w:t>
        </w:r>
        <w:r w:rsidR="00D4102B">
          <w:rPr>
            <w:noProof/>
            <w:webHidden/>
          </w:rPr>
          <w:tab/>
        </w:r>
        <w:r w:rsidR="00D4102B">
          <w:rPr>
            <w:noProof/>
            <w:webHidden/>
          </w:rPr>
          <w:fldChar w:fldCharType="begin"/>
        </w:r>
        <w:r w:rsidR="00D4102B">
          <w:rPr>
            <w:noProof/>
            <w:webHidden/>
          </w:rPr>
          <w:instrText xml:space="preserve"> PAGEREF _Toc144104433 \h </w:instrText>
        </w:r>
        <w:r w:rsidR="00D4102B">
          <w:rPr>
            <w:noProof/>
            <w:webHidden/>
          </w:rPr>
        </w:r>
        <w:r w:rsidR="00D4102B">
          <w:rPr>
            <w:noProof/>
            <w:webHidden/>
          </w:rPr>
          <w:fldChar w:fldCharType="separate"/>
        </w:r>
        <w:r w:rsidR="001E1A67">
          <w:rPr>
            <w:noProof/>
            <w:webHidden/>
          </w:rPr>
          <w:t>164</w:t>
        </w:r>
        <w:r w:rsidR="00D4102B">
          <w:rPr>
            <w:noProof/>
            <w:webHidden/>
          </w:rPr>
          <w:fldChar w:fldCharType="end"/>
        </w:r>
      </w:hyperlink>
    </w:p>
    <w:p w14:paraId="3B5FC382" w14:textId="3E6FA235" w:rsidR="00D4102B" w:rsidRDefault="002734FA">
      <w:pPr>
        <w:pStyle w:val="Obsah2"/>
        <w:rPr>
          <w:rFonts w:asciiTheme="minorHAnsi" w:eastAsiaTheme="minorEastAsia" w:hAnsiTheme="minorHAnsi" w:cstheme="minorBidi"/>
          <w:sz w:val="22"/>
          <w:lang w:eastAsia="cs-CZ"/>
        </w:rPr>
      </w:pPr>
      <w:hyperlink w:anchor="_Toc144104434" w:history="1">
        <w:r w:rsidR="00D4102B" w:rsidRPr="0047292F">
          <w:rPr>
            <w:rStyle w:val="Hypertextovodkaz"/>
            <w:lang w:eastAsia="cs-CZ"/>
          </w:rPr>
          <w:t>6.1</w:t>
        </w:r>
        <w:r w:rsidR="00D4102B">
          <w:rPr>
            <w:rFonts w:asciiTheme="minorHAnsi" w:eastAsiaTheme="minorEastAsia" w:hAnsiTheme="minorHAnsi" w:cstheme="minorBidi"/>
            <w:sz w:val="22"/>
            <w:lang w:eastAsia="cs-CZ"/>
          </w:rPr>
          <w:tab/>
        </w:r>
        <w:r w:rsidR="00D4102B" w:rsidRPr="0047292F">
          <w:rPr>
            <w:rStyle w:val="Hypertextovodkaz"/>
            <w:lang w:eastAsia="cs-CZ"/>
          </w:rPr>
          <w:t>Personál</w:t>
        </w:r>
        <w:r w:rsidR="00D4102B">
          <w:rPr>
            <w:webHidden/>
          </w:rPr>
          <w:tab/>
        </w:r>
        <w:r w:rsidR="00D4102B">
          <w:rPr>
            <w:webHidden/>
          </w:rPr>
          <w:fldChar w:fldCharType="begin"/>
        </w:r>
        <w:r w:rsidR="00D4102B">
          <w:rPr>
            <w:webHidden/>
          </w:rPr>
          <w:instrText xml:space="preserve"> PAGEREF _Toc144104434 \h </w:instrText>
        </w:r>
        <w:r w:rsidR="00D4102B">
          <w:rPr>
            <w:webHidden/>
          </w:rPr>
        </w:r>
        <w:r w:rsidR="00D4102B">
          <w:rPr>
            <w:webHidden/>
          </w:rPr>
          <w:fldChar w:fldCharType="separate"/>
        </w:r>
        <w:r w:rsidR="001E1A67">
          <w:rPr>
            <w:webHidden/>
          </w:rPr>
          <w:t>164</w:t>
        </w:r>
        <w:r w:rsidR="00D4102B">
          <w:rPr>
            <w:webHidden/>
          </w:rPr>
          <w:fldChar w:fldCharType="end"/>
        </w:r>
      </w:hyperlink>
    </w:p>
    <w:p w14:paraId="63DC2C37" w14:textId="5370F8E0" w:rsidR="00D4102B" w:rsidRDefault="002734FA">
      <w:pPr>
        <w:pStyle w:val="Obsah3"/>
        <w:rPr>
          <w:rFonts w:asciiTheme="minorHAnsi" w:eastAsiaTheme="minorEastAsia" w:hAnsiTheme="minorHAnsi" w:cstheme="minorBidi"/>
          <w:noProof/>
          <w:sz w:val="22"/>
          <w:lang w:eastAsia="cs-CZ"/>
        </w:rPr>
      </w:pPr>
      <w:hyperlink w:anchor="_Toc144104435" w:history="1">
        <w:r w:rsidR="00D4102B" w:rsidRPr="0047292F">
          <w:rPr>
            <w:rStyle w:val="Hypertextovodkaz"/>
            <w:noProof/>
            <w:lang w:eastAsia="cs-CZ"/>
          </w:rPr>
          <w:t>6.1.1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Soudci</w:t>
        </w:r>
        <w:r w:rsidR="00D4102B">
          <w:rPr>
            <w:noProof/>
            <w:webHidden/>
          </w:rPr>
          <w:tab/>
        </w:r>
        <w:r w:rsidR="00D4102B">
          <w:rPr>
            <w:noProof/>
            <w:webHidden/>
          </w:rPr>
          <w:fldChar w:fldCharType="begin"/>
        </w:r>
        <w:r w:rsidR="00D4102B">
          <w:rPr>
            <w:noProof/>
            <w:webHidden/>
          </w:rPr>
          <w:instrText xml:space="preserve"> PAGEREF _Toc144104435 \h </w:instrText>
        </w:r>
        <w:r w:rsidR="00D4102B">
          <w:rPr>
            <w:noProof/>
            <w:webHidden/>
          </w:rPr>
        </w:r>
        <w:r w:rsidR="00D4102B">
          <w:rPr>
            <w:noProof/>
            <w:webHidden/>
          </w:rPr>
          <w:fldChar w:fldCharType="separate"/>
        </w:r>
        <w:r w:rsidR="001E1A67">
          <w:rPr>
            <w:noProof/>
            <w:webHidden/>
          </w:rPr>
          <w:t>164</w:t>
        </w:r>
        <w:r w:rsidR="00D4102B">
          <w:rPr>
            <w:noProof/>
            <w:webHidden/>
          </w:rPr>
          <w:fldChar w:fldCharType="end"/>
        </w:r>
      </w:hyperlink>
    </w:p>
    <w:p w14:paraId="10991998" w14:textId="5461C6D6" w:rsidR="00D4102B" w:rsidRDefault="002734FA">
      <w:pPr>
        <w:pStyle w:val="Obsah3"/>
        <w:rPr>
          <w:rFonts w:asciiTheme="minorHAnsi" w:eastAsiaTheme="minorEastAsia" w:hAnsiTheme="minorHAnsi" w:cstheme="minorBidi"/>
          <w:noProof/>
          <w:sz w:val="22"/>
          <w:lang w:eastAsia="cs-CZ"/>
        </w:rPr>
      </w:pPr>
      <w:hyperlink w:anchor="_Toc144104436" w:history="1">
        <w:r w:rsidR="00D4102B" w:rsidRPr="0047292F">
          <w:rPr>
            <w:rStyle w:val="Hypertextovodkaz"/>
            <w:noProof/>
            <w:lang w:eastAsia="cs-CZ"/>
          </w:rPr>
          <w:t>6.1.2</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Zaměstnanci ve výkonu</w:t>
        </w:r>
        <w:r w:rsidR="00D4102B">
          <w:rPr>
            <w:noProof/>
            <w:webHidden/>
          </w:rPr>
          <w:tab/>
        </w:r>
        <w:r w:rsidR="00D4102B">
          <w:rPr>
            <w:noProof/>
            <w:webHidden/>
          </w:rPr>
          <w:fldChar w:fldCharType="begin"/>
        </w:r>
        <w:r w:rsidR="00D4102B">
          <w:rPr>
            <w:noProof/>
            <w:webHidden/>
          </w:rPr>
          <w:instrText xml:space="preserve"> PAGEREF _Toc144104436 \h </w:instrText>
        </w:r>
        <w:r w:rsidR="00D4102B">
          <w:rPr>
            <w:noProof/>
            <w:webHidden/>
          </w:rPr>
        </w:r>
        <w:r w:rsidR="00D4102B">
          <w:rPr>
            <w:noProof/>
            <w:webHidden/>
          </w:rPr>
          <w:fldChar w:fldCharType="separate"/>
        </w:r>
        <w:r w:rsidR="001E1A67">
          <w:rPr>
            <w:noProof/>
            <w:webHidden/>
          </w:rPr>
          <w:t>166</w:t>
        </w:r>
        <w:r w:rsidR="00D4102B">
          <w:rPr>
            <w:noProof/>
            <w:webHidden/>
          </w:rPr>
          <w:fldChar w:fldCharType="end"/>
        </w:r>
      </w:hyperlink>
    </w:p>
    <w:p w14:paraId="5C778700" w14:textId="5284D58E" w:rsidR="00D4102B" w:rsidRDefault="002734FA">
      <w:pPr>
        <w:pStyle w:val="Obsah2"/>
        <w:rPr>
          <w:rFonts w:asciiTheme="minorHAnsi" w:eastAsiaTheme="minorEastAsia" w:hAnsiTheme="minorHAnsi" w:cstheme="minorBidi"/>
          <w:sz w:val="22"/>
          <w:lang w:eastAsia="cs-CZ"/>
        </w:rPr>
      </w:pPr>
      <w:hyperlink w:anchor="_Toc144104437" w:history="1">
        <w:r w:rsidR="00D4102B" w:rsidRPr="0047292F">
          <w:rPr>
            <w:rStyle w:val="Hypertextovodkaz"/>
          </w:rPr>
          <w:t>6.2</w:t>
        </w:r>
        <w:r w:rsidR="00D4102B">
          <w:rPr>
            <w:rFonts w:asciiTheme="minorHAnsi" w:eastAsiaTheme="minorEastAsia" w:hAnsiTheme="minorHAnsi" w:cstheme="minorBidi"/>
            <w:sz w:val="22"/>
            <w:lang w:eastAsia="cs-CZ"/>
          </w:rPr>
          <w:tab/>
        </w:r>
        <w:r w:rsidR="00D4102B" w:rsidRPr="0047292F">
          <w:rPr>
            <w:rStyle w:val="Hypertextovodkaz"/>
          </w:rPr>
          <w:t>Řízení o kasačních stížnostech</w:t>
        </w:r>
        <w:r w:rsidR="00D4102B">
          <w:rPr>
            <w:webHidden/>
          </w:rPr>
          <w:tab/>
        </w:r>
        <w:r w:rsidR="00D4102B">
          <w:rPr>
            <w:webHidden/>
          </w:rPr>
          <w:fldChar w:fldCharType="begin"/>
        </w:r>
        <w:r w:rsidR="00D4102B">
          <w:rPr>
            <w:webHidden/>
          </w:rPr>
          <w:instrText xml:space="preserve"> PAGEREF _Toc144104437 \h </w:instrText>
        </w:r>
        <w:r w:rsidR="00D4102B">
          <w:rPr>
            <w:webHidden/>
          </w:rPr>
        </w:r>
        <w:r w:rsidR="00D4102B">
          <w:rPr>
            <w:webHidden/>
          </w:rPr>
          <w:fldChar w:fldCharType="separate"/>
        </w:r>
        <w:r w:rsidR="001E1A67">
          <w:rPr>
            <w:webHidden/>
          </w:rPr>
          <w:t>167</w:t>
        </w:r>
        <w:r w:rsidR="00D4102B">
          <w:rPr>
            <w:webHidden/>
          </w:rPr>
          <w:fldChar w:fldCharType="end"/>
        </w:r>
      </w:hyperlink>
    </w:p>
    <w:p w14:paraId="70830056" w14:textId="4E401DE8" w:rsidR="00D4102B" w:rsidRDefault="002734FA">
      <w:pPr>
        <w:pStyle w:val="Obsah3"/>
        <w:rPr>
          <w:rFonts w:asciiTheme="minorHAnsi" w:eastAsiaTheme="minorEastAsia" w:hAnsiTheme="minorHAnsi" w:cstheme="minorBidi"/>
          <w:noProof/>
          <w:sz w:val="22"/>
          <w:lang w:eastAsia="cs-CZ"/>
        </w:rPr>
      </w:pPr>
      <w:hyperlink w:anchor="_Toc144104438" w:history="1">
        <w:r w:rsidR="00D4102B" w:rsidRPr="0047292F">
          <w:rPr>
            <w:rStyle w:val="Hypertextovodkaz"/>
            <w:noProof/>
          </w:rPr>
          <w:t>6.2.1</w:t>
        </w:r>
        <w:r w:rsidR="00D4102B">
          <w:rPr>
            <w:rFonts w:asciiTheme="minorHAnsi" w:eastAsiaTheme="minorEastAsia" w:hAnsiTheme="minorHAnsi" w:cstheme="minorBidi"/>
            <w:noProof/>
            <w:sz w:val="22"/>
            <w:lang w:eastAsia="cs-CZ"/>
          </w:rPr>
          <w:tab/>
        </w:r>
        <w:r w:rsidR="00D4102B" w:rsidRPr="0047292F">
          <w:rPr>
            <w:rStyle w:val="Hypertextovodkaz"/>
            <w:noProof/>
          </w:rPr>
          <w:t>Vyřizování věcí</w:t>
        </w:r>
        <w:r w:rsidR="00D4102B">
          <w:rPr>
            <w:noProof/>
            <w:webHidden/>
          </w:rPr>
          <w:tab/>
        </w:r>
        <w:r w:rsidR="00D4102B">
          <w:rPr>
            <w:noProof/>
            <w:webHidden/>
          </w:rPr>
          <w:fldChar w:fldCharType="begin"/>
        </w:r>
        <w:r w:rsidR="00D4102B">
          <w:rPr>
            <w:noProof/>
            <w:webHidden/>
          </w:rPr>
          <w:instrText xml:space="preserve"> PAGEREF _Toc144104438 \h </w:instrText>
        </w:r>
        <w:r w:rsidR="00D4102B">
          <w:rPr>
            <w:noProof/>
            <w:webHidden/>
          </w:rPr>
        </w:r>
        <w:r w:rsidR="00D4102B">
          <w:rPr>
            <w:noProof/>
            <w:webHidden/>
          </w:rPr>
          <w:fldChar w:fldCharType="separate"/>
        </w:r>
        <w:r w:rsidR="001E1A67">
          <w:rPr>
            <w:noProof/>
            <w:webHidden/>
          </w:rPr>
          <w:t>167</w:t>
        </w:r>
        <w:r w:rsidR="00D4102B">
          <w:rPr>
            <w:noProof/>
            <w:webHidden/>
          </w:rPr>
          <w:fldChar w:fldCharType="end"/>
        </w:r>
      </w:hyperlink>
    </w:p>
    <w:p w14:paraId="6CB0CE50" w14:textId="76B114FF" w:rsidR="00D4102B" w:rsidRDefault="002734FA">
      <w:pPr>
        <w:pStyle w:val="Obsah2"/>
        <w:rPr>
          <w:rFonts w:asciiTheme="minorHAnsi" w:eastAsiaTheme="minorEastAsia" w:hAnsiTheme="minorHAnsi" w:cstheme="minorBidi"/>
          <w:sz w:val="22"/>
          <w:lang w:eastAsia="cs-CZ"/>
        </w:rPr>
      </w:pPr>
      <w:hyperlink w:anchor="_Toc144104439" w:history="1">
        <w:r w:rsidR="00D4102B" w:rsidRPr="0047292F">
          <w:rPr>
            <w:rStyle w:val="Hypertextovodkaz"/>
            <w:lang w:eastAsia="cs-CZ"/>
          </w:rPr>
          <w:t>6.3</w:t>
        </w:r>
        <w:r w:rsidR="00D4102B">
          <w:rPr>
            <w:rFonts w:asciiTheme="minorHAnsi" w:eastAsiaTheme="minorEastAsia" w:hAnsiTheme="minorHAnsi" w:cstheme="minorBidi"/>
            <w:sz w:val="22"/>
            <w:lang w:eastAsia="cs-CZ"/>
          </w:rPr>
          <w:tab/>
        </w:r>
        <w:r w:rsidR="00D4102B" w:rsidRPr="0047292F">
          <w:rPr>
            <w:rStyle w:val="Hypertextovodkaz"/>
            <w:lang w:eastAsia="cs-CZ"/>
          </w:rPr>
          <w:t>Řízení ve věcech soudců</w:t>
        </w:r>
        <w:r w:rsidR="00D4102B">
          <w:rPr>
            <w:webHidden/>
          </w:rPr>
          <w:tab/>
        </w:r>
        <w:r w:rsidR="00D4102B">
          <w:rPr>
            <w:webHidden/>
          </w:rPr>
          <w:fldChar w:fldCharType="begin"/>
        </w:r>
        <w:r w:rsidR="00D4102B">
          <w:rPr>
            <w:webHidden/>
          </w:rPr>
          <w:instrText xml:space="preserve"> PAGEREF _Toc144104439 \h </w:instrText>
        </w:r>
        <w:r w:rsidR="00D4102B">
          <w:rPr>
            <w:webHidden/>
          </w:rPr>
        </w:r>
        <w:r w:rsidR="00D4102B">
          <w:rPr>
            <w:webHidden/>
          </w:rPr>
          <w:fldChar w:fldCharType="separate"/>
        </w:r>
        <w:r w:rsidR="001E1A67">
          <w:rPr>
            <w:webHidden/>
          </w:rPr>
          <w:t>168</w:t>
        </w:r>
        <w:r w:rsidR="00D4102B">
          <w:rPr>
            <w:webHidden/>
          </w:rPr>
          <w:fldChar w:fldCharType="end"/>
        </w:r>
      </w:hyperlink>
    </w:p>
    <w:p w14:paraId="55E7C2A1" w14:textId="71028B8E" w:rsidR="00D4102B" w:rsidRDefault="002734FA">
      <w:pPr>
        <w:pStyle w:val="Obsah3"/>
        <w:rPr>
          <w:rFonts w:asciiTheme="minorHAnsi" w:eastAsiaTheme="minorEastAsia" w:hAnsiTheme="minorHAnsi" w:cstheme="minorBidi"/>
          <w:noProof/>
          <w:sz w:val="22"/>
          <w:lang w:eastAsia="cs-CZ"/>
        </w:rPr>
      </w:pPr>
      <w:hyperlink w:anchor="_Toc144104440" w:history="1">
        <w:r w:rsidR="00D4102B" w:rsidRPr="0047292F">
          <w:rPr>
            <w:rStyle w:val="Hypertextovodkaz"/>
            <w:noProof/>
            <w:lang w:eastAsia="cs-CZ"/>
          </w:rPr>
          <w:t>6.3.1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Vyřizování věcí</w:t>
        </w:r>
        <w:r w:rsidR="00D4102B">
          <w:rPr>
            <w:noProof/>
            <w:webHidden/>
          </w:rPr>
          <w:tab/>
        </w:r>
        <w:r w:rsidR="00D4102B">
          <w:rPr>
            <w:noProof/>
            <w:webHidden/>
          </w:rPr>
          <w:fldChar w:fldCharType="begin"/>
        </w:r>
        <w:r w:rsidR="00D4102B">
          <w:rPr>
            <w:noProof/>
            <w:webHidden/>
          </w:rPr>
          <w:instrText xml:space="preserve"> PAGEREF _Toc144104440 \h </w:instrText>
        </w:r>
        <w:r w:rsidR="00D4102B">
          <w:rPr>
            <w:noProof/>
            <w:webHidden/>
          </w:rPr>
        </w:r>
        <w:r w:rsidR="00D4102B">
          <w:rPr>
            <w:noProof/>
            <w:webHidden/>
          </w:rPr>
          <w:fldChar w:fldCharType="separate"/>
        </w:r>
        <w:r w:rsidR="001E1A67">
          <w:rPr>
            <w:noProof/>
            <w:webHidden/>
          </w:rPr>
          <w:t>168</w:t>
        </w:r>
        <w:r w:rsidR="00D4102B">
          <w:rPr>
            <w:noProof/>
            <w:webHidden/>
          </w:rPr>
          <w:fldChar w:fldCharType="end"/>
        </w:r>
      </w:hyperlink>
    </w:p>
    <w:p w14:paraId="37228629" w14:textId="5BAD9451" w:rsidR="00D4102B" w:rsidRDefault="002734FA">
      <w:pPr>
        <w:pStyle w:val="Obsah1"/>
        <w:tabs>
          <w:tab w:val="left" w:pos="482"/>
        </w:tabs>
        <w:rPr>
          <w:rFonts w:asciiTheme="minorHAnsi" w:eastAsiaTheme="minorEastAsia" w:hAnsiTheme="minorHAnsi" w:cstheme="minorBidi"/>
          <w:noProof/>
          <w:sz w:val="22"/>
          <w:lang w:eastAsia="cs-CZ"/>
        </w:rPr>
      </w:pPr>
      <w:hyperlink w:anchor="_Toc144104441" w:history="1">
        <w:r w:rsidR="00D4102B" w:rsidRPr="0047292F">
          <w:rPr>
            <w:rStyle w:val="Hypertextovodkaz"/>
            <w:noProof/>
            <w:lang w:eastAsia="cs-CZ"/>
          </w:rPr>
          <w:t>7</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Shrnutí a mezinárodní srovnání</w:t>
        </w:r>
        <w:r w:rsidR="00D4102B">
          <w:rPr>
            <w:noProof/>
            <w:webHidden/>
          </w:rPr>
          <w:tab/>
        </w:r>
        <w:r w:rsidR="00D4102B">
          <w:rPr>
            <w:noProof/>
            <w:webHidden/>
          </w:rPr>
          <w:fldChar w:fldCharType="begin"/>
        </w:r>
        <w:r w:rsidR="00D4102B">
          <w:rPr>
            <w:noProof/>
            <w:webHidden/>
          </w:rPr>
          <w:instrText xml:space="preserve"> PAGEREF _Toc144104441 \h </w:instrText>
        </w:r>
        <w:r w:rsidR="00D4102B">
          <w:rPr>
            <w:noProof/>
            <w:webHidden/>
          </w:rPr>
        </w:r>
        <w:r w:rsidR="00D4102B">
          <w:rPr>
            <w:noProof/>
            <w:webHidden/>
          </w:rPr>
          <w:fldChar w:fldCharType="separate"/>
        </w:r>
        <w:r w:rsidR="001E1A67">
          <w:rPr>
            <w:noProof/>
            <w:webHidden/>
          </w:rPr>
          <w:t>169</w:t>
        </w:r>
        <w:r w:rsidR="00D4102B">
          <w:rPr>
            <w:noProof/>
            <w:webHidden/>
          </w:rPr>
          <w:fldChar w:fldCharType="end"/>
        </w:r>
      </w:hyperlink>
    </w:p>
    <w:p w14:paraId="4281AD68" w14:textId="3665BDF4" w:rsidR="00D4102B" w:rsidRDefault="002734FA">
      <w:pPr>
        <w:pStyle w:val="Obsah2"/>
        <w:rPr>
          <w:rFonts w:asciiTheme="minorHAnsi" w:eastAsiaTheme="minorEastAsia" w:hAnsiTheme="minorHAnsi" w:cstheme="minorBidi"/>
          <w:sz w:val="22"/>
          <w:lang w:eastAsia="cs-CZ"/>
        </w:rPr>
      </w:pPr>
      <w:hyperlink w:anchor="_Toc144104442" w:history="1">
        <w:r w:rsidR="00D4102B" w:rsidRPr="0047292F">
          <w:rPr>
            <w:rStyle w:val="Hypertextovodkaz"/>
            <w:lang w:eastAsia="cs-CZ"/>
          </w:rPr>
          <w:t>7.1</w:t>
        </w:r>
        <w:r w:rsidR="00D4102B">
          <w:rPr>
            <w:rFonts w:asciiTheme="minorHAnsi" w:eastAsiaTheme="minorEastAsia" w:hAnsiTheme="minorHAnsi" w:cstheme="minorBidi"/>
            <w:sz w:val="22"/>
            <w:lang w:eastAsia="cs-CZ"/>
          </w:rPr>
          <w:tab/>
        </w:r>
        <w:r w:rsidR="00D4102B" w:rsidRPr="0047292F">
          <w:rPr>
            <w:rStyle w:val="Hypertextovodkaz"/>
            <w:lang w:eastAsia="cs-CZ"/>
          </w:rPr>
          <w:t>Shrnutí</w:t>
        </w:r>
        <w:r w:rsidR="00D4102B">
          <w:rPr>
            <w:webHidden/>
          </w:rPr>
          <w:tab/>
        </w:r>
        <w:r w:rsidR="00D4102B">
          <w:rPr>
            <w:webHidden/>
          </w:rPr>
          <w:fldChar w:fldCharType="begin"/>
        </w:r>
        <w:r w:rsidR="00D4102B">
          <w:rPr>
            <w:webHidden/>
          </w:rPr>
          <w:instrText xml:space="preserve"> PAGEREF _Toc144104442 \h </w:instrText>
        </w:r>
        <w:r w:rsidR="00D4102B">
          <w:rPr>
            <w:webHidden/>
          </w:rPr>
        </w:r>
        <w:r w:rsidR="00D4102B">
          <w:rPr>
            <w:webHidden/>
          </w:rPr>
          <w:fldChar w:fldCharType="separate"/>
        </w:r>
        <w:r w:rsidR="001E1A67">
          <w:rPr>
            <w:webHidden/>
          </w:rPr>
          <w:t>169</w:t>
        </w:r>
        <w:r w:rsidR="00D4102B">
          <w:rPr>
            <w:webHidden/>
          </w:rPr>
          <w:fldChar w:fldCharType="end"/>
        </w:r>
      </w:hyperlink>
    </w:p>
    <w:p w14:paraId="03E658CF" w14:textId="261C9429" w:rsidR="00D4102B" w:rsidRDefault="002734FA">
      <w:pPr>
        <w:pStyle w:val="Obsah2"/>
        <w:rPr>
          <w:rFonts w:asciiTheme="minorHAnsi" w:eastAsiaTheme="minorEastAsia" w:hAnsiTheme="minorHAnsi" w:cstheme="minorBidi"/>
          <w:sz w:val="22"/>
          <w:lang w:eastAsia="cs-CZ"/>
        </w:rPr>
      </w:pPr>
      <w:hyperlink w:anchor="_Toc144104443" w:history="1">
        <w:r w:rsidR="00D4102B" w:rsidRPr="0047292F">
          <w:rPr>
            <w:rStyle w:val="Hypertextovodkaz"/>
            <w:lang w:eastAsia="cs-CZ"/>
          </w:rPr>
          <w:t>7.2</w:t>
        </w:r>
        <w:r w:rsidR="00D4102B">
          <w:rPr>
            <w:rFonts w:asciiTheme="minorHAnsi" w:eastAsiaTheme="minorEastAsia" w:hAnsiTheme="minorHAnsi" w:cstheme="minorBidi"/>
            <w:sz w:val="22"/>
            <w:lang w:eastAsia="cs-CZ"/>
          </w:rPr>
          <w:tab/>
        </w:r>
        <w:r w:rsidR="00D4102B" w:rsidRPr="0047292F">
          <w:rPr>
            <w:rStyle w:val="Hypertextovodkaz"/>
            <w:lang w:eastAsia="cs-CZ"/>
          </w:rPr>
          <w:t>Mezinárodní srovnání</w:t>
        </w:r>
        <w:r w:rsidR="00D4102B">
          <w:rPr>
            <w:webHidden/>
          </w:rPr>
          <w:tab/>
        </w:r>
        <w:r w:rsidR="00D4102B">
          <w:rPr>
            <w:webHidden/>
          </w:rPr>
          <w:fldChar w:fldCharType="begin"/>
        </w:r>
        <w:r w:rsidR="00D4102B">
          <w:rPr>
            <w:webHidden/>
          </w:rPr>
          <w:instrText xml:space="preserve"> PAGEREF _Toc144104443 \h </w:instrText>
        </w:r>
        <w:r w:rsidR="00D4102B">
          <w:rPr>
            <w:webHidden/>
          </w:rPr>
        </w:r>
        <w:r w:rsidR="00D4102B">
          <w:rPr>
            <w:webHidden/>
          </w:rPr>
          <w:fldChar w:fldCharType="separate"/>
        </w:r>
        <w:r w:rsidR="001E1A67">
          <w:rPr>
            <w:webHidden/>
          </w:rPr>
          <w:t>173</w:t>
        </w:r>
        <w:r w:rsidR="00D4102B">
          <w:rPr>
            <w:webHidden/>
          </w:rPr>
          <w:fldChar w:fldCharType="end"/>
        </w:r>
      </w:hyperlink>
    </w:p>
    <w:p w14:paraId="36E9B180" w14:textId="324F90CD" w:rsidR="00D4102B" w:rsidRDefault="002734FA">
      <w:pPr>
        <w:pStyle w:val="Obsah3"/>
        <w:rPr>
          <w:rFonts w:asciiTheme="minorHAnsi" w:eastAsiaTheme="minorEastAsia" w:hAnsiTheme="minorHAnsi" w:cstheme="minorBidi"/>
          <w:noProof/>
          <w:sz w:val="22"/>
          <w:lang w:eastAsia="cs-CZ"/>
        </w:rPr>
      </w:pPr>
      <w:hyperlink w:anchor="_Toc144104444" w:history="1">
        <w:r w:rsidR="00D4102B" w:rsidRPr="0047292F">
          <w:rPr>
            <w:rStyle w:val="Hypertextovodkaz"/>
            <w:noProof/>
          </w:rPr>
          <w:t>7.2.1</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Počet soudů, soudců a advokátů</w:t>
        </w:r>
        <w:r w:rsidR="00D4102B">
          <w:rPr>
            <w:noProof/>
            <w:webHidden/>
          </w:rPr>
          <w:tab/>
        </w:r>
        <w:r w:rsidR="00D4102B">
          <w:rPr>
            <w:noProof/>
            <w:webHidden/>
          </w:rPr>
          <w:fldChar w:fldCharType="begin"/>
        </w:r>
        <w:r w:rsidR="00D4102B">
          <w:rPr>
            <w:noProof/>
            <w:webHidden/>
          </w:rPr>
          <w:instrText xml:space="preserve"> PAGEREF _Toc144104444 \h </w:instrText>
        </w:r>
        <w:r w:rsidR="00D4102B">
          <w:rPr>
            <w:noProof/>
            <w:webHidden/>
          </w:rPr>
        </w:r>
        <w:r w:rsidR="00D4102B">
          <w:rPr>
            <w:noProof/>
            <w:webHidden/>
          </w:rPr>
          <w:fldChar w:fldCharType="separate"/>
        </w:r>
        <w:r w:rsidR="001E1A67">
          <w:rPr>
            <w:noProof/>
            <w:webHidden/>
          </w:rPr>
          <w:t>174</w:t>
        </w:r>
        <w:r w:rsidR="00D4102B">
          <w:rPr>
            <w:noProof/>
            <w:webHidden/>
          </w:rPr>
          <w:fldChar w:fldCharType="end"/>
        </w:r>
      </w:hyperlink>
    </w:p>
    <w:p w14:paraId="3E4B4D19" w14:textId="1D27C258" w:rsidR="00D4102B" w:rsidRDefault="002734FA">
      <w:pPr>
        <w:pStyle w:val="Obsah3"/>
        <w:rPr>
          <w:rFonts w:asciiTheme="minorHAnsi" w:eastAsiaTheme="minorEastAsia" w:hAnsiTheme="minorHAnsi" w:cstheme="minorBidi"/>
          <w:noProof/>
          <w:sz w:val="22"/>
          <w:lang w:eastAsia="cs-CZ"/>
        </w:rPr>
      </w:pPr>
      <w:hyperlink w:anchor="_Toc144104445" w:history="1">
        <w:r w:rsidR="00D4102B" w:rsidRPr="0047292F">
          <w:rPr>
            <w:rStyle w:val="Hypertextovodkaz"/>
            <w:noProof/>
          </w:rPr>
          <w:t>7.2.2</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Podíl žen</w:t>
        </w:r>
        <w:r w:rsidR="00D4102B">
          <w:rPr>
            <w:noProof/>
            <w:webHidden/>
          </w:rPr>
          <w:tab/>
        </w:r>
        <w:r w:rsidR="00D4102B">
          <w:rPr>
            <w:noProof/>
            <w:webHidden/>
          </w:rPr>
          <w:fldChar w:fldCharType="begin"/>
        </w:r>
        <w:r w:rsidR="00D4102B">
          <w:rPr>
            <w:noProof/>
            <w:webHidden/>
          </w:rPr>
          <w:instrText xml:space="preserve"> PAGEREF _Toc144104445 \h </w:instrText>
        </w:r>
        <w:r w:rsidR="00D4102B">
          <w:rPr>
            <w:noProof/>
            <w:webHidden/>
          </w:rPr>
        </w:r>
        <w:r w:rsidR="00D4102B">
          <w:rPr>
            <w:noProof/>
            <w:webHidden/>
          </w:rPr>
          <w:fldChar w:fldCharType="separate"/>
        </w:r>
        <w:r w:rsidR="001E1A67">
          <w:rPr>
            <w:noProof/>
            <w:webHidden/>
          </w:rPr>
          <w:t>181</w:t>
        </w:r>
        <w:r w:rsidR="00D4102B">
          <w:rPr>
            <w:noProof/>
            <w:webHidden/>
          </w:rPr>
          <w:fldChar w:fldCharType="end"/>
        </w:r>
      </w:hyperlink>
    </w:p>
    <w:p w14:paraId="69D98A80" w14:textId="49241F04" w:rsidR="00D4102B" w:rsidRDefault="002734FA">
      <w:pPr>
        <w:pStyle w:val="Obsah3"/>
        <w:rPr>
          <w:rFonts w:asciiTheme="minorHAnsi" w:eastAsiaTheme="minorEastAsia" w:hAnsiTheme="minorHAnsi" w:cstheme="minorBidi"/>
          <w:noProof/>
          <w:sz w:val="22"/>
          <w:lang w:eastAsia="cs-CZ"/>
        </w:rPr>
      </w:pPr>
      <w:hyperlink w:anchor="_Toc144104446" w:history="1">
        <w:r w:rsidR="00D4102B" w:rsidRPr="0047292F">
          <w:rPr>
            <w:rStyle w:val="Hypertextovodkaz"/>
            <w:noProof/>
          </w:rPr>
          <w:t>7.2.3</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Účinnost soudní ochrany</w:t>
        </w:r>
        <w:r w:rsidR="00D4102B">
          <w:rPr>
            <w:noProof/>
            <w:webHidden/>
          </w:rPr>
          <w:tab/>
        </w:r>
        <w:r w:rsidR="00D4102B">
          <w:rPr>
            <w:noProof/>
            <w:webHidden/>
          </w:rPr>
          <w:fldChar w:fldCharType="begin"/>
        </w:r>
        <w:r w:rsidR="00D4102B">
          <w:rPr>
            <w:noProof/>
            <w:webHidden/>
          </w:rPr>
          <w:instrText xml:space="preserve"> PAGEREF _Toc144104446 \h </w:instrText>
        </w:r>
        <w:r w:rsidR="00D4102B">
          <w:rPr>
            <w:noProof/>
            <w:webHidden/>
          </w:rPr>
        </w:r>
        <w:r w:rsidR="00D4102B">
          <w:rPr>
            <w:noProof/>
            <w:webHidden/>
          </w:rPr>
          <w:fldChar w:fldCharType="separate"/>
        </w:r>
        <w:r w:rsidR="001E1A67">
          <w:rPr>
            <w:noProof/>
            <w:webHidden/>
          </w:rPr>
          <w:t>181</w:t>
        </w:r>
        <w:r w:rsidR="00D4102B">
          <w:rPr>
            <w:noProof/>
            <w:webHidden/>
          </w:rPr>
          <w:fldChar w:fldCharType="end"/>
        </w:r>
      </w:hyperlink>
    </w:p>
    <w:p w14:paraId="59A34935" w14:textId="26327998" w:rsidR="00D4102B" w:rsidRDefault="002734FA">
      <w:pPr>
        <w:pStyle w:val="Obsah3"/>
        <w:rPr>
          <w:rFonts w:asciiTheme="minorHAnsi" w:eastAsiaTheme="minorEastAsia" w:hAnsiTheme="minorHAnsi" w:cstheme="minorBidi"/>
          <w:noProof/>
          <w:sz w:val="22"/>
          <w:lang w:eastAsia="cs-CZ"/>
        </w:rPr>
      </w:pPr>
      <w:hyperlink w:anchor="_Toc144104447" w:history="1">
        <w:r w:rsidR="00D4102B" w:rsidRPr="0047292F">
          <w:rPr>
            <w:rStyle w:val="Hypertextovodkaz"/>
            <w:noProof/>
          </w:rPr>
          <w:t>7.2.4</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Efektivnost soudního systému</w:t>
        </w:r>
        <w:r w:rsidR="00D4102B">
          <w:rPr>
            <w:noProof/>
            <w:webHidden/>
          </w:rPr>
          <w:tab/>
        </w:r>
        <w:r w:rsidR="00D4102B">
          <w:rPr>
            <w:noProof/>
            <w:webHidden/>
          </w:rPr>
          <w:fldChar w:fldCharType="begin"/>
        </w:r>
        <w:r w:rsidR="00D4102B">
          <w:rPr>
            <w:noProof/>
            <w:webHidden/>
          </w:rPr>
          <w:instrText xml:space="preserve"> PAGEREF _Toc144104447 \h </w:instrText>
        </w:r>
        <w:r w:rsidR="00D4102B">
          <w:rPr>
            <w:noProof/>
            <w:webHidden/>
          </w:rPr>
        </w:r>
        <w:r w:rsidR="00D4102B">
          <w:rPr>
            <w:noProof/>
            <w:webHidden/>
          </w:rPr>
          <w:fldChar w:fldCharType="separate"/>
        </w:r>
        <w:r w:rsidR="001E1A67">
          <w:rPr>
            <w:noProof/>
            <w:webHidden/>
          </w:rPr>
          <w:t>184</w:t>
        </w:r>
        <w:r w:rsidR="00D4102B">
          <w:rPr>
            <w:noProof/>
            <w:webHidden/>
          </w:rPr>
          <w:fldChar w:fldCharType="end"/>
        </w:r>
      </w:hyperlink>
    </w:p>
    <w:p w14:paraId="683C67FE" w14:textId="4613AF32" w:rsidR="00D4102B" w:rsidRDefault="002734FA">
      <w:pPr>
        <w:pStyle w:val="Obsah3"/>
        <w:rPr>
          <w:rFonts w:asciiTheme="minorHAnsi" w:eastAsiaTheme="minorEastAsia" w:hAnsiTheme="minorHAnsi" w:cstheme="minorBidi"/>
          <w:noProof/>
          <w:sz w:val="22"/>
          <w:lang w:eastAsia="cs-CZ"/>
        </w:rPr>
      </w:pPr>
      <w:hyperlink w:anchor="_Toc144104448" w:history="1">
        <w:r w:rsidR="00D4102B" w:rsidRPr="0047292F">
          <w:rPr>
            <w:rStyle w:val="Hypertextovodkaz"/>
            <w:noProof/>
          </w:rPr>
          <w:t>7.2.5</w:t>
        </w:r>
        <w:r w:rsidR="00D4102B">
          <w:rPr>
            <w:rFonts w:asciiTheme="minorHAnsi" w:eastAsiaTheme="minorEastAsia" w:hAnsiTheme="minorHAnsi" w:cstheme="minorBidi"/>
            <w:noProof/>
            <w:sz w:val="22"/>
            <w:lang w:eastAsia="cs-CZ"/>
          </w:rPr>
          <w:tab/>
        </w:r>
        <w:r w:rsidR="00D4102B" w:rsidRPr="0047292F">
          <w:rPr>
            <w:rStyle w:val="Hypertextovodkaz"/>
            <w:noProof/>
            <w:lang w:eastAsia="cs-CZ"/>
          </w:rPr>
          <w:t>Rozvodovost</w:t>
        </w:r>
        <w:r w:rsidR="00D4102B">
          <w:rPr>
            <w:noProof/>
            <w:webHidden/>
          </w:rPr>
          <w:tab/>
        </w:r>
        <w:r w:rsidR="00D4102B">
          <w:rPr>
            <w:noProof/>
            <w:webHidden/>
          </w:rPr>
          <w:fldChar w:fldCharType="begin"/>
        </w:r>
        <w:r w:rsidR="00D4102B">
          <w:rPr>
            <w:noProof/>
            <w:webHidden/>
          </w:rPr>
          <w:instrText xml:space="preserve"> PAGEREF _Toc144104448 \h </w:instrText>
        </w:r>
        <w:r w:rsidR="00D4102B">
          <w:rPr>
            <w:noProof/>
            <w:webHidden/>
          </w:rPr>
        </w:r>
        <w:r w:rsidR="00D4102B">
          <w:rPr>
            <w:noProof/>
            <w:webHidden/>
          </w:rPr>
          <w:fldChar w:fldCharType="separate"/>
        </w:r>
        <w:r w:rsidR="001E1A67">
          <w:rPr>
            <w:noProof/>
            <w:webHidden/>
          </w:rPr>
          <w:t>188</w:t>
        </w:r>
        <w:r w:rsidR="00D4102B">
          <w:rPr>
            <w:noProof/>
            <w:webHidden/>
          </w:rPr>
          <w:fldChar w:fldCharType="end"/>
        </w:r>
      </w:hyperlink>
    </w:p>
    <w:p w14:paraId="706E7122" w14:textId="130BEF5A" w:rsidR="00D4102B" w:rsidRDefault="002734FA">
      <w:pPr>
        <w:pStyle w:val="Obsah1"/>
        <w:rPr>
          <w:rFonts w:asciiTheme="minorHAnsi" w:eastAsiaTheme="minorEastAsia" w:hAnsiTheme="minorHAnsi" w:cstheme="minorBidi"/>
          <w:noProof/>
          <w:sz w:val="22"/>
          <w:lang w:eastAsia="cs-CZ"/>
        </w:rPr>
      </w:pPr>
      <w:hyperlink w:anchor="_Toc144104449" w:history="1">
        <w:r w:rsidR="00D4102B" w:rsidRPr="0047292F">
          <w:rPr>
            <w:rStyle w:val="Hypertextovodkaz"/>
            <w:noProof/>
          </w:rPr>
          <w:t>Seznam grafů</w:t>
        </w:r>
        <w:r w:rsidR="00D4102B">
          <w:rPr>
            <w:noProof/>
            <w:webHidden/>
          </w:rPr>
          <w:tab/>
        </w:r>
        <w:r w:rsidR="00D4102B">
          <w:rPr>
            <w:noProof/>
            <w:webHidden/>
          </w:rPr>
          <w:fldChar w:fldCharType="begin"/>
        </w:r>
        <w:r w:rsidR="00D4102B">
          <w:rPr>
            <w:noProof/>
            <w:webHidden/>
          </w:rPr>
          <w:instrText xml:space="preserve"> PAGEREF _Toc144104449 \h </w:instrText>
        </w:r>
        <w:r w:rsidR="00D4102B">
          <w:rPr>
            <w:noProof/>
            <w:webHidden/>
          </w:rPr>
        </w:r>
        <w:r w:rsidR="00D4102B">
          <w:rPr>
            <w:noProof/>
            <w:webHidden/>
          </w:rPr>
          <w:fldChar w:fldCharType="separate"/>
        </w:r>
        <w:r w:rsidR="001E1A67">
          <w:rPr>
            <w:noProof/>
            <w:webHidden/>
          </w:rPr>
          <w:t>192</w:t>
        </w:r>
        <w:r w:rsidR="00D4102B">
          <w:rPr>
            <w:noProof/>
            <w:webHidden/>
          </w:rPr>
          <w:fldChar w:fldCharType="end"/>
        </w:r>
      </w:hyperlink>
    </w:p>
    <w:p w14:paraId="57F71AD7" w14:textId="6C9C743D" w:rsidR="00D4102B" w:rsidRDefault="002734FA">
      <w:pPr>
        <w:pStyle w:val="Obsah1"/>
        <w:rPr>
          <w:rFonts w:asciiTheme="minorHAnsi" w:eastAsiaTheme="minorEastAsia" w:hAnsiTheme="minorHAnsi" w:cstheme="minorBidi"/>
          <w:noProof/>
          <w:sz w:val="22"/>
          <w:lang w:eastAsia="cs-CZ"/>
        </w:rPr>
      </w:pPr>
      <w:hyperlink w:anchor="_Toc144104450" w:history="1">
        <w:r w:rsidR="00D4102B" w:rsidRPr="0047292F">
          <w:rPr>
            <w:rStyle w:val="Hypertextovodkaz"/>
            <w:noProof/>
          </w:rPr>
          <w:t>Seznam tabulek</w:t>
        </w:r>
        <w:r w:rsidR="00D4102B">
          <w:rPr>
            <w:noProof/>
            <w:webHidden/>
          </w:rPr>
          <w:tab/>
        </w:r>
        <w:r w:rsidR="00D4102B">
          <w:rPr>
            <w:noProof/>
            <w:webHidden/>
          </w:rPr>
          <w:fldChar w:fldCharType="begin"/>
        </w:r>
        <w:r w:rsidR="00D4102B">
          <w:rPr>
            <w:noProof/>
            <w:webHidden/>
          </w:rPr>
          <w:instrText xml:space="preserve"> PAGEREF _Toc144104450 \h </w:instrText>
        </w:r>
        <w:r w:rsidR="00D4102B">
          <w:rPr>
            <w:noProof/>
            <w:webHidden/>
          </w:rPr>
        </w:r>
        <w:r w:rsidR="00D4102B">
          <w:rPr>
            <w:noProof/>
            <w:webHidden/>
          </w:rPr>
          <w:fldChar w:fldCharType="separate"/>
        </w:r>
        <w:r w:rsidR="001E1A67">
          <w:rPr>
            <w:noProof/>
            <w:webHidden/>
          </w:rPr>
          <w:t>195</w:t>
        </w:r>
        <w:r w:rsidR="00D4102B">
          <w:rPr>
            <w:noProof/>
            <w:webHidden/>
          </w:rPr>
          <w:fldChar w:fldCharType="end"/>
        </w:r>
      </w:hyperlink>
    </w:p>
    <w:p w14:paraId="3DCD7CC0" w14:textId="0E1BBF01" w:rsidR="00D4102B" w:rsidRDefault="002734FA">
      <w:pPr>
        <w:pStyle w:val="Obsah1"/>
        <w:rPr>
          <w:rFonts w:asciiTheme="minorHAnsi" w:eastAsiaTheme="minorEastAsia" w:hAnsiTheme="minorHAnsi" w:cstheme="minorBidi"/>
          <w:noProof/>
          <w:sz w:val="22"/>
          <w:lang w:eastAsia="cs-CZ"/>
        </w:rPr>
      </w:pPr>
      <w:hyperlink w:anchor="_Toc144104451" w:history="1">
        <w:r w:rsidR="00D4102B" w:rsidRPr="0047292F">
          <w:rPr>
            <w:rStyle w:val="Hypertextovodkaz"/>
            <w:noProof/>
          </w:rPr>
          <w:t>Přílohy</w:t>
        </w:r>
        <w:r w:rsidR="00D4102B">
          <w:rPr>
            <w:noProof/>
            <w:webHidden/>
          </w:rPr>
          <w:tab/>
        </w:r>
        <w:r w:rsidR="00D4102B">
          <w:rPr>
            <w:noProof/>
            <w:webHidden/>
          </w:rPr>
          <w:fldChar w:fldCharType="begin"/>
        </w:r>
        <w:r w:rsidR="00D4102B">
          <w:rPr>
            <w:noProof/>
            <w:webHidden/>
          </w:rPr>
          <w:instrText xml:space="preserve"> PAGEREF _Toc144104451 \h </w:instrText>
        </w:r>
        <w:r w:rsidR="00D4102B">
          <w:rPr>
            <w:noProof/>
            <w:webHidden/>
          </w:rPr>
        </w:r>
        <w:r w:rsidR="00D4102B">
          <w:rPr>
            <w:noProof/>
            <w:webHidden/>
          </w:rPr>
          <w:fldChar w:fldCharType="separate"/>
        </w:r>
        <w:r w:rsidR="001E1A67">
          <w:rPr>
            <w:noProof/>
            <w:webHidden/>
          </w:rPr>
          <w:t>198</w:t>
        </w:r>
        <w:r w:rsidR="00D4102B">
          <w:rPr>
            <w:noProof/>
            <w:webHidden/>
          </w:rPr>
          <w:fldChar w:fldCharType="end"/>
        </w:r>
      </w:hyperlink>
    </w:p>
    <w:p w14:paraId="0F37B901" w14:textId="67DCB5A5" w:rsidR="00D4102B" w:rsidRDefault="002734FA">
      <w:pPr>
        <w:pStyle w:val="Obsah2"/>
        <w:rPr>
          <w:rFonts w:asciiTheme="minorHAnsi" w:eastAsiaTheme="minorEastAsia" w:hAnsiTheme="minorHAnsi" w:cstheme="minorBidi"/>
          <w:sz w:val="22"/>
          <w:lang w:eastAsia="cs-CZ"/>
        </w:rPr>
      </w:pPr>
      <w:hyperlink w:anchor="_Toc144104452" w:history="1">
        <w:r w:rsidR="00D4102B" w:rsidRPr="0047292F">
          <w:rPr>
            <w:rStyle w:val="Hypertextovodkaz"/>
          </w:rPr>
          <w:t>Příloha A – seznam použitých pojmů</w:t>
        </w:r>
        <w:r w:rsidR="00D4102B">
          <w:rPr>
            <w:webHidden/>
          </w:rPr>
          <w:tab/>
        </w:r>
        <w:r w:rsidR="00D4102B">
          <w:rPr>
            <w:webHidden/>
          </w:rPr>
          <w:fldChar w:fldCharType="begin"/>
        </w:r>
        <w:r w:rsidR="00D4102B">
          <w:rPr>
            <w:webHidden/>
          </w:rPr>
          <w:instrText xml:space="preserve"> PAGEREF _Toc144104452 \h </w:instrText>
        </w:r>
        <w:r w:rsidR="00D4102B">
          <w:rPr>
            <w:webHidden/>
          </w:rPr>
        </w:r>
        <w:r w:rsidR="00D4102B">
          <w:rPr>
            <w:webHidden/>
          </w:rPr>
          <w:fldChar w:fldCharType="separate"/>
        </w:r>
        <w:r w:rsidR="001E1A67">
          <w:rPr>
            <w:webHidden/>
          </w:rPr>
          <w:t>198</w:t>
        </w:r>
        <w:r w:rsidR="00D4102B">
          <w:rPr>
            <w:webHidden/>
          </w:rPr>
          <w:fldChar w:fldCharType="end"/>
        </w:r>
      </w:hyperlink>
    </w:p>
    <w:p w14:paraId="67C11A60" w14:textId="199EB401" w:rsidR="00D4102B" w:rsidRDefault="002734FA">
      <w:pPr>
        <w:pStyle w:val="Obsah3"/>
        <w:rPr>
          <w:rFonts w:asciiTheme="minorHAnsi" w:eastAsiaTheme="minorEastAsia" w:hAnsiTheme="minorHAnsi" w:cstheme="minorBidi"/>
          <w:noProof/>
          <w:sz w:val="22"/>
          <w:lang w:eastAsia="cs-CZ"/>
        </w:rPr>
      </w:pPr>
      <w:hyperlink w:anchor="_Toc144104453" w:history="1">
        <w:r w:rsidR="00D4102B" w:rsidRPr="0047292F">
          <w:rPr>
            <w:rStyle w:val="Hypertextovodkaz"/>
            <w:noProof/>
          </w:rPr>
          <w:t>Statistické pojmy a použité statistické ukazatele</w:t>
        </w:r>
        <w:r w:rsidR="00D4102B">
          <w:rPr>
            <w:noProof/>
            <w:webHidden/>
          </w:rPr>
          <w:tab/>
        </w:r>
        <w:r w:rsidR="00D4102B">
          <w:rPr>
            <w:noProof/>
            <w:webHidden/>
          </w:rPr>
          <w:fldChar w:fldCharType="begin"/>
        </w:r>
        <w:r w:rsidR="00D4102B">
          <w:rPr>
            <w:noProof/>
            <w:webHidden/>
          </w:rPr>
          <w:instrText xml:space="preserve"> PAGEREF _Toc144104453 \h </w:instrText>
        </w:r>
        <w:r w:rsidR="00D4102B">
          <w:rPr>
            <w:noProof/>
            <w:webHidden/>
          </w:rPr>
        </w:r>
        <w:r w:rsidR="00D4102B">
          <w:rPr>
            <w:noProof/>
            <w:webHidden/>
          </w:rPr>
          <w:fldChar w:fldCharType="separate"/>
        </w:r>
        <w:r w:rsidR="001E1A67">
          <w:rPr>
            <w:noProof/>
            <w:webHidden/>
          </w:rPr>
          <w:t>198</w:t>
        </w:r>
        <w:r w:rsidR="00D4102B">
          <w:rPr>
            <w:noProof/>
            <w:webHidden/>
          </w:rPr>
          <w:fldChar w:fldCharType="end"/>
        </w:r>
      </w:hyperlink>
    </w:p>
    <w:p w14:paraId="761DCBDC" w14:textId="6EA96EF4" w:rsidR="00D4102B" w:rsidRDefault="002734FA">
      <w:pPr>
        <w:pStyle w:val="Obsah3"/>
        <w:rPr>
          <w:rFonts w:asciiTheme="minorHAnsi" w:eastAsiaTheme="minorEastAsia" w:hAnsiTheme="minorHAnsi" w:cstheme="minorBidi"/>
          <w:noProof/>
          <w:sz w:val="22"/>
          <w:lang w:eastAsia="cs-CZ"/>
        </w:rPr>
      </w:pPr>
      <w:hyperlink w:anchor="_Toc144104454" w:history="1">
        <w:r w:rsidR="00D4102B" w:rsidRPr="0047292F">
          <w:rPr>
            <w:rStyle w:val="Hypertextovodkaz"/>
            <w:noProof/>
          </w:rPr>
          <w:t>Právní a ostatní pojmy</w:t>
        </w:r>
        <w:r w:rsidR="00D4102B">
          <w:rPr>
            <w:noProof/>
            <w:webHidden/>
          </w:rPr>
          <w:tab/>
        </w:r>
        <w:r w:rsidR="00D4102B">
          <w:rPr>
            <w:noProof/>
            <w:webHidden/>
          </w:rPr>
          <w:fldChar w:fldCharType="begin"/>
        </w:r>
        <w:r w:rsidR="00D4102B">
          <w:rPr>
            <w:noProof/>
            <w:webHidden/>
          </w:rPr>
          <w:instrText xml:space="preserve"> PAGEREF _Toc144104454 \h </w:instrText>
        </w:r>
        <w:r w:rsidR="00D4102B">
          <w:rPr>
            <w:noProof/>
            <w:webHidden/>
          </w:rPr>
        </w:r>
        <w:r w:rsidR="00D4102B">
          <w:rPr>
            <w:noProof/>
            <w:webHidden/>
          </w:rPr>
          <w:fldChar w:fldCharType="separate"/>
        </w:r>
        <w:r w:rsidR="001E1A67">
          <w:rPr>
            <w:noProof/>
            <w:webHidden/>
          </w:rPr>
          <w:t>203</w:t>
        </w:r>
        <w:r w:rsidR="00D4102B">
          <w:rPr>
            <w:noProof/>
            <w:webHidden/>
          </w:rPr>
          <w:fldChar w:fldCharType="end"/>
        </w:r>
      </w:hyperlink>
    </w:p>
    <w:p w14:paraId="7022A1D8" w14:textId="5E6510E9" w:rsidR="00D4102B" w:rsidRDefault="002734FA">
      <w:pPr>
        <w:pStyle w:val="Obsah2"/>
        <w:rPr>
          <w:rFonts w:asciiTheme="minorHAnsi" w:eastAsiaTheme="minorEastAsia" w:hAnsiTheme="minorHAnsi" w:cstheme="minorBidi"/>
          <w:sz w:val="22"/>
          <w:lang w:eastAsia="cs-CZ"/>
        </w:rPr>
      </w:pPr>
      <w:hyperlink w:anchor="_Toc144104455" w:history="1">
        <w:r w:rsidR="00D4102B" w:rsidRPr="0047292F">
          <w:rPr>
            <w:rStyle w:val="Hypertextovodkaz"/>
          </w:rPr>
          <w:t>Příloha B – seznam zkr. soudních okresů a soudních obvodů hl. m. Prahy</w:t>
        </w:r>
        <w:r w:rsidR="00D4102B">
          <w:rPr>
            <w:webHidden/>
          </w:rPr>
          <w:tab/>
        </w:r>
        <w:r w:rsidR="00D4102B">
          <w:rPr>
            <w:webHidden/>
          </w:rPr>
          <w:fldChar w:fldCharType="begin"/>
        </w:r>
        <w:r w:rsidR="00D4102B">
          <w:rPr>
            <w:webHidden/>
          </w:rPr>
          <w:instrText xml:space="preserve"> PAGEREF _Toc144104455 \h </w:instrText>
        </w:r>
        <w:r w:rsidR="00D4102B">
          <w:rPr>
            <w:webHidden/>
          </w:rPr>
        </w:r>
        <w:r w:rsidR="00D4102B">
          <w:rPr>
            <w:webHidden/>
          </w:rPr>
          <w:fldChar w:fldCharType="separate"/>
        </w:r>
        <w:r w:rsidR="001E1A67">
          <w:rPr>
            <w:webHidden/>
          </w:rPr>
          <w:t>208</w:t>
        </w:r>
        <w:r w:rsidR="00D4102B">
          <w:rPr>
            <w:webHidden/>
          </w:rPr>
          <w:fldChar w:fldCharType="end"/>
        </w:r>
      </w:hyperlink>
    </w:p>
    <w:p w14:paraId="7BA7BD19" w14:textId="3E591819" w:rsidR="00D4102B" w:rsidRDefault="002734FA">
      <w:pPr>
        <w:pStyle w:val="Obsah2"/>
        <w:rPr>
          <w:rFonts w:asciiTheme="minorHAnsi" w:eastAsiaTheme="minorEastAsia" w:hAnsiTheme="minorHAnsi" w:cstheme="minorBidi"/>
          <w:sz w:val="22"/>
          <w:lang w:eastAsia="cs-CZ"/>
        </w:rPr>
      </w:pPr>
      <w:hyperlink w:anchor="_Toc144104456" w:history="1">
        <w:r w:rsidR="00D4102B" w:rsidRPr="0047292F">
          <w:rPr>
            <w:rStyle w:val="Hypertextovodkaz"/>
          </w:rPr>
          <w:t>Příloha C – seznam vybraných rejstříků soudů</w:t>
        </w:r>
        <w:r w:rsidR="00D4102B">
          <w:rPr>
            <w:webHidden/>
          </w:rPr>
          <w:tab/>
        </w:r>
        <w:r w:rsidR="00D4102B">
          <w:rPr>
            <w:webHidden/>
          </w:rPr>
          <w:fldChar w:fldCharType="begin"/>
        </w:r>
        <w:r w:rsidR="00D4102B">
          <w:rPr>
            <w:webHidden/>
          </w:rPr>
          <w:instrText xml:space="preserve"> PAGEREF _Toc144104456 \h </w:instrText>
        </w:r>
        <w:r w:rsidR="00D4102B">
          <w:rPr>
            <w:webHidden/>
          </w:rPr>
        </w:r>
        <w:r w:rsidR="00D4102B">
          <w:rPr>
            <w:webHidden/>
          </w:rPr>
          <w:fldChar w:fldCharType="separate"/>
        </w:r>
        <w:r w:rsidR="001E1A67">
          <w:rPr>
            <w:webHidden/>
          </w:rPr>
          <w:t>209</w:t>
        </w:r>
        <w:r w:rsidR="00D4102B">
          <w:rPr>
            <w:webHidden/>
          </w:rPr>
          <w:fldChar w:fldCharType="end"/>
        </w:r>
      </w:hyperlink>
    </w:p>
    <w:p w14:paraId="6D0E5BFE" w14:textId="06B01F39" w:rsidR="00D4102B" w:rsidRDefault="002734FA">
      <w:pPr>
        <w:pStyle w:val="Obsah2"/>
        <w:rPr>
          <w:rFonts w:asciiTheme="minorHAnsi" w:eastAsiaTheme="minorEastAsia" w:hAnsiTheme="minorHAnsi" w:cstheme="minorBidi"/>
          <w:sz w:val="22"/>
          <w:lang w:eastAsia="cs-CZ"/>
        </w:rPr>
      </w:pPr>
      <w:hyperlink w:anchor="_Toc144104457" w:history="1">
        <w:r w:rsidR="00D4102B" w:rsidRPr="0047292F">
          <w:rPr>
            <w:rStyle w:val="Hypertextovodkaz"/>
          </w:rPr>
          <w:t>Příloha D – přehledové listy s daty soudů</w:t>
        </w:r>
        <w:r w:rsidR="00D4102B">
          <w:rPr>
            <w:webHidden/>
          </w:rPr>
          <w:tab/>
        </w:r>
        <w:r w:rsidR="00D4102B">
          <w:rPr>
            <w:webHidden/>
          </w:rPr>
          <w:fldChar w:fldCharType="begin"/>
        </w:r>
        <w:r w:rsidR="00D4102B">
          <w:rPr>
            <w:webHidden/>
          </w:rPr>
          <w:instrText xml:space="preserve"> PAGEREF _Toc144104457 \h </w:instrText>
        </w:r>
        <w:r w:rsidR="00D4102B">
          <w:rPr>
            <w:webHidden/>
          </w:rPr>
        </w:r>
        <w:r w:rsidR="00D4102B">
          <w:rPr>
            <w:webHidden/>
          </w:rPr>
          <w:fldChar w:fldCharType="separate"/>
        </w:r>
        <w:r w:rsidR="001E1A67">
          <w:rPr>
            <w:webHidden/>
          </w:rPr>
          <w:t>211</w:t>
        </w:r>
        <w:r w:rsidR="00D4102B">
          <w:rPr>
            <w:webHidden/>
          </w:rPr>
          <w:fldChar w:fldCharType="end"/>
        </w:r>
      </w:hyperlink>
    </w:p>
    <w:p w14:paraId="480D4A29" w14:textId="5AEC1F79" w:rsidR="008430BD" w:rsidRPr="00E44FC4" w:rsidRDefault="008430BD" w:rsidP="008430BD">
      <w:pPr>
        <w:rPr>
          <w:sz w:val="2"/>
          <w:szCs w:val="2"/>
        </w:rPr>
      </w:pPr>
      <w:r w:rsidRPr="00E44FC4">
        <w:fldChar w:fldCharType="end"/>
      </w:r>
    </w:p>
    <w:p w14:paraId="40E2D053" w14:textId="5EA9A468" w:rsidR="008430BD" w:rsidRPr="00E44FC4" w:rsidRDefault="008430BD" w:rsidP="008430BD">
      <w:pPr>
        <w:pStyle w:val="Nadpis1"/>
        <w:pageBreakBefore/>
        <w:numPr>
          <w:ilvl w:val="0"/>
          <w:numId w:val="1"/>
        </w:numPr>
        <w:spacing w:after="120"/>
      </w:pPr>
      <w:bookmarkStart w:id="3" w:name="_Toc487791222"/>
      <w:bookmarkStart w:id="4" w:name="_Toc106092709"/>
      <w:bookmarkStart w:id="5" w:name="_Toc144104330"/>
      <w:r w:rsidRPr="00E44FC4">
        <w:lastRenderedPageBreak/>
        <w:t>Úvod</w:t>
      </w:r>
      <w:bookmarkEnd w:id="3"/>
      <w:bookmarkEnd w:id="4"/>
      <w:bookmarkEnd w:id="5"/>
    </w:p>
    <w:p w14:paraId="479E51A1" w14:textId="1910F47E" w:rsidR="00B07E76" w:rsidRPr="00E44FC4" w:rsidRDefault="008430BD" w:rsidP="008430BD">
      <w:pPr>
        <w:pStyle w:val="OdstavecASR"/>
      </w:pPr>
      <w:r w:rsidRPr="00E44FC4">
        <w:t>Cílem této výroční zprávy je seznámit odbornou i laickou veřejnost s činností české justice z pohledu statistik. Zpráva obsahuje vybraná statistická data za okresní, krajské a vrchní soudy, Nejvyšší soud a Nejvyšší správní soud. Každému článku soudní soustavy se věnuje jedna část, která se následně dělí na kapitoly a podkapitoly. Každá kapitola se zabývá buď vybranou agendou soudu, nebo obsahuje údaje o personálu. Dílčí podkapitoly se pak zaměřují na určitý statistický ukazatel (délka řízení, vyřizování věcí apod.). Část</w:t>
      </w:r>
      <w:r w:rsidR="000C3B1E" w:rsidRPr="00E44FC4">
        <w:t> </w:t>
      </w:r>
      <w:r w:rsidRPr="00E44FC4">
        <w:t>7 pak stručně shrnuje poznatky z předchozích kapitol a</w:t>
      </w:r>
      <w:r w:rsidR="00A74487" w:rsidRPr="00E44FC4">
        <w:t> </w:t>
      </w:r>
      <w:r w:rsidRPr="00E44FC4">
        <w:t>krátce ČR srovnává s ostatními členskými státy EU.</w:t>
      </w:r>
    </w:p>
    <w:p w14:paraId="49E9366D" w14:textId="2C049A40" w:rsidR="008430BD" w:rsidRPr="00E44FC4" w:rsidRDefault="008430BD" w:rsidP="008430BD">
      <w:pPr>
        <w:pStyle w:val="OdstavecASR"/>
      </w:pPr>
      <w:r w:rsidRPr="00E44FC4">
        <w:t>Kapitola 1.1 podrobněji vysvětluje účel této zprávy, seznamuje čtenáře s jejími základními východisky, předpoklady a určitými omezeními a přidává další poznámky, které je třeba mít při čtení dokumentu na mysli.</w:t>
      </w:r>
    </w:p>
    <w:p w14:paraId="12D9E2DF" w14:textId="65DF45F5" w:rsidR="008430BD" w:rsidRPr="00E44FC4" w:rsidRDefault="008430BD" w:rsidP="008430BD">
      <w:pPr>
        <w:pStyle w:val="OdstavecASR"/>
      </w:pPr>
      <w:r w:rsidRPr="00E44FC4">
        <w:t xml:space="preserve">Statistická výroční zpráva za rok </w:t>
      </w:r>
      <w:r w:rsidR="00E03913" w:rsidRPr="00E44FC4">
        <w:t xml:space="preserve">2022 </w:t>
      </w:r>
      <w:r w:rsidRPr="00E44FC4">
        <w:t>je v mnoha ohledech (obsažená data, metodologie komentáře, grafická úprava apod.) velmi podobná zprávám předchozím, určitých změn však doznala. Jako každý rok byly doplněny nové ukazatele, upřesněna metodika některých výpočtů apod. Kapitola 1.2 vyjmenovává a stručně popisuje nejvýznamnější z těchto změn.</w:t>
      </w:r>
    </w:p>
    <w:p w14:paraId="4BE12E5F" w14:textId="77777777" w:rsidR="008430BD" w:rsidRPr="00E44FC4" w:rsidRDefault="008430BD" w:rsidP="008430BD">
      <w:pPr>
        <w:pStyle w:val="Nadpis2"/>
        <w:numPr>
          <w:ilvl w:val="1"/>
          <w:numId w:val="1"/>
        </w:numPr>
        <w:spacing w:before="120"/>
        <w:rPr>
          <w:color w:val="auto"/>
        </w:rPr>
      </w:pPr>
      <w:bookmarkStart w:id="6" w:name="_Ref482901858"/>
      <w:bookmarkStart w:id="7" w:name="_Ref482901954"/>
      <w:bookmarkStart w:id="8" w:name="_Toc487791223"/>
      <w:bookmarkStart w:id="9" w:name="_Toc517118504"/>
      <w:bookmarkStart w:id="10" w:name="_Toc106092710"/>
      <w:bookmarkStart w:id="11" w:name="_Toc144104331"/>
      <w:r w:rsidRPr="00E44FC4">
        <w:rPr>
          <w:color w:val="auto"/>
        </w:rPr>
        <w:t>Základní východiska, předpoklady, omezení a upřesňující poznámky</w:t>
      </w:r>
      <w:bookmarkEnd w:id="6"/>
      <w:bookmarkEnd w:id="7"/>
      <w:bookmarkEnd w:id="8"/>
      <w:bookmarkEnd w:id="9"/>
      <w:bookmarkEnd w:id="10"/>
      <w:bookmarkEnd w:id="11"/>
    </w:p>
    <w:p w14:paraId="18BCD68B" w14:textId="77777777" w:rsidR="008430BD" w:rsidRPr="00E44FC4" w:rsidRDefault="008430BD" w:rsidP="008430BD">
      <w:pPr>
        <w:pStyle w:val="OdstavecASR"/>
      </w:pPr>
      <w:r w:rsidRPr="00E44FC4">
        <w:t>Při čtení této zprávy je třeba pamatovat zejména na následující skutečnosti:</w:t>
      </w:r>
    </w:p>
    <w:p w14:paraId="1F7F58C8" w14:textId="5207081B" w:rsidR="008430BD" w:rsidRPr="00E44FC4" w:rsidRDefault="008430BD" w:rsidP="008430BD">
      <w:pPr>
        <w:pStyle w:val="Odstavecseseznamem"/>
        <w:numPr>
          <w:ilvl w:val="0"/>
          <w:numId w:val="2"/>
        </w:numPr>
      </w:pPr>
      <w:r w:rsidRPr="00E44FC4">
        <w:t>Cílem zprávy je poskytnout čtenáři přístupný, ale poměrně detailní náhled na fungování české justice prostřednictvím statistik. Oproti ostatním veřejně dostupným zdrojům justičních statistik (Justiční statistické ročenky</w:t>
      </w:r>
      <w:r w:rsidRPr="00E44FC4">
        <w:rPr>
          <w:rStyle w:val="Znakapoznpodarou"/>
        </w:rPr>
        <w:footnoteReference w:id="2"/>
      </w:r>
      <w:r w:rsidRPr="00E44FC4">
        <w:t xml:space="preserve">, </w:t>
      </w:r>
      <w:hyperlink r:id="rId10" w:history="1">
        <w:r w:rsidRPr="00E44FC4">
          <w:rPr>
            <w:rStyle w:val="Hypertextovodkaz"/>
          </w:rPr>
          <w:t>internetové stránky InfoData</w:t>
        </w:r>
      </w:hyperlink>
      <w:r w:rsidR="000777CE" w:rsidRPr="00E44FC4">
        <w:t xml:space="preserve">, </w:t>
      </w:r>
      <w:r w:rsidRPr="00E44FC4">
        <w:t>data publikovaná Českým statistickým úřadem) má tato zpráva mnoho výhod:</w:t>
      </w:r>
    </w:p>
    <w:p w14:paraId="737DB2AA" w14:textId="77777777" w:rsidR="008430BD" w:rsidRPr="00E44FC4" w:rsidRDefault="008430BD" w:rsidP="008430BD">
      <w:pPr>
        <w:pStyle w:val="Odstavecseseznamem"/>
        <w:numPr>
          <w:ilvl w:val="1"/>
          <w:numId w:val="2"/>
        </w:numPr>
      </w:pPr>
      <w:r w:rsidRPr="00E44FC4">
        <w:t>Obsahuje množství dat, která nejsou jinak dostupná, například nejen průměrné, ale i mediánové délky řízení.</w:t>
      </w:r>
    </w:p>
    <w:p w14:paraId="383C24EF" w14:textId="3C1ACF3F" w:rsidR="008430BD" w:rsidRPr="00E44FC4" w:rsidRDefault="008430BD" w:rsidP="008430BD">
      <w:pPr>
        <w:pStyle w:val="Odstavecseseznamem"/>
        <w:numPr>
          <w:ilvl w:val="1"/>
          <w:numId w:val="2"/>
        </w:numPr>
      </w:pPr>
      <w:r w:rsidRPr="00E44FC4">
        <w:t xml:space="preserve">V průběhu let docházelo ke změnám v legislativě a způsobu vedení statistik a některé zdroje (například InfoData) ne vždy detailně rozlišují rejstříky. Ostatní zdroje dat rovněž obsahují jisté, byť velmi malé, množství chybných pozorování. Data v této zprávě jsou vždy, když je to možné, očištěna </w:t>
      </w:r>
      <w:r w:rsidR="000C3B1E" w:rsidRPr="00E44FC4">
        <w:t>a </w:t>
      </w:r>
      <w:r w:rsidRPr="00E44FC4">
        <w:t>výše zmíněnými nedostatky tak netrpí.</w:t>
      </w:r>
    </w:p>
    <w:p w14:paraId="7661C45B" w14:textId="77777777" w:rsidR="008430BD" w:rsidRPr="00E44FC4" w:rsidRDefault="008430BD" w:rsidP="008430BD">
      <w:pPr>
        <w:pStyle w:val="Odstavecseseznamem"/>
        <w:numPr>
          <w:ilvl w:val="1"/>
          <w:numId w:val="2"/>
        </w:numPr>
      </w:pPr>
      <w:r w:rsidRPr="00E44FC4">
        <w:t>Data jsou zobrazena v přehledné podobě v různých typech grafů, případně tabulkách. Především sledování vývoje ukazatelů v čase nebo rozdílů mezi jednotlivými soudy je takto výrazně snadnější.</w:t>
      </w:r>
    </w:p>
    <w:p w14:paraId="1FB6C79A" w14:textId="77777777" w:rsidR="008430BD" w:rsidRPr="00E44FC4" w:rsidRDefault="008430BD" w:rsidP="008430BD">
      <w:pPr>
        <w:pStyle w:val="Odstavecseseznamem"/>
        <w:numPr>
          <w:ilvl w:val="1"/>
          <w:numId w:val="2"/>
        </w:numPr>
      </w:pPr>
      <w:r w:rsidRPr="00E44FC4">
        <w:t>Data jsou doplněna komentářem a vysvětlivkami.</w:t>
      </w:r>
    </w:p>
    <w:p w14:paraId="42143231" w14:textId="77777777" w:rsidR="008430BD" w:rsidRPr="00E44FC4" w:rsidRDefault="008430BD" w:rsidP="008430BD">
      <w:pPr>
        <w:pStyle w:val="Odstavecseseznamem"/>
        <w:numPr>
          <w:ilvl w:val="0"/>
          <w:numId w:val="2"/>
        </w:numPr>
      </w:pPr>
      <w:r w:rsidRPr="00E44FC4">
        <w:t>Zpráva sice poskytuje detailní náhled, nejedná se však o podrobnou analýzu dané problematiky. K takové analýze by byla třeba hlubší práce s daty a využití pokročilejších statistických a ekonometrických metod, které ale přesahují účel tohoto materiálu. Ve zprávě jsou téměř výhradně využita statistická data dostupná Ministerstvu spravedlnosti, velmi zřídka pak další „nestatistické“ informace z jiných zdrojů.</w:t>
      </w:r>
    </w:p>
    <w:p w14:paraId="1BD65413" w14:textId="77777777" w:rsidR="008430BD" w:rsidRPr="00E44FC4" w:rsidRDefault="008430BD" w:rsidP="008430BD">
      <w:pPr>
        <w:pStyle w:val="Odstavecseseznamem"/>
        <w:numPr>
          <w:ilvl w:val="0"/>
          <w:numId w:val="2"/>
        </w:numPr>
      </w:pPr>
      <w:r w:rsidRPr="00E44FC4">
        <w:t xml:space="preserve">Definitivní závěry nemohou být vyvozovány pouze na základě jednoho statistického ukazatele. Například vysoké délky řízení nemusí znamenat (a často také neznamenají), že </w:t>
      </w:r>
      <w:r w:rsidRPr="00E44FC4">
        <w:lastRenderedPageBreak/>
        <w:t>soud pracuje špatně. Mohou ve skutečnosti ukazovat to, že soud z nějakého důvodu (nízký počet personálu, špatná organizace práce apod.) přestal zvládat vyřizovat svou agendu před několika lety, a ačkoliv již nyní pracuje dobře, potýká se s problémy, které vznikly dříve.</w:t>
      </w:r>
    </w:p>
    <w:p w14:paraId="08642151" w14:textId="6987A793" w:rsidR="008430BD" w:rsidRPr="00E44FC4" w:rsidRDefault="008430BD" w:rsidP="008430BD">
      <w:pPr>
        <w:pStyle w:val="Odstavecseseznamem"/>
        <w:numPr>
          <w:ilvl w:val="0"/>
          <w:numId w:val="2"/>
        </w:numPr>
      </w:pPr>
      <w:r w:rsidRPr="00E44FC4">
        <w:t>Zpráva se zabývá pouze hlavními agendami soudů</w:t>
      </w:r>
      <w:r w:rsidR="00F732C0" w:rsidRPr="00E44FC4">
        <w:t xml:space="preserve">, </w:t>
      </w:r>
      <w:r w:rsidR="00726EC3" w:rsidRPr="00E44FC4">
        <w:t>i </w:t>
      </w:r>
      <w:r w:rsidR="00F732C0" w:rsidRPr="00E44FC4">
        <w:t>když</w:t>
      </w:r>
      <w:r w:rsidRPr="00E44FC4">
        <w:t xml:space="preserve"> </w:t>
      </w:r>
      <w:r w:rsidR="00F732C0" w:rsidRPr="00E44FC4">
        <w:t>s</w:t>
      </w:r>
      <w:r w:rsidRPr="00E44FC4">
        <w:t xml:space="preserve">oudy vyřizují i množství vedlejších agend. Základní údaje o nich lze </w:t>
      </w:r>
      <w:r w:rsidR="00F732C0" w:rsidRPr="00E44FC4">
        <w:t xml:space="preserve">však </w:t>
      </w:r>
      <w:r w:rsidRPr="00E44FC4">
        <w:t xml:space="preserve">najít v jiných informačních zdrojích (InfoData, Statistická ročenka). Další rozcestník lze najít </w:t>
      </w:r>
      <w:r w:rsidR="00726EC3" w:rsidRPr="00E44FC4">
        <w:t>i </w:t>
      </w:r>
      <w:r w:rsidRPr="00E44FC4">
        <w:t>na internetových stránkách Ministerstva spravedlnosti v části věnující se justiční statistice</w:t>
      </w:r>
      <w:r w:rsidRPr="00E44FC4">
        <w:rPr>
          <w:rStyle w:val="Znakapoznpodarou"/>
        </w:rPr>
        <w:footnoteReference w:id="3"/>
      </w:r>
      <w:r w:rsidRPr="00E44FC4">
        <w:t>.</w:t>
      </w:r>
    </w:p>
    <w:p w14:paraId="045ECDB0" w14:textId="17B9D782" w:rsidR="008430BD" w:rsidRPr="00E44FC4" w:rsidRDefault="008430BD" w:rsidP="008430BD">
      <w:pPr>
        <w:pStyle w:val="Odstavecseseznamem"/>
        <w:numPr>
          <w:ilvl w:val="0"/>
          <w:numId w:val="2"/>
        </w:numPr>
      </w:pPr>
      <w:r w:rsidRPr="00E44FC4">
        <w:t xml:space="preserve">Soudní obvody neodpovídají </w:t>
      </w:r>
      <w:r w:rsidR="001B1856" w:rsidRPr="00E44FC4">
        <w:t xml:space="preserve">stávajícímu </w:t>
      </w:r>
      <w:r w:rsidRPr="00E44FC4">
        <w:t>samosprávn</w:t>
      </w:r>
      <w:r w:rsidR="00311BE7" w:rsidRPr="00E44FC4">
        <w:t>ému</w:t>
      </w:r>
      <w:r w:rsidRPr="00E44FC4">
        <w:t xml:space="preserve"> členění státu a vycházejí v základu ze správního členění z roku 1960.</w:t>
      </w:r>
      <w:r w:rsidR="007F5182" w:rsidRPr="00E44FC4">
        <w:t xml:space="preserve"> Rovněž neodpovídají novému zákonu </w:t>
      </w:r>
      <w:r w:rsidR="00726EC3" w:rsidRPr="00E44FC4">
        <w:t>o </w:t>
      </w:r>
      <w:r w:rsidR="007F5182" w:rsidRPr="00E44FC4">
        <w:t xml:space="preserve">územně správním členění státu z roku 2020, který zrušil zákon </w:t>
      </w:r>
      <w:r w:rsidR="00726EC3" w:rsidRPr="00E44FC4">
        <w:t>o </w:t>
      </w:r>
      <w:r w:rsidR="007F5182" w:rsidRPr="00E44FC4">
        <w:t>územním členění státu z roku 1960.</w:t>
      </w:r>
      <w:r w:rsidRPr="00E44FC4">
        <w:t xml:space="preserve"> Na úrovni okresů se hranice liší pouze mírně</w:t>
      </w:r>
      <w:r w:rsidR="00202836" w:rsidRPr="00E44FC4">
        <w:t>, nicméně určité</w:t>
      </w:r>
      <w:r w:rsidRPr="00E44FC4">
        <w:t xml:space="preserve"> odlišnosti můžeme najít u okresů </w:t>
      </w:r>
      <w:r w:rsidR="0053190F" w:rsidRPr="00E44FC4">
        <w:t>Brno</w:t>
      </w:r>
      <w:r w:rsidR="0053190F" w:rsidRPr="00E44FC4">
        <w:noBreakHyphen/>
      </w:r>
      <w:r w:rsidRPr="00E44FC4">
        <w:t xml:space="preserve">venkov, Břeclav, Žďár nad Sázavou, </w:t>
      </w:r>
      <w:r w:rsidR="0053190F" w:rsidRPr="00E44FC4">
        <w:t>Praha</w:t>
      </w:r>
      <w:r w:rsidR="0053190F" w:rsidRPr="00E44FC4">
        <w:noBreakHyphen/>
      </w:r>
      <w:r w:rsidRPr="00E44FC4">
        <w:t xml:space="preserve">východ, Kolín, Ostrava-město, </w:t>
      </w:r>
      <w:r w:rsidR="0053190F" w:rsidRPr="00E44FC4">
        <w:t>Frýdek</w:t>
      </w:r>
      <w:r w:rsidR="0053190F" w:rsidRPr="00E44FC4">
        <w:noBreakHyphen/>
        <w:t>Místek</w:t>
      </w:r>
      <w:r w:rsidRPr="00E44FC4">
        <w:t xml:space="preserve">, Nový Jičín, </w:t>
      </w:r>
      <w:r w:rsidR="0053190F" w:rsidRPr="00E44FC4">
        <w:t>Plzeň</w:t>
      </w:r>
      <w:r w:rsidR="0053190F" w:rsidRPr="00E44FC4">
        <w:noBreakHyphen/>
      </w:r>
      <w:r w:rsidRPr="00E44FC4">
        <w:t xml:space="preserve">jih nebo </w:t>
      </w:r>
      <w:r w:rsidR="0053190F" w:rsidRPr="00E44FC4">
        <w:t>Plzeň</w:t>
      </w:r>
      <w:r w:rsidR="0053190F" w:rsidRPr="00E44FC4">
        <w:noBreakHyphen/>
      </w:r>
      <w:r w:rsidRPr="00E44FC4">
        <w:t xml:space="preserve">město. Výrazně větší rozdíly jsou </w:t>
      </w:r>
      <w:r w:rsidR="00202836" w:rsidRPr="00E44FC4">
        <w:t>však</w:t>
      </w:r>
      <w:r w:rsidRPr="00E44FC4">
        <w:t xml:space="preserve"> patrné na úrovni krajů, když existuje 14 samosprávných krajů, ale jen 8 krajů soudních. Tato zpráva se zaměřuje na soudnictví a vychází tedy pouze ze soudního členění. Například pojmem </w:t>
      </w:r>
      <w:r w:rsidRPr="00E44FC4">
        <w:rPr>
          <w:i/>
        </w:rPr>
        <w:t>kraj</w:t>
      </w:r>
      <w:r w:rsidRPr="00E44FC4">
        <w:t xml:space="preserve"> se tedy myslí kraj podle soudního členění. Hlavní město Praha má podle soudního členění 10 obvodů.</w:t>
      </w:r>
    </w:p>
    <w:p w14:paraId="44058153" w14:textId="77777777" w:rsidR="008430BD" w:rsidRPr="00E44FC4" w:rsidRDefault="008430BD" w:rsidP="008430BD">
      <w:pPr>
        <w:pStyle w:val="Odstavecseseznamem"/>
        <w:numPr>
          <w:ilvl w:val="0"/>
          <w:numId w:val="2"/>
        </w:numPr>
      </w:pPr>
      <w:r w:rsidRPr="00E44FC4">
        <w:t>Ačkoliv je to na první pohled nelogické, ve statistikách týkajících se vyřizování věcí nutně neplatí, že (nevyřízené věci)</w:t>
      </w:r>
      <w:r w:rsidRPr="00E44FC4">
        <w:rPr>
          <w:vertAlign w:val="subscript"/>
        </w:rPr>
        <w:t>t-1</w:t>
      </w:r>
      <w:r w:rsidRPr="00E44FC4">
        <w:t xml:space="preserve"> + (příchozí věci)</w:t>
      </w:r>
      <w:r w:rsidRPr="00E44FC4">
        <w:rPr>
          <w:vertAlign w:val="subscript"/>
        </w:rPr>
        <w:t>t</w:t>
      </w:r>
      <w:r w:rsidRPr="00E44FC4">
        <w:t xml:space="preserve"> – (vyřízené věci)</w:t>
      </w:r>
      <w:r w:rsidRPr="00E44FC4">
        <w:rPr>
          <w:vertAlign w:val="subscript"/>
        </w:rPr>
        <w:t xml:space="preserve">t </w:t>
      </w:r>
      <w:r w:rsidRPr="00E44FC4">
        <w:t>= (nevyřízené věci)</w:t>
      </w:r>
      <w:r w:rsidRPr="00E44FC4">
        <w:rPr>
          <w:vertAlign w:val="subscript"/>
        </w:rPr>
        <w:t>t</w:t>
      </w:r>
      <w:r w:rsidRPr="00E44FC4">
        <w:t>. Tedy například, že počet nevyřízených věcí na konci roku 2008 + počet příchozích věcí v roce 2009 – počet vyřízených věcí v roce 2009 se rovná počtu nevyřízených věcí na konci roku 2009. Příčinou je oprava chybně vyznačených dat, která se projeví v novějších výkazech. Odchylky se nicméně pohybují v řádu jednotek a nemají žádný relevantní vliv.</w:t>
      </w:r>
    </w:p>
    <w:p w14:paraId="223F2352" w14:textId="77777777" w:rsidR="008430BD" w:rsidRPr="00E44FC4" w:rsidRDefault="008430BD" w:rsidP="008430BD">
      <w:pPr>
        <w:pStyle w:val="Odstavecseseznamem"/>
        <w:numPr>
          <w:ilvl w:val="0"/>
          <w:numId w:val="2"/>
        </w:numPr>
      </w:pPr>
      <w:r w:rsidRPr="00E44FC4">
        <w:t>U grafů je třeba věnovat pozornost měřítku na ose </w:t>
      </w:r>
      <w:r w:rsidRPr="00E44FC4">
        <w:rPr>
          <w:i/>
        </w:rPr>
        <w:t xml:space="preserve">y </w:t>
      </w:r>
      <w:r w:rsidRPr="00E44FC4">
        <w:t>(svislá osa), měřítka se totiž liší. Stejně důležitý je rozsah osy. Ta totiž například nezačíná na hodnotě 0, ale na hodnotě vyšší. Na první pohled se tak mohou rozdíly zdát větší, než ve skutečnosti jsou. U kartogramů musíme sledovat velikost intervalů.</w:t>
      </w:r>
    </w:p>
    <w:p w14:paraId="6B3AD648" w14:textId="46442F47" w:rsidR="008430BD" w:rsidRPr="00E44FC4" w:rsidRDefault="008430BD" w:rsidP="008430BD">
      <w:pPr>
        <w:pStyle w:val="Odstavecseseznamem"/>
        <w:numPr>
          <w:ilvl w:val="0"/>
          <w:numId w:val="2"/>
        </w:numPr>
      </w:pPr>
      <w:r w:rsidRPr="00E44FC4">
        <w:t>U trestních agend je potřeba rozlišovat mezi počtem věcí a počtem osob</w:t>
      </w:r>
      <w:r w:rsidR="009443E0" w:rsidRPr="00E44FC4">
        <w:t xml:space="preserve">, neboť jedno trestní řízení může být vedeno </w:t>
      </w:r>
      <w:r w:rsidR="00726EC3" w:rsidRPr="00E44FC4">
        <w:t>i </w:t>
      </w:r>
      <w:r w:rsidR="009443E0" w:rsidRPr="00E44FC4">
        <w:t>proti více osobám.</w:t>
      </w:r>
      <w:r w:rsidRPr="00E44FC4">
        <w:t xml:space="preserve"> </w:t>
      </w:r>
      <w:r w:rsidR="009443E0" w:rsidRPr="00E44FC4">
        <w:t>P</w:t>
      </w:r>
      <w:r w:rsidRPr="00E44FC4">
        <w:t>očet osob tak může být výrazně vyšší než počet věcí</w:t>
      </w:r>
      <w:r w:rsidR="009443E0" w:rsidRPr="00E44FC4">
        <w:t>, což</w:t>
      </w:r>
      <w:r w:rsidR="002A4AC8" w:rsidRPr="00E44FC4">
        <w:t xml:space="preserve"> </w:t>
      </w:r>
      <w:r w:rsidRPr="00E44FC4">
        <w:t xml:space="preserve">platí především u krajských a vrchních soudů. Tato zpráva se </w:t>
      </w:r>
      <w:r w:rsidR="009443E0" w:rsidRPr="00E44FC4">
        <w:t xml:space="preserve">pak </w:t>
      </w:r>
      <w:r w:rsidRPr="00E44FC4">
        <w:t xml:space="preserve">zabývá pouze počtem věcí. Za zmínku </w:t>
      </w:r>
      <w:r w:rsidR="009443E0" w:rsidRPr="00E44FC4">
        <w:t xml:space="preserve">však </w:t>
      </w:r>
      <w:r w:rsidRPr="00E44FC4">
        <w:t xml:space="preserve">stojí </w:t>
      </w:r>
      <w:r w:rsidR="009443E0" w:rsidRPr="00E44FC4">
        <w:t>uvést skutečnost</w:t>
      </w:r>
      <w:r w:rsidRPr="00E44FC4">
        <w:t xml:space="preserve">, že počet stíhaných osob lze považovat za aproximaci složitosti věci. Více osob </w:t>
      </w:r>
      <w:r w:rsidR="009443E0" w:rsidRPr="00E44FC4">
        <w:t xml:space="preserve">totiž </w:t>
      </w:r>
      <w:r w:rsidRPr="00E44FC4">
        <w:t>znamená zpravidla složitější věc.</w:t>
      </w:r>
    </w:p>
    <w:p w14:paraId="4B3B6BA9" w14:textId="77777777" w:rsidR="008430BD" w:rsidRPr="00E44FC4" w:rsidRDefault="008430BD" w:rsidP="008430BD">
      <w:pPr>
        <w:pStyle w:val="Odstavecseseznamem"/>
        <w:numPr>
          <w:ilvl w:val="0"/>
          <w:numId w:val="2"/>
        </w:numPr>
      </w:pPr>
      <w:r w:rsidRPr="00E44FC4">
        <w:t>Mediánová délka řízení má z trojice medián, průměr a percentil 90 pro účely této zprávy zřejmě nejlepší vypovídající hodnotu, protože eliminuje extrémní hodnoty. Proto v kartogramech využíváme mediánovou délku řízení a ne průměrnou délku řízení nebo devadesátý percentil.</w:t>
      </w:r>
    </w:p>
    <w:p w14:paraId="419E14A0" w14:textId="77777777" w:rsidR="008430BD" w:rsidRPr="00E44FC4" w:rsidRDefault="008430BD" w:rsidP="008430BD">
      <w:pPr>
        <w:pStyle w:val="Odstavecseseznamem"/>
        <w:numPr>
          <w:ilvl w:val="0"/>
          <w:numId w:val="2"/>
        </w:numPr>
      </w:pPr>
      <w:r w:rsidRPr="00E44FC4">
        <w:t>Seznam použitých pojmů, seznam zkratek soudních okresů a soudních obvodů hlavního města Prahy využitých v kartogramech a seznam vybraných rejstříků soudů naleznete v příloze této zprávy.</w:t>
      </w:r>
    </w:p>
    <w:p w14:paraId="688A1CFB" w14:textId="3819C94C" w:rsidR="008430BD" w:rsidRPr="00E44FC4" w:rsidRDefault="008430BD" w:rsidP="008430BD">
      <w:pPr>
        <w:pStyle w:val="Odstavecseseznamem"/>
        <w:numPr>
          <w:ilvl w:val="0"/>
          <w:numId w:val="2"/>
        </w:numPr>
      </w:pPr>
      <w:r w:rsidRPr="00E44FC4">
        <w:lastRenderedPageBreak/>
        <w:t xml:space="preserve">Přesné číselné údaje </w:t>
      </w:r>
      <w:r w:rsidR="000C3B1E" w:rsidRPr="00E44FC4">
        <w:t>o </w:t>
      </w:r>
      <w:r w:rsidRPr="00E44FC4">
        <w:t>jednotlivých okresních soudech jsou v</w:t>
      </w:r>
      <w:r w:rsidR="000C3B1E" w:rsidRPr="00E44FC4">
        <w:t> </w:t>
      </w:r>
      <w:r w:rsidRPr="00E44FC4">
        <w:t>Příloze</w:t>
      </w:r>
      <w:r w:rsidR="000C3B1E" w:rsidRPr="00E44FC4">
        <w:t> </w:t>
      </w:r>
      <w:r w:rsidRPr="00E44FC4">
        <w:t>D. Lze je také dohledat na internetových stránkách Ministerstva spravedlnosti v části věnující se justiční statistice.</w:t>
      </w:r>
    </w:p>
    <w:p w14:paraId="1586C7BE" w14:textId="1DAF8A93" w:rsidR="008430BD" w:rsidRPr="00E44FC4" w:rsidRDefault="008430BD" w:rsidP="008430BD">
      <w:pPr>
        <w:pStyle w:val="Odstavecseseznamem"/>
        <w:numPr>
          <w:ilvl w:val="0"/>
          <w:numId w:val="2"/>
        </w:numPr>
      </w:pPr>
      <w:r w:rsidRPr="00E44FC4">
        <w:t>Od výroční zprávy za rok 20</w:t>
      </w:r>
      <w:r w:rsidR="00F56CE3" w:rsidRPr="00E44FC4">
        <w:t>19</w:t>
      </w:r>
      <w:r w:rsidRPr="00E44FC4">
        <w:t xml:space="preserve"> jsou ve zprávě využity dva různé ukazatele pro počty soudců.</w:t>
      </w:r>
    </w:p>
    <w:p w14:paraId="6EA96F7B" w14:textId="137D88FE" w:rsidR="008430BD" w:rsidRPr="00E44FC4" w:rsidRDefault="008430BD" w:rsidP="008430BD">
      <w:pPr>
        <w:pStyle w:val="Odstavecseseznamem"/>
        <w:numPr>
          <w:ilvl w:val="1"/>
          <w:numId w:val="2"/>
        </w:numPr>
      </w:pPr>
      <w:r w:rsidRPr="00E44FC4">
        <w:t xml:space="preserve">Stejně jako v předchozích verzích zprávy je využit evidenční počet soudců, </w:t>
      </w:r>
      <w:r w:rsidR="000C3B1E" w:rsidRPr="00E44FC4">
        <w:t>a </w:t>
      </w:r>
      <w:r w:rsidRPr="00E44FC4">
        <w:t xml:space="preserve">to v kapitolách o personálu. Výhodou je především to, že data jsou sbírána pravidelně stejnou metodikou </w:t>
      </w:r>
      <w:r w:rsidR="000C3B1E" w:rsidRPr="00E44FC4">
        <w:t>a </w:t>
      </w:r>
      <w:r w:rsidRPr="00E44FC4">
        <w:t>jsou k dispozici za dlouhé časové období.</w:t>
      </w:r>
    </w:p>
    <w:p w14:paraId="7526A902" w14:textId="5B36CB2F" w:rsidR="008430BD" w:rsidRPr="00E44FC4" w:rsidRDefault="008430BD" w:rsidP="008430BD">
      <w:pPr>
        <w:pStyle w:val="Odstavecseseznamem"/>
        <w:numPr>
          <w:ilvl w:val="1"/>
          <w:numId w:val="2"/>
        </w:numPr>
      </w:pPr>
      <w:r w:rsidRPr="00E44FC4">
        <w:t xml:space="preserve">Opět jsou využita data </w:t>
      </w:r>
      <w:r w:rsidR="000C3B1E" w:rsidRPr="00E44FC4">
        <w:t>o </w:t>
      </w:r>
      <w:r w:rsidRPr="00E44FC4">
        <w:t>počtu skutečných úvazků, která byla poprvé sbírána k 1. 1. 2020</w:t>
      </w:r>
      <w:r w:rsidR="00782F55" w:rsidRPr="00E44FC4">
        <w:t>,</w:t>
      </w:r>
      <w:r w:rsidRPr="00E44FC4">
        <w:t xml:space="preserve"> </w:t>
      </w:r>
      <w:r w:rsidR="000C3B1E" w:rsidRPr="00E44FC4">
        <w:t>a </w:t>
      </w:r>
      <w:r w:rsidRPr="00E44FC4">
        <w:t>v této zprávě jsou platná k 1. 1. 202</w:t>
      </w:r>
      <w:r w:rsidR="00F56CE3" w:rsidRPr="00E44FC4">
        <w:t>2</w:t>
      </w:r>
      <w:r w:rsidRPr="00E44FC4">
        <w:t xml:space="preserve">. Jejich velkou výhodou je </w:t>
      </w:r>
      <w:r w:rsidR="00782F55" w:rsidRPr="00E44FC4">
        <w:t>skutečnost</w:t>
      </w:r>
      <w:r w:rsidRPr="00E44FC4">
        <w:t>, že jsou přesnější, neboť je v nich například vyčleněna opatrovnická agenda (a není tedy uvedena dohromady s rejstříkem C)</w:t>
      </w:r>
      <w:r w:rsidR="00782F55" w:rsidRPr="00E44FC4">
        <w:t>,</w:t>
      </w:r>
      <w:r w:rsidRPr="00E44FC4">
        <w:t xml:space="preserve"> </w:t>
      </w:r>
      <w:r w:rsidR="000C3B1E" w:rsidRPr="00E44FC4">
        <w:t>a </w:t>
      </w:r>
      <w:r w:rsidRPr="00E44FC4">
        <w:t xml:space="preserve">dále jsou zohledněny i nepřítomnosti soudců, </w:t>
      </w:r>
      <w:r w:rsidR="00FC1534" w:rsidRPr="00E44FC4">
        <w:t>jako</w:t>
      </w:r>
      <w:r w:rsidRPr="00E44FC4">
        <w:t xml:space="preserve"> je </w:t>
      </w:r>
      <w:r w:rsidR="00782F55" w:rsidRPr="00E44FC4">
        <w:t xml:space="preserve">například </w:t>
      </w:r>
      <w:r w:rsidRPr="00E44FC4">
        <w:t>dlouhodobá nemoc apod. Počty skutečných úvazků jsou uvedeny s přesností na desetinu soudce. Tato data jsou pak využita v kapitolách s přepočty věcí na soudce.</w:t>
      </w:r>
    </w:p>
    <w:p w14:paraId="0275EB5B" w14:textId="77777777" w:rsidR="008430BD" w:rsidRPr="00E44FC4" w:rsidRDefault="008430BD" w:rsidP="00FA2FE2">
      <w:r w:rsidRPr="00E44FC4">
        <w:br w:type="page"/>
      </w:r>
    </w:p>
    <w:p w14:paraId="00D2A37B" w14:textId="77777777" w:rsidR="008430BD" w:rsidRPr="00E44FC4" w:rsidRDefault="008430BD" w:rsidP="00F15667">
      <w:pPr>
        <w:pStyle w:val="Nadpis2"/>
        <w:numPr>
          <w:ilvl w:val="1"/>
          <w:numId w:val="1"/>
        </w:numPr>
        <w:spacing w:before="120"/>
        <w:rPr>
          <w:color w:val="auto"/>
        </w:rPr>
      </w:pPr>
      <w:bookmarkStart w:id="12" w:name="_Ref508884198"/>
      <w:bookmarkStart w:id="13" w:name="_Toc517118505"/>
      <w:bookmarkStart w:id="14" w:name="_Toc106092711"/>
      <w:bookmarkStart w:id="15" w:name="_Toc144104332"/>
      <w:r w:rsidRPr="00E44FC4">
        <w:rPr>
          <w:color w:val="auto"/>
        </w:rPr>
        <w:lastRenderedPageBreak/>
        <w:t>Změny oproti verzi z minulého roku</w:t>
      </w:r>
      <w:bookmarkEnd w:id="12"/>
      <w:bookmarkEnd w:id="13"/>
      <w:bookmarkEnd w:id="14"/>
      <w:bookmarkEnd w:id="15"/>
    </w:p>
    <w:p w14:paraId="5E4A1D6C" w14:textId="303CF85C" w:rsidR="007F5182" w:rsidRDefault="008F71CE" w:rsidP="008430BD">
      <w:pPr>
        <w:pStyle w:val="OdstavecASR"/>
      </w:pPr>
      <w:r w:rsidRPr="00E44FC4">
        <w:t xml:space="preserve">Tento rok </w:t>
      </w:r>
      <w:r w:rsidR="004879E9">
        <w:t>ne</w:t>
      </w:r>
      <w:r w:rsidRPr="00E44FC4">
        <w:t xml:space="preserve">byly oproti loňské verzi provedeny </w:t>
      </w:r>
      <w:r w:rsidR="004879E9">
        <w:t xml:space="preserve">zásadní </w:t>
      </w:r>
      <w:r w:rsidRPr="00E44FC4">
        <w:t xml:space="preserve">změny. Samozřejmě, opět byla aktualizována data a upraveny </w:t>
      </w:r>
      <w:r w:rsidRPr="00E44FC4">
        <w:rPr>
          <w:i/>
          <w:iCs/>
        </w:rPr>
        <w:t>další statistiky</w:t>
      </w:r>
      <w:r w:rsidR="004879E9">
        <w:rPr>
          <w:i/>
          <w:iCs/>
        </w:rPr>
        <w:t xml:space="preserve"> </w:t>
      </w:r>
      <w:r w:rsidR="004879E9">
        <w:t>a mezinárodní srovnání</w:t>
      </w:r>
      <w:r w:rsidRPr="00E44FC4">
        <w:t>.</w:t>
      </w:r>
    </w:p>
    <w:p w14:paraId="0ACB3C4D" w14:textId="7A74C9C2" w:rsidR="008430BD" w:rsidRPr="00E44FC4" w:rsidRDefault="008430BD" w:rsidP="008430BD">
      <w:pPr>
        <w:pStyle w:val="Nadpis1"/>
        <w:pageBreakBefore/>
        <w:numPr>
          <w:ilvl w:val="0"/>
          <w:numId w:val="1"/>
        </w:numPr>
        <w:spacing w:after="120"/>
      </w:pPr>
      <w:bookmarkStart w:id="16" w:name="_Toc517118506"/>
      <w:bookmarkStart w:id="17" w:name="_Toc106092712"/>
      <w:bookmarkStart w:id="18" w:name="_Toc144104333"/>
      <w:r w:rsidRPr="00E44FC4">
        <w:lastRenderedPageBreak/>
        <w:t>Okresní soudy</w:t>
      </w:r>
      <w:bookmarkEnd w:id="16"/>
      <w:bookmarkEnd w:id="17"/>
      <w:bookmarkEnd w:id="18"/>
    </w:p>
    <w:p w14:paraId="0E5A52B7" w14:textId="77777777" w:rsidR="003D6A13" w:rsidRPr="00E44FC4" w:rsidRDefault="003D6A13" w:rsidP="003D6A13">
      <w:r w:rsidRPr="00E44FC4">
        <w:t>Tato část výroční zprávy obsahuje data, která se týkají všech okresních soudů (OS) v ČR. Jedná se o 75 okresních soudů, Městský soud v Brně a 10 obvodních soudů v Praze.</w:t>
      </w:r>
    </w:p>
    <w:p w14:paraId="3A23F50C" w14:textId="77777777" w:rsidR="003D6A13" w:rsidRPr="00E44FC4" w:rsidRDefault="003D6A13" w:rsidP="003D6A13">
      <w:r w:rsidRPr="00E44FC4">
        <w:t>V první podkapitole uvádíme statistiky týkající se počtu soudců, počtu zaměstnanců ve výkonu a ve správě a počtu přísedících. Další podkapitoly se věnují jednotlivým soudním agendám. Okresní soudy jsou soudy prvoinstanční a vyřizují v zásadě tři hlavní typy agend – civilní, trestní a opatrovnickou.</w:t>
      </w:r>
    </w:p>
    <w:p w14:paraId="107C9A8A" w14:textId="05651F40" w:rsidR="003D6A13" w:rsidRPr="00E44FC4" w:rsidRDefault="003D6A13" w:rsidP="003D6A13">
      <w:r w:rsidRPr="00E44FC4">
        <w:t>Pro většinu agend (tedy ve většině podkapitol) uvádíme délky řízení ode dne nápadu do dne vyřízení soudem I. stupně (průměr, medián a percentil 90). Dále následují data týkající se vyřizování věcí: nápad + obživlé věci, vyřízené věci, nevyřízené věci a míra vyřizování v % (vyřízené věci/příchozí věci × 100 %). Údaje jsou většinou řazeny v časových řadách pro celou ČR, následují data za kraje v roce 2022 a kartogramy pro jednotlivé okresní soudy. Ve většině tabulek s průřezovými daty po krajích je také menším písmem uvedena změna oproti roku 2021. Jedná se buď o změny v procentních bodech, označené zkratkou „p.b.“ nebo o změny v % a bližší vysvětlení je uvedeno u tabulky 14. Pokud je to přínosné, jsou délky řízení za rok 2022 zobrazeny pomocí histogramu (viz heslo v příloze A). V závěru každé podkapitoly předkládáme další zajímavé statistiky (např. míru odvolání, míru změny rozsudku apod.).</w:t>
      </w:r>
    </w:p>
    <w:p w14:paraId="1BB36D23" w14:textId="136C9153" w:rsidR="00C74A49" w:rsidRPr="00E44FC4" w:rsidRDefault="008430BD" w:rsidP="008430BD">
      <w:pPr>
        <w:pStyle w:val="Nadpis2"/>
        <w:numPr>
          <w:ilvl w:val="1"/>
          <w:numId w:val="1"/>
        </w:numPr>
        <w:spacing w:before="120"/>
        <w:rPr>
          <w:color w:val="auto"/>
        </w:rPr>
      </w:pPr>
      <w:bookmarkStart w:id="19" w:name="_Toc487791225"/>
      <w:bookmarkStart w:id="20" w:name="_Toc517118507"/>
      <w:bookmarkStart w:id="21" w:name="_Toc106092713"/>
      <w:bookmarkStart w:id="22" w:name="_Toc144104334"/>
      <w:r w:rsidRPr="00E44FC4">
        <w:rPr>
          <w:color w:val="auto"/>
        </w:rPr>
        <w:t>Personál</w:t>
      </w:r>
      <w:bookmarkEnd w:id="19"/>
      <w:bookmarkEnd w:id="20"/>
      <w:bookmarkEnd w:id="21"/>
      <w:bookmarkEnd w:id="22"/>
    </w:p>
    <w:p w14:paraId="32884DB6" w14:textId="77777777" w:rsidR="003D6A13" w:rsidRPr="00E44FC4" w:rsidRDefault="003D6A13" w:rsidP="003D6A13">
      <w:pPr>
        <w:pStyle w:val="OdstavecASR"/>
      </w:pPr>
      <w:r w:rsidRPr="00E44FC4">
        <w:t>Podkapitolu dělíme na tři části. V první části se věnujeme soudcům, druhá se zaměřuje na další zaměstnance soudu a třetí pojednává o přísedících soudu. Všechny uvedené údaje jsou v osobách a data vyjadřují vždy stav k 1. 1. daného roku.</w:t>
      </w:r>
    </w:p>
    <w:p w14:paraId="321A06F9" w14:textId="77777777" w:rsidR="003D6A13" w:rsidRPr="00E44FC4" w:rsidRDefault="003D6A13" w:rsidP="003D6A13">
      <w:pPr>
        <w:pStyle w:val="Nadpis3"/>
        <w:numPr>
          <w:ilvl w:val="2"/>
          <w:numId w:val="1"/>
        </w:numPr>
        <w:spacing w:before="0"/>
        <w:rPr>
          <w:color w:val="auto"/>
        </w:rPr>
      </w:pPr>
      <w:bookmarkStart w:id="23" w:name="_Toc144104335"/>
      <w:r w:rsidRPr="00E44FC4">
        <w:rPr>
          <w:color w:val="auto"/>
        </w:rPr>
        <w:t>Soudci</w:t>
      </w:r>
      <w:bookmarkEnd w:id="23"/>
    </w:p>
    <w:p w14:paraId="2B8A5FB7" w14:textId="73E381C3" w:rsidR="003D6A13" w:rsidRPr="00E44FC4" w:rsidRDefault="003D6A13" w:rsidP="003D6A13">
      <w:pPr>
        <w:pStyle w:val="Podnadpis"/>
        <w:numPr>
          <w:ilvl w:val="0"/>
          <w:numId w:val="0"/>
        </w:numPr>
        <w:rPr>
          <w:color w:val="auto"/>
        </w:rPr>
      </w:pPr>
      <w:bookmarkStart w:id="24" w:name="_Ref509212911"/>
      <w:bookmarkStart w:id="25" w:name="_Toc515871326"/>
      <w:bookmarkStart w:id="26" w:name="_Toc11135062"/>
      <w:bookmarkStart w:id="27" w:name="_Toc43841381"/>
      <w:bookmarkStart w:id="28" w:name="_Toc75952181"/>
      <w:bookmarkStart w:id="29" w:name="_Toc106106635"/>
      <w:bookmarkStart w:id="30" w:name="_Toc144104113"/>
      <w:r w:rsidRPr="00E44FC4">
        <w:rPr>
          <w:color w:val="auto"/>
        </w:rPr>
        <w:t xml:space="preserve">Graf </w:t>
      </w:r>
      <w:r w:rsidR="009A10E2" w:rsidRPr="00E44FC4">
        <w:rPr>
          <w:color w:val="auto"/>
        </w:rPr>
        <w:fldChar w:fldCharType="begin"/>
      </w:r>
      <w:r w:rsidR="009A10E2" w:rsidRPr="00E44FC4">
        <w:rPr>
          <w:color w:val="auto"/>
        </w:rPr>
        <w:instrText xml:space="preserve"> SEQ Graf \* ARABIC </w:instrText>
      </w:r>
      <w:r w:rsidR="009A10E2" w:rsidRPr="00E44FC4">
        <w:rPr>
          <w:color w:val="auto"/>
        </w:rPr>
        <w:fldChar w:fldCharType="separate"/>
      </w:r>
      <w:r w:rsidR="001E1A67">
        <w:rPr>
          <w:noProof/>
          <w:color w:val="auto"/>
        </w:rPr>
        <w:t>1</w:t>
      </w:r>
      <w:r w:rsidR="009A10E2" w:rsidRPr="00E44FC4">
        <w:rPr>
          <w:color w:val="auto"/>
        </w:rPr>
        <w:fldChar w:fldCharType="end"/>
      </w:r>
      <w:bookmarkEnd w:id="24"/>
      <w:r w:rsidRPr="00E44FC4">
        <w:rPr>
          <w:color w:val="auto"/>
        </w:rPr>
        <w:t>: OS – počet soudců v letech 2008–20</w:t>
      </w:r>
      <w:bookmarkEnd w:id="25"/>
      <w:bookmarkEnd w:id="26"/>
      <w:bookmarkEnd w:id="27"/>
      <w:r w:rsidRPr="00E44FC4">
        <w:rPr>
          <w:color w:val="auto"/>
        </w:rPr>
        <w:t>2</w:t>
      </w:r>
      <w:bookmarkEnd w:id="28"/>
      <w:bookmarkEnd w:id="29"/>
      <w:r w:rsidRPr="00E44FC4">
        <w:rPr>
          <w:color w:val="auto"/>
        </w:rPr>
        <w:t>2</w:t>
      </w:r>
      <w:bookmarkEnd w:id="30"/>
    </w:p>
    <w:p w14:paraId="470FE409" w14:textId="348AB3D3" w:rsidR="003D6A13" w:rsidRPr="00E44FC4" w:rsidRDefault="003D6A13" w:rsidP="00917F3F">
      <w:pPr>
        <w:pStyle w:val="OdstavecASR"/>
      </w:pPr>
      <w:r w:rsidRPr="00E44FC4">
        <w:rPr>
          <w:noProof/>
          <w:lang w:eastAsia="cs-CZ"/>
        </w:rPr>
        <w:drawing>
          <wp:inline distT="0" distB="0" distL="0" distR="0" wp14:anchorId="3A69862F" wp14:editId="5A915CEC">
            <wp:extent cx="5029200" cy="3657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D97BA65" w14:textId="2D740681" w:rsidR="003D6A13" w:rsidRPr="00E44FC4" w:rsidRDefault="003D6A13" w:rsidP="003D6A13">
      <w:pPr>
        <w:pStyle w:val="OdstavecASR"/>
      </w:pPr>
      <w:r w:rsidRPr="00E44FC4">
        <w:lastRenderedPageBreak/>
        <w:t xml:space="preserve">Z grafu </w:t>
      </w:r>
      <w:r w:rsidR="001B1856" w:rsidRPr="00E44FC4">
        <w:t xml:space="preserve">1 </w:t>
      </w:r>
      <w:r w:rsidRPr="00E44FC4">
        <w:t xml:space="preserve">je patrné, že počet soudců u OS je v ČR velmi stabilní. Plánovaný počet všech soudců byl v minulosti prakticky neměnný, a to 3 063 nebo 3 062 soudců. Tento počet byl následně rozdělen mezi všechny články soudní soustavy (OS, KS, VS, NS, NSS). Mírné změny v plánovaném počtu soudců u OS tak byly způsobeny pouze přesouváním plánovaného počtu soudců mezi jednotlivými články soudní soustavy a vyplývaly z výpočtu potřeby soudců a systemizace soudů, která se odvíjela od nápadu jednotlivých soudů (viz seznam použitých pojmů v příloze). V roce 2018 došlo k určitým změnám v systemizaci – došlo k přehodnocení náročnosti vybraných rejstříků, protože </w:t>
      </w:r>
      <w:r w:rsidRPr="00E44FC4">
        <w:rPr>
          <w:lang w:eastAsia="cs-CZ"/>
        </w:rPr>
        <w:t>náročnost agendy v průměru rostla.</w:t>
      </w:r>
      <w:r w:rsidRPr="00E44FC4">
        <w:t xml:space="preserve"> Na druhou stranu však nápad stabilně a poměrně rychle klesal.</w:t>
      </w:r>
    </w:p>
    <w:p w14:paraId="59EB35FB" w14:textId="3633A6CA" w:rsidR="003D6A13" w:rsidRPr="00E44FC4" w:rsidRDefault="003D6A13" w:rsidP="003D6A13">
      <w:pPr>
        <w:pStyle w:val="OdstavecASR"/>
      </w:pPr>
      <w:r w:rsidRPr="00E44FC4">
        <w:t xml:space="preserve">V roce 2021 došlo k citelnější změně v plánovaném počtu soudců. Oproti roku 2020 klesl plánovaný počet soudců okresních soudů o 82, tedy o necelých 5 %. Změny vyplynuly z velkého poklesu nápadu v předešlých letech, především pak v roce 2020. V systemizaci nicméně stále dochází a bude docházet k určitým dodatečným změnám, které vyplývají z diskuse mezi soudy a Ministerstvem spravedlnosti. K této </w:t>
      </w:r>
      <w:r w:rsidR="00432DF5" w:rsidRPr="00E44FC4">
        <w:t>diskusi došlo i v roce 2021 a v</w:t>
      </w:r>
      <w:r w:rsidRPr="00E44FC4">
        <w:t xml:space="preserve">ýsledkem </w:t>
      </w:r>
      <w:r w:rsidR="00432DF5" w:rsidRPr="00E44FC4">
        <w:t>byla</w:t>
      </w:r>
      <w:r w:rsidRPr="00E44FC4">
        <w:t xml:space="preserve"> změna některých měřítek a dalších parametrů výpočtu pro rok 2022, která vedla k nárůstu plánovaného počtu soudců pro tento rok.</w:t>
      </w:r>
      <w:r w:rsidR="00432DF5" w:rsidRPr="00E44FC4">
        <w:t xml:space="preserve"> Na grafu tento nárůst jasně vidíme. Jde o nárůst z</w:t>
      </w:r>
      <w:r w:rsidR="00FA2FE2">
        <w:t> </w:t>
      </w:r>
      <w:r w:rsidR="00432DF5" w:rsidRPr="00E44FC4">
        <w:t>1</w:t>
      </w:r>
      <w:r w:rsidR="00FA2FE2">
        <w:t> </w:t>
      </w:r>
      <w:r w:rsidR="00432DF5" w:rsidRPr="00E44FC4">
        <w:t>716 na 1</w:t>
      </w:r>
      <w:r w:rsidR="00FA2FE2">
        <w:t> </w:t>
      </w:r>
      <w:r w:rsidR="00432DF5" w:rsidRPr="00E44FC4">
        <w:t>839, tedy asi o 7 %.</w:t>
      </w:r>
      <w:r w:rsidR="00A6282C" w:rsidRPr="00E44FC4">
        <w:t xml:space="preserve"> Za upozornění rovně</w:t>
      </w:r>
      <w:r w:rsidR="00A4658E" w:rsidRPr="00E44FC4">
        <w:t>ž</w:t>
      </w:r>
      <w:r w:rsidR="00A6282C" w:rsidRPr="00E44FC4">
        <w:t xml:space="preserve"> stojí fakt, že poprvé ve sledované</w:t>
      </w:r>
      <w:r w:rsidR="00A4658E" w:rsidRPr="00E44FC4">
        <w:t>m</w:t>
      </w:r>
      <w:r w:rsidR="00A6282C" w:rsidRPr="00E44FC4">
        <w:t xml:space="preserve"> období byl plánovaný počet soudců vyšší než počet evidenční. To je dáno především výše diskutovanou změnou v plánovaném počtu soudců.</w:t>
      </w:r>
    </w:p>
    <w:p w14:paraId="69989E8E" w14:textId="77777777" w:rsidR="008672B9" w:rsidRPr="00E44FC4" w:rsidRDefault="00432DF5" w:rsidP="00432DF5">
      <w:pPr>
        <w:pStyle w:val="OdstavecASR"/>
      </w:pPr>
      <w:r w:rsidRPr="00E44FC4">
        <w:t>Evidenční počet soudců je rovněž velmi stabilní. Změny v evidenčním počtu soudců jsou dány především zánikem funkcí jednotlivých soudců a načasováním jednotlivých jmenovacích etap, a vykazují tudíž velkou setrvačnost.</w:t>
      </w:r>
    </w:p>
    <w:p w14:paraId="30D6D17E" w14:textId="349B7B6D" w:rsidR="008672B9" w:rsidRPr="00E44FC4" w:rsidRDefault="008672B9" w:rsidP="008672B9">
      <w:pPr>
        <w:pStyle w:val="OdstavecASR"/>
      </w:pPr>
      <w:r w:rsidRPr="00E44FC4">
        <w:t xml:space="preserve">V předchozích letech docházelo k postupnému zmenšování rozdílu mezi plánovaným a evidenčním počtem soudců, kdy v roce 2016 byl evidenční počet vyšší o 73 soudců než plánovaný a v roce 2020 pouze o 26 soudců (snížení rozdílu o 64 %). V roce 2008 ale činil rozdíl mezi evidenčním a plánovaným počtem dokonce 176 soudců ve prospěch počtu evidenčního. Vzhledem k poklesu v plánovaném počtu soudců v roce 2021 se rozdíl mezi plánovaným a evidenčním počtem soudců zvýšil na 98. A jak bylo výše </w:t>
      </w:r>
      <w:r w:rsidR="00A4658E" w:rsidRPr="00E44FC4">
        <w:t>uvedeno</w:t>
      </w:r>
      <w:r w:rsidRPr="00E44FC4">
        <w:t xml:space="preserve"> v roce 2022 byl plánovaný počet soudců vyšší než počet evidenční. Další informace k tomuto tématu viz tabulka 5.</w:t>
      </w:r>
    </w:p>
    <w:p w14:paraId="22E0D952" w14:textId="26F50343" w:rsidR="00432DF5" w:rsidRPr="00E44FC4" w:rsidRDefault="00432DF5" w:rsidP="00432DF5">
      <w:pPr>
        <w:pStyle w:val="OdstavecASR"/>
      </w:pPr>
      <w:r w:rsidRPr="00E44FC4">
        <w:t>Za povšimnutí stojí výrazný pokles v počtu soudkyň (soudců) na MD/RD (mateřské/rodičovské dovolené) mezi roky 2009 až 2015 (pokles o 48 %) a jeho stabilizace v letech 2015 až 202</w:t>
      </w:r>
      <w:r w:rsidR="009123F8" w:rsidRPr="00E44FC4">
        <w:t>0</w:t>
      </w:r>
      <w:r w:rsidRPr="00E44FC4">
        <w:t xml:space="preserve">. V datech dále v této podkapitole také zjistíme, že věk soudců u OS se postupně zvyšoval (snižoval se podíl soudců a soudkyň ve věku 30 až 40 let). To logicky vedlo ke snižování počtů soudkyň na </w:t>
      </w:r>
      <w:r w:rsidR="00AD5543" w:rsidRPr="00E44FC4">
        <w:t>MD/RD</w:t>
      </w:r>
      <w:r w:rsidRPr="00E44FC4">
        <w:t>, a proto mírně rostl počet soudců, kteří skutečně u soudů působili (skutečný úvazek).</w:t>
      </w:r>
      <w:r w:rsidR="009123F8" w:rsidRPr="00E44FC4">
        <w:t xml:space="preserve"> Teprve v letech 2021 a 2022 opět začal růst počet soudkyň (soudců) na MD/RD a v roce 2022 tak byl 106, což odpovídá roku 2014.</w:t>
      </w:r>
    </w:p>
    <w:p w14:paraId="2AC960C5" w14:textId="28957A1B" w:rsidR="00E56A10" w:rsidRPr="00E44FC4" w:rsidRDefault="00E56A10" w:rsidP="00E56A10">
      <w:pPr>
        <w:pStyle w:val="OdstavecASR"/>
      </w:pPr>
      <w:r w:rsidRPr="00E44FC4">
        <w:t>V grafu níže vidíme, že poměr velikosti soudních úseků je velmi stabilní – počet soudců na civilním úseku je asi třikrát vyšší než počet soudců na úseku trestním. V posledních letech ovšem můžeme vidět mírný pokles v počtu soudců na trestním úseku</w:t>
      </w:r>
      <w:r w:rsidR="008672B9" w:rsidRPr="00E44FC4">
        <w:t>, což zřejmě plyne z poklesu nápadu v trestní agendě</w:t>
      </w:r>
      <w:r w:rsidRPr="00E44FC4">
        <w:t>. Ještě je třeba upozornit, že do civilního úseku v tomto kontextu spadají i soudci, kteří vyřizují opatrovnickou agendu, příp. další civilní agendy. V podkapitolách o vyřizování věcí na soudce již jsou tito soudci uvedeni zvlášť.</w:t>
      </w:r>
    </w:p>
    <w:p w14:paraId="23412E79" w14:textId="7074580F" w:rsidR="00E56A10" w:rsidRPr="00E44FC4" w:rsidRDefault="00E56A10" w:rsidP="00E56A10">
      <w:pPr>
        <w:pStyle w:val="Podnadpis"/>
        <w:rPr>
          <w:color w:val="auto"/>
        </w:rPr>
      </w:pPr>
      <w:bookmarkStart w:id="31" w:name="_Toc515871327"/>
      <w:bookmarkStart w:id="32" w:name="_Toc11135063"/>
      <w:bookmarkStart w:id="33" w:name="_Toc43841382"/>
      <w:bookmarkStart w:id="34" w:name="_Toc75952182"/>
      <w:bookmarkStart w:id="35" w:name="_Toc106106636"/>
      <w:bookmarkStart w:id="36" w:name="_Toc144104114"/>
      <w:r w:rsidRPr="00E44FC4">
        <w:rPr>
          <w:color w:val="auto"/>
        </w:rPr>
        <w:lastRenderedPageBreak/>
        <w:t xml:space="preserve">Graf </w:t>
      </w:r>
      <w:r w:rsidR="009A10E2" w:rsidRPr="00E44FC4">
        <w:rPr>
          <w:color w:val="auto"/>
        </w:rPr>
        <w:fldChar w:fldCharType="begin"/>
      </w:r>
      <w:r w:rsidR="009A10E2" w:rsidRPr="00E44FC4">
        <w:rPr>
          <w:color w:val="auto"/>
        </w:rPr>
        <w:instrText xml:space="preserve"> SEQ Graf \* ARABIC </w:instrText>
      </w:r>
      <w:r w:rsidR="009A10E2" w:rsidRPr="00E44FC4">
        <w:rPr>
          <w:color w:val="auto"/>
        </w:rPr>
        <w:fldChar w:fldCharType="separate"/>
      </w:r>
      <w:r w:rsidR="001E1A67">
        <w:rPr>
          <w:noProof/>
          <w:color w:val="auto"/>
        </w:rPr>
        <w:t>2</w:t>
      </w:r>
      <w:r w:rsidR="009A10E2" w:rsidRPr="00E44FC4">
        <w:rPr>
          <w:color w:val="auto"/>
        </w:rPr>
        <w:fldChar w:fldCharType="end"/>
      </w:r>
      <w:r w:rsidRPr="00E44FC4">
        <w:rPr>
          <w:color w:val="auto"/>
        </w:rPr>
        <w:t>: OS – evidenční počet soudců dle soudních úseků v letech 2008–20</w:t>
      </w:r>
      <w:bookmarkEnd w:id="31"/>
      <w:bookmarkEnd w:id="32"/>
      <w:bookmarkEnd w:id="33"/>
      <w:r w:rsidRPr="00E44FC4">
        <w:rPr>
          <w:color w:val="auto"/>
        </w:rPr>
        <w:t>2</w:t>
      </w:r>
      <w:bookmarkEnd w:id="34"/>
      <w:bookmarkEnd w:id="35"/>
      <w:r w:rsidRPr="00E44FC4">
        <w:rPr>
          <w:color w:val="auto"/>
        </w:rPr>
        <w:t>2</w:t>
      </w:r>
      <w:bookmarkEnd w:id="36"/>
    </w:p>
    <w:p w14:paraId="7F59633E" w14:textId="6CBE4D4A" w:rsidR="00E56A10" w:rsidRPr="00E44FC4" w:rsidRDefault="00E56A10" w:rsidP="00432DF5">
      <w:pPr>
        <w:pStyle w:val="OdstavecASR"/>
      </w:pPr>
      <w:r w:rsidRPr="00E44FC4">
        <w:rPr>
          <w:noProof/>
          <w:lang w:eastAsia="cs-CZ"/>
        </w:rPr>
        <w:drawing>
          <wp:inline distT="0" distB="0" distL="0" distR="0" wp14:anchorId="3AAE516A" wp14:editId="4DFC8D1C">
            <wp:extent cx="5029200" cy="36576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1B261DE" w14:textId="17A883EF" w:rsidR="007420C9" w:rsidRPr="00E44FC4" w:rsidRDefault="007420C9" w:rsidP="007420C9">
      <w:pPr>
        <w:pStyle w:val="Podnadpis"/>
        <w:rPr>
          <w:color w:val="auto"/>
        </w:rPr>
      </w:pPr>
      <w:bookmarkStart w:id="37" w:name="_Toc106106763"/>
      <w:bookmarkStart w:id="38" w:name="_Toc144104240"/>
      <w:r w:rsidRPr="00E44FC4">
        <w:rPr>
          <w:color w:val="auto"/>
        </w:rPr>
        <w:t xml:space="preserve">Tabulka </w:t>
      </w:r>
      <w:r w:rsidRPr="00E44FC4">
        <w:rPr>
          <w:noProof/>
          <w:color w:val="auto"/>
        </w:rPr>
        <w:fldChar w:fldCharType="begin"/>
      </w:r>
      <w:r w:rsidRPr="00E44FC4">
        <w:rPr>
          <w:noProof/>
          <w:color w:val="auto"/>
        </w:rPr>
        <w:instrText xml:space="preserve"> SEQ Tabulka \* ARABIC </w:instrText>
      </w:r>
      <w:r w:rsidRPr="00E44FC4">
        <w:rPr>
          <w:noProof/>
          <w:color w:val="auto"/>
        </w:rPr>
        <w:fldChar w:fldCharType="separate"/>
      </w:r>
      <w:r w:rsidR="001E1A67">
        <w:rPr>
          <w:noProof/>
          <w:color w:val="auto"/>
        </w:rPr>
        <w:t>1</w:t>
      </w:r>
      <w:r w:rsidRPr="00E44FC4">
        <w:rPr>
          <w:noProof/>
          <w:color w:val="auto"/>
        </w:rPr>
        <w:fldChar w:fldCharType="end"/>
      </w:r>
      <w:r w:rsidRPr="00E44FC4">
        <w:rPr>
          <w:color w:val="auto"/>
        </w:rPr>
        <w:t>: OS – počet soudců dle krajů</w:t>
      </w:r>
      <w:bookmarkEnd w:id="37"/>
      <w:bookmarkEnd w:id="38"/>
    </w:p>
    <w:tbl>
      <w:tblPr>
        <w:tblW w:w="9320" w:type="dxa"/>
        <w:tblCellMar>
          <w:left w:w="70" w:type="dxa"/>
          <w:right w:w="70" w:type="dxa"/>
        </w:tblCellMar>
        <w:tblLook w:val="04A0" w:firstRow="1" w:lastRow="0" w:firstColumn="1" w:lastColumn="0" w:noHBand="0" w:noVBand="1"/>
      </w:tblPr>
      <w:tblGrid>
        <w:gridCol w:w="2480"/>
        <w:gridCol w:w="1600"/>
        <w:gridCol w:w="1465"/>
        <w:gridCol w:w="1543"/>
        <w:gridCol w:w="963"/>
        <w:gridCol w:w="1269"/>
      </w:tblGrid>
      <w:tr w:rsidR="00104084" w:rsidRPr="00104084" w14:paraId="6E5838CF" w14:textId="77777777" w:rsidTr="0010408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CAEEEE8" w14:textId="77777777"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Nadřízený soud</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2E0FF9AC" w14:textId="77777777"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Plánovaný počet soudců</w:t>
            </w:r>
          </w:p>
        </w:tc>
        <w:tc>
          <w:tcPr>
            <w:tcW w:w="5240" w:type="dxa"/>
            <w:gridSpan w:val="4"/>
            <w:tcBorders>
              <w:top w:val="double" w:sz="6" w:space="0" w:color="auto"/>
              <w:left w:val="nil"/>
              <w:bottom w:val="nil"/>
              <w:right w:val="nil"/>
            </w:tcBorders>
            <w:shd w:val="clear" w:color="auto" w:fill="auto"/>
            <w:noWrap/>
            <w:vAlign w:val="center"/>
            <w:hideMark/>
          </w:tcPr>
          <w:p w14:paraId="35EA0896" w14:textId="77777777"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Evidenční počet soudců</w:t>
            </w:r>
          </w:p>
        </w:tc>
      </w:tr>
      <w:tr w:rsidR="00104084" w:rsidRPr="00104084" w14:paraId="69D0DEE6" w14:textId="77777777" w:rsidTr="00104084">
        <w:trPr>
          <w:trHeight w:val="645"/>
        </w:trPr>
        <w:tc>
          <w:tcPr>
            <w:tcW w:w="2480" w:type="dxa"/>
            <w:vMerge/>
            <w:tcBorders>
              <w:top w:val="double" w:sz="6" w:space="0" w:color="auto"/>
              <w:left w:val="nil"/>
              <w:bottom w:val="double" w:sz="6" w:space="0" w:color="000000"/>
              <w:right w:val="nil"/>
            </w:tcBorders>
            <w:vAlign w:val="center"/>
            <w:hideMark/>
          </w:tcPr>
          <w:p w14:paraId="498840A1" w14:textId="77777777" w:rsidR="00104084" w:rsidRPr="00104084" w:rsidRDefault="00104084" w:rsidP="00104084">
            <w:pPr>
              <w:spacing w:line="240" w:lineRule="auto"/>
              <w:jc w:val="left"/>
              <w:rPr>
                <w:rFonts w:eastAsia="Times New Roman"/>
                <w:b/>
                <w:bCs/>
                <w:color w:val="000000"/>
                <w:szCs w:val="24"/>
                <w:lang w:eastAsia="cs-CZ"/>
              </w:rPr>
            </w:pPr>
          </w:p>
        </w:tc>
        <w:tc>
          <w:tcPr>
            <w:tcW w:w="1600" w:type="dxa"/>
            <w:vMerge/>
            <w:tcBorders>
              <w:top w:val="double" w:sz="6" w:space="0" w:color="auto"/>
              <w:left w:val="nil"/>
              <w:bottom w:val="double" w:sz="6" w:space="0" w:color="000000"/>
              <w:right w:val="nil"/>
            </w:tcBorders>
            <w:vAlign w:val="center"/>
            <w:hideMark/>
          </w:tcPr>
          <w:p w14:paraId="0B243BD4" w14:textId="77777777" w:rsidR="00104084" w:rsidRPr="00104084" w:rsidRDefault="00104084" w:rsidP="00104084">
            <w:pPr>
              <w:spacing w:line="240" w:lineRule="auto"/>
              <w:jc w:val="left"/>
              <w:rPr>
                <w:rFonts w:eastAsia="Times New Roman"/>
                <w:b/>
                <w:bCs/>
                <w:color w:val="000000"/>
                <w:szCs w:val="24"/>
                <w:lang w:eastAsia="cs-CZ"/>
              </w:rPr>
            </w:pPr>
          </w:p>
        </w:tc>
        <w:tc>
          <w:tcPr>
            <w:tcW w:w="1465" w:type="dxa"/>
            <w:tcBorders>
              <w:top w:val="nil"/>
              <w:left w:val="nil"/>
              <w:bottom w:val="double" w:sz="6" w:space="0" w:color="auto"/>
              <w:right w:val="nil"/>
            </w:tcBorders>
            <w:shd w:val="clear" w:color="auto" w:fill="auto"/>
            <w:noWrap/>
            <w:vAlign w:val="center"/>
            <w:hideMark/>
          </w:tcPr>
          <w:p w14:paraId="0817F79B" w14:textId="77777777"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Civilní úsek</w:t>
            </w:r>
          </w:p>
        </w:tc>
        <w:tc>
          <w:tcPr>
            <w:tcW w:w="1543" w:type="dxa"/>
            <w:tcBorders>
              <w:top w:val="nil"/>
              <w:left w:val="nil"/>
              <w:bottom w:val="double" w:sz="6" w:space="0" w:color="auto"/>
              <w:right w:val="nil"/>
            </w:tcBorders>
            <w:shd w:val="clear" w:color="auto" w:fill="auto"/>
            <w:noWrap/>
            <w:vAlign w:val="center"/>
            <w:hideMark/>
          </w:tcPr>
          <w:p w14:paraId="1A82A2A5" w14:textId="77777777"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Trestní úsek</w:t>
            </w:r>
          </w:p>
        </w:tc>
        <w:tc>
          <w:tcPr>
            <w:tcW w:w="963" w:type="dxa"/>
            <w:tcBorders>
              <w:top w:val="nil"/>
              <w:left w:val="nil"/>
              <w:bottom w:val="double" w:sz="6" w:space="0" w:color="auto"/>
              <w:right w:val="nil"/>
            </w:tcBorders>
            <w:shd w:val="clear" w:color="auto" w:fill="auto"/>
            <w:noWrap/>
            <w:vAlign w:val="center"/>
            <w:hideMark/>
          </w:tcPr>
          <w:p w14:paraId="20A6434C" w14:textId="77777777"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Celkem</w:t>
            </w:r>
          </w:p>
        </w:tc>
        <w:tc>
          <w:tcPr>
            <w:tcW w:w="1269" w:type="dxa"/>
            <w:tcBorders>
              <w:top w:val="nil"/>
              <w:left w:val="nil"/>
              <w:bottom w:val="double" w:sz="6" w:space="0" w:color="auto"/>
              <w:right w:val="nil"/>
            </w:tcBorders>
            <w:shd w:val="clear" w:color="auto" w:fill="auto"/>
            <w:vAlign w:val="center"/>
            <w:hideMark/>
          </w:tcPr>
          <w:p w14:paraId="25708CA8" w14:textId="77777777"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Na 100 000 obyvatel</w:t>
            </w:r>
          </w:p>
        </w:tc>
      </w:tr>
      <w:tr w:rsidR="00104084" w:rsidRPr="00104084" w14:paraId="1DA31DFB" w14:textId="77777777" w:rsidTr="00104084">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0D03FD8B" w14:textId="77777777" w:rsidR="00104084" w:rsidRPr="00104084" w:rsidRDefault="00104084" w:rsidP="00104084">
            <w:pPr>
              <w:spacing w:line="240" w:lineRule="auto"/>
              <w:jc w:val="left"/>
              <w:rPr>
                <w:rFonts w:eastAsia="Times New Roman"/>
                <w:color w:val="000000"/>
                <w:szCs w:val="24"/>
                <w:lang w:eastAsia="cs-CZ"/>
              </w:rPr>
            </w:pPr>
            <w:r w:rsidRPr="00104084">
              <w:rPr>
                <w:rFonts w:eastAsia="Times New Roman"/>
                <w:color w:val="000000"/>
                <w:szCs w:val="24"/>
                <w:lang w:eastAsia="cs-CZ"/>
              </w:rPr>
              <w:t>MS Praha</w:t>
            </w:r>
          </w:p>
        </w:tc>
        <w:tc>
          <w:tcPr>
            <w:tcW w:w="1600" w:type="dxa"/>
            <w:tcBorders>
              <w:top w:val="single" w:sz="4" w:space="0" w:color="auto"/>
              <w:left w:val="nil"/>
              <w:bottom w:val="single" w:sz="4" w:space="0" w:color="auto"/>
              <w:right w:val="nil"/>
            </w:tcBorders>
            <w:shd w:val="clear" w:color="auto" w:fill="auto"/>
            <w:noWrap/>
            <w:vAlign w:val="bottom"/>
            <w:hideMark/>
          </w:tcPr>
          <w:p w14:paraId="6D2264C2"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327</w:t>
            </w:r>
          </w:p>
        </w:tc>
        <w:tc>
          <w:tcPr>
            <w:tcW w:w="1465" w:type="dxa"/>
            <w:tcBorders>
              <w:top w:val="single" w:sz="4" w:space="0" w:color="auto"/>
              <w:left w:val="nil"/>
              <w:bottom w:val="single" w:sz="4" w:space="0" w:color="auto"/>
              <w:right w:val="nil"/>
            </w:tcBorders>
            <w:shd w:val="clear" w:color="auto" w:fill="auto"/>
            <w:noWrap/>
            <w:vAlign w:val="bottom"/>
            <w:hideMark/>
          </w:tcPr>
          <w:p w14:paraId="5B804735"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242</w:t>
            </w:r>
          </w:p>
        </w:tc>
        <w:tc>
          <w:tcPr>
            <w:tcW w:w="1543" w:type="dxa"/>
            <w:tcBorders>
              <w:top w:val="single" w:sz="4" w:space="0" w:color="auto"/>
              <w:left w:val="nil"/>
              <w:bottom w:val="single" w:sz="4" w:space="0" w:color="auto"/>
              <w:right w:val="nil"/>
            </w:tcBorders>
            <w:shd w:val="clear" w:color="auto" w:fill="auto"/>
            <w:noWrap/>
            <w:vAlign w:val="bottom"/>
            <w:hideMark/>
          </w:tcPr>
          <w:p w14:paraId="6338A946"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63</w:t>
            </w:r>
          </w:p>
        </w:tc>
        <w:tc>
          <w:tcPr>
            <w:tcW w:w="963" w:type="dxa"/>
            <w:tcBorders>
              <w:top w:val="single" w:sz="4" w:space="0" w:color="auto"/>
              <w:left w:val="nil"/>
              <w:bottom w:val="single" w:sz="4" w:space="0" w:color="auto"/>
              <w:right w:val="nil"/>
            </w:tcBorders>
            <w:shd w:val="clear" w:color="auto" w:fill="auto"/>
            <w:noWrap/>
            <w:vAlign w:val="bottom"/>
            <w:hideMark/>
          </w:tcPr>
          <w:p w14:paraId="0FC2C749"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305</w:t>
            </w:r>
          </w:p>
        </w:tc>
        <w:tc>
          <w:tcPr>
            <w:tcW w:w="1269" w:type="dxa"/>
            <w:tcBorders>
              <w:top w:val="single" w:sz="4" w:space="0" w:color="auto"/>
              <w:left w:val="nil"/>
              <w:bottom w:val="single" w:sz="4" w:space="0" w:color="auto"/>
              <w:right w:val="nil"/>
            </w:tcBorders>
            <w:shd w:val="clear" w:color="auto" w:fill="auto"/>
            <w:noWrap/>
            <w:vAlign w:val="bottom"/>
            <w:hideMark/>
          </w:tcPr>
          <w:p w14:paraId="3E6401BA" w14:textId="45B6F13D"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23</w:t>
            </w:r>
            <w:r>
              <w:rPr>
                <w:rFonts w:eastAsia="Times New Roman"/>
                <w:color w:val="000000"/>
                <w:szCs w:val="24"/>
                <w:lang w:eastAsia="cs-CZ"/>
              </w:rPr>
              <w:t>,</w:t>
            </w:r>
            <w:r w:rsidRPr="00104084">
              <w:rPr>
                <w:rFonts w:eastAsia="Times New Roman"/>
                <w:color w:val="000000"/>
                <w:szCs w:val="24"/>
                <w:lang w:eastAsia="cs-CZ"/>
              </w:rPr>
              <w:t>0</w:t>
            </w:r>
          </w:p>
        </w:tc>
      </w:tr>
      <w:tr w:rsidR="00104084" w:rsidRPr="00104084" w14:paraId="3EEAA441" w14:textId="77777777" w:rsidTr="00104084">
        <w:trPr>
          <w:trHeight w:val="315"/>
        </w:trPr>
        <w:tc>
          <w:tcPr>
            <w:tcW w:w="2480" w:type="dxa"/>
            <w:tcBorders>
              <w:top w:val="nil"/>
              <w:left w:val="nil"/>
              <w:bottom w:val="single" w:sz="4" w:space="0" w:color="auto"/>
              <w:right w:val="nil"/>
            </w:tcBorders>
            <w:shd w:val="clear" w:color="auto" w:fill="auto"/>
            <w:noWrap/>
            <w:vAlign w:val="bottom"/>
            <w:hideMark/>
          </w:tcPr>
          <w:p w14:paraId="15C1DEC2" w14:textId="77777777" w:rsidR="00104084" w:rsidRPr="00104084" w:rsidRDefault="00104084" w:rsidP="00104084">
            <w:pPr>
              <w:spacing w:line="240" w:lineRule="auto"/>
              <w:jc w:val="left"/>
              <w:rPr>
                <w:rFonts w:eastAsia="Times New Roman"/>
                <w:color w:val="000000"/>
                <w:szCs w:val="24"/>
                <w:lang w:eastAsia="cs-CZ"/>
              </w:rPr>
            </w:pPr>
            <w:r w:rsidRPr="00104084">
              <w:rPr>
                <w:rFonts w:eastAsia="Times New Roman"/>
                <w:color w:val="000000"/>
                <w:szCs w:val="24"/>
                <w:lang w:eastAsia="cs-CZ"/>
              </w:rPr>
              <w:t>KS Praha</w:t>
            </w:r>
          </w:p>
        </w:tc>
        <w:tc>
          <w:tcPr>
            <w:tcW w:w="1600" w:type="dxa"/>
            <w:tcBorders>
              <w:top w:val="nil"/>
              <w:left w:val="nil"/>
              <w:bottom w:val="single" w:sz="4" w:space="0" w:color="auto"/>
              <w:right w:val="nil"/>
            </w:tcBorders>
            <w:shd w:val="clear" w:color="auto" w:fill="auto"/>
            <w:noWrap/>
            <w:vAlign w:val="bottom"/>
            <w:hideMark/>
          </w:tcPr>
          <w:p w14:paraId="498B7146"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231</w:t>
            </w:r>
          </w:p>
        </w:tc>
        <w:tc>
          <w:tcPr>
            <w:tcW w:w="1465" w:type="dxa"/>
            <w:tcBorders>
              <w:top w:val="nil"/>
              <w:left w:val="nil"/>
              <w:bottom w:val="single" w:sz="4" w:space="0" w:color="auto"/>
              <w:right w:val="nil"/>
            </w:tcBorders>
            <w:shd w:val="clear" w:color="auto" w:fill="auto"/>
            <w:noWrap/>
            <w:vAlign w:val="bottom"/>
            <w:hideMark/>
          </w:tcPr>
          <w:p w14:paraId="05855822"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172</w:t>
            </w:r>
          </w:p>
        </w:tc>
        <w:tc>
          <w:tcPr>
            <w:tcW w:w="1543" w:type="dxa"/>
            <w:tcBorders>
              <w:top w:val="nil"/>
              <w:left w:val="nil"/>
              <w:bottom w:val="single" w:sz="4" w:space="0" w:color="auto"/>
              <w:right w:val="nil"/>
            </w:tcBorders>
            <w:shd w:val="clear" w:color="auto" w:fill="auto"/>
            <w:noWrap/>
            <w:vAlign w:val="bottom"/>
            <w:hideMark/>
          </w:tcPr>
          <w:p w14:paraId="6792D1B0"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47</w:t>
            </w:r>
          </w:p>
        </w:tc>
        <w:tc>
          <w:tcPr>
            <w:tcW w:w="963" w:type="dxa"/>
            <w:tcBorders>
              <w:top w:val="nil"/>
              <w:left w:val="nil"/>
              <w:bottom w:val="single" w:sz="4" w:space="0" w:color="auto"/>
              <w:right w:val="nil"/>
            </w:tcBorders>
            <w:shd w:val="clear" w:color="auto" w:fill="auto"/>
            <w:noWrap/>
            <w:vAlign w:val="bottom"/>
            <w:hideMark/>
          </w:tcPr>
          <w:p w14:paraId="068335C4"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219</w:t>
            </w:r>
          </w:p>
        </w:tc>
        <w:tc>
          <w:tcPr>
            <w:tcW w:w="1269" w:type="dxa"/>
            <w:tcBorders>
              <w:top w:val="nil"/>
              <w:left w:val="nil"/>
              <w:bottom w:val="single" w:sz="4" w:space="0" w:color="auto"/>
              <w:right w:val="nil"/>
            </w:tcBorders>
            <w:shd w:val="clear" w:color="auto" w:fill="auto"/>
            <w:noWrap/>
            <w:vAlign w:val="bottom"/>
            <w:hideMark/>
          </w:tcPr>
          <w:p w14:paraId="72B25819" w14:textId="50F254CF"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15</w:t>
            </w:r>
            <w:r>
              <w:rPr>
                <w:rFonts w:eastAsia="Times New Roman"/>
                <w:color w:val="000000"/>
                <w:szCs w:val="24"/>
                <w:lang w:eastAsia="cs-CZ"/>
              </w:rPr>
              <w:t>,</w:t>
            </w:r>
            <w:r w:rsidRPr="00104084">
              <w:rPr>
                <w:rFonts w:eastAsia="Times New Roman"/>
                <w:color w:val="000000"/>
                <w:szCs w:val="24"/>
                <w:lang w:eastAsia="cs-CZ"/>
              </w:rPr>
              <w:t>8</w:t>
            </w:r>
          </w:p>
        </w:tc>
      </w:tr>
      <w:tr w:rsidR="00104084" w:rsidRPr="00104084" w14:paraId="48C7EB15" w14:textId="77777777" w:rsidTr="00104084">
        <w:trPr>
          <w:trHeight w:val="315"/>
        </w:trPr>
        <w:tc>
          <w:tcPr>
            <w:tcW w:w="2480" w:type="dxa"/>
            <w:tcBorders>
              <w:top w:val="nil"/>
              <w:left w:val="nil"/>
              <w:bottom w:val="single" w:sz="4" w:space="0" w:color="auto"/>
              <w:right w:val="nil"/>
            </w:tcBorders>
            <w:shd w:val="clear" w:color="auto" w:fill="auto"/>
            <w:noWrap/>
            <w:vAlign w:val="bottom"/>
            <w:hideMark/>
          </w:tcPr>
          <w:p w14:paraId="4AAC1E1D" w14:textId="77777777" w:rsidR="00104084" w:rsidRPr="00104084" w:rsidRDefault="00104084" w:rsidP="00104084">
            <w:pPr>
              <w:spacing w:line="240" w:lineRule="auto"/>
              <w:jc w:val="left"/>
              <w:rPr>
                <w:rFonts w:eastAsia="Times New Roman"/>
                <w:color w:val="000000"/>
                <w:szCs w:val="24"/>
                <w:lang w:eastAsia="cs-CZ"/>
              </w:rPr>
            </w:pPr>
            <w:r w:rsidRPr="00104084">
              <w:rPr>
                <w:rFonts w:eastAsia="Times New Roman"/>
                <w:color w:val="000000"/>
                <w:szCs w:val="24"/>
                <w:lang w:eastAsia="cs-CZ"/>
              </w:rPr>
              <w:t>KS Č. Budějovice</w:t>
            </w:r>
          </w:p>
        </w:tc>
        <w:tc>
          <w:tcPr>
            <w:tcW w:w="1600" w:type="dxa"/>
            <w:tcBorders>
              <w:top w:val="nil"/>
              <w:left w:val="nil"/>
              <w:bottom w:val="single" w:sz="4" w:space="0" w:color="auto"/>
              <w:right w:val="nil"/>
            </w:tcBorders>
            <w:shd w:val="clear" w:color="auto" w:fill="auto"/>
            <w:noWrap/>
            <w:vAlign w:val="bottom"/>
            <w:hideMark/>
          </w:tcPr>
          <w:p w14:paraId="480C29D5"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108</w:t>
            </w:r>
          </w:p>
        </w:tc>
        <w:tc>
          <w:tcPr>
            <w:tcW w:w="1465" w:type="dxa"/>
            <w:tcBorders>
              <w:top w:val="nil"/>
              <w:left w:val="nil"/>
              <w:bottom w:val="single" w:sz="4" w:space="0" w:color="auto"/>
              <w:right w:val="nil"/>
            </w:tcBorders>
            <w:shd w:val="clear" w:color="auto" w:fill="auto"/>
            <w:noWrap/>
            <w:vAlign w:val="bottom"/>
            <w:hideMark/>
          </w:tcPr>
          <w:p w14:paraId="15ADAE6B"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76</w:t>
            </w:r>
          </w:p>
        </w:tc>
        <w:tc>
          <w:tcPr>
            <w:tcW w:w="1543" w:type="dxa"/>
            <w:tcBorders>
              <w:top w:val="nil"/>
              <w:left w:val="nil"/>
              <w:bottom w:val="single" w:sz="4" w:space="0" w:color="auto"/>
              <w:right w:val="nil"/>
            </w:tcBorders>
            <w:shd w:val="clear" w:color="auto" w:fill="auto"/>
            <w:noWrap/>
            <w:vAlign w:val="bottom"/>
            <w:hideMark/>
          </w:tcPr>
          <w:p w14:paraId="4308F0C6"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28</w:t>
            </w:r>
          </w:p>
        </w:tc>
        <w:tc>
          <w:tcPr>
            <w:tcW w:w="963" w:type="dxa"/>
            <w:tcBorders>
              <w:top w:val="nil"/>
              <w:left w:val="nil"/>
              <w:bottom w:val="single" w:sz="4" w:space="0" w:color="auto"/>
              <w:right w:val="nil"/>
            </w:tcBorders>
            <w:shd w:val="clear" w:color="auto" w:fill="auto"/>
            <w:noWrap/>
            <w:vAlign w:val="bottom"/>
            <w:hideMark/>
          </w:tcPr>
          <w:p w14:paraId="4909B4B8"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104</w:t>
            </w:r>
          </w:p>
        </w:tc>
        <w:tc>
          <w:tcPr>
            <w:tcW w:w="1269" w:type="dxa"/>
            <w:tcBorders>
              <w:top w:val="nil"/>
              <w:left w:val="nil"/>
              <w:bottom w:val="single" w:sz="4" w:space="0" w:color="auto"/>
              <w:right w:val="nil"/>
            </w:tcBorders>
            <w:shd w:val="clear" w:color="auto" w:fill="auto"/>
            <w:noWrap/>
            <w:vAlign w:val="bottom"/>
            <w:hideMark/>
          </w:tcPr>
          <w:p w14:paraId="1466DA0D" w14:textId="21D2EC1D"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14</w:t>
            </w:r>
            <w:r>
              <w:rPr>
                <w:rFonts w:eastAsia="Times New Roman"/>
                <w:color w:val="000000"/>
                <w:szCs w:val="24"/>
                <w:lang w:eastAsia="cs-CZ"/>
              </w:rPr>
              <w:t>,</w:t>
            </w:r>
            <w:r w:rsidRPr="00104084">
              <w:rPr>
                <w:rFonts w:eastAsia="Times New Roman"/>
                <w:color w:val="000000"/>
                <w:szCs w:val="24"/>
                <w:lang w:eastAsia="cs-CZ"/>
              </w:rPr>
              <w:t>5</w:t>
            </w:r>
          </w:p>
        </w:tc>
      </w:tr>
      <w:tr w:rsidR="00104084" w:rsidRPr="00104084" w14:paraId="25FADF37" w14:textId="77777777" w:rsidTr="00104084">
        <w:trPr>
          <w:trHeight w:val="315"/>
        </w:trPr>
        <w:tc>
          <w:tcPr>
            <w:tcW w:w="2480" w:type="dxa"/>
            <w:tcBorders>
              <w:top w:val="nil"/>
              <w:left w:val="nil"/>
              <w:bottom w:val="single" w:sz="4" w:space="0" w:color="auto"/>
              <w:right w:val="nil"/>
            </w:tcBorders>
            <w:shd w:val="clear" w:color="auto" w:fill="auto"/>
            <w:noWrap/>
            <w:vAlign w:val="bottom"/>
            <w:hideMark/>
          </w:tcPr>
          <w:p w14:paraId="38924D9C" w14:textId="77777777" w:rsidR="00104084" w:rsidRPr="00104084" w:rsidRDefault="00104084" w:rsidP="00104084">
            <w:pPr>
              <w:spacing w:line="240" w:lineRule="auto"/>
              <w:jc w:val="left"/>
              <w:rPr>
                <w:rFonts w:eastAsia="Times New Roman"/>
                <w:color w:val="000000"/>
                <w:szCs w:val="24"/>
                <w:lang w:eastAsia="cs-CZ"/>
              </w:rPr>
            </w:pPr>
            <w:r w:rsidRPr="00104084">
              <w:rPr>
                <w:rFonts w:eastAsia="Times New Roman"/>
                <w:color w:val="000000"/>
                <w:szCs w:val="24"/>
                <w:lang w:eastAsia="cs-CZ"/>
              </w:rPr>
              <w:t>KS Plzeň</w:t>
            </w:r>
          </w:p>
        </w:tc>
        <w:tc>
          <w:tcPr>
            <w:tcW w:w="1600" w:type="dxa"/>
            <w:tcBorders>
              <w:top w:val="nil"/>
              <w:left w:val="nil"/>
              <w:bottom w:val="single" w:sz="4" w:space="0" w:color="auto"/>
              <w:right w:val="nil"/>
            </w:tcBorders>
            <w:shd w:val="clear" w:color="auto" w:fill="auto"/>
            <w:noWrap/>
            <w:vAlign w:val="bottom"/>
            <w:hideMark/>
          </w:tcPr>
          <w:p w14:paraId="5FB8305D"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167</w:t>
            </w:r>
          </w:p>
        </w:tc>
        <w:tc>
          <w:tcPr>
            <w:tcW w:w="1465" w:type="dxa"/>
            <w:tcBorders>
              <w:top w:val="nil"/>
              <w:left w:val="nil"/>
              <w:bottom w:val="single" w:sz="4" w:space="0" w:color="auto"/>
              <w:right w:val="nil"/>
            </w:tcBorders>
            <w:shd w:val="clear" w:color="auto" w:fill="auto"/>
            <w:noWrap/>
            <w:vAlign w:val="bottom"/>
            <w:hideMark/>
          </w:tcPr>
          <w:p w14:paraId="38243FB2"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112</w:t>
            </w:r>
          </w:p>
        </w:tc>
        <w:tc>
          <w:tcPr>
            <w:tcW w:w="1543" w:type="dxa"/>
            <w:tcBorders>
              <w:top w:val="nil"/>
              <w:left w:val="nil"/>
              <w:bottom w:val="single" w:sz="4" w:space="0" w:color="auto"/>
              <w:right w:val="nil"/>
            </w:tcBorders>
            <w:shd w:val="clear" w:color="auto" w:fill="auto"/>
            <w:noWrap/>
            <w:vAlign w:val="bottom"/>
            <w:hideMark/>
          </w:tcPr>
          <w:p w14:paraId="61AC5652"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41</w:t>
            </w:r>
          </w:p>
        </w:tc>
        <w:tc>
          <w:tcPr>
            <w:tcW w:w="963" w:type="dxa"/>
            <w:tcBorders>
              <w:top w:val="nil"/>
              <w:left w:val="nil"/>
              <w:bottom w:val="single" w:sz="4" w:space="0" w:color="auto"/>
              <w:right w:val="nil"/>
            </w:tcBorders>
            <w:shd w:val="clear" w:color="auto" w:fill="auto"/>
            <w:noWrap/>
            <w:vAlign w:val="bottom"/>
            <w:hideMark/>
          </w:tcPr>
          <w:p w14:paraId="2B786CA5"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153</w:t>
            </w:r>
          </w:p>
        </w:tc>
        <w:tc>
          <w:tcPr>
            <w:tcW w:w="1269" w:type="dxa"/>
            <w:tcBorders>
              <w:top w:val="nil"/>
              <w:left w:val="nil"/>
              <w:bottom w:val="single" w:sz="4" w:space="0" w:color="auto"/>
              <w:right w:val="nil"/>
            </w:tcBorders>
            <w:shd w:val="clear" w:color="auto" w:fill="auto"/>
            <w:noWrap/>
            <w:vAlign w:val="bottom"/>
            <w:hideMark/>
          </w:tcPr>
          <w:p w14:paraId="45ECBC26" w14:textId="562546FF"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17</w:t>
            </w:r>
            <w:r>
              <w:rPr>
                <w:rFonts w:eastAsia="Times New Roman"/>
                <w:color w:val="000000"/>
                <w:szCs w:val="24"/>
                <w:lang w:eastAsia="cs-CZ"/>
              </w:rPr>
              <w:t>,</w:t>
            </w:r>
            <w:r w:rsidRPr="00104084">
              <w:rPr>
                <w:rFonts w:eastAsia="Times New Roman"/>
                <w:color w:val="000000"/>
                <w:szCs w:val="24"/>
                <w:lang w:eastAsia="cs-CZ"/>
              </w:rPr>
              <w:t>3</w:t>
            </w:r>
          </w:p>
        </w:tc>
      </w:tr>
      <w:tr w:rsidR="00104084" w:rsidRPr="00104084" w14:paraId="400B5261" w14:textId="77777777" w:rsidTr="00104084">
        <w:trPr>
          <w:trHeight w:val="315"/>
        </w:trPr>
        <w:tc>
          <w:tcPr>
            <w:tcW w:w="2480" w:type="dxa"/>
            <w:tcBorders>
              <w:top w:val="nil"/>
              <w:left w:val="nil"/>
              <w:bottom w:val="single" w:sz="4" w:space="0" w:color="auto"/>
              <w:right w:val="nil"/>
            </w:tcBorders>
            <w:shd w:val="clear" w:color="auto" w:fill="auto"/>
            <w:noWrap/>
            <w:vAlign w:val="bottom"/>
            <w:hideMark/>
          </w:tcPr>
          <w:p w14:paraId="2451F98E" w14:textId="77777777" w:rsidR="00104084" w:rsidRPr="00104084" w:rsidRDefault="00104084" w:rsidP="00104084">
            <w:pPr>
              <w:spacing w:line="240" w:lineRule="auto"/>
              <w:jc w:val="left"/>
              <w:rPr>
                <w:rFonts w:eastAsia="Times New Roman"/>
                <w:color w:val="000000"/>
                <w:szCs w:val="24"/>
                <w:lang w:eastAsia="cs-CZ"/>
              </w:rPr>
            </w:pPr>
            <w:r w:rsidRPr="00104084">
              <w:rPr>
                <w:rFonts w:eastAsia="Times New Roman"/>
                <w:color w:val="000000"/>
                <w:szCs w:val="24"/>
                <w:lang w:eastAsia="cs-CZ"/>
              </w:rPr>
              <w:t>KS Ústí n. Labem</w:t>
            </w:r>
          </w:p>
        </w:tc>
        <w:tc>
          <w:tcPr>
            <w:tcW w:w="1600" w:type="dxa"/>
            <w:tcBorders>
              <w:top w:val="nil"/>
              <w:left w:val="nil"/>
              <w:bottom w:val="single" w:sz="4" w:space="0" w:color="auto"/>
              <w:right w:val="nil"/>
            </w:tcBorders>
            <w:shd w:val="clear" w:color="auto" w:fill="auto"/>
            <w:noWrap/>
            <w:vAlign w:val="bottom"/>
            <w:hideMark/>
          </w:tcPr>
          <w:p w14:paraId="77DF7561"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253</w:t>
            </w:r>
          </w:p>
        </w:tc>
        <w:tc>
          <w:tcPr>
            <w:tcW w:w="1465" w:type="dxa"/>
            <w:tcBorders>
              <w:top w:val="nil"/>
              <w:left w:val="nil"/>
              <w:bottom w:val="single" w:sz="4" w:space="0" w:color="auto"/>
              <w:right w:val="nil"/>
            </w:tcBorders>
            <w:shd w:val="clear" w:color="auto" w:fill="auto"/>
            <w:noWrap/>
            <w:vAlign w:val="bottom"/>
            <w:hideMark/>
          </w:tcPr>
          <w:p w14:paraId="52A6FE4D"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200</w:t>
            </w:r>
          </w:p>
        </w:tc>
        <w:tc>
          <w:tcPr>
            <w:tcW w:w="1543" w:type="dxa"/>
            <w:tcBorders>
              <w:top w:val="nil"/>
              <w:left w:val="nil"/>
              <w:bottom w:val="single" w:sz="4" w:space="0" w:color="auto"/>
              <w:right w:val="nil"/>
            </w:tcBorders>
            <w:shd w:val="clear" w:color="auto" w:fill="auto"/>
            <w:noWrap/>
            <w:vAlign w:val="bottom"/>
            <w:hideMark/>
          </w:tcPr>
          <w:p w14:paraId="6B76B7BF"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80</w:t>
            </w:r>
          </w:p>
        </w:tc>
        <w:tc>
          <w:tcPr>
            <w:tcW w:w="963" w:type="dxa"/>
            <w:tcBorders>
              <w:top w:val="nil"/>
              <w:left w:val="nil"/>
              <w:bottom w:val="single" w:sz="4" w:space="0" w:color="auto"/>
              <w:right w:val="nil"/>
            </w:tcBorders>
            <w:shd w:val="clear" w:color="auto" w:fill="auto"/>
            <w:noWrap/>
            <w:vAlign w:val="bottom"/>
            <w:hideMark/>
          </w:tcPr>
          <w:p w14:paraId="44740A2E"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280</w:t>
            </w:r>
          </w:p>
        </w:tc>
        <w:tc>
          <w:tcPr>
            <w:tcW w:w="1269" w:type="dxa"/>
            <w:tcBorders>
              <w:top w:val="nil"/>
              <w:left w:val="nil"/>
              <w:bottom w:val="single" w:sz="4" w:space="0" w:color="auto"/>
              <w:right w:val="nil"/>
            </w:tcBorders>
            <w:shd w:val="clear" w:color="auto" w:fill="auto"/>
            <w:noWrap/>
            <w:vAlign w:val="bottom"/>
            <w:hideMark/>
          </w:tcPr>
          <w:p w14:paraId="32B760DA" w14:textId="768FF6DD"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23</w:t>
            </w:r>
            <w:r>
              <w:rPr>
                <w:rFonts w:eastAsia="Times New Roman"/>
                <w:color w:val="000000"/>
                <w:szCs w:val="24"/>
                <w:lang w:eastAsia="cs-CZ"/>
              </w:rPr>
              <w:t>,</w:t>
            </w:r>
            <w:r w:rsidRPr="00104084">
              <w:rPr>
                <w:rFonts w:eastAsia="Times New Roman"/>
                <w:color w:val="000000"/>
                <w:szCs w:val="24"/>
                <w:lang w:eastAsia="cs-CZ"/>
              </w:rPr>
              <w:t>5</w:t>
            </w:r>
          </w:p>
        </w:tc>
      </w:tr>
      <w:tr w:rsidR="00104084" w:rsidRPr="00104084" w14:paraId="6EDAE012" w14:textId="77777777" w:rsidTr="00104084">
        <w:trPr>
          <w:trHeight w:val="315"/>
        </w:trPr>
        <w:tc>
          <w:tcPr>
            <w:tcW w:w="2480" w:type="dxa"/>
            <w:tcBorders>
              <w:top w:val="nil"/>
              <w:left w:val="nil"/>
              <w:bottom w:val="single" w:sz="4" w:space="0" w:color="auto"/>
              <w:right w:val="nil"/>
            </w:tcBorders>
            <w:shd w:val="clear" w:color="auto" w:fill="auto"/>
            <w:noWrap/>
            <w:vAlign w:val="bottom"/>
            <w:hideMark/>
          </w:tcPr>
          <w:p w14:paraId="0D641C26" w14:textId="77777777" w:rsidR="00104084" w:rsidRPr="00104084" w:rsidRDefault="00104084" w:rsidP="00104084">
            <w:pPr>
              <w:spacing w:line="240" w:lineRule="auto"/>
              <w:jc w:val="left"/>
              <w:rPr>
                <w:rFonts w:eastAsia="Times New Roman"/>
                <w:color w:val="000000"/>
                <w:szCs w:val="24"/>
                <w:lang w:eastAsia="cs-CZ"/>
              </w:rPr>
            </w:pPr>
            <w:r w:rsidRPr="00104084">
              <w:rPr>
                <w:rFonts w:eastAsia="Times New Roman"/>
                <w:color w:val="000000"/>
                <w:szCs w:val="24"/>
                <w:lang w:eastAsia="cs-CZ"/>
              </w:rPr>
              <w:t>KS Hr. Králové</w:t>
            </w:r>
          </w:p>
        </w:tc>
        <w:tc>
          <w:tcPr>
            <w:tcW w:w="1600" w:type="dxa"/>
            <w:tcBorders>
              <w:top w:val="nil"/>
              <w:left w:val="nil"/>
              <w:bottom w:val="single" w:sz="4" w:space="0" w:color="auto"/>
              <w:right w:val="nil"/>
            </w:tcBorders>
            <w:shd w:val="clear" w:color="auto" w:fill="auto"/>
            <w:noWrap/>
            <w:vAlign w:val="bottom"/>
            <w:hideMark/>
          </w:tcPr>
          <w:p w14:paraId="5498872A"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167</w:t>
            </w:r>
          </w:p>
        </w:tc>
        <w:tc>
          <w:tcPr>
            <w:tcW w:w="1465" w:type="dxa"/>
            <w:tcBorders>
              <w:top w:val="nil"/>
              <w:left w:val="nil"/>
              <w:bottom w:val="single" w:sz="4" w:space="0" w:color="auto"/>
              <w:right w:val="nil"/>
            </w:tcBorders>
            <w:shd w:val="clear" w:color="auto" w:fill="auto"/>
            <w:noWrap/>
            <w:vAlign w:val="bottom"/>
            <w:hideMark/>
          </w:tcPr>
          <w:p w14:paraId="7A863A49"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132</w:t>
            </w:r>
          </w:p>
        </w:tc>
        <w:tc>
          <w:tcPr>
            <w:tcW w:w="1543" w:type="dxa"/>
            <w:tcBorders>
              <w:top w:val="nil"/>
              <w:left w:val="nil"/>
              <w:bottom w:val="single" w:sz="4" w:space="0" w:color="auto"/>
              <w:right w:val="nil"/>
            </w:tcBorders>
            <w:shd w:val="clear" w:color="auto" w:fill="auto"/>
            <w:noWrap/>
            <w:vAlign w:val="bottom"/>
            <w:hideMark/>
          </w:tcPr>
          <w:p w14:paraId="0A76EF2B"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39</w:t>
            </w:r>
          </w:p>
        </w:tc>
        <w:tc>
          <w:tcPr>
            <w:tcW w:w="963" w:type="dxa"/>
            <w:tcBorders>
              <w:top w:val="nil"/>
              <w:left w:val="nil"/>
              <w:bottom w:val="single" w:sz="4" w:space="0" w:color="auto"/>
              <w:right w:val="nil"/>
            </w:tcBorders>
            <w:shd w:val="clear" w:color="auto" w:fill="auto"/>
            <w:noWrap/>
            <w:vAlign w:val="bottom"/>
            <w:hideMark/>
          </w:tcPr>
          <w:p w14:paraId="0FC206C9"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171</w:t>
            </w:r>
          </w:p>
        </w:tc>
        <w:tc>
          <w:tcPr>
            <w:tcW w:w="1269" w:type="dxa"/>
            <w:tcBorders>
              <w:top w:val="nil"/>
              <w:left w:val="nil"/>
              <w:bottom w:val="single" w:sz="4" w:space="0" w:color="auto"/>
              <w:right w:val="nil"/>
            </w:tcBorders>
            <w:shd w:val="clear" w:color="auto" w:fill="auto"/>
            <w:noWrap/>
            <w:vAlign w:val="bottom"/>
            <w:hideMark/>
          </w:tcPr>
          <w:p w14:paraId="218B0F68" w14:textId="3BFDA48A"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13</w:t>
            </w:r>
            <w:r>
              <w:rPr>
                <w:rFonts w:eastAsia="Times New Roman"/>
                <w:color w:val="000000"/>
                <w:szCs w:val="24"/>
                <w:lang w:eastAsia="cs-CZ"/>
              </w:rPr>
              <w:t>,</w:t>
            </w:r>
            <w:r w:rsidRPr="00104084">
              <w:rPr>
                <w:rFonts w:eastAsia="Times New Roman"/>
                <w:color w:val="000000"/>
                <w:szCs w:val="24"/>
                <w:lang w:eastAsia="cs-CZ"/>
              </w:rPr>
              <w:t>8</w:t>
            </w:r>
          </w:p>
        </w:tc>
      </w:tr>
      <w:tr w:rsidR="00104084" w:rsidRPr="00104084" w14:paraId="0AAFDA80" w14:textId="77777777" w:rsidTr="00104084">
        <w:trPr>
          <w:trHeight w:val="315"/>
        </w:trPr>
        <w:tc>
          <w:tcPr>
            <w:tcW w:w="2480" w:type="dxa"/>
            <w:tcBorders>
              <w:top w:val="nil"/>
              <w:left w:val="nil"/>
              <w:bottom w:val="single" w:sz="4" w:space="0" w:color="auto"/>
              <w:right w:val="nil"/>
            </w:tcBorders>
            <w:shd w:val="clear" w:color="auto" w:fill="auto"/>
            <w:noWrap/>
            <w:vAlign w:val="bottom"/>
            <w:hideMark/>
          </w:tcPr>
          <w:p w14:paraId="5DD303D4" w14:textId="77777777" w:rsidR="00104084" w:rsidRPr="00104084" w:rsidRDefault="00104084" w:rsidP="00104084">
            <w:pPr>
              <w:spacing w:line="240" w:lineRule="auto"/>
              <w:jc w:val="left"/>
              <w:rPr>
                <w:rFonts w:eastAsia="Times New Roman"/>
                <w:color w:val="000000"/>
                <w:szCs w:val="24"/>
                <w:lang w:eastAsia="cs-CZ"/>
              </w:rPr>
            </w:pPr>
            <w:r w:rsidRPr="00104084">
              <w:rPr>
                <w:rFonts w:eastAsia="Times New Roman"/>
                <w:color w:val="000000"/>
                <w:szCs w:val="24"/>
                <w:lang w:eastAsia="cs-CZ"/>
              </w:rPr>
              <w:t>KS Brno</w:t>
            </w:r>
          </w:p>
        </w:tc>
        <w:tc>
          <w:tcPr>
            <w:tcW w:w="1600" w:type="dxa"/>
            <w:tcBorders>
              <w:top w:val="nil"/>
              <w:left w:val="nil"/>
              <w:bottom w:val="single" w:sz="4" w:space="0" w:color="auto"/>
              <w:right w:val="nil"/>
            </w:tcBorders>
            <w:shd w:val="clear" w:color="auto" w:fill="auto"/>
            <w:noWrap/>
            <w:vAlign w:val="bottom"/>
            <w:hideMark/>
          </w:tcPr>
          <w:p w14:paraId="0346CE6F"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271</w:t>
            </w:r>
          </w:p>
        </w:tc>
        <w:tc>
          <w:tcPr>
            <w:tcW w:w="1465" w:type="dxa"/>
            <w:tcBorders>
              <w:top w:val="nil"/>
              <w:left w:val="nil"/>
              <w:bottom w:val="single" w:sz="4" w:space="0" w:color="auto"/>
              <w:right w:val="nil"/>
            </w:tcBorders>
            <w:shd w:val="clear" w:color="auto" w:fill="auto"/>
            <w:noWrap/>
            <w:vAlign w:val="bottom"/>
            <w:hideMark/>
          </w:tcPr>
          <w:p w14:paraId="4E6A39D0"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223</w:t>
            </w:r>
          </w:p>
        </w:tc>
        <w:tc>
          <w:tcPr>
            <w:tcW w:w="1543" w:type="dxa"/>
            <w:tcBorders>
              <w:top w:val="nil"/>
              <w:left w:val="nil"/>
              <w:bottom w:val="single" w:sz="4" w:space="0" w:color="auto"/>
              <w:right w:val="nil"/>
            </w:tcBorders>
            <w:shd w:val="clear" w:color="auto" w:fill="auto"/>
            <w:noWrap/>
            <w:vAlign w:val="bottom"/>
            <w:hideMark/>
          </w:tcPr>
          <w:p w14:paraId="5C38B0F6"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57</w:t>
            </w:r>
          </w:p>
        </w:tc>
        <w:tc>
          <w:tcPr>
            <w:tcW w:w="963" w:type="dxa"/>
            <w:tcBorders>
              <w:top w:val="nil"/>
              <w:left w:val="nil"/>
              <w:bottom w:val="single" w:sz="4" w:space="0" w:color="auto"/>
              <w:right w:val="nil"/>
            </w:tcBorders>
            <w:shd w:val="clear" w:color="auto" w:fill="auto"/>
            <w:noWrap/>
            <w:vAlign w:val="bottom"/>
            <w:hideMark/>
          </w:tcPr>
          <w:p w14:paraId="05E9BA64"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280</w:t>
            </w:r>
          </w:p>
        </w:tc>
        <w:tc>
          <w:tcPr>
            <w:tcW w:w="1269" w:type="dxa"/>
            <w:tcBorders>
              <w:top w:val="nil"/>
              <w:left w:val="nil"/>
              <w:bottom w:val="single" w:sz="4" w:space="0" w:color="auto"/>
              <w:right w:val="nil"/>
            </w:tcBorders>
            <w:shd w:val="clear" w:color="auto" w:fill="auto"/>
            <w:noWrap/>
            <w:vAlign w:val="bottom"/>
            <w:hideMark/>
          </w:tcPr>
          <w:p w14:paraId="72A04CD1" w14:textId="26792A1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13</w:t>
            </w:r>
            <w:r>
              <w:rPr>
                <w:rFonts w:eastAsia="Times New Roman"/>
                <w:color w:val="000000"/>
                <w:szCs w:val="24"/>
                <w:lang w:eastAsia="cs-CZ"/>
              </w:rPr>
              <w:t>,</w:t>
            </w:r>
            <w:r w:rsidRPr="00104084">
              <w:rPr>
                <w:rFonts w:eastAsia="Times New Roman"/>
                <w:color w:val="000000"/>
                <w:szCs w:val="24"/>
                <w:lang w:eastAsia="cs-CZ"/>
              </w:rPr>
              <w:t>4</w:t>
            </w:r>
          </w:p>
        </w:tc>
      </w:tr>
      <w:tr w:rsidR="00104084" w:rsidRPr="00104084" w14:paraId="0764AB6B" w14:textId="77777777" w:rsidTr="00104084">
        <w:trPr>
          <w:trHeight w:val="330"/>
        </w:trPr>
        <w:tc>
          <w:tcPr>
            <w:tcW w:w="2480" w:type="dxa"/>
            <w:tcBorders>
              <w:top w:val="nil"/>
              <w:left w:val="nil"/>
              <w:bottom w:val="double" w:sz="6" w:space="0" w:color="auto"/>
              <w:right w:val="nil"/>
            </w:tcBorders>
            <w:shd w:val="clear" w:color="auto" w:fill="auto"/>
            <w:noWrap/>
            <w:vAlign w:val="bottom"/>
            <w:hideMark/>
          </w:tcPr>
          <w:p w14:paraId="175E1B9F" w14:textId="77777777" w:rsidR="00104084" w:rsidRPr="00104084" w:rsidRDefault="00104084" w:rsidP="00104084">
            <w:pPr>
              <w:spacing w:line="240" w:lineRule="auto"/>
              <w:jc w:val="left"/>
              <w:rPr>
                <w:rFonts w:eastAsia="Times New Roman"/>
                <w:color w:val="000000"/>
                <w:szCs w:val="24"/>
                <w:lang w:eastAsia="cs-CZ"/>
              </w:rPr>
            </w:pPr>
            <w:r w:rsidRPr="00104084">
              <w:rPr>
                <w:rFonts w:eastAsia="Times New Roman"/>
                <w:color w:val="000000"/>
                <w:szCs w:val="24"/>
                <w:lang w:eastAsia="cs-CZ"/>
              </w:rPr>
              <w:t>KS Ostrava</w:t>
            </w:r>
          </w:p>
        </w:tc>
        <w:tc>
          <w:tcPr>
            <w:tcW w:w="1600" w:type="dxa"/>
            <w:tcBorders>
              <w:top w:val="nil"/>
              <w:left w:val="nil"/>
              <w:bottom w:val="double" w:sz="6" w:space="0" w:color="auto"/>
              <w:right w:val="nil"/>
            </w:tcBorders>
            <w:shd w:val="clear" w:color="auto" w:fill="auto"/>
            <w:noWrap/>
            <w:vAlign w:val="bottom"/>
            <w:hideMark/>
          </w:tcPr>
          <w:p w14:paraId="1056624E"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315</w:t>
            </w:r>
          </w:p>
        </w:tc>
        <w:tc>
          <w:tcPr>
            <w:tcW w:w="1465" w:type="dxa"/>
            <w:tcBorders>
              <w:top w:val="nil"/>
              <w:left w:val="nil"/>
              <w:bottom w:val="double" w:sz="6" w:space="0" w:color="auto"/>
              <w:right w:val="nil"/>
            </w:tcBorders>
            <w:shd w:val="clear" w:color="auto" w:fill="auto"/>
            <w:noWrap/>
            <w:vAlign w:val="bottom"/>
            <w:hideMark/>
          </w:tcPr>
          <w:p w14:paraId="5D05FF02"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230</w:t>
            </w:r>
          </w:p>
        </w:tc>
        <w:tc>
          <w:tcPr>
            <w:tcW w:w="1543" w:type="dxa"/>
            <w:tcBorders>
              <w:top w:val="nil"/>
              <w:left w:val="nil"/>
              <w:bottom w:val="double" w:sz="6" w:space="0" w:color="auto"/>
              <w:right w:val="nil"/>
            </w:tcBorders>
            <w:shd w:val="clear" w:color="auto" w:fill="auto"/>
            <w:noWrap/>
            <w:vAlign w:val="bottom"/>
            <w:hideMark/>
          </w:tcPr>
          <w:p w14:paraId="4A14E42A"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77</w:t>
            </w:r>
          </w:p>
        </w:tc>
        <w:tc>
          <w:tcPr>
            <w:tcW w:w="963" w:type="dxa"/>
            <w:tcBorders>
              <w:top w:val="nil"/>
              <w:left w:val="nil"/>
              <w:bottom w:val="single" w:sz="4" w:space="0" w:color="auto"/>
              <w:right w:val="nil"/>
            </w:tcBorders>
            <w:shd w:val="clear" w:color="auto" w:fill="auto"/>
            <w:noWrap/>
            <w:vAlign w:val="bottom"/>
            <w:hideMark/>
          </w:tcPr>
          <w:p w14:paraId="1E820370" w14:textId="77777777"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307</w:t>
            </w:r>
          </w:p>
        </w:tc>
        <w:tc>
          <w:tcPr>
            <w:tcW w:w="1269" w:type="dxa"/>
            <w:tcBorders>
              <w:top w:val="nil"/>
              <w:left w:val="nil"/>
              <w:bottom w:val="double" w:sz="6" w:space="0" w:color="auto"/>
              <w:right w:val="nil"/>
            </w:tcBorders>
            <w:shd w:val="clear" w:color="auto" w:fill="auto"/>
            <w:noWrap/>
            <w:vAlign w:val="bottom"/>
            <w:hideMark/>
          </w:tcPr>
          <w:p w14:paraId="7CCAB3E7" w14:textId="58D0D854" w:rsidR="00104084" w:rsidRPr="00104084" w:rsidRDefault="00104084" w:rsidP="00104084">
            <w:pPr>
              <w:spacing w:line="240" w:lineRule="auto"/>
              <w:jc w:val="center"/>
              <w:rPr>
                <w:rFonts w:eastAsia="Times New Roman"/>
                <w:color w:val="000000"/>
                <w:szCs w:val="24"/>
                <w:lang w:eastAsia="cs-CZ"/>
              </w:rPr>
            </w:pPr>
            <w:r w:rsidRPr="00104084">
              <w:rPr>
                <w:rFonts w:eastAsia="Times New Roman"/>
                <w:color w:val="000000"/>
                <w:szCs w:val="24"/>
                <w:lang w:eastAsia="cs-CZ"/>
              </w:rPr>
              <w:t>16</w:t>
            </w:r>
            <w:r>
              <w:rPr>
                <w:rFonts w:eastAsia="Times New Roman"/>
                <w:color w:val="000000"/>
                <w:szCs w:val="24"/>
                <w:lang w:eastAsia="cs-CZ"/>
              </w:rPr>
              <w:t>,</w:t>
            </w:r>
            <w:r w:rsidRPr="00104084">
              <w:rPr>
                <w:rFonts w:eastAsia="Times New Roman"/>
                <w:color w:val="000000"/>
                <w:szCs w:val="24"/>
                <w:lang w:eastAsia="cs-CZ"/>
              </w:rPr>
              <w:t>4</w:t>
            </w:r>
          </w:p>
        </w:tc>
      </w:tr>
      <w:tr w:rsidR="00104084" w:rsidRPr="00104084" w14:paraId="2A2C17D9" w14:textId="77777777" w:rsidTr="00104084">
        <w:trPr>
          <w:trHeight w:val="345"/>
        </w:trPr>
        <w:tc>
          <w:tcPr>
            <w:tcW w:w="2480" w:type="dxa"/>
            <w:tcBorders>
              <w:top w:val="nil"/>
              <w:left w:val="nil"/>
              <w:bottom w:val="double" w:sz="6" w:space="0" w:color="auto"/>
              <w:right w:val="nil"/>
            </w:tcBorders>
            <w:shd w:val="clear" w:color="auto" w:fill="auto"/>
            <w:noWrap/>
            <w:vAlign w:val="bottom"/>
            <w:hideMark/>
          </w:tcPr>
          <w:p w14:paraId="3C10DD25" w14:textId="77777777" w:rsidR="00104084" w:rsidRPr="00104084" w:rsidRDefault="00104084" w:rsidP="00104084">
            <w:pPr>
              <w:spacing w:line="240" w:lineRule="auto"/>
              <w:jc w:val="left"/>
              <w:rPr>
                <w:rFonts w:eastAsia="Times New Roman"/>
                <w:b/>
                <w:bCs/>
                <w:color w:val="000000"/>
                <w:szCs w:val="24"/>
                <w:lang w:eastAsia="cs-CZ"/>
              </w:rPr>
            </w:pPr>
            <w:r w:rsidRPr="00104084">
              <w:rPr>
                <w:rFonts w:eastAsia="Times New Roman"/>
                <w:b/>
                <w:bCs/>
                <w:color w:val="000000"/>
                <w:szCs w:val="24"/>
                <w:lang w:eastAsia="cs-CZ"/>
              </w:rPr>
              <w:t>Celkem ČR</w:t>
            </w:r>
          </w:p>
        </w:tc>
        <w:tc>
          <w:tcPr>
            <w:tcW w:w="1600" w:type="dxa"/>
            <w:tcBorders>
              <w:top w:val="nil"/>
              <w:left w:val="nil"/>
              <w:bottom w:val="double" w:sz="6" w:space="0" w:color="auto"/>
              <w:right w:val="nil"/>
            </w:tcBorders>
            <w:shd w:val="clear" w:color="auto" w:fill="auto"/>
            <w:noWrap/>
            <w:vAlign w:val="bottom"/>
            <w:hideMark/>
          </w:tcPr>
          <w:p w14:paraId="6E00B3E6" w14:textId="3C342C31"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1</w:t>
            </w:r>
            <w:r w:rsidR="00475BFB">
              <w:rPr>
                <w:rFonts w:eastAsia="Times New Roman"/>
                <w:b/>
                <w:bCs/>
                <w:color w:val="000000"/>
                <w:szCs w:val="24"/>
                <w:lang w:eastAsia="cs-CZ"/>
              </w:rPr>
              <w:t xml:space="preserve"> </w:t>
            </w:r>
            <w:r w:rsidRPr="00104084">
              <w:rPr>
                <w:rFonts w:eastAsia="Times New Roman"/>
                <w:b/>
                <w:bCs/>
                <w:color w:val="000000"/>
                <w:szCs w:val="24"/>
                <w:lang w:eastAsia="cs-CZ"/>
              </w:rPr>
              <w:t>839</w:t>
            </w:r>
          </w:p>
        </w:tc>
        <w:tc>
          <w:tcPr>
            <w:tcW w:w="1465" w:type="dxa"/>
            <w:tcBorders>
              <w:top w:val="nil"/>
              <w:left w:val="nil"/>
              <w:bottom w:val="double" w:sz="6" w:space="0" w:color="auto"/>
              <w:right w:val="nil"/>
            </w:tcBorders>
            <w:shd w:val="clear" w:color="auto" w:fill="auto"/>
            <w:noWrap/>
            <w:vAlign w:val="bottom"/>
            <w:hideMark/>
          </w:tcPr>
          <w:p w14:paraId="2C026821" w14:textId="38903881"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1</w:t>
            </w:r>
            <w:r w:rsidR="00475BFB">
              <w:rPr>
                <w:rFonts w:eastAsia="Times New Roman"/>
                <w:b/>
                <w:bCs/>
                <w:color w:val="000000"/>
                <w:szCs w:val="24"/>
                <w:lang w:eastAsia="cs-CZ"/>
              </w:rPr>
              <w:t xml:space="preserve"> </w:t>
            </w:r>
            <w:r w:rsidRPr="00104084">
              <w:rPr>
                <w:rFonts w:eastAsia="Times New Roman"/>
                <w:b/>
                <w:bCs/>
                <w:color w:val="000000"/>
                <w:szCs w:val="24"/>
                <w:lang w:eastAsia="cs-CZ"/>
              </w:rPr>
              <w:t>387</w:t>
            </w:r>
          </w:p>
        </w:tc>
        <w:tc>
          <w:tcPr>
            <w:tcW w:w="1543" w:type="dxa"/>
            <w:tcBorders>
              <w:top w:val="nil"/>
              <w:left w:val="nil"/>
              <w:bottom w:val="double" w:sz="6" w:space="0" w:color="auto"/>
              <w:right w:val="nil"/>
            </w:tcBorders>
            <w:shd w:val="clear" w:color="auto" w:fill="auto"/>
            <w:noWrap/>
            <w:vAlign w:val="bottom"/>
            <w:hideMark/>
          </w:tcPr>
          <w:p w14:paraId="73619147" w14:textId="77777777"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432</w:t>
            </w:r>
          </w:p>
        </w:tc>
        <w:tc>
          <w:tcPr>
            <w:tcW w:w="963" w:type="dxa"/>
            <w:tcBorders>
              <w:top w:val="double" w:sz="6" w:space="0" w:color="auto"/>
              <w:left w:val="nil"/>
              <w:bottom w:val="double" w:sz="6" w:space="0" w:color="auto"/>
              <w:right w:val="nil"/>
            </w:tcBorders>
            <w:shd w:val="clear" w:color="auto" w:fill="auto"/>
            <w:noWrap/>
            <w:vAlign w:val="bottom"/>
            <w:hideMark/>
          </w:tcPr>
          <w:p w14:paraId="010F4217" w14:textId="0FD48B80"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1</w:t>
            </w:r>
            <w:r w:rsidR="00475BFB">
              <w:rPr>
                <w:rFonts w:eastAsia="Times New Roman"/>
                <w:b/>
                <w:bCs/>
                <w:color w:val="000000"/>
                <w:szCs w:val="24"/>
                <w:lang w:eastAsia="cs-CZ"/>
              </w:rPr>
              <w:t xml:space="preserve"> </w:t>
            </w:r>
            <w:r w:rsidRPr="00104084">
              <w:rPr>
                <w:rFonts w:eastAsia="Times New Roman"/>
                <w:b/>
                <w:bCs/>
                <w:color w:val="000000"/>
                <w:szCs w:val="24"/>
                <w:lang w:eastAsia="cs-CZ"/>
              </w:rPr>
              <w:t>819</w:t>
            </w:r>
          </w:p>
        </w:tc>
        <w:tc>
          <w:tcPr>
            <w:tcW w:w="1269" w:type="dxa"/>
            <w:tcBorders>
              <w:top w:val="nil"/>
              <w:left w:val="nil"/>
              <w:bottom w:val="double" w:sz="6" w:space="0" w:color="auto"/>
              <w:right w:val="nil"/>
            </w:tcBorders>
            <w:shd w:val="clear" w:color="auto" w:fill="auto"/>
            <w:noWrap/>
            <w:vAlign w:val="bottom"/>
            <w:hideMark/>
          </w:tcPr>
          <w:p w14:paraId="4167120B" w14:textId="4F6C4595" w:rsidR="00104084" w:rsidRPr="00104084" w:rsidRDefault="00104084" w:rsidP="00104084">
            <w:pPr>
              <w:spacing w:line="240" w:lineRule="auto"/>
              <w:jc w:val="center"/>
              <w:rPr>
                <w:rFonts w:eastAsia="Times New Roman"/>
                <w:b/>
                <w:bCs/>
                <w:color w:val="000000"/>
                <w:szCs w:val="24"/>
                <w:lang w:eastAsia="cs-CZ"/>
              </w:rPr>
            </w:pPr>
            <w:r w:rsidRPr="00104084">
              <w:rPr>
                <w:rFonts w:eastAsia="Times New Roman"/>
                <w:b/>
                <w:bCs/>
                <w:color w:val="000000"/>
                <w:szCs w:val="24"/>
                <w:lang w:eastAsia="cs-CZ"/>
              </w:rPr>
              <w:t>17</w:t>
            </w:r>
            <w:r>
              <w:rPr>
                <w:rFonts w:eastAsia="Times New Roman"/>
                <w:b/>
                <w:bCs/>
                <w:color w:val="000000"/>
                <w:szCs w:val="24"/>
                <w:lang w:eastAsia="cs-CZ"/>
              </w:rPr>
              <w:t>,</w:t>
            </w:r>
            <w:r w:rsidRPr="00104084">
              <w:rPr>
                <w:rFonts w:eastAsia="Times New Roman"/>
                <w:b/>
                <w:bCs/>
                <w:color w:val="000000"/>
                <w:szCs w:val="24"/>
                <w:lang w:eastAsia="cs-CZ"/>
              </w:rPr>
              <w:t>0</w:t>
            </w:r>
          </w:p>
        </w:tc>
      </w:tr>
    </w:tbl>
    <w:p w14:paraId="6CFA7EEA" w14:textId="66FE5981" w:rsidR="007420C9" w:rsidRPr="00E44FC4" w:rsidRDefault="007420C9" w:rsidP="007420C9">
      <w:pPr>
        <w:pStyle w:val="OdstavecASR"/>
      </w:pPr>
      <w:r w:rsidRPr="00E44FC4">
        <w:t>V přepočtu na 100 tis. obyvatel jsou personálně výrazně nejsilnější OS v severočeském soudním kraji a v Praze. Největšími okresními soudy v absolutních počtech soudců jsou MS Brno</w:t>
      </w:r>
      <w:r w:rsidR="0064095A" w:rsidRPr="00E44FC4">
        <w:t xml:space="preserve"> (73</w:t>
      </w:r>
      <w:r w:rsidR="007F58F9" w:rsidRPr="00E44FC4">
        <w:t> </w:t>
      </w:r>
      <w:r w:rsidR="0064095A" w:rsidRPr="00E44FC4">
        <w:t>soudců)</w:t>
      </w:r>
      <w:r w:rsidRPr="00E44FC4">
        <w:t xml:space="preserve"> a OS Ostrava (</w:t>
      </w:r>
      <w:r w:rsidR="0064095A" w:rsidRPr="00E44FC4">
        <w:t>72</w:t>
      </w:r>
      <w:r w:rsidRPr="00E44FC4">
        <w:t> soudců) a OS Karviná (4</w:t>
      </w:r>
      <w:r w:rsidR="0064095A" w:rsidRPr="00E44FC4">
        <w:t>5</w:t>
      </w:r>
      <w:r w:rsidRPr="00E44FC4">
        <w:t> soudců). Naopak nejmenší okresní soudy dle evidenčního počtu soudců jsou OS v Pelhřimově a Rokycanech (oba 7 soudců). Velikost jednotlivých soudů lze přibližně vyčíst z kartogramu.</w:t>
      </w:r>
    </w:p>
    <w:p w14:paraId="477320D5" w14:textId="1F1540B4" w:rsidR="0064095A" w:rsidRPr="00E44FC4" w:rsidRDefault="0064095A" w:rsidP="0064095A">
      <w:pPr>
        <w:pStyle w:val="Podnadpis"/>
        <w:rPr>
          <w:color w:val="auto"/>
        </w:rPr>
      </w:pPr>
      <w:bookmarkStart w:id="39" w:name="_Ref41044837"/>
      <w:bookmarkStart w:id="40" w:name="_Toc515871328"/>
      <w:bookmarkStart w:id="41" w:name="_Toc11135064"/>
      <w:bookmarkStart w:id="42" w:name="_Toc43841383"/>
      <w:bookmarkStart w:id="43" w:name="_Toc75952183"/>
      <w:bookmarkStart w:id="44" w:name="_Toc106106637"/>
      <w:bookmarkStart w:id="45" w:name="_Toc144104115"/>
      <w:r w:rsidRPr="00E44FC4">
        <w:rPr>
          <w:color w:val="auto"/>
        </w:rPr>
        <w:lastRenderedPageBreak/>
        <w:t xml:space="preserve">Graf </w:t>
      </w:r>
      <w:r w:rsidR="009A10E2" w:rsidRPr="00E44FC4">
        <w:rPr>
          <w:color w:val="auto"/>
        </w:rPr>
        <w:fldChar w:fldCharType="begin"/>
      </w:r>
      <w:r w:rsidR="009A10E2" w:rsidRPr="00E44FC4">
        <w:rPr>
          <w:color w:val="auto"/>
        </w:rPr>
        <w:instrText xml:space="preserve"> SEQ Graf \* ARABIC </w:instrText>
      </w:r>
      <w:r w:rsidR="009A10E2" w:rsidRPr="00E44FC4">
        <w:rPr>
          <w:color w:val="auto"/>
        </w:rPr>
        <w:fldChar w:fldCharType="separate"/>
      </w:r>
      <w:r w:rsidR="001E1A67">
        <w:rPr>
          <w:noProof/>
          <w:color w:val="auto"/>
        </w:rPr>
        <w:t>3</w:t>
      </w:r>
      <w:r w:rsidR="009A10E2" w:rsidRPr="00E44FC4">
        <w:rPr>
          <w:color w:val="auto"/>
        </w:rPr>
        <w:fldChar w:fldCharType="end"/>
      </w:r>
      <w:bookmarkEnd w:id="39"/>
      <w:r w:rsidRPr="00E44FC4">
        <w:rPr>
          <w:color w:val="auto"/>
        </w:rPr>
        <w:t>: OS – evidenční počet soudců u jednotlivých soudů</w:t>
      </w:r>
      <w:bookmarkEnd w:id="40"/>
      <w:bookmarkEnd w:id="41"/>
      <w:bookmarkEnd w:id="42"/>
      <w:bookmarkEnd w:id="43"/>
      <w:bookmarkEnd w:id="44"/>
      <w:bookmarkEnd w:id="45"/>
    </w:p>
    <w:p w14:paraId="54291763" w14:textId="0477D0DF" w:rsidR="0064095A" w:rsidRPr="00E44FC4" w:rsidRDefault="0064095A" w:rsidP="007420C9">
      <w:pPr>
        <w:pStyle w:val="OdstavecASR"/>
      </w:pPr>
      <w:r w:rsidRPr="00E44FC4">
        <w:rPr>
          <w:noProof/>
          <w:lang w:eastAsia="cs-CZ"/>
        </w:rPr>
        <w:drawing>
          <wp:anchor distT="0" distB="0" distL="114300" distR="114300" simplePos="0" relativeHeight="251663360" behindDoc="0" locked="0" layoutInCell="1" allowOverlap="1" wp14:anchorId="4FFF4C62" wp14:editId="416F002F">
            <wp:simplePos x="0" y="0"/>
            <wp:positionH relativeFrom="margin">
              <wp:posOffset>4482465</wp:posOffset>
            </wp:positionH>
            <wp:positionV relativeFrom="paragraph">
              <wp:posOffset>53975</wp:posOffset>
            </wp:positionV>
            <wp:extent cx="1242000" cy="903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2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4FC4">
        <w:rPr>
          <w:noProof/>
          <w:lang w:eastAsia="cs-CZ"/>
        </w:rPr>
        <w:drawing>
          <wp:inline distT="0" distB="0" distL="0" distR="0" wp14:anchorId="4A5B0B60" wp14:editId="30359B5E">
            <wp:extent cx="5759450" cy="329628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49F26508" w14:textId="77777777" w:rsidR="00C35F2D" w:rsidRPr="00E44FC4" w:rsidRDefault="00C35F2D" w:rsidP="00C35F2D">
      <w:r w:rsidRPr="00E44FC4">
        <w:t>V kartogramu vidíme, že největší soudy jsou především ve větších městech. Relativně velké soudy se nachází v Severočeském a Severomoravském kraji. Velké jsou také některé obvodní soudy v Praze (OS pro Prahu 4, OS pro Prahu 1 a OS pro Prahu 5).</w:t>
      </w:r>
    </w:p>
    <w:p w14:paraId="731ACB28" w14:textId="2D775D59" w:rsidR="00C35F2D" w:rsidRPr="00E44FC4" w:rsidRDefault="00C35F2D" w:rsidP="00C35F2D">
      <w:pPr>
        <w:pStyle w:val="Podnadpis"/>
        <w:rPr>
          <w:color w:val="auto"/>
        </w:rPr>
      </w:pPr>
      <w:bookmarkStart w:id="46" w:name="_Toc515871329"/>
      <w:bookmarkStart w:id="47" w:name="_Toc11135065"/>
      <w:bookmarkStart w:id="48" w:name="_Toc43841384"/>
      <w:bookmarkStart w:id="49" w:name="_Toc75952184"/>
      <w:bookmarkStart w:id="50" w:name="_Toc106106638"/>
      <w:bookmarkStart w:id="51" w:name="_Toc144104116"/>
      <w:r w:rsidRPr="00E44FC4">
        <w:rPr>
          <w:color w:val="auto"/>
        </w:rPr>
        <w:t xml:space="preserve">Graf </w:t>
      </w:r>
      <w:r w:rsidR="009A10E2" w:rsidRPr="00E44FC4">
        <w:rPr>
          <w:color w:val="auto"/>
        </w:rPr>
        <w:fldChar w:fldCharType="begin"/>
      </w:r>
      <w:r w:rsidR="009A10E2" w:rsidRPr="00E44FC4">
        <w:rPr>
          <w:color w:val="auto"/>
        </w:rPr>
        <w:instrText xml:space="preserve"> SEQ Graf \* ARABIC </w:instrText>
      </w:r>
      <w:r w:rsidR="009A10E2" w:rsidRPr="00E44FC4">
        <w:rPr>
          <w:color w:val="auto"/>
        </w:rPr>
        <w:fldChar w:fldCharType="separate"/>
      </w:r>
      <w:r w:rsidR="001E1A67">
        <w:rPr>
          <w:noProof/>
          <w:color w:val="auto"/>
        </w:rPr>
        <w:t>4</w:t>
      </w:r>
      <w:r w:rsidR="009A10E2" w:rsidRPr="00E44FC4">
        <w:rPr>
          <w:color w:val="auto"/>
        </w:rPr>
        <w:fldChar w:fldCharType="end"/>
      </w:r>
      <w:r w:rsidRPr="00E44FC4">
        <w:rPr>
          <w:color w:val="auto"/>
        </w:rPr>
        <w:t xml:space="preserve">: </w:t>
      </w:r>
      <w:bookmarkStart w:id="52" w:name="_Toc485734466"/>
      <w:bookmarkStart w:id="53" w:name="_Toc487792737"/>
      <w:r w:rsidRPr="00E44FC4">
        <w:rPr>
          <w:color w:val="auto"/>
        </w:rPr>
        <w:t>OS – evidenční počet soudců dle pohlaví v letech 2008–</w:t>
      </w:r>
      <w:bookmarkEnd w:id="46"/>
      <w:bookmarkEnd w:id="47"/>
      <w:bookmarkEnd w:id="52"/>
      <w:bookmarkEnd w:id="53"/>
      <w:r w:rsidRPr="00E44FC4">
        <w:rPr>
          <w:color w:val="auto"/>
        </w:rPr>
        <w:t>20</w:t>
      </w:r>
      <w:bookmarkEnd w:id="48"/>
      <w:r w:rsidRPr="00E44FC4">
        <w:rPr>
          <w:color w:val="auto"/>
        </w:rPr>
        <w:t>2</w:t>
      </w:r>
      <w:bookmarkEnd w:id="49"/>
      <w:bookmarkEnd w:id="50"/>
      <w:r w:rsidRPr="00E44FC4">
        <w:rPr>
          <w:color w:val="auto"/>
        </w:rPr>
        <w:t>2</w:t>
      </w:r>
      <w:bookmarkEnd w:id="51"/>
    </w:p>
    <w:p w14:paraId="5C05AD1F" w14:textId="42707015" w:rsidR="003D6A13" w:rsidRPr="00E44FC4" w:rsidRDefault="00C35F2D" w:rsidP="002D4B12">
      <w:pPr>
        <w:pStyle w:val="OdstavecASR"/>
      </w:pPr>
      <w:r w:rsidRPr="00E44FC4">
        <w:rPr>
          <w:noProof/>
          <w:lang w:eastAsia="cs-CZ"/>
        </w:rPr>
        <w:drawing>
          <wp:inline distT="0" distB="0" distL="0" distR="0" wp14:anchorId="751DDE07" wp14:editId="4F61B2EF">
            <wp:extent cx="5029200" cy="36576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6EB315A" w14:textId="77777777" w:rsidR="00C35F2D" w:rsidRPr="00E44FC4" w:rsidRDefault="00C35F2D" w:rsidP="00C35F2D">
      <w:pPr>
        <w:pStyle w:val="OdstavecASR"/>
      </w:pPr>
      <w:r w:rsidRPr="00E44FC4">
        <w:t>Jak ukazuje graf, je procentuální podíl soudkyň celkem stabilní, a to přibližně v rozpětí 65 až 67 %. Tabulka </w:t>
      </w:r>
      <w:r w:rsidRPr="00E44FC4">
        <w:rPr>
          <w:noProof/>
        </w:rPr>
        <w:t>2</w:t>
      </w:r>
      <w:r w:rsidRPr="00E44FC4">
        <w:t xml:space="preserve"> uvádí evidenční počty soudců a soudkyň podle soudních krajů. Podíl žen u soudů spadajících pod MS Praha a KS Praha je vyšší než ve zbytku ČR.</w:t>
      </w:r>
    </w:p>
    <w:p w14:paraId="19D358EB" w14:textId="256D2B32" w:rsidR="00C35F2D" w:rsidRPr="00E44FC4" w:rsidRDefault="00C35F2D" w:rsidP="00C35F2D">
      <w:pPr>
        <w:pStyle w:val="Podnadpis"/>
        <w:rPr>
          <w:color w:val="auto"/>
        </w:rPr>
      </w:pPr>
      <w:bookmarkStart w:id="54" w:name="_Ref511985934"/>
      <w:bookmarkStart w:id="55" w:name="_Toc515871437"/>
      <w:bookmarkStart w:id="56" w:name="_Toc11133204"/>
      <w:bookmarkStart w:id="57" w:name="_Toc43931175"/>
      <w:bookmarkStart w:id="58" w:name="_Toc75952305"/>
      <w:bookmarkStart w:id="59" w:name="_Toc106106764"/>
      <w:bookmarkStart w:id="60" w:name="_Toc144104241"/>
      <w:r w:rsidRPr="00E44FC4">
        <w:rPr>
          <w:color w:val="auto"/>
        </w:rPr>
        <w:lastRenderedPageBreak/>
        <w:t xml:space="preserve">Tabulka </w:t>
      </w:r>
      <w:r w:rsidRPr="00E44FC4">
        <w:rPr>
          <w:color w:val="auto"/>
        </w:rPr>
        <w:fldChar w:fldCharType="begin"/>
      </w:r>
      <w:r w:rsidRPr="00E44FC4">
        <w:rPr>
          <w:color w:val="auto"/>
        </w:rPr>
        <w:instrText xml:space="preserve"> SEQ Tabulka \* ARABIC </w:instrText>
      </w:r>
      <w:r w:rsidRPr="00E44FC4">
        <w:rPr>
          <w:color w:val="auto"/>
        </w:rPr>
        <w:fldChar w:fldCharType="separate"/>
      </w:r>
      <w:r w:rsidR="001E1A67">
        <w:rPr>
          <w:noProof/>
          <w:color w:val="auto"/>
        </w:rPr>
        <w:t>2</w:t>
      </w:r>
      <w:r w:rsidRPr="00E44FC4">
        <w:rPr>
          <w:noProof/>
          <w:color w:val="auto"/>
        </w:rPr>
        <w:fldChar w:fldCharType="end"/>
      </w:r>
      <w:bookmarkEnd w:id="54"/>
      <w:r w:rsidRPr="00E44FC4">
        <w:rPr>
          <w:color w:val="auto"/>
        </w:rPr>
        <w:t>: OS – evidenční počet soudců dle pohlaví a krajů</w:t>
      </w:r>
      <w:bookmarkEnd w:id="55"/>
      <w:bookmarkEnd w:id="56"/>
      <w:bookmarkEnd w:id="57"/>
      <w:bookmarkEnd w:id="58"/>
      <w:bookmarkEnd w:id="59"/>
      <w:bookmarkEnd w:id="60"/>
    </w:p>
    <w:tbl>
      <w:tblPr>
        <w:tblW w:w="6800" w:type="dxa"/>
        <w:tblCellMar>
          <w:left w:w="70" w:type="dxa"/>
          <w:right w:w="70" w:type="dxa"/>
        </w:tblCellMar>
        <w:tblLook w:val="04A0" w:firstRow="1" w:lastRow="0" w:firstColumn="1" w:lastColumn="0" w:noHBand="0" w:noVBand="1"/>
      </w:tblPr>
      <w:tblGrid>
        <w:gridCol w:w="2480"/>
        <w:gridCol w:w="1348"/>
        <w:gridCol w:w="1372"/>
        <w:gridCol w:w="1600"/>
      </w:tblGrid>
      <w:tr w:rsidR="00F15667" w:rsidRPr="00E44FC4" w14:paraId="5313C650" w14:textId="77777777" w:rsidTr="0027189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4F51B51" w14:textId="77777777" w:rsidR="00C35F2D" w:rsidRPr="00E44FC4" w:rsidRDefault="00C35F2D" w:rsidP="00271895">
            <w:pPr>
              <w:spacing w:line="240" w:lineRule="auto"/>
              <w:jc w:val="center"/>
              <w:rPr>
                <w:rFonts w:eastAsia="Times New Roman"/>
                <w:b/>
                <w:bCs/>
                <w:szCs w:val="24"/>
                <w:lang w:eastAsia="cs-CZ"/>
              </w:rPr>
            </w:pPr>
            <w:r w:rsidRPr="00E44FC4">
              <w:rPr>
                <w:rFonts w:eastAsia="Times New Roman"/>
                <w:b/>
                <w:bCs/>
                <w:szCs w:val="24"/>
                <w:lang w:eastAsia="cs-CZ"/>
              </w:rPr>
              <w:t>Nadřízený soud</w:t>
            </w:r>
          </w:p>
        </w:tc>
        <w:tc>
          <w:tcPr>
            <w:tcW w:w="2720" w:type="dxa"/>
            <w:gridSpan w:val="2"/>
            <w:tcBorders>
              <w:top w:val="double" w:sz="6" w:space="0" w:color="auto"/>
              <w:left w:val="nil"/>
              <w:bottom w:val="nil"/>
              <w:right w:val="nil"/>
            </w:tcBorders>
            <w:shd w:val="clear" w:color="auto" w:fill="auto"/>
            <w:noWrap/>
            <w:vAlign w:val="center"/>
            <w:hideMark/>
          </w:tcPr>
          <w:p w14:paraId="3A25D315" w14:textId="77777777" w:rsidR="00C35F2D" w:rsidRPr="00E44FC4" w:rsidRDefault="00C35F2D" w:rsidP="00271895">
            <w:pPr>
              <w:spacing w:line="240" w:lineRule="auto"/>
              <w:jc w:val="center"/>
              <w:rPr>
                <w:rFonts w:eastAsia="Times New Roman"/>
                <w:b/>
                <w:bCs/>
                <w:szCs w:val="24"/>
                <w:lang w:eastAsia="cs-CZ"/>
              </w:rPr>
            </w:pPr>
            <w:r w:rsidRPr="00E44FC4">
              <w:rPr>
                <w:rFonts w:eastAsia="Times New Roman"/>
                <w:b/>
                <w:bCs/>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581FB29B" w14:textId="47D5E72E" w:rsidR="00C35F2D" w:rsidRPr="00E44FC4" w:rsidRDefault="00C35F2D" w:rsidP="00271895">
            <w:pPr>
              <w:spacing w:line="240" w:lineRule="auto"/>
              <w:jc w:val="center"/>
              <w:rPr>
                <w:rFonts w:eastAsia="Times New Roman"/>
                <w:b/>
                <w:bCs/>
                <w:szCs w:val="24"/>
                <w:lang w:eastAsia="cs-CZ"/>
              </w:rPr>
            </w:pPr>
            <w:r w:rsidRPr="00E44FC4">
              <w:rPr>
                <w:rFonts w:eastAsia="Times New Roman"/>
                <w:b/>
                <w:bCs/>
                <w:szCs w:val="24"/>
                <w:lang w:eastAsia="cs-CZ"/>
              </w:rPr>
              <w:t>Podíl žen v</w:t>
            </w:r>
            <w:r w:rsidR="00E44FC4" w:rsidRPr="00E44FC4">
              <w:rPr>
                <w:rFonts w:eastAsia="Times New Roman"/>
                <w:b/>
                <w:bCs/>
                <w:szCs w:val="24"/>
                <w:lang w:eastAsia="cs-CZ"/>
              </w:rPr>
              <w:t> </w:t>
            </w:r>
            <w:r w:rsidRPr="00E44FC4">
              <w:rPr>
                <w:rFonts w:eastAsia="Times New Roman"/>
                <w:b/>
                <w:bCs/>
                <w:szCs w:val="24"/>
                <w:lang w:eastAsia="cs-CZ"/>
              </w:rPr>
              <w:t>%</w:t>
            </w:r>
          </w:p>
        </w:tc>
      </w:tr>
      <w:tr w:rsidR="00F15667" w:rsidRPr="00E44FC4" w14:paraId="7DA562FC" w14:textId="77777777" w:rsidTr="00271895">
        <w:trPr>
          <w:trHeight w:val="330"/>
        </w:trPr>
        <w:tc>
          <w:tcPr>
            <w:tcW w:w="2480" w:type="dxa"/>
            <w:vMerge/>
            <w:tcBorders>
              <w:top w:val="double" w:sz="6" w:space="0" w:color="auto"/>
              <w:left w:val="nil"/>
              <w:bottom w:val="double" w:sz="6" w:space="0" w:color="000000"/>
              <w:right w:val="nil"/>
            </w:tcBorders>
            <w:vAlign w:val="center"/>
            <w:hideMark/>
          </w:tcPr>
          <w:p w14:paraId="38ABDB61" w14:textId="77777777" w:rsidR="00C35F2D" w:rsidRPr="00E44FC4" w:rsidRDefault="00C35F2D" w:rsidP="00271895">
            <w:pPr>
              <w:spacing w:line="240" w:lineRule="auto"/>
              <w:jc w:val="center"/>
              <w:rPr>
                <w:rFonts w:eastAsia="Times New Roman"/>
                <w:b/>
                <w:bCs/>
                <w:szCs w:val="24"/>
                <w:lang w:eastAsia="cs-CZ"/>
              </w:rPr>
            </w:pPr>
          </w:p>
        </w:tc>
        <w:tc>
          <w:tcPr>
            <w:tcW w:w="1348" w:type="dxa"/>
            <w:tcBorders>
              <w:top w:val="nil"/>
              <w:left w:val="nil"/>
              <w:bottom w:val="double" w:sz="6" w:space="0" w:color="auto"/>
              <w:right w:val="nil"/>
            </w:tcBorders>
            <w:shd w:val="clear" w:color="auto" w:fill="auto"/>
            <w:noWrap/>
            <w:vAlign w:val="center"/>
            <w:hideMark/>
          </w:tcPr>
          <w:p w14:paraId="340BFCCB" w14:textId="77777777" w:rsidR="00C35F2D" w:rsidRPr="00E44FC4" w:rsidRDefault="00C35F2D" w:rsidP="00271895">
            <w:pPr>
              <w:spacing w:line="240" w:lineRule="auto"/>
              <w:jc w:val="center"/>
              <w:rPr>
                <w:rFonts w:eastAsia="Times New Roman"/>
                <w:b/>
                <w:bCs/>
                <w:szCs w:val="24"/>
                <w:lang w:eastAsia="cs-CZ"/>
              </w:rPr>
            </w:pPr>
            <w:r w:rsidRPr="00E44FC4">
              <w:rPr>
                <w:rFonts w:eastAsia="Times New Roman"/>
                <w:b/>
                <w:bCs/>
                <w:szCs w:val="24"/>
                <w:lang w:eastAsia="cs-CZ"/>
              </w:rPr>
              <w:t>Žen</w:t>
            </w:r>
          </w:p>
        </w:tc>
        <w:tc>
          <w:tcPr>
            <w:tcW w:w="1372" w:type="dxa"/>
            <w:tcBorders>
              <w:top w:val="nil"/>
              <w:left w:val="nil"/>
              <w:bottom w:val="double" w:sz="6" w:space="0" w:color="auto"/>
              <w:right w:val="nil"/>
            </w:tcBorders>
            <w:shd w:val="clear" w:color="auto" w:fill="auto"/>
            <w:noWrap/>
            <w:vAlign w:val="center"/>
            <w:hideMark/>
          </w:tcPr>
          <w:p w14:paraId="4AEDC872" w14:textId="77777777" w:rsidR="00C35F2D" w:rsidRPr="00E44FC4" w:rsidRDefault="00C35F2D" w:rsidP="00271895">
            <w:pPr>
              <w:spacing w:line="240" w:lineRule="auto"/>
              <w:jc w:val="center"/>
              <w:rPr>
                <w:rFonts w:eastAsia="Times New Roman"/>
                <w:b/>
                <w:bCs/>
                <w:szCs w:val="24"/>
                <w:lang w:eastAsia="cs-CZ"/>
              </w:rPr>
            </w:pPr>
            <w:r w:rsidRPr="00E44FC4">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1F2F88F2" w14:textId="77777777" w:rsidR="00C35F2D" w:rsidRPr="00E44FC4" w:rsidRDefault="00C35F2D" w:rsidP="00271895">
            <w:pPr>
              <w:spacing w:line="240" w:lineRule="auto"/>
              <w:jc w:val="center"/>
              <w:rPr>
                <w:rFonts w:eastAsia="Times New Roman"/>
                <w:b/>
                <w:bCs/>
                <w:szCs w:val="24"/>
                <w:lang w:eastAsia="cs-CZ"/>
              </w:rPr>
            </w:pPr>
          </w:p>
        </w:tc>
      </w:tr>
      <w:tr w:rsidR="00F15667" w:rsidRPr="00E44FC4" w14:paraId="753FE07F" w14:textId="77777777" w:rsidTr="00271895">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4CD34ACB" w14:textId="77777777" w:rsidR="00C35F2D" w:rsidRPr="00E44FC4" w:rsidRDefault="00C35F2D" w:rsidP="00271895">
            <w:pPr>
              <w:spacing w:line="240" w:lineRule="auto"/>
              <w:jc w:val="left"/>
              <w:rPr>
                <w:rFonts w:eastAsia="Times New Roman"/>
                <w:szCs w:val="24"/>
                <w:lang w:eastAsia="cs-CZ"/>
              </w:rPr>
            </w:pPr>
            <w:r w:rsidRPr="00E44FC4">
              <w:rPr>
                <w:rFonts w:eastAsia="Times New Roman"/>
                <w:szCs w:val="24"/>
                <w:lang w:eastAsia="cs-CZ"/>
              </w:rPr>
              <w:t>MS Praha</w:t>
            </w:r>
          </w:p>
        </w:tc>
        <w:tc>
          <w:tcPr>
            <w:tcW w:w="1348" w:type="dxa"/>
            <w:tcBorders>
              <w:top w:val="single" w:sz="4" w:space="0" w:color="auto"/>
              <w:left w:val="nil"/>
              <w:bottom w:val="single" w:sz="4" w:space="0" w:color="auto"/>
              <w:right w:val="nil"/>
            </w:tcBorders>
            <w:shd w:val="clear" w:color="auto" w:fill="auto"/>
            <w:noWrap/>
            <w:vAlign w:val="center"/>
            <w:hideMark/>
          </w:tcPr>
          <w:p w14:paraId="60E9214A"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226</w:t>
            </w:r>
          </w:p>
        </w:tc>
        <w:tc>
          <w:tcPr>
            <w:tcW w:w="1372" w:type="dxa"/>
            <w:tcBorders>
              <w:top w:val="single" w:sz="4" w:space="0" w:color="auto"/>
              <w:left w:val="nil"/>
              <w:bottom w:val="single" w:sz="4" w:space="0" w:color="auto"/>
              <w:right w:val="nil"/>
            </w:tcBorders>
            <w:shd w:val="clear" w:color="auto" w:fill="auto"/>
            <w:noWrap/>
            <w:vAlign w:val="center"/>
            <w:hideMark/>
          </w:tcPr>
          <w:p w14:paraId="6AAF0206"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79</w:t>
            </w:r>
          </w:p>
        </w:tc>
        <w:tc>
          <w:tcPr>
            <w:tcW w:w="1600" w:type="dxa"/>
            <w:tcBorders>
              <w:top w:val="single" w:sz="4" w:space="0" w:color="auto"/>
              <w:left w:val="nil"/>
              <w:bottom w:val="single" w:sz="4" w:space="0" w:color="auto"/>
              <w:right w:val="nil"/>
            </w:tcBorders>
            <w:shd w:val="clear" w:color="auto" w:fill="auto"/>
            <w:noWrap/>
            <w:vAlign w:val="center"/>
            <w:hideMark/>
          </w:tcPr>
          <w:p w14:paraId="56EDA0D5" w14:textId="48A414DF"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74,10</w:t>
            </w:r>
          </w:p>
        </w:tc>
      </w:tr>
      <w:tr w:rsidR="00F15667" w:rsidRPr="00E44FC4" w14:paraId="0C0A22F3"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2E944F2A" w14:textId="77777777" w:rsidR="00C35F2D" w:rsidRPr="00E44FC4" w:rsidRDefault="00C35F2D" w:rsidP="00271895">
            <w:pPr>
              <w:spacing w:line="240" w:lineRule="auto"/>
              <w:jc w:val="left"/>
              <w:rPr>
                <w:rFonts w:eastAsia="Times New Roman"/>
                <w:szCs w:val="24"/>
                <w:lang w:eastAsia="cs-CZ"/>
              </w:rPr>
            </w:pPr>
            <w:r w:rsidRPr="00E44FC4">
              <w:rPr>
                <w:rFonts w:eastAsia="Times New Roman"/>
                <w:szCs w:val="24"/>
                <w:lang w:eastAsia="cs-CZ"/>
              </w:rPr>
              <w:t>KS Praha</w:t>
            </w:r>
          </w:p>
        </w:tc>
        <w:tc>
          <w:tcPr>
            <w:tcW w:w="1348" w:type="dxa"/>
            <w:tcBorders>
              <w:top w:val="nil"/>
              <w:left w:val="nil"/>
              <w:bottom w:val="single" w:sz="4" w:space="0" w:color="auto"/>
              <w:right w:val="nil"/>
            </w:tcBorders>
            <w:shd w:val="clear" w:color="auto" w:fill="auto"/>
            <w:noWrap/>
            <w:vAlign w:val="center"/>
            <w:hideMark/>
          </w:tcPr>
          <w:p w14:paraId="0AADCECF"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162</w:t>
            </w:r>
          </w:p>
        </w:tc>
        <w:tc>
          <w:tcPr>
            <w:tcW w:w="1372" w:type="dxa"/>
            <w:tcBorders>
              <w:top w:val="nil"/>
              <w:left w:val="nil"/>
              <w:bottom w:val="single" w:sz="4" w:space="0" w:color="auto"/>
              <w:right w:val="nil"/>
            </w:tcBorders>
            <w:shd w:val="clear" w:color="auto" w:fill="auto"/>
            <w:noWrap/>
            <w:vAlign w:val="center"/>
            <w:hideMark/>
          </w:tcPr>
          <w:p w14:paraId="48E398CA"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57</w:t>
            </w:r>
          </w:p>
        </w:tc>
        <w:tc>
          <w:tcPr>
            <w:tcW w:w="1600" w:type="dxa"/>
            <w:tcBorders>
              <w:top w:val="nil"/>
              <w:left w:val="nil"/>
              <w:bottom w:val="single" w:sz="4" w:space="0" w:color="auto"/>
              <w:right w:val="nil"/>
            </w:tcBorders>
            <w:shd w:val="clear" w:color="auto" w:fill="auto"/>
            <w:noWrap/>
            <w:vAlign w:val="center"/>
            <w:hideMark/>
          </w:tcPr>
          <w:p w14:paraId="5E69630F" w14:textId="6E7B5E15"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73,97</w:t>
            </w:r>
          </w:p>
        </w:tc>
      </w:tr>
      <w:tr w:rsidR="00F15667" w:rsidRPr="00E44FC4" w14:paraId="0AF34900"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7BEB7859" w14:textId="77777777" w:rsidR="00C35F2D" w:rsidRPr="00E44FC4" w:rsidRDefault="00C35F2D" w:rsidP="00271895">
            <w:pPr>
              <w:spacing w:line="240" w:lineRule="auto"/>
              <w:jc w:val="left"/>
              <w:rPr>
                <w:rFonts w:eastAsia="Times New Roman"/>
                <w:szCs w:val="24"/>
                <w:lang w:eastAsia="cs-CZ"/>
              </w:rPr>
            </w:pPr>
            <w:r w:rsidRPr="00E44FC4">
              <w:rPr>
                <w:rFonts w:eastAsia="Times New Roman"/>
                <w:szCs w:val="24"/>
                <w:lang w:eastAsia="cs-CZ"/>
              </w:rPr>
              <w:t>KS Č. Budějovice</w:t>
            </w:r>
          </w:p>
        </w:tc>
        <w:tc>
          <w:tcPr>
            <w:tcW w:w="1348" w:type="dxa"/>
            <w:tcBorders>
              <w:top w:val="nil"/>
              <w:left w:val="nil"/>
              <w:bottom w:val="single" w:sz="4" w:space="0" w:color="auto"/>
              <w:right w:val="nil"/>
            </w:tcBorders>
            <w:shd w:val="clear" w:color="auto" w:fill="auto"/>
            <w:noWrap/>
            <w:vAlign w:val="center"/>
            <w:hideMark/>
          </w:tcPr>
          <w:p w14:paraId="1374F7C1"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66</w:t>
            </w:r>
          </w:p>
        </w:tc>
        <w:tc>
          <w:tcPr>
            <w:tcW w:w="1372" w:type="dxa"/>
            <w:tcBorders>
              <w:top w:val="nil"/>
              <w:left w:val="nil"/>
              <w:bottom w:val="single" w:sz="4" w:space="0" w:color="auto"/>
              <w:right w:val="nil"/>
            </w:tcBorders>
            <w:shd w:val="clear" w:color="auto" w:fill="auto"/>
            <w:noWrap/>
            <w:vAlign w:val="center"/>
            <w:hideMark/>
          </w:tcPr>
          <w:p w14:paraId="09515FB0"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38</w:t>
            </w:r>
          </w:p>
        </w:tc>
        <w:tc>
          <w:tcPr>
            <w:tcW w:w="1600" w:type="dxa"/>
            <w:tcBorders>
              <w:top w:val="nil"/>
              <w:left w:val="nil"/>
              <w:bottom w:val="single" w:sz="4" w:space="0" w:color="auto"/>
              <w:right w:val="nil"/>
            </w:tcBorders>
            <w:shd w:val="clear" w:color="auto" w:fill="auto"/>
            <w:noWrap/>
            <w:vAlign w:val="center"/>
            <w:hideMark/>
          </w:tcPr>
          <w:p w14:paraId="11D09BBC" w14:textId="4A6C2078"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63,46</w:t>
            </w:r>
          </w:p>
        </w:tc>
      </w:tr>
      <w:tr w:rsidR="00F15667" w:rsidRPr="00E44FC4" w14:paraId="233B31F4"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32444657" w14:textId="77777777" w:rsidR="00C35F2D" w:rsidRPr="00E44FC4" w:rsidRDefault="00C35F2D" w:rsidP="00271895">
            <w:pPr>
              <w:spacing w:line="240" w:lineRule="auto"/>
              <w:jc w:val="left"/>
              <w:rPr>
                <w:rFonts w:eastAsia="Times New Roman"/>
                <w:szCs w:val="24"/>
                <w:lang w:eastAsia="cs-CZ"/>
              </w:rPr>
            </w:pPr>
            <w:r w:rsidRPr="00E44FC4">
              <w:rPr>
                <w:rFonts w:eastAsia="Times New Roman"/>
                <w:szCs w:val="24"/>
                <w:lang w:eastAsia="cs-CZ"/>
              </w:rPr>
              <w:t>KS Plzeň</w:t>
            </w:r>
          </w:p>
        </w:tc>
        <w:tc>
          <w:tcPr>
            <w:tcW w:w="1348" w:type="dxa"/>
            <w:tcBorders>
              <w:top w:val="nil"/>
              <w:left w:val="nil"/>
              <w:bottom w:val="single" w:sz="4" w:space="0" w:color="auto"/>
              <w:right w:val="nil"/>
            </w:tcBorders>
            <w:shd w:val="clear" w:color="auto" w:fill="auto"/>
            <w:noWrap/>
            <w:vAlign w:val="center"/>
            <w:hideMark/>
          </w:tcPr>
          <w:p w14:paraId="004B3A12"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90</w:t>
            </w:r>
          </w:p>
        </w:tc>
        <w:tc>
          <w:tcPr>
            <w:tcW w:w="1372" w:type="dxa"/>
            <w:tcBorders>
              <w:top w:val="nil"/>
              <w:left w:val="nil"/>
              <w:bottom w:val="single" w:sz="4" w:space="0" w:color="auto"/>
              <w:right w:val="nil"/>
            </w:tcBorders>
            <w:shd w:val="clear" w:color="auto" w:fill="auto"/>
            <w:noWrap/>
            <w:vAlign w:val="center"/>
            <w:hideMark/>
          </w:tcPr>
          <w:p w14:paraId="60FF7C6F"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63</w:t>
            </w:r>
          </w:p>
        </w:tc>
        <w:tc>
          <w:tcPr>
            <w:tcW w:w="1600" w:type="dxa"/>
            <w:tcBorders>
              <w:top w:val="nil"/>
              <w:left w:val="nil"/>
              <w:bottom w:val="single" w:sz="4" w:space="0" w:color="auto"/>
              <w:right w:val="nil"/>
            </w:tcBorders>
            <w:shd w:val="clear" w:color="auto" w:fill="auto"/>
            <w:noWrap/>
            <w:vAlign w:val="center"/>
            <w:hideMark/>
          </w:tcPr>
          <w:p w14:paraId="44559B7F" w14:textId="2ADB9BDA"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58,82</w:t>
            </w:r>
          </w:p>
        </w:tc>
      </w:tr>
      <w:tr w:rsidR="00F15667" w:rsidRPr="00E44FC4" w14:paraId="643D4A3B"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30F816D0" w14:textId="77777777" w:rsidR="00C35F2D" w:rsidRPr="00E44FC4" w:rsidRDefault="00C35F2D" w:rsidP="00271895">
            <w:pPr>
              <w:spacing w:line="240" w:lineRule="auto"/>
              <w:jc w:val="left"/>
              <w:rPr>
                <w:rFonts w:eastAsia="Times New Roman"/>
                <w:szCs w:val="24"/>
                <w:lang w:eastAsia="cs-CZ"/>
              </w:rPr>
            </w:pPr>
            <w:r w:rsidRPr="00E44FC4">
              <w:rPr>
                <w:rFonts w:eastAsia="Times New Roman"/>
                <w:szCs w:val="24"/>
                <w:lang w:eastAsia="cs-CZ"/>
              </w:rPr>
              <w:t>KS Ústí n. Labem</w:t>
            </w:r>
          </w:p>
        </w:tc>
        <w:tc>
          <w:tcPr>
            <w:tcW w:w="1348" w:type="dxa"/>
            <w:tcBorders>
              <w:top w:val="nil"/>
              <w:left w:val="nil"/>
              <w:bottom w:val="single" w:sz="4" w:space="0" w:color="auto"/>
              <w:right w:val="nil"/>
            </w:tcBorders>
            <w:shd w:val="clear" w:color="auto" w:fill="auto"/>
            <w:noWrap/>
            <w:vAlign w:val="center"/>
            <w:hideMark/>
          </w:tcPr>
          <w:p w14:paraId="388FF3BE"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175</w:t>
            </w:r>
          </w:p>
        </w:tc>
        <w:tc>
          <w:tcPr>
            <w:tcW w:w="1372" w:type="dxa"/>
            <w:tcBorders>
              <w:top w:val="nil"/>
              <w:left w:val="nil"/>
              <w:bottom w:val="single" w:sz="4" w:space="0" w:color="auto"/>
              <w:right w:val="nil"/>
            </w:tcBorders>
            <w:shd w:val="clear" w:color="auto" w:fill="auto"/>
            <w:noWrap/>
            <w:vAlign w:val="center"/>
            <w:hideMark/>
          </w:tcPr>
          <w:p w14:paraId="0586931F"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105</w:t>
            </w:r>
          </w:p>
        </w:tc>
        <w:tc>
          <w:tcPr>
            <w:tcW w:w="1600" w:type="dxa"/>
            <w:tcBorders>
              <w:top w:val="nil"/>
              <w:left w:val="nil"/>
              <w:bottom w:val="single" w:sz="4" w:space="0" w:color="auto"/>
              <w:right w:val="nil"/>
            </w:tcBorders>
            <w:shd w:val="clear" w:color="auto" w:fill="auto"/>
            <w:noWrap/>
            <w:vAlign w:val="center"/>
            <w:hideMark/>
          </w:tcPr>
          <w:p w14:paraId="16C6D099" w14:textId="275CA406"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62,50</w:t>
            </w:r>
          </w:p>
        </w:tc>
      </w:tr>
      <w:tr w:rsidR="00F15667" w:rsidRPr="00E44FC4" w14:paraId="47733475"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1E55B2AC" w14:textId="77777777" w:rsidR="00C35F2D" w:rsidRPr="00E44FC4" w:rsidRDefault="00C35F2D" w:rsidP="00271895">
            <w:pPr>
              <w:spacing w:line="240" w:lineRule="auto"/>
              <w:jc w:val="left"/>
              <w:rPr>
                <w:rFonts w:eastAsia="Times New Roman"/>
                <w:szCs w:val="24"/>
                <w:lang w:eastAsia="cs-CZ"/>
              </w:rPr>
            </w:pPr>
            <w:r w:rsidRPr="00E44FC4">
              <w:rPr>
                <w:rFonts w:eastAsia="Times New Roman"/>
                <w:szCs w:val="24"/>
                <w:lang w:eastAsia="cs-CZ"/>
              </w:rPr>
              <w:t>KS Hr. Králové</w:t>
            </w:r>
          </w:p>
        </w:tc>
        <w:tc>
          <w:tcPr>
            <w:tcW w:w="1348" w:type="dxa"/>
            <w:tcBorders>
              <w:top w:val="nil"/>
              <w:left w:val="nil"/>
              <w:bottom w:val="single" w:sz="4" w:space="0" w:color="auto"/>
              <w:right w:val="nil"/>
            </w:tcBorders>
            <w:shd w:val="clear" w:color="auto" w:fill="auto"/>
            <w:noWrap/>
            <w:vAlign w:val="center"/>
            <w:hideMark/>
          </w:tcPr>
          <w:p w14:paraId="58B41FEA"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111</w:t>
            </w:r>
          </w:p>
        </w:tc>
        <w:tc>
          <w:tcPr>
            <w:tcW w:w="1372" w:type="dxa"/>
            <w:tcBorders>
              <w:top w:val="nil"/>
              <w:left w:val="nil"/>
              <w:bottom w:val="single" w:sz="4" w:space="0" w:color="auto"/>
              <w:right w:val="nil"/>
            </w:tcBorders>
            <w:shd w:val="clear" w:color="auto" w:fill="auto"/>
            <w:noWrap/>
            <w:vAlign w:val="center"/>
            <w:hideMark/>
          </w:tcPr>
          <w:p w14:paraId="11392D07"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60</w:t>
            </w:r>
          </w:p>
        </w:tc>
        <w:tc>
          <w:tcPr>
            <w:tcW w:w="1600" w:type="dxa"/>
            <w:tcBorders>
              <w:top w:val="nil"/>
              <w:left w:val="nil"/>
              <w:bottom w:val="single" w:sz="4" w:space="0" w:color="auto"/>
              <w:right w:val="nil"/>
            </w:tcBorders>
            <w:shd w:val="clear" w:color="auto" w:fill="auto"/>
            <w:noWrap/>
            <w:vAlign w:val="center"/>
            <w:hideMark/>
          </w:tcPr>
          <w:p w14:paraId="598110ED" w14:textId="1F7A56BA"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64,91</w:t>
            </w:r>
          </w:p>
        </w:tc>
      </w:tr>
      <w:tr w:rsidR="00F15667" w:rsidRPr="00E44FC4" w14:paraId="5C9A7933"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29B0369C" w14:textId="77777777" w:rsidR="00C35F2D" w:rsidRPr="00E44FC4" w:rsidRDefault="00C35F2D" w:rsidP="00271895">
            <w:pPr>
              <w:spacing w:line="240" w:lineRule="auto"/>
              <w:jc w:val="left"/>
              <w:rPr>
                <w:rFonts w:eastAsia="Times New Roman"/>
                <w:szCs w:val="24"/>
                <w:lang w:eastAsia="cs-CZ"/>
              </w:rPr>
            </w:pPr>
            <w:r w:rsidRPr="00E44FC4">
              <w:rPr>
                <w:rFonts w:eastAsia="Times New Roman"/>
                <w:szCs w:val="24"/>
                <w:lang w:eastAsia="cs-CZ"/>
              </w:rPr>
              <w:t>KS Brno</w:t>
            </w:r>
          </w:p>
        </w:tc>
        <w:tc>
          <w:tcPr>
            <w:tcW w:w="1348" w:type="dxa"/>
            <w:tcBorders>
              <w:top w:val="nil"/>
              <w:left w:val="nil"/>
              <w:bottom w:val="single" w:sz="4" w:space="0" w:color="auto"/>
              <w:right w:val="nil"/>
            </w:tcBorders>
            <w:shd w:val="clear" w:color="auto" w:fill="auto"/>
            <w:noWrap/>
            <w:vAlign w:val="center"/>
            <w:hideMark/>
          </w:tcPr>
          <w:p w14:paraId="682BCACC"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174</w:t>
            </w:r>
          </w:p>
        </w:tc>
        <w:tc>
          <w:tcPr>
            <w:tcW w:w="1372" w:type="dxa"/>
            <w:tcBorders>
              <w:top w:val="nil"/>
              <w:left w:val="nil"/>
              <w:bottom w:val="single" w:sz="4" w:space="0" w:color="auto"/>
              <w:right w:val="nil"/>
            </w:tcBorders>
            <w:shd w:val="clear" w:color="auto" w:fill="auto"/>
            <w:noWrap/>
            <w:vAlign w:val="center"/>
            <w:hideMark/>
          </w:tcPr>
          <w:p w14:paraId="730FE2ED"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106</w:t>
            </w:r>
          </w:p>
        </w:tc>
        <w:tc>
          <w:tcPr>
            <w:tcW w:w="1600" w:type="dxa"/>
            <w:tcBorders>
              <w:top w:val="nil"/>
              <w:left w:val="nil"/>
              <w:bottom w:val="single" w:sz="4" w:space="0" w:color="auto"/>
              <w:right w:val="nil"/>
            </w:tcBorders>
            <w:shd w:val="clear" w:color="auto" w:fill="auto"/>
            <w:noWrap/>
            <w:vAlign w:val="center"/>
            <w:hideMark/>
          </w:tcPr>
          <w:p w14:paraId="438190BD" w14:textId="34964396"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62,14</w:t>
            </w:r>
          </w:p>
        </w:tc>
      </w:tr>
      <w:tr w:rsidR="00F15667" w:rsidRPr="00E44FC4" w14:paraId="393BB79F" w14:textId="77777777" w:rsidTr="00271895">
        <w:trPr>
          <w:trHeight w:val="330"/>
        </w:trPr>
        <w:tc>
          <w:tcPr>
            <w:tcW w:w="2480" w:type="dxa"/>
            <w:tcBorders>
              <w:top w:val="nil"/>
              <w:left w:val="nil"/>
              <w:bottom w:val="double" w:sz="6" w:space="0" w:color="auto"/>
              <w:right w:val="nil"/>
            </w:tcBorders>
            <w:shd w:val="clear" w:color="auto" w:fill="auto"/>
            <w:noWrap/>
            <w:vAlign w:val="center"/>
            <w:hideMark/>
          </w:tcPr>
          <w:p w14:paraId="2D2891DD" w14:textId="77777777" w:rsidR="00C35F2D" w:rsidRPr="00E44FC4" w:rsidRDefault="00C35F2D" w:rsidP="00271895">
            <w:pPr>
              <w:spacing w:line="240" w:lineRule="auto"/>
              <w:jc w:val="left"/>
              <w:rPr>
                <w:rFonts w:eastAsia="Times New Roman"/>
                <w:szCs w:val="24"/>
                <w:lang w:eastAsia="cs-CZ"/>
              </w:rPr>
            </w:pPr>
            <w:r w:rsidRPr="00E44FC4">
              <w:rPr>
                <w:rFonts w:eastAsia="Times New Roman"/>
                <w:szCs w:val="24"/>
                <w:lang w:eastAsia="cs-CZ"/>
              </w:rPr>
              <w:t>KS Ostrava</w:t>
            </w:r>
          </w:p>
        </w:tc>
        <w:tc>
          <w:tcPr>
            <w:tcW w:w="1348" w:type="dxa"/>
            <w:tcBorders>
              <w:top w:val="nil"/>
              <w:left w:val="nil"/>
              <w:bottom w:val="double" w:sz="6" w:space="0" w:color="auto"/>
              <w:right w:val="nil"/>
            </w:tcBorders>
            <w:shd w:val="clear" w:color="auto" w:fill="auto"/>
            <w:noWrap/>
            <w:vAlign w:val="center"/>
            <w:hideMark/>
          </w:tcPr>
          <w:p w14:paraId="08709A30"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209</w:t>
            </w:r>
          </w:p>
        </w:tc>
        <w:tc>
          <w:tcPr>
            <w:tcW w:w="1372" w:type="dxa"/>
            <w:tcBorders>
              <w:top w:val="nil"/>
              <w:left w:val="nil"/>
              <w:bottom w:val="double" w:sz="6" w:space="0" w:color="auto"/>
              <w:right w:val="nil"/>
            </w:tcBorders>
            <w:shd w:val="clear" w:color="auto" w:fill="auto"/>
            <w:noWrap/>
            <w:vAlign w:val="center"/>
            <w:hideMark/>
          </w:tcPr>
          <w:p w14:paraId="62D7E12D" w14:textId="77777777"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98</w:t>
            </w:r>
          </w:p>
        </w:tc>
        <w:tc>
          <w:tcPr>
            <w:tcW w:w="1600" w:type="dxa"/>
            <w:tcBorders>
              <w:top w:val="nil"/>
              <w:left w:val="nil"/>
              <w:bottom w:val="double" w:sz="6" w:space="0" w:color="auto"/>
              <w:right w:val="nil"/>
            </w:tcBorders>
            <w:shd w:val="clear" w:color="auto" w:fill="auto"/>
            <w:noWrap/>
            <w:vAlign w:val="center"/>
            <w:hideMark/>
          </w:tcPr>
          <w:p w14:paraId="0EE66EF7" w14:textId="6D233EAD" w:rsidR="00C35F2D" w:rsidRPr="00E44FC4" w:rsidRDefault="00C35F2D" w:rsidP="00271895">
            <w:pPr>
              <w:spacing w:line="240" w:lineRule="auto"/>
              <w:jc w:val="center"/>
              <w:rPr>
                <w:rFonts w:eastAsia="Times New Roman"/>
                <w:szCs w:val="24"/>
                <w:lang w:eastAsia="cs-CZ"/>
              </w:rPr>
            </w:pPr>
            <w:r w:rsidRPr="00E44FC4">
              <w:rPr>
                <w:rFonts w:eastAsia="Times New Roman"/>
                <w:szCs w:val="24"/>
                <w:lang w:eastAsia="cs-CZ"/>
              </w:rPr>
              <w:t>68,08</w:t>
            </w:r>
          </w:p>
        </w:tc>
      </w:tr>
      <w:tr w:rsidR="00F15667" w:rsidRPr="00E44FC4" w14:paraId="2B5D6EF0" w14:textId="77777777" w:rsidTr="00271895">
        <w:trPr>
          <w:trHeight w:val="345"/>
        </w:trPr>
        <w:tc>
          <w:tcPr>
            <w:tcW w:w="2480" w:type="dxa"/>
            <w:tcBorders>
              <w:top w:val="nil"/>
              <w:left w:val="nil"/>
              <w:bottom w:val="double" w:sz="6" w:space="0" w:color="auto"/>
              <w:right w:val="nil"/>
            </w:tcBorders>
            <w:shd w:val="clear" w:color="auto" w:fill="auto"/>
            <w:noWrap/>
            <w:vAlign w:val="center"/>
            <w:hideMark/>
          </w:tcPr>
          <w:p w14:paraId="430029F3" w14:textId="77777777" w:rsidR="00C35F2D" w:rsidRPr="00E44FC4" w:rsidRDefault="00C35F2D" w:rsidP="00271895">
            <w:pPr>
              <w:spacing w:line="240" w:lineRule="auto"/>
              <w:jc w:val="left"/>
              <w:rPr>
                <w:rFonts w:eastAsia="Times New Roman"/>
                <w:b/>
                <w:bCs/>
                <w:szCs w:val="24"/>
                <w:lang w:eastAsia="cs-CZ"/>
              </w:rPr>
            </w:pPr>
            <w:r w:rsidRPr="00E44FC4">
              <w:rPr>
                <w:rFonts w:eastAsia="Times New Roman"/>
                <w:b/>
                <w:bCs/>
                <w:szCs w:val="24"/>
                <w:lang w:eastAsia="cs-CZ"/>
              </w:rPr>
              <w:t>Celkem ČR</w:t>
            </w:r>
          </w:p>
        </w:tc>
        <w:tc>
          <w:tcPr>
            <w:tcW w:w="1348" w:type="dxa"/>
            <w:tcBorders>
              <w:top w:val="nil"/>
              <w:left w:val="nil"/>
              <w:bottom w:val="double" w:sz="6" w:space="0" w:color="auto"/>
              <w:right w:val="nil"/>
            </w:tcBorders>
            <w:shd w:val="clear" w:color="auto" w:fill="auto"/>
            <w:noWrap/>
            <w:vAlign w:val="center"/>
            <w:hideMark/>
          </w:tcPr>
          <w:p w14:paraId="78562B49" w14:textId="33F776D2" w:rsidR="00C35F2D" w:rsidRPr="00E44FC4" w:rsidRDefault="00C35F2D" w:rsidP="00271895">
            <w:pPr>
              <w:spacing w:line="240" w:lineRule="auto"/>
              <w:jc w:val="center"/>
              <w:rPr>
                <w:rFonts w:eastAsia="Times New Roman"/>
                <w:b/>
                <w:bCs/>
                <w:szCs w:val="24"/>
                <w:lang w:eastAsia="cs-CZ"/>
              </w:rPr>
            </w:pPr>
            <w:r w:rsidRPr="00E44FC4">
              <w:rPr>
                <w:rFonts w:eastAsia="Times New Roman"/>
                <w:b/>
                <w:bCs/>
                <w:szCs w:val="24"/>
                <w:lang w:eastAsia="cs-CZ"/>
              </w:rPr>
              <w:t>1</w:t>
            </w:r>
            <w:r w:rsidR="0038112F" w:rsidRPr="00E44FC4">
              <w:rPr>
                <w:rFonts w:eastAsia="Times New Roman"/>
                <w:b/>
                <w:bCs/>
                <w:szCs w:val="24"/>
                <w:lang w:eastAsia="cs-CZ"/>
              </w:rPr>
              <w:t xml:space="preserve"> </w:t>
            </w:r>
            <w:r w:rsidRPr="00E44FC4">
              <w:rPr>
                <w:rFonts w:eastAsia="Times New Roman"/>
                <w:b/>
                <w:bCs/>
                <w:szCs w:val="24"/>
                <w:lang w:eastAsia="cs-CZ"/>
              </w:rPr>
              <w:t>213</w:t>
            </w:r>
          </w:p>
        </w:tc>
        <w:tc>
          <w:tcPr>
            <w:tcW w:w="1372" w:type="dxa"/>
            <w:tcBorders>
              <w:top w:val="nil"/>
              <w:left w:val="nil"/>
              <w:bottom w:val="double" w:sz="6" w:space="0" w:color="auto"/>
              <w:right w:val="nil"/>
            </w:tcBorders>
            <w:shd w:val="clear" w:color="auto" w:fill="auto"/>
            <w:noWrap/>
            <w:vAlign w:val="center"/>
            <w:hideMark/>
          </w:tcPr>
          <w:p w14:paraId="1CC791D3" w14:textId="77777777" w:rsidR="00C35F2D" w:rsidRPr="00E44FC4" w:rsidRDefault="00C35F2D" w:rsidP="00271895">
            <w:pPr>
              <w:spacing w:line="240" w:lineRule="auto"/>
              <w:jc w:val="center"/>
              <w:rPr>
                <w:rFonts w:eastAsia="Times New Roman"/>
                <w:b/>
                <w:bCs/>
                <w:szCs w:val="24"/>
                <w:lang w:eastAsia="cs-CZ"/>
              </w:rPr>
            </w:pPr>
            <w:r w:rsidRPr="00E44FC4">
              <w:rPr>
                <w:rFonts w:eastAsia="Times New Roman"/>
                <w:b/>
                <w:bCs/>
                <w:szCs w:val="24"/>
                <w:lang w:eastAsia="cs-CZ"/>
              </w:rPr>
              <w:t>606</w:t>
            </w:r>
          </w:p>
        </w:tc>
        <w:tc>
          <w:tcPr>
            <w:tcW w:w="1600" w:type="dxa"/>
            <w:tcBorders>
              <w:top w:val="nil"/>
              <w:left w:val="nil"/>
              <w:bottom w:val="double" w:sz="6" w:space="0" w:color="auto"/>
              <w:right w:val="nil"/>
            </w:tcBorders>
            <w:shd w:val="clear" w:color="auto" w:fill="auto"/>
            <w:noWrap/>
            <w:vAlign w:val="center"/>
            <w:hideMark/>
          </w:tcPr>
          <w:p w14:paraId="2F31FA56" w14:textId="34B90394" w:rsidR="00C35F2D" w:rsidRPr="00E44FC4" w:rsidRDefault="00C35F2D" w:rsidP="00271895">
            <w:pPr>
              <w:spacing w:line="240" w:lineRule="auto"/>
              <w:jc w:val="center"/>
              <w:rPr>
                <w:rFonts w:eastAsia="Times New Roman"/>
                <w:b/>
                <w:bCs/>
                <w:szCs w:val="24"/>
                <w:lang w:eastAsia="cs-CZ"/>
              </w:rPr>
            </w:pPr>
            <w:r w:rsidRPr="00E44FC4">
              <w:rPr>
                <w:rFonts w:eastAsia="Times New Roman"/>
                <w:b/>
                <w:bCs/>
                <w:szCs w:val="24"/>
                <w:lang w:eastAsia="cs-CZ"/>
              </w:rPr>
              <w:t>66,68</w:t>
            </w:r>
          </w:p>
        </w:tc>
      </w:tr>
      <w:tr w:rsidR="00F15667" w:rsidRPr="00E44FC4" w14:paraId="79F4B894" w14:textId="77777777" w:rsidTr="00271895">
        <w:trPr>
          <w:trHeight w:val="330"/>
        </w:trPr>
        <w:tc>
          <w:tcPr>
            <w:tcW w:w="2480" w:type="dxa"/>
            <w:tcBorders>
              <w:top w:val="nil"/>
              <w:left w:val="nil"/>
              <w:bottom w:val="nil"/>
              <w:right w:val="nil"/>
            </w:tcBorders>
            <w:shd w:val="clear" w:color="auto" w:fill="auto"/>
            <w:noWrap/>
            <w:vAlign w:val="center"/>
            <w:hideMark/>
          </w:tcPr>
          <w:p w14:paraId="3A75C1C8" w14:textId="77777777" w:rsidR="00C35F2D" w:rsidRPr="00E44FC4" w:rsidRDefault="00C35F2D" w:rsidP="00271895">
            <w:pPr>
              <w:spacing w:line="240" w:lineRule="auto"/>
              <w:jc w:val="center"/>
              <w:rPr>
                <w:rFonts w:eastAsia="Times New Roman"/>
                <w:b/>
                <w:bCs/>
                <w:szCs w:val="24"/>
                <w:lang w:eastAsia="cs-CZ"/>
              </w:rPr>
            </w:pPr>
          </w:p>
        </w:tc>
        <w:tc>
          <w:tcPr>
            <w:tcW w:w="1348" w:type="dxa"/>
            <w:tcBorders>
              <w:top w:val="nil"/>
              <w:left w:val="nil"/>
              <w:bottom w:val="nil"/>
              <w:right w:val="nil"/>
            </w:tcBorders>
            <w:shd w:val="clear" w:color="auto" w:fill="auto"/>
            <w:noWrap/>
            <w:vAlign w:val="center"/>
            <w:hideMark/>
          </w:tcPr>
          <w:p w14:paraId="5297F244" w14:textId="77777777" w:rsidR="00C35F2D" w:rsidRPr="00E44FC4" w:rsidRDefault="00C35F2D" w:rsidP="00271895">
            <w:pPr>
              <w:spacing w:line="240" w:lineRule="auto"/>
              <w:jc w:val="center"/>
              <w:rPr>
                <w:rFonts w:eastAsia="Times New Roman"/>
                <w:sz w:val="20"/>
                <w:szCs w:val="20"/>
                <w:lang w:eastAsia="cs-CZ"/>
              </w:rPr>
            </w:pPr>
          </w:p>
        </w:tc>
        <w:tc>
          <w:tcPr>
            <w:tcW w:w="1372" w:type="dxa"/>
            <w:tcBorders>
              <w:top w:val="nil"/>
              <w:left w:val="nil"/>
              <w:bottom w:val="nil"/>
              <w:right w:val="nil"/>
            </w:tcBorders>
            <w:shd w:val="clear" w:color="auto" w:fill="auto"/>
            <w:noWrap/>
            <w:vAlign w:val="center"/>
            <w:hideMark/>
          </w:tcPr>
          <w:p w14:paraId="2A360806" w14:textId="77777777" w:rsidR="00C35F2D" w:rsidRPr="00E44FC4" w:rsidRDefault="00C35F2D" w:rsidP="00271895">
            <w:pPr>
              <w:spacing w:line="240" w:lineRule="auto"/>
              <w:jc w:val="center"/>
              <w:rPr>
                <w:rFonts w:eastAsia="Times New Roman"/>
                <w:sz w:val="20"/>
                <w:szCs w:val="20"/>
                <w:lang w:eastAsia="cs-CZ"/>
              </w:rPr>
            </w:pPr>
          </w:p>
        </w:tc>
        <w:tc>
          <w:tcPr>
            <w:tcW w:w="1600" w:type="dxa"/>
            <w:tcBorders>
              <w:top w:val="nil"/>
              <w:left w:val="nil"/>
              <w:bottom w:val="nil"/>
              <w:right w:val="nil"/>
            </w:tcBorders>
            <w:shd w:val="clear" w:color="auto" w:fill="auto"/>
            <w:noWrap/>
            <w:vAlign w:val="center"/>
            <w:hideMark/>
          </w:tcPr>
          <w:p w14:paraId="75DEA88A" w14:textId="77777777" w:rsidR="00C35F2D" w:rsidRPr="00E44FC4" w:rsidRDefault="00C35F2D" w:rsidP="00271895">
            <w:pPr>
              <w:spacing w:line="240" w:lineRule="auto"/>
              <w:jc w:val="center"/>
              <w:rPr>
                <w:rFonts w:eastAsia="Times New Roman"/>
                <w:sz w:val="20"/>
                <w:szCs w:val="20"/>
                <w:lang w:eastAsia="cs-CZ"/>
              </w:rPr>
            </w:pPr>
          </w:p>
        </w:tc>
      </w:tr>
    </w:tbl>
    <w:p w14:paraId="7A8D8F32" w14:textId="03B0AD7E" w:rsidR="00C35F2D" w:rsidRPr="00E44FC4" w:rsidRDefault="00C35F2D" w:rsidP="00C35F2D">
      <w:pPr>
        <w:pStyle w:val="OdstavecASR"/>
      </w:pPr>
      <w:r w:rsidRPr="00E44FC4">
        <w:t>Oproti roku 2021 stoupl počet mužů o 5 a počet žen zůstal zcela stejný. Z toho plyne, že i podíl žen mezi soudci OS se oproti roku 2021 takřka nezměnil.</w:t>
      </w:r>
    </w:p>
    <w:p w14:paraId="14D38479" w14:textId="77777777" w:rsidR="00F65AB1" w:rsidRPr="00E44FC4" w:rsidRDefault="00C35F2D" w:rsidP="00C35F2D">
      <w:pPr>
        <w:pStyle w:val="OdstavecASR"/>
      </w:pPr>
      <w:r w:rsidRPr="00E44FC4">
        <w:t>V kontextu podílu žen mezi soudci dále můžeme sledovat jejich podíl mezi předsedy a místopředsedy soudů. Data jsou v tabulce níže. Data jsou k 1. 1. 2022</w:t>
      </w:r>
    </w:p>
    <w:p w14:paraId="186D2069" w14:textId="54A83477" w:rsidR="00F65AB1" w:rsidRPr="00E44FC4" w:rsidRDefault="00F65AB1" w:rsidP="00F65AB1">
      <w:pPr>
        <w:pStyle w:val="Podnadpis"/>
        <w:rPr>
          <w:color w:val="auto"/>
        </w:rPr>
      </w:pPr>
      <w:bookmarkStart w:id="61" w:name="_Toc11133205"/>
      <w:bookmarkStart w:id="62" w:name="_Toc43931176"/>
      <w:bookmarkStart w:id="63" w:name="_Toc75952306"/>
      <w:bookmarkStart w:id="64" w:name="_Toc106106765"/>
      <w:bookmarkStart w:id="65" w:name="_Toc144104242"/>
      <w:r w:rsidRPr="00E44FC4">
        <w:rPr>
          <w:color w:val="auto"/>
        </w:rPr>
        <w:t xml:space="preserve">Tabulka </w:t>
      </w:r>
      <w:r w:rsidRPr="00E44FC4">
        <w:rPr>
          <w:noProof/>
          <w:color w:val="auto"/>
        </w:rPr>
        <w:fldChar w:fldCharType="begin"/>
      </w:r>
      <w:r w:rsidRPr="00E44FC4">
        <w:rPr>
          <w:noProof/>
          <w:color w:val="auto"/>
        </w:rPr>
        <w:instrText xml:space="preserve"> SEQ Tabulka \* ARABIC </w:instrText>
      </w:r>
      <w:r w:rsidRPr="00E44FC4">
        <w:rPr>
          <w:noProof/>
          <w:color w:val="auto"/>
        </w:rPr>
        <w:fldChar w:fldCharType="separate"/>
      </w:r>
      <w:r w:rsidR="001E1A67">
        <w:rPr>
          <w:noProof/>
          <w:color w:val="auto"/>
        </w:rPr>
        <w:t>3</w:t>
      </w:r>
      <w:r w:rsidRPr="00E44FC4">
        <w:rPr>
          <w:noProof/>
          <w:color w:val="auto"/>
        </w:rPr>
        <w:fldChar w:fldCharType="end"/>
      </w:r>
      <w:r w:rsidRPr="00E44FC4">
        <w:rPr>
          <w:color w:val="auto"/>
        </w:rPr>
        <w:t>: OS – předsedové a místopředsedové okresních soudů</w:t>
      </w:r>
      <w:bookmarkEnd w:id="61"/>
      <w:bookmarkEnd w:id="62"/>
      <w:bookmarkEnd w:id="63"/>
      <w:bookmarkEnd w:id="64"/>
      <w:bookmarkEnd w:id="65"/>
    </w:p>
    <w:tbl>
      <w:tblPr>
        <w:tblW w:w="9072" w:type="dxa"/>
        <w:tblCellMar>
          <w:left w:w="70" w:type="dxa"/>
          <w:right w:w="70" w:type="dxa"/>
        </w:tblCellMar>
        <w:tblLook w:val="04A0" w:firstRow="1" w:lastRow="0" w:firstColumn="1" w:lastColumn="0" w:noHBand="0" w:noVBand="1"/>
      </w:tblPr>
      <w:tblGrid>
        <w:gridCol w:w="2220"/>
        <w:gridCol w:w="1182"/>
        <w:gridCol w:w="1134"/>
        <w:gridCol w:w="1134"/>
        <w:gridCol w:w="1134"/>
        <w:gridCol w:w="1134"/>
        <w:gridCol w:w="1134"/>
      </w:tblGrid>
      <w:tr w:rsidR="00F15667" w:rsidRPr="00E44FC4" w14:paraId="69511533" w14:textId="77777777" w:rsidTr="00271895">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3DB3E56B"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Nadřízený soud</w:t>
            </w:r>
          </w:p>
        </w:tc>
        <w:tc>
          <w:tcPr>
            <w:tcW w:w="2316" w:type="dxa"/>
            <w:gridSpan w:val="2"/>
            <w:tcBorders>
              <w:top w:val="double" w:sz="6" w:space="0" w:color="auto"/>
              <w:left w:val="nil"/>
              <w:bottom w:val="nil"/>
              <w:right w:val="nil"/>
            </w:tcBorders>
            <w:shd w:val="clear" w:color="auto" w:fill="auto"/>
            <w:noWrap/>
            <w:vAlign w:val="center"/>
            <w:hideMark/>
          </w:tcPr>
          <w:p w14:paraId="39750207"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Předsedové</w:t>
            </w:r>
          </w:p>
        </w:tc>
        <w:tc>
          <w:tcPr>
            <w:tcW w:w="1134" w:type="dxa"/>
            <w:vMerge w:val="restart"/>
            <w:tcBorders>
              <w:top w:val="double" w:sz="6" w:space="0" w:color="auto"/>
              <w:left w:val="nil"/>
              <w:bottom w:val="double" w:sz="6" w:space="0" w:color="000000"/>
              <w:right w:val="nil"/>
            </w:tcBorders>
            <w:shd w:val="clear" w:color="auto" w:fill="auto"/>
            <w:vAlign w:val="center"/>
            <w:hideMark/>
          </w:tcPr>
          <w:p w14:paraId="58DB9D4F" w14:textId="26251E63"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Podíl žen</w:t>
            </w:r>
            <w:r w:rsidR="00E44FC4" w:rsidRPr="00E44FC4">
              <w:rPr>
                <w:rFonts w:eastAsia="Times New Roman"/>
                <w:b/>
                <w:bCs/>
                <w:szCs w:val="24"/>
                <w:lang w:eastAsia="cs-CZ"/>
              </w:rPr>
              <w:t> </w:t>
            </w:r>
            <w:r w:rsidRPr="00E44FC4">
              <w:rPr>
                <w:rFonts w:eastAsia="Times New Roman"/>
                <w:b/>
                <w:bCs/>
                <w:szCs w:val="24"/>
                <w:lang w:eastAsia="cs-CZ"/>
              </w:rPr>
              <w:t>v</w:t>
            </w:r>
            <w:r w:rsidR="00E44FC4" w:rsidRPr="00E44FC4">
              <w:rPr>
                <w:rFonts w:eastAsia="Times New Roman"/>
                <w:b/>
                <w:bCs/>
                <w:szCs w:val="24"/>
                <w:lang w:eastAsia="cs-CZ"/>
              </w:rPr>
              <w:t> </w:t>
            </w:r>
            <w:r w:rsidRPr="00E44FC4">
              <w:rPr>
                <w:rFonts w:eastAsia="Times New Roman"/>
                <w:b/>
                <w:bCs/>
                <w:szCs w:val="24"/>
                <w:lang w:eastAsia="cs-CZ"/>
              </w:rPr>
              <w:t>%</w:t>
            </w:r>
          </w:p>
        </w:tc>
        <w:tc>
          <w:tcPr>
            <w:tcW w:w="2268" w:type="dxa"/>
            <w:gridSpan w:val="2"/>
            <w:tcBorders>
              <w:top w:val="double" w:sz="6" w:space="0" w:color="auto"/>
              <w:left w:val="nil"/>
              <w:bottom w:val="nil"/>
              <w:right w:val="nil"/>
            </w:tcBorders>
            <w:shd w:val="clear" w:color="auto" w:fill="auto"/>
            <w:noWrap/>
            <w:vAlign w:val="center"/>
            <w:hideMark/>
          </w:tcPr>
          <w:p w14:paraId="7C2EC693"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Místopředsedové</w:t>
            </w:r>
          </w:p>
        </w:tc>
        <w:tc>
          <w:tcPr>
            <w:tcW w:w="1134" w:type="dxa"/>
            <w:vMerge w:val="restart"/>
            <w:tcBorders>
              <w:top w:val="double" w:sz="6" w:space="0" w:color="auto"/>
              <w:left w:val="nil"/>
              <w:bottom w:val="double" w:sz="6" w:space="0" w:color="000000"/>
              <w:right w:val="nil"/>
            </w:tcBorders>
            <w:shd w:val="clear" w:color="auto" w:fill="auto"/>
            <w:vAlign w:val="center"/>
            <w:hideMark/>
          </w:tcPr>
          <w:p w14:paraId="2984DE4E" w14:textId="7041EDE6"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Podíl žen</w:t>
            </w:r>
            <w:r w:rsidR="00E44FC4" w:rsidRPr="00E44FC4">
              <w:rPr>
                <w:rFonts w:eastAsia="Times New Roman"/>
                <w:b/>
                <w:bCs/>
                <w:szCs w:val="24"/>
                <w:lang w:eastAsia="cs-CZ"/>
              </w:rPr>
              <w:t> </w:t>
            </w:r>
            <w:r w:rsidRPr="00E44FC4">
              <w:rPr>
                <w:rFonts w:eastAsia="Times New Roman"/>
                <w:b/>
                <w:bCs/>
                <w:szCs w:val="24"/>
                <w:lang w:eastAsia="cs-CZ"/>
              </w:rPr>
              <w:t>v</w:t>
            </w:r>
            <w:r w:rsidR="00E44FC4" w:rsidRPr="00E44FC4">
              <w:rPr>
                <w:rFonts w:eastAsia="Times New Roman"/>
                <w:b/>
                <w:bCs/>
                <w:szCs w:val="24"/>
                <w:lang w:eastAsia="cs-CZ"/>
              </w:rPr>
              <w:t> </w:t>
            </w:r>
            <w:r w:rsidRPr="00E44FC4">
              <w:rPr>
                <w:rFonts w:eastAsia="Times New Roman"/>
                <w:b/>
                <w:bCs/>
                <w:szCs w:val="24"/>
                <w:lang w:eastAsia="cs-CZ"/>
              </w:rPr>
              <w:t>%</w:t>
            </w:r>
          </w:p>
        </w:tc>
      </w:tr>
      <w:tr w:rsidR="00F15667" w:rsidRPr="00E44FC4" w14:paraId="4F914C83" w14:textId="77777777" w:rsidTr="00271895">
        <w:trPr>
          <w:trHeight w:val="330"/>
        </w:trPr>
        <w:tc>
          <w:tcPr>
            <w:tcW w:w="2220" w:type="dxa"/>
            <w:vMerge/>
            <w:tcBorders>
              <w:top w:val="double" w:sz="6" w:space="0" w:color="auto"/>
              <w:left w:val="nil"/>
              <w:bottom w:val="double" w:sz="6" w:space="0" w:color="000000"/>
              <w:right w:val="nil"/>
            </w:tcBorders>
            <w:vAlign w:val="center"/>
            <w:hideMark/>
          </w:tcPr>
          <w:p w14:paraId="66A72E93" w14:textId="77777777" w:rsidR="00F65AB1" w:rsidRPr="00E44FC4" w:rsidRDefault="00F65AB1" w:rsidP="00F65AB1">
            <w:pPr>
              <w:spacing w:line="240" w:lineRule="auto"/>
              <w:jc w:val="left"/>
              <w:rPr>
                <w:rFonts w:eastAsia="Times New Roman"/>
                <w:b/>
                <w:bCs/>
                <w:szCs w:val="24"/>
                <w:lang w:eastAsia="cs-CZ"/>
              </w:rPr>
            </w:pPr>
          </w:p>
        </w:tc>
        <w:tc>
          <w:tcPr>
            <w:tcW w:w="1182" w:type="dxa"/>
            <w:tcBorders>
              <w:top w:val="nil"/>
              <w:left w:val="nil"/>
              <w:bottom w:val="double" w:sz="6" w:space="0" w:color="auto"/>
              <w:right w:val="nil"/>
            </w:tcBorders>
            <w:shd w:val="clear" w:color="auto" w:fill="auto"/>
            <w:noWrap/>
            <w:vAlign w:val="center"/>
            <w:hideMark/>
          </w:tcPr>
          <w:p w14:paraId="36B2B091"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Žen</w:t>
            </w:r>
          </w:p>
        </w:tc>
        <w:tc>
          <w:tcPr>
            <w:tcW w:w="1134" w:type="dxa"/>
            <w:tcBorders>
              <w:top w:val="nil"/>
              <w:left w:val="nil"/>
              <w:bottom w:val="double" w:sz="6" w:space="0" w:color="auto"/>
              <w:right w:val="nil"/>
            </w:tcBorders>
            <w:shd w:val="clear" w:color="auto" w:fill="auto"/>
            <w:noWrap/>
            <w:vAlign w:val="center"/>
            <w:hideMark/>
          </w:tcPr>
          <w:p w14:paraId="002C8B7D"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Mužů</w:t>
            </w:r>
          </w:p>
        </w:tc>
        <w:tc>
          <w:tcPr>
            <w:tcW w:w="1134" w:type="dxa"/>
            <w:vMerge/>
            <w:tcBorders>
              <w:top w:val="double" w:sz="6" w:space="0" w:color="auto"/>
              <w:left w:val="nil"/>
              <w:bottom w:val="double" w:sz="6" w:space="0" w:color="000000"/>
              <w:right w:val="nil"/>
            </w:tcBorders>
            <w:vAlign w:val="center"/>
            <w:hideMark/>
          </w:tcPr>
          <w:p w14:paraId="47EFE199" w14:textId="77777777" w:rsidR="00F65AB1" w:rsidRPr="00E44FC4" w:rsidRDefault="00F65AB1" w:rsidP="00F65AB1">
            <w:pPr>
              <w:spacing w:line="240" w:lineRule="auto"/>
              <w:jc w:val="left"/>
              <w:rPr>
                <w:rFonts w:eastAsia="Times New Roman"/>
                <w:b/>
                <w:bCs/>
                <w:szCs w:val="24"/>
                <w:lang w:eastAsia="cs-CZ"/>
              </w:rPr>
            </w:pPr>
          </w:p>
        </w:tc>
        <w:tc>
          <w:tcPr>
            <w:tcW w:w="1134" w:type="dxa"/>
            <w:tcBorders>
              <w:top w:val="nil"/>
              <w:left w:val="nil"/>
              <w:bottom w:val="double" w:sz="6" w:space="0" w:color="auto"/>
              <w:right w:val="nil"/>
            </w:tcBorders>
            <w:shd w:val="clear" w:color="auto" w:fill="auto"/>
            <w:noWrap/>
            <w:vAlign w:val="center"/>
            <w:hideMark/>
          </w:tcPr>
          <w:p w14:paraId="58AE8459"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Žen</w:t>
            </w:r>
          </w:p>
        </w:tc>
        <w:tc>
          <w:tcPr>
            <w:tcW w:w="1134" w:type="dxa"/>
            <w:tcBorders>
              <w:top w:val="nil"/>
              <w:left w:val="nil"/>
              <w:bottom w:val="double" w:sz="6" w:space="0" w:color="auto"/>
              <w:right w:val="nil"/>
            </w:tcBorders>
            <w:shd w:val="clear" w:color="auto" w:fill="auto"/>
            <w:noWrap/>
            <w:vAlign w:val="center"/>
            <w:hideMark/>
          </w:tcPr>
          <w:p w14:paraId="3A18236C"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Mužů</w:t>
            </w:r>
          </w:p>
        </w:tc>
        <w:tc>
          <w:tcPr>
            <w:tcW w:w="1134" w:type="dxa"/>
            <w:vMerge/>
            <w:tcBorders>
              <w:top w:val="double" w:sz="6" w:space="0" w:color="auto"/>
              <w:left w:val="nil"/>
              <w:bottom w:val="double" w:sz="6" w:space="0" w:color="000000"/>
              <w:right w:val="nil"/>
            </w:tcBorders>
            <w:vAlign w:val="center"/>
            <w:hideMark/>
          </w:tcPr>
          <w:p w14:paraId="4B13BEF3" w14:textId="77777777" w:rsidR="00F65AB1" w:rsidRPr="00E44FC4" w:rsidRDefault="00F65AB1" w:rsidP="00F65AB1">
            <w:pPr>
              <w:spacing w:line="240" w:lineRule="auto"/>
              <w:jc w:val="left"/>
              <w:rPr>
                <w:rFonts w:eastAsia="Times New Roman"/>
                <w:b/>
                <w:bCs/>
                <w:szCs w:val="24"/>
                <w:lang w:eastAsia="cs-CZ"/>
              </w:rPr>
            </w:pPr>
          </w:p>
        </w:tc>
      </w:tr>
      <w:tr w:rsidR="00F15667" w:rsidRPr="00E44FC4" w14:paraId="02B6370A" w14:textId="77777777" w:rsidTr="00271895">
        <w:trPr>
          <w:trHeight w:val="330"/>
        </w:trPr>
        <w:tc>
          <w:tcPr>
            <w:tcW w:w="2220" w:type="dxa"/>
            <w:tcBorders>
              <w:top w:val="single" w:sz="4" w:space="0" w:color="auto"/>
              <w:left w:val="nil"/>
              <w:bottom w:val="single" w:sz="4" w:space="0" w:color="auto"/>
              <w:right w:val="nil"/>
            </w:tcBorders>
            <w:shd w:val="clear" w:color="auto" w:fill="auto"/>
            <w:noWrap/>
            <w:vAlign w:val="bottom"/>
            <w:hideMark/>
          </w:tcPr>
          <w:p w14:paraId="14312E6F" w14:textId="77777777" w:rsidR="00F65AB1" w:rsidRPr="00E44FC4" w:rsidRDefault="00F65AB1" w:rsidP="00F65AB1">
            <w:pPr>
              <w:spacing w:line="240" w:lineRule="auto"/>
              <w:jc w:val="left"/>
              <w:rPr>
                <w:rFonts w:eastAsia="Times New Roman"/>
                <w:szCs w:val="24"/>
                <w:lang w:eastAsia="cs-CZ"/>
              </w:rPr>
            </w:pPr>
            <w:r w:rsidRPr="00E44FC4">
              <w:rPr>
                <w:rFonts w:eastAsia="Times New Roman"/>
                <w:szCs w:val="24"/>
                <w:lang w:eastAsia="cs-CZ"/>
              </w:rPr>
              <w:t>MS Praha</w:t>
            </w:r>
          </w:p>
        </w:tc>
        <w:tc>
          <w:tcPr>
            <w:tcW w:w="1182" w:type="dxa"/>
            <w:tcBorders>
              <w:top w:val="single" w:sz="4" w:space="0" w:color="auto"/>
              <w:left w:val="nil"/>
              <w:bottom w:val="single" w:sz="4" w:space="0" w:color="auto"/>
              <w:right w:val="nil"/>
            </w:tcBorders>
            <w:shd w:val="clear" w:color="auto" w:fill="auto"/>
            <w:noWrap/>
            <w:vAlign w:val="bottom"/>
            <w:hideMark/>
          </w:tcPr>
          <w:p w14:paraId="3DCF20EE"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single" w:sz="4" w:space="0" w:color="auto"/>
              <w:left w:val="nil"/>
              <w:bottom w:val="single" w:sz="4" w:space="0" w:color="auto"/>
              <w:right w:val="nil"/>
            </w:tcBorders>
            <w:shd w:val="clear" w:color="auto" w:fill="auto"/>
            <w:noWrap/>
            <w:vAlign w:val="bottom"/>
            <w:hideMark/>
          </w:tcPr>
          <w:p w14:paraId="4E2F24AD"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single" w:sz="4" w:space="0" w:color="auto"/>
              <w:left w:val="nil"/>
              <w:bottom w:val="single" w:sz="4" w:space="0" w:color="auto"/>
              <w:right w:val="nil"/>
            </w:tcBorders>
            <w:shd w:val="clear" w:color="auto" w:fill="auto"/>
            <w:noWrap/>
            <w:vAlign w:val="bottom"/>
            <w:hideMark/>
          </w:tcPr>
          <w:p w14:paraId="019ECF01" w14:textId="350C53EB"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50</w:t>
            </w:r>
            <w:r w:rsidR="00770471" w:rsidRPr="00E44FC4">
              <w:rPr>
                <w:rFonts w:eastAsia="Times New Roman"/>
                <w:szCs w:val="24"/>
                <w:lang w:eastAsia="cs-CZ"/>
              </w:rPr>
              <w:t>,</w:t>
            </w:r>
            <w:r w:rsidRPr="00E44FC4">
              <w:rPr>
                <w:rFonts w:eastAsia="Times New Roman"/>
                <w:szCs w:val="24"/>
                <w:lang w:eastAsia="cs-CZ"/>
              </w:rPr>
              <w:t>00</w:t>
            </w:r>
          </w:p>
        </w:tc>
        <w:tc>
          <w:tcPr>
            <w:tcW w:w="1134" w:type="dxa"/>
            <w:tcBorders>
              <w:top w:val="single" w:sz="4" w:space="0" w:color="auto"/>
              <w:left w:val="nil"/>
              <w:bottom w:val="single" w:sz="4" w:space="0" w:color="auto"/>
              <w:right w:val="nil"/>
            </w:tcBorders>
            <w:shd w:val="clear" w:color="auto" w:fill="auto"/>
            <w:noWrap/>
            <w:vAlign w:val="bottom"/>
            <w:hideMark/>
          </w:tcPr>
          <w:p w14:paraId="4477F7C9"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20</w:t>
            </w:r>
          </w:p>
        </w:tc>
        <w:tc>
          <w:tcPr>
            <w:tcW w:w="1134" w:type="dxa"/>
            <w:tcBorders>
              <w:top w:val="single" w:sz="4" w:space="0" w:color="auto"/>
              <w:left w:val="nil"/>
              <w:bottom w:val="single" w:sz="4" w:space="0" w:color="auto"/>
              <w:right w:val="nil"/>
            </w:tcBorders>
            <w:shd w:val="clear" w:color="auto" w:fill="auto"/>
            <w:noWrap/>
            <w:vAlign w:val="bottom"/>
            <w:hideMark/>
          </w:tcPr>
          <w:p w14:paraId="4969AA1E"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4</w:t>
            </w:r>
          </w:p>
        </w:tc>
        <w:tc>
          <w:tcPr>
            <w:tcW w:w="1134" w:type="dxa"/>
            <w:tcBorders>
              <w:top w:val="single" w:sz="4" w:space="0" w:color="auto"/>
              <w:left w:val="nil"/>
              <w:bottom w:val="single" w:sz="4" w:space="0" w:color="auto"/>
              <w:right w:val="nil"/>
            </w:tcBorders>
            <w:shd w:val="clear" w:color="auto" w:fill="auto"/>
            <w:noWrap/>
            <w:vAlign w:val="bottom"/>
            <w:hideMark/>
          </w:tcPr>
          <w:p w14:paraId="75B02CDE" w14:textId="63C64C74"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83</w:t>
            </w:r>
            <w:r w:rsidR="00770471" w:rsidRPr="00E44FC4">
              <w:rPr>
                <w:rFonts w:eastAsia="Times New Roman"/>
                <w:szCs w:val="24"/>
                <w:lang w:eastAsia="cs-CZ"/>
              </w:rPr>
              <w:t>,</w:t>
            </w:r>
            <w:r w:rsidRPr="00E44FC4">
              <w:rPr>
                <w:rFonts w:eastAsia="Times New Roman"/>
                <w:szCs w:val="24"/>
                <w:lang w:eastAsia="cs-CZ"/>
              </w:rPr>
              <w:t>33</w:t>
            </w:r>
          </w:p>
        </w:tc>
      </w:tr>
      <w:tr w:rsidR="00F15667" w:rsidRPr="00E44FC4" w14:paraId="3644224A" w14:textId="77777777" w:rsidTr="00271895">
        <w:trPr>
          <w:trHeight w:val="315"/>
        </w:trPr>
        <w:tc>
          <w:tcPr>
            <w:tcW w:w="2220" w:type="dxa"/>
            <w:tcBorders>
              <w:top w:val="nil"/>
              <w:left w:val="nil"/>
              <w:bottom w:val="single" w:sz="4" w:space="0" w:color="auto"/>
              <w:right w:val="nil"/>
            </w:tcBorders>
            <w:shd w:val="clear" w:color="auto" w:fill="auto"/>
            <w:noWrap/>
            <w:vAlign w:val="bottom"/>
            <w:hideMark/>
          </w:tcPr>
          <w:p w14:paraId="236A2DD0" w14:textId="77777777" w:rsidR="00F65AB1" w:rsidRPr="00E44FC4" w:rsidRDefault="00F65AB1" w:rsidP="00F65AB1">
            <w:pPr>
              <w:spacing w:line="240" w:lineRule="auto"/>
              <w:jc w:val="left"/>
              <w:rPr>
                <w:rFonts w:eastAsia="Times New Roman"/>
                <w:szCs w:val="24"/>
                <w:lang w:eastAsia="cs-CZ"/>
              </w:rPr>
            </w:pPr>
            <w:r w:rsidRPr="00E44FC4">
              <w:rPr>
                <w:rFonts w:eastAsia="Times New Roman"/>
                <w:szCs w:val="24"/>
                <w:lang w:eastAsia="cs-CZ"/>
              </w:rPr>
              <w:t>KS Praha</w:t>
            </w:r>
          </w:p>
        </w:tc>
        <w:tc>
          <w:tcPr>
            <w:tcW w:w="1182" w:type="dxa"/>
            <w:tcBorders>
              <w:top w:val="nil"/>
              <w:left w:val="nil"/>
              <w:bottom w:val="single" w:sz="4" w:space="0" w:color="auto"/>
              <w:right w:val="nil"/>
            </w:tcBorders>
            <w:shd w:val="clear" w:color="auto" w:fill="auto"/>
            <w:noWrap/>
            <w:vAlign w:val="bottom"/>
            <w:hideMark/>
          </w:tcPr>
          <w:p w14:paraId="3B6C3A5D"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8</w:t>
            </w:r>
          </w:p>
        </w:tc>
        <w:tc>
          <w:tcPr>
            <w:tcW w:w="1134" w:type="dxa"/>
            <w:tcBorders>
              <w:top w:val="nil"/>
              <w:left w:val="nil"/>
              <w:bottom w:val="single" w:sz="4" w:space="0" w:color="auto"/>
              <w:right w:val="nil"/>
            </w:tcBorders>
            <w:shd w:val="clear" w:color="auto" w:fill="auto"/>
            <w:noWrap/>
            <w:vAlign w:val="bottom"/>
            <w:hideMark/>
          </w:tcPr>
          <w:p w14:paraId="4207DC4C"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4</w:t>
            </w:r>
          </w:p>
        </w:tc>
        <w:tc>
          <w:tcPr>
            <w:tcW w:w="1134" w:type="dxa"/>
            <w:tcBorders>
              <w:top w:val="nil"/>
              <w:left w:val="nil"/>
              <w:bottom w:val="single" w:sz="4" w:space="0" w:color="auto"/>
              <w:right w:val="nil"/>
            </w:tcBorders>
            <w:shd w:val="clear" w:color="auto" w:fill="auto"/>
            <w:noWrap/>
            <w:vAlign w:val="bottom"/>
            <w:hideMark/>
          </w:tcPr>
          <w:p w14:paraId="429B39A2" w14:textId="4BB1B98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66</w:t>
            </w:r>
            <w:r w:rsidR="00770471" w:rsidRPr="00E44FC4">
              <w:rPr>
                <w:rFonts w:eastAsia="Times New Roman"/>
                <w:szCs w:val="24"/>
                <w:lang w:eastAsia="cs-CZ"/>
              </w:rPr>
              <w:t>,</w:t>
            </w:r>
            <w:r w:rsidRPr="00E44FC4">
              <w:rPr>
                <w:rFonts w:eastAsia="Times New Roman"/>
                <w:szCs w:val="24"/>
                <w:lang w:eastAsia="cs-CZ"/>
              </w:rPr>
              <w:t>67</w:t>
            </w:r>
          </w:p>
        </w:tc>
        <w:tc>
          <w:tcPr>
            <w:tcW w:w="1134" w:type="dxa"/>
            <w:tcBorders>
              <w:top w:val="nil"/>
              <w:left w:val="nil"/>
              <w:bottom w:val="single" w:sz="4" w:space="0" w:color="auto"/>
              <w:right w:val="nil"/>
            </w:tcBorders>
            <w:shd w:val="clear" w:color="auto" w:fill="auto"/>
            <w:noWrap/>
            <w:vAlign w:val="bottom"/>
            <w:hideMark/>
          </w:tcPr>
          <w:p w14:paraId="57FED683"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9</w:t>
            </w:r>
          </w:p>
        </w:tc>
        <w:tc>
          <w:tcPr>
            <w:tcW w:w="1134" w:type="dxa"/>
            <w:tcBorders>
              <w:top w:val="nil"/>
              <w:left w:val="nil"/>
              <w:bottom w:val="single" w:sz="4" w:space="0" w:color="auto"/>
              <w:right w:val="nil"/>
            </w:tcBorders>
            <w:shd w:val="clear" w:color="auto" w:fill="auto"/>
            <w:noWrap/>
            <w:vAlign w:val="bottom"/>
            <w:hideMark/>
          </w:tcPr>
          <w:p w14:paraId="6678578C"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7</w:t>
            </w:r>
          </w:p>
        </w:tc>
        <w:tc>
          <w:tcPr>
            <w:tcW w:w="1134" w:type="dxa"/>
            <w:tcBorders>
              <w:top w:val="nil"/>
              <w:left w:val="nil"/>
              <w:bottom w:val="single" w:sz="4" w:space="0" w:color="auto"/>
              <w:right w:val="nil"/>
            </w:tcBorders>
            <w:shd w:val="clear" w:color="auto" w:fill="auto"/>
            <w:noWrap/>
            <w:vAlign w:val="bottom"/>
            <w:hideMark/>
          </w:tcPr>
          <w:p w14:paraId="31C38EA5" w14:textId="62F42765"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56</w:t>
            </w:r>
            <w:r w:rsidR="00770471" w:rsidRPr="00E44FC4">
              <w:rPr>
                <w:rFonts w:eastAsia="Times New Roman"/>
                <w:szCs w:val="24"/>
                <w:lang w:eastAsia="cs-CZ"/>
              </w:rPr>
              <w:t>,</w:t>
            </w:r>
            <w:r w:rsidRPr="00E44FC4">
              <w:rPr>
                <w:rFonts w:eastAsia="Times New Roman"/>
                <w:szCs w:val="24"/>
                <w:lang w:eastAsia="cs-CZ"/>
              </w:rPr>
              <w:t>25</w:t>
            </w:r>
          </w:p>
        </w:tc>
      </w:tr>
      <w:tr w:rsidR="00F15667" w:rsidRPr="00E44FC4" w14:paraId="14D40A13" w14:textId="77777777" w:rsidTr="00271895">
        <w:trPr>
          <w:trHeight w:val="315"/>
        </w:trPr>
        <w:tc>
          <w:tcPr>
            <w:tcW w:w="2220" w:type="dxa"/>
            <w:tcBorders>
              <w:top w:val="nil"/>
              <w:left w:val="nil"/>
              <w:bottom w:val="single" w:sz="4" w:space="0" w:color="auto"/>
              <w:right w:val="nil"/>
            </w:tcBorders>
            <w:shd w:val="clear" w:color="auto" w:fill="auto"/>
            <w:noWrap/>
            <w:vAlign w:val="bottom"/>
            <w:hideMark/>
          </w:tcPr>
          <w:p w14:paraId="6EE43C42" w14:textId="77777777" w:rsidR="00F65AB1" w:rsidRPr="00E44FC4" w:rsidRDefault="00F65AB1" w:rsidP="00F65AB1">
            <w:pPr>
              <w:spacing w:line="240" w:lineRule="auto"/>
              <w:jc w:val="left"/>
              <w:rPr>
                <w:rFonts w:eastAsia="Times New Roman"/>
                <w:szCs w:val="24"/>
                <w:lang w:eastAsia="cs-CZ"/>
              </w:rPr>
            </w:pPr>
            <w:r w:rsidRPr="00E44FC4">
              <w:rPr>
                <w:rFonts w:eastAsia="Times New Roman"/>
                <w:szCs w:val="24"/>
                <w:lang w:eastAsia="cs-CZ"/>
              </w:rPr>
              <w:t>KS Č. Budějovice</w:t>
            </w:r>
          </w:p>
        </w:tc>
        <w:tc>
          <w:tcPr>
            <w:tcW w:w="1182" w:type="dxa"/>
            <w:tcBorders>
              <w:top w:val="nil"/>
              <w:left w:val="nil"/>
              <w:bottom w:val="single" w:sz="4" w:space="0" w:color="auto"/>
              <w:right w:val="nil"/>
            </w:tcBorders>
            <w:shd w:val="clear" w:color="auto" w:fill="auto"/>
            <w:noWrap/>
            <w:vAlign w:val="bottom"/>
            <w:hideMark/>
          </w:tcPr>
          <w:p w14:paraId="44E8A5D7"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2C2EF84E"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3</w:t>
            </w:r>
          </w:p>
        </w:tc>
        <w:tc>
          <w:tcPr>
            <w:tcW w:w="1134" w:type="dxa"/>
            <w:tcBorders>
              <w:top w:val="nil"/>
              <w:left w:val="nil"/>
              <w:bottom w:val="single" w:sz="4" w:space="0" w:color="auto"/>
              <w:right w:val="nil"/>
            </w:tcBorders>
            <w:shd w:val="clear" w:color="auto" w:fill="auto"/>
            <w:noWrap/>
            <w:vAlign w:val="bottom"/>
            <w:hideMark/>
          </w:tcPr>
          <w:p w14:paraId="20F8A1F4" w14:textId="0D6950D3"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62</w:t>
            </w:r>
            <w:r w:rsidR="00770471" w:rsidRPr="00E44FC4">
              <w:rPr>
                <w:rFonts w:eastAsia="Times New Roman"/>
                <w:szCs w:val="24"/>
                <w:lang w:eastAsia="cs-CZ"/>
              </w:rPr>
              <w:t>,</w:t>
            </w:r>
            <w:r w:rsidRPr="00E44FC4">
              <w:rPr>
                <w:rFonts w:eastAsia="Times New Roman"/>
                <w:szCs w:val="24"/>
                <w:lang w:eastAsia="cs-CZ"/>
              </w:rPr>
              <w:t>50</w:t>
            </w:r>
          </w:p>
        </w:tc>
        <w:tc>
          <w:tcPr>
            <w:tcW w:w="1134" w:type="dxa"/>
            <w:tcBorders>
              <w:top w:val="nil"/>
              <w:left w:val="nil"/>
              <w:bottom w:val="single" w:sz="4" w:space="0" w:color="auto"/>
              <w:right w:val="nil"/>
            </w:tcBorders>
            <w:shd w:val="clear" w:color="auto" w:fill="auto"/>
            <w:noWrap/>
            <w:vAlign w:val="bottom"/>
            <w:hideMark/>
          </w:tcPr>
          <w:p w14:paraId="7D69CA67"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5E86DD88"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4</w:t>
            </w:r>
          </w:p>
        </w:tc>
        <w:tc>
          <w:tcPr>
            <w:tcW w:w="1134" w:type="dxa"/>
            <w:tcBorders>
              <w:top w:val="nil"/>
              <w:left w:val="nil"/>
              <w:bottom w:val="single" w:sz="4" w:space="0" w:color="auto"/>
              <w:right w:val="nil"/>
            </w:tcBorders>
            <w:shd w:val="clear" w:color="auto" w:fill="auto"/>
            <w:noWrap/>
            <w:vAlign w:val="bottom"/>
            <w:hideMark/>
          </w:tcPr>
          <w:p w14:paraId="76ED9E04" w14:textId="2CA37F5B"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55</w:t>
            </w:r>
            <w:r w:rsidR="00770471" w:rsidRPr="00E44FC4">
              <w:rPr>
                <w:rFonts w:eastAsia="Times New Roman"/>
                <w:szCs w:val="24"/>
                <w:lang w:eastAsia="cs-CZ"/>
              </w:rPr>
              <w:t>,</w:t>
            </w:r>
            <w:r w:rsidRPr="00E44FC4">
              <w:rPr>
                <w:rFonts w:eastAsia="Times New Roman"/>
                <w:szCs w:val="24"/>
                <w:lang w:eastAsia="cs-CZ"/>
              </w:rPr>
              <w:t>56</w:t>
            </w:r>
          </w:p>
        </w:tc>
      </w:tr>
      <w:tr w:rsidR="00F15667" w:rsidRPr="00E44FC4" w14:paraId="710C6CD2" w14:textId="77777777" w:rsidTr="00271895">
        <w:trPr>
          <w:trHeight w:val="315"/>
        </w:trPr>
        <w:tc>
          <w:tcPr>
            <w:tcW w:w="2220" w:type="dxa"/>
            <w:tcBorders>
              <w:top w:val="nil"/>
              <w:left w:val="nil"/>
              <w:bottom w:val="single" w:sz="4" w:space="0" w:color="auto"/>
              <w:right w:val="nil"/>
            </w:tcBorders>
            <w:shd w:val="clear" w:color="auto" w:fill="auto"/>
            <w:noWrap/>
            <w:vAlign w:val="bottom"/>
            <w:hideMark/>
          </w:tcPr>
          <w:p w14:paraId="25932FE1" w14:textId="77777777" w:rsidR="00F65AB1" w:rsidRPr="00E44FC4" w:rsidRDefault="00F65AB1" w:rsidP="00F65AB1">
            <w:pPr>
              <w:spacing w:line="240" w:lineRule="auto"/>
              <w:jc w:val="left"/>
              <w:rPr>
                <w:rFonts w:eastAsia="Times New Roman"/>
                <w:szCs w:val="24"/>
                <w:lang w:eastAsia="cs-CZ"/>
              </w:rPr>
            </w:pPr>
            <w:r w:rsidRPr="00E44FC4">
              <w:rPr>
                <w:rFonts w:eastAsia="Times New Roman"/>
                <w:szCs w:val="24"/>
                <w:lang w:eastAsia="cs-CZ"/>
              </w:rPr>
              <w:t>KS Plzeň</w:t>
            </w:r>
          </w:p>
        </w:tc>
        <w:tc>
          <w:tcPr>
            <w:tcW w:w="1182" w:type="dxa"/>
            <w:tcBorders>
              <w:top w:val="nil"/>
              <w:left w:val="nil"/>
              <w:bottom w:val="single" w:sz="4" w:space="0" w:color="auto"/>
              <w:right w:val="nil"/>
            </w:tcBorders>
            <w:shd w:val="clear" w:color="auto" w:fill="auto"/>
            <w:noWrap/>
            <w:vAlign w:val="bottom"/>
            <w:hideMark/>
          </w:tcPr>
          <w:p w14:paraId="1AA08E54"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1C80D9DA" w14:textId="5867A996" w:rsidR="00F65AB1" w:rsidRPr="00E44FC4" w:rsidRDefault="006C256C" w:rsidP="00F65AB1">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16322F8E" w14:textId="06CF5563"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45</w:t>
            </w:r>
            <w:r w:rsidR="00770471" w:rsidRPr="00E44FC4">
              <w:rPr>
                <w:rFonts w:eastAsia="Times New Roman"/>
                <w:szCs w:val="24"/>
                <w:lang w:eastAsia="cs-CZ"/>
              </w:rPr>
              <w:t>,</w:t>
            </w:r>
            <w:r w:rsidRPr="00E44FC4">
              <w:rPr>
                <w:rFonts w:eastAsia="Times New Roman"/>
                <w:szCs w:val="24"/>
                <w:lang w:eastAsia="cs-CZ"/>
              </w:rPr>
              <w:t>45</w:t>
            </w:r>
          </w:p>
        </w:tc>
        <w:tc>
          <w:tcPr>
            <w:tcW w:w="1134" w:type="dxa"/>
            <w:tcBorders>
              <w:top w:val="nil"/>
              <w:left w:val="nil"/>
              <w:bottom w:val="single" w:sz="4" w:space="0" w:color="auto"/>
              <w:right w:val="nil"/>
            </w:tcBorders>
            <w:shd w:val="clear" w:color="auto" w:fill="auto"/>
            <w:noWrap/>
            <w:vAlign w:val="bottom"/>
            <w:hideMark/>
          </w:tcPr>
          <w:p w14:paraId="1E570646"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7</w:t>
            </w:r>
          </w:p>
        </w:tc>
        <w:tc>
          <w:tcPr>
            <w:tcW w:w="1134" w:type="dxa"/>
            <w:tcBorders>
              <w:top w:val="nil"/>
              <w:left w:val="nil"/>
              <w:bottom w:val="single" w:sz="4" w:space="0" w:color="auto"/>
              <w:right w:val="nil"/>
            </w:tcBorders>
            <w:shd w:val="clear" w:color="auto" w:fill="auto"/>
            <w:noWrap/>
            <w:vAlign w:val="bottom"/>
            <w:hideMark/>
          </w:tcPr>
          <w:p w14:paraId="0B985AF0"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7</w:t>
            </w:r>
          </w:p>
        </w:tc>
        <w:tc>
          <w:tcPr>
            <w:tcW w:w="1134" w:type="dxa"/>
            <w:tcBorders>
              <w:top w:val="nil"/>
              <w:left w:val="nil"/>
              <w:bottom w:val="single" w:sz="4" w:space="0" w:color="auto"/>
              <w:right w:val="nil"/>
            </w:tcBorders>
            <w:shd w:val="clear" w:color="auto" w:fill="auto"/>
            <w:noWrap/>
            <w:vAlign w:val="bottom"/>
            <w:hideMark/>
          </w:tcPr>
          <w:p w14:paraId="6EE562CE" w14:textId="63B43399"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50</w:t>
            </w:r>
            <w:r w:rsidR="00770471" w:rsidRPr="00E44FC4">
              <w:rPr>
                <w:rFonts w:eastAsia="Times New Roman"/>
                <w:szCs w:val="24"/>
                <w:lang w:eastAsia="cs-CZ"/>
              </w:rPr>
              <w:t>,</w:t>
            </w:r>
            <w:r w:rsidRPr="00E44FC4">
              <w:rPr>
                <w:rFonts w:eastAsia="Times New Roman"/>
                <w:szCs w:val="24"/>
                <w:lang w:eastAsia="cs-CZ"/>
              </w:rPr>
              <w:t>00</w:t>
            </w:r>
          </w:p>
        </w:tc>
      </w:tr>
      <w:tr w:rsidR="00F15667" w:rsidRPr="00E44FC4" w14:paraId="52B81306" w14:textId="77777777" w:rsidTr="00271895">
        <w:trPr>
          <w:trHeight w:val="315"/>
        </w:trPr>
        <w:tc>
          <w:tcPr>
            <w:tcW w:w="2220" w:type="dxa"/>
            <w:tcBorders>
              <w:top w:val="nil"/>
              <w:left w:val="nil"/>
              <w:bottom w:val="single" w:sz="4" w:space="0" w:color="auto"/>
              <w:right w:val="nil"/>
            </w:tcBorders>
            <w:shd w:val="clear" w:color="auto" w:fill="auto"/>
            <w:noWrap/>
            <w:vAlign w:val="bottom"/>
            <w:hideMark/>
          </w:tcPr>
          <w:p w14:paraId="04B7BB64" w14:textId="77777777" w:rsidR="00F65AB1" w:rsidRPr="00E44FC4" w:rsidRDefault="00F65AB1" w:rsidP="00F65AB1">
            <w:pPr>
              <w:spacing w:line="240" w:lineRule="auto"/>
              <w:jc w:val="left"/>
              <w:rPr>
                <w:rFonts w:eastAsia="Times New Roman"/>
                <w:szCs w:val="24"/>
                <w:lang w:eastAsia="cs-CZ"/>
              </w:rPr>
            </w:pPr>
            <w:r w:rsidRPr="00E44FC4">
              <w:rPr>
                <w:rFonts w:eastAsia="Times New Roman"/>
                <w:szCs w:val="24"/>
                <w:lang w:eastAsia="cs-CZ"/>
              </w:rPr>
              <w:t>KS Ústí n. Labem</w:t>
            </w:r>
          </w:p>
        </w:tc>
        <w:tc>
          <w:tcPr>
            <w:tcW w:w="1182" w:type="dxa"/>
            <w:tcBorders>
              <w:top w:val="nil"/>
              <w:left w:val="nil"/>
              <w:bottom w:val="single" w:sz="4" w:space="0" w:color="auto"/>
              <w:right w:val="nil"/>
            </w:tcBorders>
            <w:shd w:val="clear" w:color="auto" w:fill="auto"/>
            <w:noWrap/>
            <w:vAlign w:val="bottom"/>
            <w:hideMark/>
          </w:tcPr>
          <w:p w14:paraId="179C8BA0"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6</w:t>
            </w:r>
          </w:p>
        </w:tc>
        <w:tc>
          <w:tcPr>
            <w:tcW w:w="1134" w:type="dxa"/>
            <w:tcBorders>
              <w:top w:val="nil"/>
              <w:left w:val="nil"/>
              <w:bottom w:val="single" w:sz="4" w:space="0" w:color="auto"/>
              <w:right w:val="nil"/>
            </w:tcBorders>
            <w:shd w:val="clear" w:color="auto" w:fill="auto"/>
            <w:noWrap/>
            <w:vAlign w:val="bottom"/>
            <w:hideMark/>
          </w:tcPr>
          <w:p w14:paraId="6BA5379D"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4</w:t>
            </w:r>
          </w:p>
        </w:tc>
        <w:tc>
          <w:tcPr>
            <w:tcW w:w="1134" w:type="dxa"/>
            <w:tcBorders>
              <w:top w:val="nil"/>
              <w:left w:val="nil"/>
              <w:bottom w:val="single" w:sz="4" w:space="0" w:color="auto"/>
              <w:right w:val="nil"/>
            </w:tcBorders>
            <w:shd w:val="clear" w:color="auto" w:fill="auto"/>
            <w:noWrap/>
            <w:vAlign w:val="bottom"/>
            <w:hideMark/>
          </w:tcPr>
          <w:p w14:paraId="3C536E9B" w14:textId="60A5FB38"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60</w:t>
            </w:r>
            <w:r w:rsidR="00770471" w:rsidRPr="00E44FC4">
              <w:rPr>
                <w:rFonts w:eastAsia="Times New Roman"/>
                <w:szCs w:val="24"/>
                <w:lang w:eastAsia="cs-CZ"/>
              </w:rPr>
              <w:t>,</w:t>
            </w:r>
            <w:r w:rsidRPr="00E44FC4">
              <w:rPr>
                <w:rFonts w:eastAsia="Times New Roman"/>
                <w:szCs w:val="24"/>
                <w:lang w:eastAsia="cs-CZ"/>
              </w:rPr>
              <w:t>00</w:t>
            </w:r>
          </w:p>
        </w:tc>
        <w:tc>
          <w:tcPr>
            <w:tcW w:w="1134" w:type="dxa"/>
            <w:tcBorders>
              <w:top w:val="nil"/>
              <w:left w:val="nil"/>
              <w:bottom w:val="single" w:sz="4" w:space="0" w:color="auto"/>
              <w:right w:val="nil"/>
            </w:tcBorders>
            <w:shd w:val="clear" w:color="auto" w:fill="auto"/>
            <w:noWrap/>
            <w:vAlign w:val="bottom"/>
            <w:hideMark/>
          </w:tcPr>
          <w:p w14:paraId="67C711CA"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9</w:t>
            </w:r>
          </w:p>
        </w:tc>
        <w:tc>
          <w:tcPr>
            <w:tcW w:w="1134" w:type="dxa"/>
            <w:tcBorders>
              <w:top w:val="nil"/>
              <w:left w:val="nil"/>
              <w:bottom w:val="single" w:sz="4" w:space="0" w:color="auto"/>
              <w:right w:val="nil"/>
            </w:tcBorders>
            <w:shd w:val="clear" w:color="auto" w:fill="auto"/>
            <w:noWrap/>
            <w:vAlign w:val="bottom"/>
            <w:hideMark/>
          </w:tcPr>
          <w:p w14:paraId="5B025849"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6</w:t>
            </w:r>
          </w:p>
        </w:tc>
        <w:tc>
          <w:tcPr>
            <w:tcW w:w="1134" w:type="dxa"/>
            <w:tcBorders>
              <w:top w:val="nil"/>
              <w:left w:val="nil"/>
              <w:bottom w:val="single" w:sz="4" w:space="0" w:color="auto"/>
              <w:right w:val="nil"/>
            </w:tcBorders>
            <w:shd w:val="clear" w:color="auto" w:fill="auto"/>
            <w:noWrap/>
            <w:vAlign w:val="bottom"/>
            <w:hideMark/>
          </w:tcPr>
          <w:p w14:paraId="0401C390" w14:textId="266D2F89"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60</w:t>
            </w:r>
            <w:r w:rsidR="00770471" w:rsidRPr="00E44FC4">
              <w:rPr>
                <w:rFonts w:eastAsia="Times New Roman"/>
                <w:szCs w:val="24"/>
                <w:lang w:eastAsia="cs-CZ"/>
              </w:rPr>
              <w:t>,</w:t>
            </w:r>
            <w:r w:rsidRPr="00E44FC4">
              <w:rPr>
                <w:rFonts w:eastAsia="Times New Roman"/>
                <w:szCs w:val="24"/>
                <w:lang w:eastAsia="cs-CZ"/>
              </w:rPr>
              <w:t>00</w:t>
            </w:r>
          </w:p>
        </w:tc>
      </w:tr>
      <w:tr w:rsidR="00F15667" w:rsidRPr="00E44FC4" w14:paraId="7876EF45" w14:textId="77777777" w:rsidTr="00271895">
        <w:trPr>
          <w:trHeight w:val="315"/>
        </w:trPr>
        <w:tc>
          <w:tcPr>
            <w:tcW w:w="2220" w:type="dxa"/>
            <w:tcBorders>
              <w:top w:val="nil"/>
              <w:left w:val="nil"/>
              <w:bottom w:val="single" w:sz="4" w:space="0" w:color="auto"/>
              <w:right w:val="nil"/>
            </w:tcBorders>
            <w:shd w:val="clear" w:color="auto" w:fill="auto"/>
            <w:noWrap/>
            <w:vAlign w:val="bottom"/>
            <w:hideMark/>
          </w:tcPr>
          <w:p w14:paraId="7ABEB15B" w14:textId="77777777" w:rsidR="00F65AB1" w:rsidRPr="00E44FC4" w:rsidRDefault="00F65AB1" w:rsidP="00F65AB1">
            <w:pPr>
              <w:spacing w:line="240" w:lineRule="auto"/>
              <w:jc w:val="left"/>
              <w:rPr>
                <w:rFonts w:eastAsia="Times New Roman"/>
                <w:szCs w:val="24"/>
                <w:lang w:eastAsia="cs-CZ"/>
              </w:rPr>
            </w:pPr>
            <w:r w:rsidRPr="00E44FC4">
              <w:rPr>
                <w:rFonts w:eastAsia="Times New Roman"/>
                <w:szCs w:val="24"/>
                <w:lang w:eastAsia="cs-CZ"/>
              </w:rPr>
              <w:t>KS Hr. Králové</w:t>
            </w:r>
          </w:p>
        </w:tc>
        <w:tc>
          <w:tcPr>
            <w:tcW w:w="1182" w:type="dxa"/>
            <w:tcBorders>
              <w:top w:val="nil"/>
              <w:left w:val="nil"/>
              <w:bottom w:val="single" w:sz="4" w:space="0" w:color="auto"/>
              <w:right w:val="nil"/>
            </w:tcBorders>
            <w:shd w:val="clear" w:color="auto" w:fill="auto"/>
            <w:noWrap/>
            <w:vAlign w:val="bottom"/>
            <w:hideMark/>
          </w:tcPr>
          <w:p w14:paraId="00A6EAA5"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6</w:t>
            </w:r>
          </w:p>
        </w:tc>
        <w:tc>
          <w:tcPr>
            <w:tcW w:w="1134" w:type="dxa"/>
            <w:tcBorders>
              <w:top w:val="nil"/>
              <w:left w:val="nil"/>
              <w:bottom w:val="single" w:sz="4" w:space="0" w:color="auto"/>
              <w:right w:val="nil"/>
            </w:tcBorders>
            <w:shd w:val="clear" w:color="auto" w:fill="auto"/>
            <w:noWrap/>
            <w:vAlign w:val="bottom"/>
            <w:hideMark/>
          </w:tcPr>
          <w:p w14:paraId="1E8475B7"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5AA4A2AE" w14:textId="4EFBC391"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54</w:t>
            </w:r>
            <w:r w:rsidR="00770471" w:rsidRPr="00E44FC4">
              <w:rPr>
                <w:rFonts w:eastAsia="Times New Roman"/>
                <w:szCs w:val="24"/>
                <w:lang w:eastAsia="cs-CZ"/>
              </w:rPr>
              <w:t>,</w:t>
            </w:r>
            <w:r w:rsidRPr="00E44FC4">
              <w:rPr>
                <w:rFonts w:eastAsia="Times New Roman"/>
                <w:szCs w:val="24"/>
                <w:lang w:eastAsia="cs-CZ"/>
              </w:rPr>
              <w:t>55</w:t>
            </w:r>
          </w:p>
        </w:tc>
        <w:tc>
          <w:tcPr>
            <w:tcW w:w="1134" w:type="dxa"/>
            <w:tcBorders>
              <w:top w:val="nil"/>
              <w:left w:val="nil"/>
              <w:bottom w:val="single" w:sz="4" w:space="0" w:color="auto"/>
              <w:right w:val="nil"/>
            </w:tcBorders>
            <w:shd w:val="clear" w:color="auto" w:fill="auto"/>
            <w:noWrap/>
            <w:vAlign w:val="bottom"/>
            <w:hideMark/>
          </w:tcPr>
          <w:p w14:paraId="7901D133"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55C38DE8"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4</w:t>
            </w:r>
          </w:p>
        </w:tc>
        <w:tc>
          <w:tcPr>
            <w:tcW w:w="1134" w:type="dxa"/>
            <w:tcBorders>
              <w:top w:val="nil"/>
              <w:left w:val="nil"/>
              <w:bottom w:val="single" w:sz="4" w:space="0" w:color="auto"/>
              <w:right w:val="nil"/>
            </w:tcBorders>
            <w:shd w:val="clear" w:color="auto" w:fill="auto"/>
            <w:noWrap/>
            <w:vAlign w:val="bottom"/>
            <w:hideMark/>
          </w:tcPr>
          <w:p w14:paraId="4A27EB33" w14:textId="4250FF44"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55</w:t>
            </w:r>
            <w:r w:rsidR="00770471" w:rsidRPr="00E44FC4">
              <w:rPr>
                <w:rFonts w:eastAsia="Times New Roman"/>
                <w:szCs w:val="24"/>
                <w:lang w:eastAsia="cs-CZ"/>
              </w:rPr>
              <w:t>,</w:t>
            </w:r>
            <w:r w:rsidRPr="00E44FC4">
              <w:rPr>
                <w:rFonts w:eastAsia="Times New Roman"/>
                <w:szCs w:val="24"/>
                <w:lang w:eastAsia="cs-CZ"/>
              </w:rPr>
              <w:t>56</w:t>
            </w:r>
          </w:p>
        </w:tc>
      </w:tr>
      <w:tr w:rsidR="00F15667" w:rsidRPr="00E44FC4" w14:paraId="105CE695" w14:textId="77777777" w:rsidTr="00271895">
        <w:trPr>
          <w:trHeight w:val="315"/>
        </w:trPr>
        <w:tc>
          <w:tcPr>
            <w:tcW w:w="2220" w:type="dxa"/>
            <w:tcBorders>
              <w:top w:val="nil"/>
              <w:left w:val="nil"/>
              <w:bottom w:val="single" w:sz="4" w:space="0" w:color="auto"/>
              <w:right w:val="nil"/>
            </w:tcBorders>
            <w:shd w:val="clear" w:color="auto" w:fill="auto"/>
            <w:noWrap/>
            <w:vAlign w:val="bottom"/>
            <w:hideMark/>
          </w:tcPr>
          <w:p w14:paraId="05C631EA" w14:textId="77777777" w:rsidR="00F65AB1" w:rsidRPr="00E44FC4" w:rsidRDefault="00F65AB1" w:rsidP="00F65AB1">
            <w:pPr>
              <w:spacing w:line="240" w:lineRule="auto"/>
              <w:jc w:val="left"/>
              <w:rPr>
                <w:rFonts w:eastAsia="Times New Roman"/>
                <w:szCs w:val="24"/>
                <w:lang w:eastAsia="cs-CZ"/>
              </w:rPr>
            </w:pPr>
            <w:r w:rsidRPr="00E44FC4">
              <w:rPr>
                <w:rFonts w:eastAsia="Times New Roman"/>
                <w:szCs w:val="24"/>
                <w:lang w:eastAsia="cs-CZ"/>
              </w:rPr>
              <w:t>KS Brno</w:t>
            </w:r>
          </w:p>
        </w:tc>
        <w:tc>
          <w:tcPr>
            <w:tcW w:w="1182" w:type="dxa"/>
            <w:tcBorders>
              <w:top w:val="nil"/>
              <w:left w:val="nil"/>
              <w:bottom w:val="single" w:sz="4" w:space="0" w:color="auto"/>
              <w:right w:val="nil"/>
            </w:tcBorders>
            <w:shd w:val="clear" w:color="auto" w:fill="auto"/>
            <w:noWrap/>
            <w:vAlign w:val="bottom"/>
            <w:hideMark/>
          </w:tcPr>
          <w:p w14:paraId="1F759DA0"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7E2CBEC4"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9</w:t>
            </w:r>
          </w:p>
        </w:tc>
        <w:tc>
          <w:tcPr>
            <w:tcW w:w="1134" w:type="dxa"/>
            <w:tcBorders>
              <w:top w:val="nil"/>
              <w:left w:val="nil"/>
              <w:bottom w:val="single" w:sz="4" w:space="0" w:color="auto"/>
              <w:right w:val="nil"/>
            </w:tcBorders>
            <w:shd w:val="clear" w:color="auto" w:fill="auto"/>
            <w:noWrap/>
            <w:vAlign w:val="bottom"/>
            <w:hideMark/>
          </w:tcPr>
          <w:p w14:paraId="159F5586" w14:textId="7A11A430"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35</w:t>
            </w:r>
            <w:r w:rsidR="00770471" w:rsidRPr="00E44FC4">
              <w:rPr>
                <w:rFonts w:eastAsia="Times New Roman"/>
                <w:szCs w:val="24"/>
                <w:lang w:eastAsia="cs-CZ"/>
              </w:rPr>
              <w:t>,</w:t>
            </w:r>
            <w:r w:rsidRPr="00E44FC4">
              <w:rPr>
                <w:rFonts w:eastAsia="Times New Roman"/>
                <w:szCs w:val="24"/>
                <w:lang w:eastAsia="cs-CZ"/>
              </w:rPr>
              <w:t>71</w:t>
            </w:r>
          </w:p>
        </w:tc>
        <w:tc>
          <w:tcPr>
            <w:tcW w:w="1134" w:type="dxa"/>
            <w:tcBorders>
              <w:top w:val="nil"/>
              <w:left w:val="nil"/>
              <w:bottom w:val="single" w:sz="4" w:space="0" w:color="auto"/>
              <w:right w:val="nil"/>
            </w:tcBorders>
            <w:shd w:val="clear" w:color="auto" w:fill="auto"/>
            <w:noWrap/>
            <w:vAlign w:val="bottom"/>
            <w:hideMark/>
          </w:tcPr>
          <w:p w14:paraId="1CA0B3F3"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7</w:t>
            </w:r>
          </w:p>
        </w:tc>
        <w:tc>
          <w:tcPr>
            <w:tcW w:w="1134" w:type="dxa"/>
            <w:tcBorders>
              <w:top w:val="nil"/>
              <w:left w:val="nil"/>
              <w:bottom w:val="single" w:sz="4" w:space="0" w:color="auto"/>
              <w:right w:val="nil"/>
            </w:tcBorders>
            <w:shd w:val="clear" w:color="auto" w:fill="auto"/>
            <w:noWrap/>
            <w:vAlign w:val="bottom"/>
            <w:hideMark/>
          </w:tcPr>
          <w:p w14:paraId="5C242294"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9</w:t>
            </w:r>
          </w:p>
        </w:tc>
        <w:tc>
          <w:tcPr>
            <w:tcW w:w="1134" w:type="dxa"/>
            <w:tcBorders>
              <w:top w:val="nil"/>
              <w:left w:val="nil"/>
              <w:bottom w:val="single" w:sz="4" w:space="0" w:color="auto"/>
              <w:right w:val="nil"/>
            </w:tcBorders>
            <w:shd w:val="clear" w:color="auto" w:fill="auto"/>
            <w:noWrap/>
            <w:vAlign w:val="bottom"/>
            <w:hideMark/>
          </w:tcPr>
          <w:p w14:paraId="714F7588" w14:textId="7F24C4A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43</w:t>
            </w:r>
            <w:r w:rsidR="00770471" w:rsidRPr="00E44FC4">
              <w:rPr>
                <w:rFonts w:eastAsia="Times New Roman"/>
                <w:szCs w:val="24"/>
                <w:lang w:eastAsia="cs-CZ"/>
              </w:rPr>
              <w:t>,</w:t>
            </w:r>
            <w:r w:rsidRPr="00E44FC4">
              <w:rPr>
                <w:rFonts w:eastAsia="Times New Roman"/>
                <w:szCs w:val="24"/>
                <w:lang w:eastAsia="cs-CZ"/>
              </w:rPr>
              <w:t>75</w:t>
            </w:r>
          </w:p>
        </w:tc>
      </w:tr>
      <w:tr w:rsidR="00F15667" w:rsidRPr="00E44FC4" w14:paraId="3D66E5B6" w14:textId="77777777" w:rsidTr="00271895">
        <w:trPr>
          <w:trHeight w:val="330"/>
        </w:trPr>
        <w:tc>
          <w:tcPr>
            <w:tcW w:w="2220" w:type="dxa"/>
            <w:tcBorders>
              <w:top w:val="nil"/>
              <w:left w:val="nil"/>
              <w:bottom w:val="double" w:sz="6" w:space="0" w:color="auto"/>
              <w:right w:val="nil"/>
            </w:tcBorders>
            <w:shd w:val="clear" w:color="auto" w:fill="auto"/>
            <w:noWrap/>
            <w:vAlign w:val="bottom"/>
            <w:hideMark/>
          </w:tcPr>
          <w:p w14:paraId="5706A57D" w14:textId="77777777" w:rsidR="00F65AB1" w:rsidRPr="00E44FC4" w:rsidRDefault="00F65AB1" w:rsidP="00F65AB1">
            <w:pPr>
              <w:spacing w:line="240" w:lineRule="auto"/>
              <w:jc w:val="left"/>
              <w:rPr>
                <w:rFonts w:eastAsia="Times New Roman"/>
                <w:szCs w:val="24"/>
                <w:lang w:eastAsia="cs-CZ"/>
              </w:rPr>
            </w:pPr>
            <w:r w:rsidRPr="00E44FC4">
              <w:rPr>
                <w:rFonts w:eastAsia="Times New Roman"/>
                <w:szCs w:val="24"/>
                <w:lang w:eastAsia="cs-CZ"/>
              </w:rPr>
              <w:t>KS Ostrava</w:t>
            </w:r>
          </w:p>
        </w:tc>
        <w:tc>
          <w:tcPr>
            <w:tcW w:w="1182" w:type="dxa"/>
            <w:tcBorders>
              <w:top w:val="nil"/>
              <w:left w:val="nil"/>
              <w:bottom w:val="nil"/>
              <w:right w:val="nil"/>
            </w:tcBorders>
            <w:shd w:val="clear" w:color="auto" w:fill="auto"/>
            <w:noWrap/>
            <w:vAlign w:val="bottom"/>
            <w:hideMark/>
          </w:tcPr>
          <w:p w14:paraId="35079190"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4</w:t>
            </w:r>
          </w:p>
        </w:tc>
        <w:tc>
          <w:tcPr>
            <w:tcW w:w="1134" w:type="dxa"/>
            <w:tcBorders>
              <w:top w:val="nil"/>
              <w:left w:val="nil"/>
              <w:bottom w:val="nil"/>
              <w:right w:val="nil"/>
            </w:tcBorders>
            <w:shd w:val="clear" w:color="auto" w:fill="auto"/>
            <w:noWrap/>
            <w:vAlign w:val="bottom"/>
            <w:hideMark/>
          </w:tcPr>
          <w:p w14:paraId="7E682364"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7</w:t>
            </w:r>
          </w:p>
        </w:tc>
        <w:tc>
          <w:tcPr>
            <w:tcW w:w="1134" w:type="dxa"/>
            <w:tcBorders>
              <w:top w:val="nil"/>
              <w:left w:val="nil"/>
              <w:bottom w:val="nil"/>
              <w:right w:val="nil"/>
            </w:tcBorders>
            <w:shd w:val="clear" w:color="auto" w:fill="auto"/>
            <w:noWrap/>
            <w:vAlign w:val="bottom"/>
            <w:hideMark/>
          </w:tcPr>
          <w:p w14:paraId="7C22AA9C" w14:textId="2AC5F54B"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36</w:t>
            </w:r>
            <w:r w:rsidR="00770471" w:rsidRPr="00E44FC4">
              <w:rPr>
                <w:rFonts w:eastAsia="Times New Roman"/>
                <w:szCs w:val="24"/>
                <w:lang w:eastAsia="cs-CZ"/>
              </w:rPr>
              <w:t>,</w:t>
            </w:r>
            <w:r w:rsidRPr="00E44FC4">
              <w:rPr>
                <w:rFonts w:eastAsia="Times New Roman"/>
                <w:szCs w:val="24"/>
                <w:lang w:eastAsia="cs-CZ"/>
              </w:rPr>
              <w:t>36</w:t>
            </w:r>
          </w:p>
        </w:tc>
        <w:tc>
          <w:tcPr>
            <w:tcW w:w="1134" w:type="dxa"/>
            <w:tcBorders>
              <w:top w:val="nil"/>
              <w:left w:val="nil"/>
              <w:bottom w:val="nil"/>
              <w:right w:val="nil"/>
            </w:tcBorders>
            <w:shd w:val="clear" w:color="auto" w:fill="auto"/>
            <w:noWrap/>
            <w:vAlign w:val="bottom"/>
            <w:hideMark/>
          </w:tcPr>
          <w:p w14:paraId="58F82977"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10</w:t>
            </w:r>
          </w:p>
        </w:tc>
        <w:tc>
          <w:tcPr>
            <w:tcW w:w="1134" w:type="dxa"/>
            <w:tcBorders>
              <w:top w:val="nil"/>
              <w:left w:val="nil"/>
              <w:bottom w:val="nil"/>
              <w:right w:val="nil"/>
            </w:tcBorders>
            <w:shd w:val="clear" w:color="auto" w:fill="auto"/>
            <w:noWrap/>
            <w:vAlign w:val="bottom"/>
            <w:hideMark/>
          </w:tcPr>
          <w:p w14:paraId="435BB1BE" w14:textId="77777777"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8</w:t>
            </w:r>
          </w:p>
        </w:tc>
        <w:tc>
          <w:tcPr>
            <w:tcW w:w="1134" w:type="dxa"/>
            <w:tcBorders>
              <w:top w:val="nil"/>
              <w:left w:val="nil"/>
              <w:bottom w:val="nil"/>
              <w:right w:val="nil"/>
            </w:tcBorders>
            <w:shd w:val="clear" w:color="auto" w:fill="auto"/>
            <w:noWrap/>
            <w:vAlign w:val="bottom"/>
            <w:hideMark/>
          </w:tcPr>
          <w:p w14:paraId="2FBE9500" w14:textId="51437108" w:rsidR="00F65AB1" w:rsidRPr="00E44FC4" w:rsidRDefault="00F65AB1" w:rsidP="00F65AB1">
            <w:pPr>
              <w:spacing w:line="240" w:lineRule="auto"/>
              <w:jc w:val="center"/>
              <w:rPr>
                <w:rFonts w:eastAsia="Times New Roman"/>
                <w:szCs w:val="24"/>
                <w:lang w:eastAsia="cs-CZ"/>
              </w:rPr>
            </w:pPr>
            <w:r w:rsidRPr="00E44FC4">
              <w:rPr>
                <w:rFonts w:eastAsia="Times New Roman"/>
                <w:szCs w:val="24"/>
                <w:lang w:eastAsia="cs-CZ"/>
              </w:rPr>
              <w:t>55</w:t>
            </w:r>
            <w:r w:rsidR="00770471" w:rsidRPr="00E44FC4">
              <w:rPr>
                <w:rFonts w:eastAsia="Times New Roman"/>
                <w:szCs w:val="24"/>
                <w:lang w:eastAsia="cs-CZ"/>
              </w:rPr>
              <w:t>,</w:t>
            </w:r>
            <w:r w:rsidRPr="00E44FC4">
              <w:rPr>
                <w:rFonts w:eastAsia="Times New Roman"/>
                <w:szCs w:val="24"/>
                <w:lang w:eastAsia="cs-CZ"/>
              </w:rPr>
              <w:t>56</w:t>
            </w:r>
          </w:p>
        </w:tc>
      </w:tr>
      <w:tr w:rsidR="00F15667" w:rsidRPr="00E44FC4" w14:paraId="641F7963" w14:textId="77777777" w:rsidTr="00271895">
        <w:trPr>
          <w:trHeight w:val="345"/>
        </w:trPr>
        <w:tc>
          <w:tcPr>
            <w:tcW w:w="2220" w:type="dxa"/>
            <w:tcBorders>
              <w:top w:val="nil"/>
              <w:left w:val="nil"/>
              <w:bottom w:val="double" w:sz="6" w:space="0" w:color="auto"/>
              <w:right w:val="nil"/>
            </w:tcBorders>
            <w:shd w:val="clear" w:color="auto" w:fill="auto"/>
            <w:noWrap/>
            <w:vAlign w:val="bottom"/>
            <w:hideMark/>
          </w:tcPr>
          <w:p w14:paraId="2F874040" w14:textId="77777777" w:rsidR="00F65AB1" w:rsidRPr="00E44FC4" w:rsidRDefault="00F65AB1" w:rsidP="00F65AB1">
            <w:pPr>
              <w:spacing w:line="240" w:lineRule="auto"/>
              <w:jc w:val="left"/>
              <w:rPr>
                <w:rFonts w:eastAsia="Times New Roman"/>
                <w:b/>
                <w:bCs/>
                <w:szCs w:val="24"/>
                <w:lang w:eastAsia="cs-CZ"/>
              </w:rPr>
            </w:pPr>
            <w:r w:rsidRPr="00E44FC4">
              <w:rPr>
                <w:rFonts w:eastAsia="Times New Roman"/>
                <w:b/>
                <w:bCs/>
                <w:szCs w:val="24"/>
                <w:lang w:eastAsia="cs-CZ"/>
              </w:rPr>
              <w:t>Celkem ČR</w:t>
            </w:r>
          </w:p>
        </w:tc>
        <w:tc>
          <w:tcPr>
            <w:tcW w:w="1182" w:type="dxa"/>
            <w:tcBorders>
              <w:top w:val="double" w:sz="6" w:space="0" w:color="auto"/>
              <w:left w:val="nil"/>
              <w:bottom w:val="double" w:sz="6" w:space="0" w:color="auto"/>
              <w:right w:val="nil"/>
            </w:tcBorders>
            <w:shd w:val="clear" w:color="auto" w:fill="auto"/>
            <w:noWrap/>
            <w:vAlign w:val="bottom"/>
            <w:hideMark/>
          </w:tcPr>
          <w:p w14:paraId="72B89583"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44</w:t>
            </w:r>
          </w:p>
        </w:tc>
        <w:tc>
          <w:tcPr>
            <w:tcW w:w="1134" w:type="dxa"/>
            <w:tcBorders>
              <w:top w:val="double" w:sz="6" w:space="0" w:color="auto"/>
              <w:left w:val="nil"/>
              <w:bottom w:val="double" w:sz="6" w:space="0" w:color="auto"/>
              <w:right w:val="nil"/>
            </w:tcBorders>
            <w:shd w:val="clear" w:color="auto" w:fill="auto"/>
            <w:noWrap/>
            <w:vAlign w:val="bottom"/>
            <w:hideMark/>
          </w:tcPr>
          <w:p w14:paraId="2E4CC09F" w14:textId="45CD605B"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4</w:t>
            </w:r>
            <w:r w:rsidR="006C256C" w:rsidRPr="00E44FC4">
              <w:rPr>
                <w:rFonts w:eastAsia="Times New Roman"/>
                <w:b/>
                <w:bCs/>
                <w:szCs w:val="24"/>
                <w:lang w:eastAsia="cs-CZ"/>
              </w:rPr>
              <w:t>2</w:t>
            </w:r>
          </w:p>
        </w:tc>
        <w:tc>
          <w:tcPr>
            <w:tcW w:w="1134" w:type="dxa"/>
            <w:tcBorders>
              <w:top w:val="double" w:sz="6" w:space="0" w:color="auto"/>
              <w:left w:val="nil"/>
              <w:bottom w:val="double" w:sz="6" w:space="0" w:color="auto"/>
              <w:right w:val="nil"/>
            </w:tcBorders>
            <w:shd w:val="clear" w:color="auto" w:fill="auto"/>
            <w:noWrap/>
            <w:vAlign w:val="bottom"/>
            <w:hideMark/>
          </w:tcPr>
          <w:p w14:paraId="51865B51" w14:textId="08922352"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50</w:t>
            </w:r>
            <w:r w:rsidR="00770471" w:rsidRPr="00E44FC4">
              <w:rPr>
                <w:rFonts w:eastAsia="Times New Roman"/>
                <w:b/>
                <w:bCs/>
                <w:szCs w:val="24"/>
                <w:lang w:eastAsia="cs-CZ"/>
              </w:rPr>
              <w:t>,</w:t>
            </w:r>
            <w:r w:rsidRPr="00E44FC4">
              <w:rPr>
                <w:rFonts w:eastAsia="Times New Roman"/>
                <w:b/>
                <w:bCs/>
                <w:szCs w:val="24"/>
                <w:lang w:eastAsia="cs-CZ"/>
              </w:rPr>
              <w:t>57</w:t>
            </w:r>
          </w:p>
        </w:tc>
        <w:tc>
          <w:tcPr>
            <w:tcW w:w="1134" w:type="dxa"/>
            <w:tcBorders>
              <w:top w:val="double" w:sz="6" w:space="0" w:color="auto"/>
              <w:left w:val="nil"/>
              <w:bottom w:val="double" w:sz="6" w:space="0" w:color="auto"/>
              <w:right w:val="nil"/>
            </w:tcBorders>
            <w:shd w:val="clear" w:color="auto" w:fill="auto"/>
            <w:noWrap/>
            <w:vAlign w:val="bottom"/>
            <w:hideMark/>
          </w:tcPr>
          <w:p w14:paraId="2A6A1E2D"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72</w:t>
            </w:r>
          </w:p>
        </w:tc>
        <w:tc>
          <w:tcPr>
            <w:tcW w:w="1134" w:type="dxa"/>
            <w:tcBorders>
              <w:top w:val="double" w:sz="6" w:space="0" w:color="auto"/>
              <w:left w:val="nil"/>
              <w:bottom w:val="double" w:sz="6" w:space="0" w:color="auto"/>
              <w:right w:val="nil"/>
            </w:tcBorders>
            <w:shd w:val="clear" w:color="auto" w:fill="auto"/>
            <w:noWrap/>
            <w:vAlign w:val="bottom"/>
            <w:hideMark/>
          </w:tcPr>
          <w:p w14:paraId="44145F77" w14:textId="77777777"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49</w:t>
            </w:r>
          </w:p>
        </w:tc>
        <w:tc>
          <w:tcPr>
            <w:tcW w:w="1134" w:type="dxa"/>
            <w:tcBorders>
              <w:top w:val="double" w:sz="6" w:space="0" w:color="auto"/>
              <w:left w:val="nil"/>
              <w:bottom w:val="double" w:sz="6" w:space="0" w:color="auto"/>
              <w:right w:val="nil"/>
            </w:tcBorders>
            <w:shd w:val="clear" w:color="auto" w:fill="auto"/>
            <w:noWrap/>
            <w:vAlign w:val="bottom"/>
            <w:hideMark/>
          </w:tcPr>
          <w:p w14:paraId="5C9F3E22" w14:textId="6D721A4A" w:rsidR="00F65AB1" w:rsidRPr="00E44FC4" w:rsidRDefault="00F65AB1" w:rsidP="00F65AB1">
            <w:pPr>
              <w:spacing w:line="240" w:lineRule="auto"/>
              <w:jc w:val="center"/>
              <w:rPr>
                <w:rFonts w:eastAsia="Times New Roman"/>
                <w:b/>
                <w:bCs/>
                <w:szCs w:val="24"/>
                <w:lang w:eastAsia="cs-CZ"/>
              </w:rPr>
            </w:pPr>
            <w:r w:rsidRPr="00E44FC4">
              <w:rPr>
                <w:rFonts w:eastAsia="Times New Roman"/>
                <w:b/>
                <w:bCs/>
                <w:szCs w:val="24"/>
                <w:lang w:eastAsia="cs-CZ"/>
              </w:rPr>
              <w:t>59</w:t>
            </w:r>
            <w:r w:rsidR="00770471" w:rsidRPr="00E44FC4">
              <w:rPr>
                <w:rFonts w:eastAsia="Times New Roman"/>
                <w:b/>
                <w:bCs/>
                <w:szCs w:val="24"/>
                <w:lang w:eastAsia="cs-CZ"/>
              </w:rPr>
              <w:t>,</w:t>
            </w:r>
            <w:r w:rsidRPr="00E44FC4">
              <w:rPr>
                <w:rFonts w:eastAsia="Times New Roman"/>
                <w:b/>
                <w:bCs/>
                <w:szCs w:val="24"/>
                <w:lang w:eastAsia="cs-CZ"/>
              </w:rPr>
              <w:t>50</w:t>
            </w:r>
          </w:p>
        </w:tc>
      </w:tr>
      <w:tr w:rsidR="00F15667" w:rsidRPr="00E44FC4" w14:paraId="34626036" w14:textId="77777777" w:rsidTr="00271895">
        <w:trPr>
          <w:trHeight w:val="330"/>
        </w:trPr>
        <w:tc>
          <w:tcPr>
            <w:tcW w:w="2220" w:type="dxa"/>
            <w:tcBorders>
              <w:top w:val="nil"/>
              <w:left w:val="nil"/>
              <w:bottom w:val="nil"/>
              <w:right w:val="nil"/>
            </w:tcBorders>
            <w:shd w:val="clear" w:color="auto" w:fill="auto"/>
            <w:noWrap/>
            <w:vAlign w:val="bottom"/>
            <w:hideMark/>
          </w:tcPr>
          <w:p w14:paraId="2680BF68" w14:textId="77777777" w:rsidR="00F65AB1" w:rsidRPr="00E44FC4" w:rsidRDefault="00F65AB1" w:rsidP="00F65AB1">
            <w:pPr>
              <w:spacing w:line="240" w:lineRule="auto"/>
              <w:jc w:val="center"/>
              <w:rPr>
                <w:rFonts w:eastAsia="Times New Roman"/>
                <w:b/>
                <w:bCs/>
                <w:szCs w:val="24"/>
                <w:lang w:eastAsia="cs-CZ"/>
              </w:rPr>
            </w:pPr>
          </w:p>
        </w:tc>
        <w:tc>
          <w:tcPr>
            <w:tcW w:w="1182" w:type="dxa"/>
            <w:tcBorders>
              <w:top w:val="nil"/>
              <w:left w:val="nil"/>
              <w:bottom w:val="nil"/>
              <w:right w:val="nil"/>
            </w:tcBorders>
            <w:shd w:val="clear" w:color="auto" w:fill="auto"/>
            <w:noWrap/>
            <w:vAlign w:val="bottom"/>
            <w:hideMark/>
          </w:tcPr>
          <w:p w14:paraId="343BB699" w14:textId="77777777" w:rsidR="00F65AB1" w:rsidRPr="00E44FC4" w:rsidRDefault="00F65AB1" w:rsidP="00F65AB1">
            <w:pPr>
              <w:spacing w:line="240" w:lineRule="auto"/>
              <w:jc w:val="left"/>
              <w:rPr>
                <w:rFonts w:eastAsia="Times New Roman"/>
                <w:sz w:val="20"/>
                <w:szCs w:val="20"/>
                <w:lang w:eastAsia="cs-CZ"/>
              </w:rPr>
            </w:pPr>
          </w:p>
        </w:tc>
        <w:tc>
          <w:tcPr>
            <w:tcW w:w="1134" w:type="dxa"/>
            <w:tcBorders>
              <w:top w:val="nil"/>
              <w:left w:val="nil"/>
              <w:bottom w:val="nil"/>
              <w:right w:val="nil"/>
            </w:tcBorders>
            <w:shd w:val="clear" w:color="auto" w:fill="auto"/>
            <w:noWrap/>
            <w:vAlign w:val="bottom"/>
            <w:hideMark/>
          </w:tcPr>
          <w:p w14:paraId="71D8DFCC" w14:textId="77777777" w:rsidR="00F65AB1" w:rsidRPr="00E44FC4" w:rsidRDefault="00F65AB1" w:rsidP="00F65AB1">
            <w:pPr>
              <w:spacing w:line="240" w:lineRule="auto"/>
              <w:jc w:val="left"/>
              <w:rPr>
                <w:rFonts w:eastAsia="Times New Roman"/>
                <w:sz w:val="20"/>
                <w:szCs w:val="20"/>
                <w:lang w:eastAsia="cs-CZ"/>
              </w:rPr>
            </w:pPr>
          </w:p>
        </w:tc>
        <w:tc>
          <w:tcPr>
            <w:tcW w:w="1134" w:type="dxa"/>
            <w:tcBorders>
              <w:top w:val="nil"/>
              <w:left w:val="nil"/>
              <w:bottom w:val="nil"/>
              <w:right w:val="nil"/>
            </w:tcBorders>
            <w:shd w:val="clear" w:color="auto" w:fill="auto"/>
            <w:noWrap/>
            <w:vAlign w:val="bottom"/>
            <w:hideMark/>
          </w:tcPr>
          <w:p w14:paraId="280E9B9C" w14:textId="77777777" w:rsidR="00F65AB1" w:rsidRPr="00E44FC4" w:rsidRDefault="00F65AB1" w:rsidP="00F65AB1">
            <w:pPr>
              <w:spacing w:line="240" w:lineRule="auto"/>
              <w:jc w:val="left"/>
              <w:rPr>
                <w:rFonts w:eastAsia="Times New Roman"/>
                <w:sz w:val="20"/>
                <w:szCs w:val="20"/>
                <w:lang w:eastAsia="cs-CZ"/>
              </w:rPr>
            </w:pPr>
          </w:p>
        </w:tc>
        <w:tc>
          <w:tcPr>
            <w:tcW w:w="1134" w:type="dxa"/>
            <w:tcBorders>
              <w:top w:val="nil"/>
              <w:left w:val="nil"/>
              <w:bottom w:val="nil"/>
              <w:right w:val="nil"/>
            </w:tcBorders>
            <w:shd w:val="clear" w:color="auto" w:fill="auto"/>
            <w:noWrap/>
            <w:vAlign w:val="bottom"/>
            <w:hideMark/>
          </w:tcPr>
          <w:p w14:paraId="537464F2" w14:textId="77777777" w:rsidR="00F65AB1" w:rsidRPr="00E44FC4" w:rsidRDefault="00F65AB1" w:rsidP="00F65AB1">
            <w:pPr>
              <w:spacing w:line="240" w:lineRule="auto"/>
              <w:jc w:val="left"/>
              <w:rPr>
                <w:rFonts w:eastAsia="Times New Roman"/>
                <w:sz w:val="20"/>
                <w:szCs w:val="20"/>
                <w:lang w:eastAsia="cs-CZ"/>
              </w:rPr>
            </w:pPr>
          </w:p>
        </w:tc>
        <w:tc>
          <w:tcPr>
            <w:tcW w:w="1134" w:type="dxa"/>
            <w:tcBorders>
              <w:top w:val="nil"/>
              <w:left w:val="nil"/>
              <w:bottom w:val="nil"/>
              <w:right w:val="nil"/>
            </w:tcBorders>
            <w:shd w:val="clear" w:color="auto" w:fill="auto"/>
            <w:noWrap/>
            <w:vAlign w:val="bottom"/>
            <w:hideMark/>
          </w:tcPr>
          <w:p w14:paraId="33517760" w14:textId="77777777" w:rsidR="00F65AB1" w:rsidRPr="00E44FC4" w:rsidRDefault="00F65AB1" w:rsidP="00F65AB1">
            <w:pPr>
              <w:spacing w:line="240" w:lineRule="auto"/>
              <w:jc w:val="left"/>
              <w:rPr>
                <w:rFonts w:eastAsia="Times New Roman"/>
                <w:sz w:val="20"/>
                <w:szCs w:val="20"/>
                <w:lang w:eastAsia="cs-CZ"/>
              </w:rPr>
            </w:pPr>
          </w:p>
        </w:tc>
        <w:tc>
          <w:tcPr>
            <w:tcW w:w="1134" w:type="dxa"/>
            <w:tcBorders>
              <w:top w:val="nil"/>
              <w:left w:val="nil"/>
              <w:bottom w:val="nil"/>
              <w:right w:val="nil"/>
            </w:tcBorders>
            <w:shd w:val="clear" w:color="auto" w:fill="auto"/>
            <w:noWrap/>
            <w:vAlign w:val="bottom"/>
            <w:hideMark/>
          </w:tcPr>
          <w:p w14:paraId="575D6116" w14:textId="77777777" w:rsidR="00F65AB1" w:rsidRPr="00E44FC4" w:rsidRDefault="00F65AB1" w:rsidP="00F65AB1">
            <w:pPr>
              <w:spacing w:line="240" w:lineRule="auto"/>
              <w:jc w:val="left"/>
              <w:rPr>
                <w:rFonts w:eastAsia="Times New Roman"/>
                <w:sz w:val="20"/>
                <w:szCs w:val="20"/>
                <w:lang w:eastAsia="cs-CZ"/>
              </w:rPr>
            </w:pPr>
          </w:p>
        </w:tc>
      </w:tr>
    </w:tbl>
    <w:p w14:paraId="74368B00" w14:textId="2C9EFF0B" w:rsidR="00770471" w:rsidRPr="00E44FC4" w:rsidRDefault="00770471" w:rsidP="00770471">
      <w:pPr>
        <w:pStyle w:val="OdstavecASR"/>
      </w:pPr>
      <w:r w:rsidRPr="00E44FC4">
        <w:t>Na vysvětlenou je třeba uvést, že součet počtu předsedů a předsedkyň nemusí být roven počtu okresních soudů (86), protože ne všude je funkce předsedy obsazená. Z tabulky můžeme vyčíst, že počet žen a mužů na místech předsedů a místopředsedů je mnohem vyrovnanější, než je tomu u celkového počtu soudců. V roce 2018 ženy představovaly přesně polovinu předsedů. V letech 2019 až 2021 to je o něco méně, v roce 2022 o něco více. Místopředsedkyň je více než místopředsedů soudů a zejména v Praze je nyní velmi vysoký podíl místopředsedkyň – 83 %.</w:t>
      </w:r>
    </w:p>
    <w:p w14:paraId="1D6EB18D" w14:textId="5F9015EE" w:rsidR="0019774A" w:rsidRPr="00E44FC4" w:rsidRDefault="0019774A" w:rsidP="0019774A">
      <w:pPr>
        <w:pStyle w:val="OdstavecASR"/>
      </w:pPr>
      <w:r w:rsidRPr="00E44FC4">
        <w:t xml:space="preserve">Dalším sledovaným ukazatelem je věková struktura soudců. Na grafu níže vidíme její vývoj v letech 2008 až </w:t>
      </w:r>
      <w:r w:rsidR="00864D80" w:rsidRPr="00E44FC4">
        <w:t>2022</w:t>
      </w:r>
      <w:r w:rsidRPr="00E44FC4">
        <w:t xml:space="preserve">. V tabulce 4 pak jsou průřezová data okresních soudů po krajích za rok </w:t>
      </w:r>
      <w:r w:rsidR="00864D80" w:rsidRPr="00E44FC4">
        <w:t>2022</w:t>
      </w:r>
      <w:r w:rsidRPr="00E44FC4">
        <w:t>.</w:t>
      </w:r>
    </w:p>
    <w:p w14:paraId="1EC041D2" w14:textId="12B20A78" w:rsidR="0019774A" w:rsidRPr="00E44FC4" w:rsidRDefault="0019774A" w:rsidP="0019774A">
      <w:pPr>
        <w:pStyle w:val="Podnadpis"/>
        <w:rPr>
          <w:color w:val="auto"/>
        </w:rPr>
      </w:pPr>
      <w:bookmarkStart w:id="66" w:name="_Toc11135066"/>
      <w:bookmarkStart w:id="67" w:name="_Toc43841385"/>
      <w:bookmarkStart w:id="68" w:name="_Toc75952185"/>
      <w:bookmarkStart w:id="69" w:name="_Toc106106639"/>
      <w:bookmarkStart w:id="70" w:name="_Toc144104117"/>
      <w:r w:rsidRPr="00E44FC4">
        <w:rPr>
          <w:color w:val="auto"/>
        </w:rPr>
        <w:lastRenderedPageBreak/>
        <w:t xml:space="preserve">Graf </w:t>
      </w:r>
      <w:r w:rsidR="009A10E2" w:rsidRPr="00E44FC4">
        <w:rPr>
          <w:color w:val="auto"/>
        </w:rPr>
        <w:fldChar w:fldCharType="begin"/>
      </w:r>
      <w:r w:rsidR="009A10E2" w:rsidRPr="00E44FC4">
        <w:rPr>
          <w:color w:val="auto"/>
        </w:rPr>
        <w:instrText xml:space="preserve"> SEQ Graf \* ARABIC </w:instrText>
      </w:r>
      <w:r w:rsidR="009A10E2" w:rsidRPr="00E44FC4">
        <w:rPr>
          <w:color w:val="auto"/>
        </w:rPr>
        <w:fldChar w:fldCharType="separate"/>
      </w:r>
      <w:r w:rsidR="001E1A67">
        <w:rPr>
          <w:noProof/>
          <w:color w:val="auto"/>
        </w:rPr>
        <w:t>5</w:t>
      </w:r>
      <w:r w:rsidR="009A10E2" w:rsidRPr="00E44FC4">
        <w:rPr>
          <w:color w:val="auto"/>
        </w:rPr>
        <w:fldChar w:fldCharType="end"/>
      </w:r>
      <w:r w:rsidRPr="00E44FC4">
        <w:rPr>
          <w:color w:val="auto"/>
        </w:rPr>
        <w:t>: OS – věková struktura soudců v letech 2008–20</w:t>
      </w:r>
      <w:bookmarkEnd w:id="66"/>
      <w:bookmarkEnd w:id="67"/>
      <w:r w:rsidRPr="00E44FC4">
        <w:rPr>
          <w:color w:val="auto"/>
        </w:rPr>
        <w:t>2</w:t>
      </w:r>
      <w:bookmarkEnd w:id="68"/>
      <w:bookmarkEnd w:id="69"/>
      <w:r w:rsidR="00D05F29" w:rsidRPr="00E44FC4">
        <w:rPr>
          <w:color w:val="auto"/>
        </w:rPr>
        <w:t>2</w:t>
      </w:r>
      <w:bookmarkEnd w:id="70"/>
    </w:p>
    <w:p w14:paraId="3A92C6FE" w14:textId="2F3108E6" w:rsidR="00F65AB1" w:rsidRPr="00E44FC4" w:rsidRDefault="00D05F29" w:rsidP="00C35F2D">
      <w:pPr>
        <w:pStyle w:val="OdstavecASR"/>
      </w:pPr>
      <w:r w:rsidRPr="00E44FC4">
        <w:rPr>
          <w:noProof/>
          <w:lang w:eastAsia="cs-CZ"/>
        </w:rPr>
        <w:drawing>
          <wp:inline distT="0" distB="0" distL="0" distR="0" wp14:anchorId="7EEBAD00" wp14:editId="167D9128">
            <wp:extent cx="5029200" cy="36576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72F1A01" w14:textId="50750551" w:rsidR="004428A9" w:rsidRPr="00E44FC4" w:rsidRDefault="004428A9" w:rsidP="00C35F2D">
      <w:pPr>
        <w:pStyle w:val="OdstavecASR"/>
      </w:pPr>
      <w:r w:rsidRPr="00E44FC4">
        <w:t xml:space="preserve">Počet soudců </w:t>
      </w:r>
      <w:r w:rsidR="00D84132" w:rsidRPr="00E44FC4">
        <w:t xml:space="preserve">51 – 60let </w:t>
      </w:r>
      <w:r w:rsidRPr="00E44FC4">
        <w:t>se v roce 2021 vyrovnal počtu soudců</w:t>
      </w:r>
      <w:r w:rsidR="00D84132" w:rsidRPr="00E44FC4">
        <w:t xml:space="preserve"> 30 – 40let</w:t>
      </w:r>
      <w:r w:rsidRPr="00E44FC4">
        <w:t xml:space="preserve">. </w:t>
      </w:r>
      <w:r w:rsidR="00D84132" w:rsidRPr="00E44FC4">
        <w:t>V roce 2022 je již překonal.</w:t>
      </w:r>
    </w:p>
    <w:p w14:paraId="0BCC3216" w14:textId="4D9B76EB" w:rsidR="00D05F29" w:rsidRPr="00E44FC4" w:rsidRDefault="00D05F29" w:rsidP="00D05F29">
      <w:pPr>
        <w:pStyle w:val="OdstavecASR"/>
      </w:pPr>
      <w:r w:rsidRPr="00E44FC4">
        <w:t>Z grafu je patrný pokračující trend z minulých let, tedy že soudci okresních soudů v ČR v průměru zestárli. Především soudci z věkové kategorie 30 až 40 let se postupně přesunuli do věkové kategorie 41 až 50 let, přičemž po jednorázovém masivním porevolučním doplnění okresních soudů v roce 1992 již nejsou okresní (ale ani krajské) soudy ve stejné míře doplňovány novými mladými soudci a soudkyněmi. Pro srovnání v roce 2021 bylo u OS 416 soudců a soudkyň v kategorii 30 až 40 let oproti 913 v roce 2008, což znamená pokles na méně než polovinu (obdobně je tomu u KS).</w:t>
      </w:r>
    </w:p>
    <w:p w14:paraId="33AA3D7A" w14:textId="758954DA" w:rsidR="00D05F29" w:rsidRPr="00E44FC4" w:rsidRDefault="00D05F29" w:rsidP="00D05F29">
      <w:pPr>
        <w:rPr>
          <w:rStyle w:val="OdstavecASRChar"/>
        </w:rPr>
      </w:pPr>
      <w:r w:rsidRPr="00E44FC4">
        <w:t>To dokazuje i procentní podíl mladých soudců a soudkyň: v roce 2007 byl podíl soudců ve věku 30 až 40 let 49 %, v roce 2021 byl již pouze necelých 23 %. Naopak podíl soudců ve věku 41 až 50 let byl v roce 2007 na hodnotě 25 % a přibližně 41 % v roce 2021. Zdvojnásobil se také podíl nejstarších soudců / soudkyň. V roce 2022 nedošlo prakticky k žádn</w:t>
      </w:r>
      <w:r w:rsidR="00C41790" w:rsidRPr="00E44FC4">
        <w:t>ým</w:t>
      </w:r>
      <w:r w:rsidRPr="00E44FC4">
        <w:t xml:space="preserve"> změnám. Příčin výše popsaného posunu je zřejmě několik:</w:t>
      </w:r>
    </w:p>
    <w:p w14:paraId="25052FBD" w14:textId="77777777" w:rsidR="00D05F29" w:rsidRPr="00E44FC4" w:rsidRDefault="00D05F29" w:rsidP="00D05F29">
      <w:pPr>
        <w:pStyle w:val="Odstavecseseznamem"/>
        <w:numPr>
          <w:ilvl w:val="0"/>
          <w:numId w:val="13"/>
        </w:numPr>
      </w:pPr>
      <w:r w:rsidRPr="00E44FC4">
        <w:t>Až do roku 2006 se počet soudců rychle zvyšoval a počet nově jmenovaných soudců za rok byl tedy výrazně vyšší než v posledních letech. K okresním soudům byli přitom většinou jmenováni mladí soudci. Právě tato rozsáhlá generace soudců se ve sledovaném období postupně přesouvá do vyšší věkové skupiny. Ve sledovaném období je již celkový počet soudců velmi stabilní.</w:t>
      </w:r>
    </w:p>
    <w:p w14:paraId="530524E6" w14:textId="77777777" w:rsidR="00D05F29" w:rsidRPr="00E44FC4" w:rsidRDefault="00D05F29" w:rsidP="00D05F29">
      <w:pPr>
        <w:pStyle w:val="Odstavecseseznamem"/>
        <w:numPr>
          <w:ilvl w:val="0"/>
          <w:numId w:val="13"/>
        </w:numPr>
      </w:pPr>
      <w:r w:rsidRPr="00E44FC4">
        <w:t>Nepatrnou roli mohlo po určitou dobu hrát také to, že v roce 2003 byl stanoven minimální věk pro jmenování soudcem 30 let.</w:t>
      </w:r>
    </w:p>
    <w:p w14:paraId="07657116" w14:textId="77777777" w:rsidR="00D05F29" w:rsidRPr="00E44FC4" w:rsidRDefault="00D05F29" w:rsidP="00D05F29">
      <w:pPr>
        <w:pStyle w:val="Odstavecseseznamem"/>
        <w:numPr>
          <w:ilvl w:val="0"/>
          <w:numId w:val="13"/>
        </w:numPr>
      </w:pPr>
      <w:r w:rsidRPr="00E44FC4">
        <w:lastRenderedPageBreak/>
        <w:t>V průběhu let docházelo ke změnám a zpřísňování podmínek pro jmenování soudcem a ke zpřesnění administrativně technického postupu. V důsledku těchto změn se zvyšuje průměrný věk, ve kterém je soudce jmenován.</w:t>
      </w:r>
    </w:p>
    <w:p w14:paraId="59B01130" w14:textId="4C8324BD" w:rsidR="00D05F29" w:rsidRPr="00E44FC4" w:rsidRDefault="00D05F29" w:rsidP="00D05F29">
      <w:pPr>
        <w:pStyle w:val="OdstavecASR"/>
      </w:pPr>
      <w:r w:rsidRPr="00E44FC4">
        <w:t>Data v tabulce 4 jsou k 1. 1. 2022 a vidíme, že věkové složení soudců se liší i mezi jednotlivými kraji. Zaujme například srovnání Severočeského a Středočeského kraje: každoročně se snižuje podíl soudců ve věku 30 až 40 let v kraji Severočeském (po dřívějším jmenování nových soudců právě do tohoto kraje) a současně tato věková kategorie posiluje v kraji Středočeském. V obou krajích nicméně stále působí nejmladší soudci. Naopak v průměru nejstarší se zdají být soudci v Jihočeském kraji.</w:t>
      </w:r>
      <w:r w:rsidR="00C41790" w:rsidRPr="00E44FC4">
        <w:t xml:space="preserve"> Není ale možné dělat nějaké definitivní závěry pouze na základě těchto dat. </w:t>
      </w:r>
    </w:p>
    <w:p w14:paraId="5290411E" w14:textId="0690DFD3" w:rsidR="00D05F29" w:rsidRPr="00E44FC4" w:rsidRDefault="00D05F29" w:rsidP="00D05F29">
      <w:pPr>
        <w:pStyle w:val="Podnadpis"/>
        <w:rPr>
          <w:color w:val="auto"/>
        </w:rPr>
      </w:pPr>
      <w:bookmarkStart w:id="71" w:name="_Toc515871438"/>
      <w:bookmarkStart w:id="72" w:name="_Toc11133206"/>
      <w:bookmarkStart w:id="73" w:name="_Toc43931177"/>
      <w:bookmarkStart w:id="74" w:name="_Toc75952307"/>
      <w:bookmarkStart w:id="75" w:name="_Toc106106766"/>
      <w:bookmarkStart w:id="76" w:name="_Toc144104243"/>
      <w:r w:rsidRPr="00E44FC4">
        <w:rPr>
          <w:color w:val="auto"/>
        </w:rPr>
        <w:t xml:space="preserve">Tabulka </w:t>
      </w:r>
      <w:r w:rsidRPr="00E44FC4">
        <w:rPr>
          <w:color w:val="auto"/>
        </w:rPr>
        <w:fldChar w:fldCharType="begin"/>
      </w:r>
      <w:r w:rsidRPr="00E44FC4">
        <w:rPr>
          <w:color w:val="auto"/>
        </w:rPr>
        <w:instrText xml:space="preserve"> SEQ Tabulka \* ARABIC </w:instrText>
      </w:r>
      <w:r w:rsidRPr="00E44FC4">
        <w:rPr>
          <w:color w:val="auto"/>
        </w:rPr>
        <w:fldChar w:fldCharType="separate"/>
      </w:r>
      <w:r w:rsidR="001E1A67">
        <w:rPr>
          <w:noProof/>
          <w:color w:val="auto"/>
        </w:rPr>
        <w:t>4</w:t>
      </w:r>
      <w:r w:rsidRPr="00E44FC4">
        <w:rPr>
          <w:noProof/>
          <w:color w:val="auto"/>
        </w:rPr>
        <w:fldChar w:fldCharType="end"/>
      </w:r>
      <w:r w:rsidRPr="00E44FC4">
        <w:rPr>
          <w:color w:val="auto"/>
        </w:rPr>
        <w:t>: OS – věková struktura soudců dle krajů</w:t>
      </w:r>
      <w:bookmarkEnd w:id="71"/>
      <w:bookmarkEnd w:id="72"/>
      <w:bookmarkEnd w:id="73"/>
      <w:bookmarkEnd w:id="74"/>
      <w:r w:rsidRPr="00E44FC4">
        <w:rPr>
          <w:color w:val="auto"/>
        </w:rPr>
        <w:t xml:space="preserve"> v %</w:t>
      </w:r>
      <w:bookmarkEnd w:id="75"/>
      <w:bookmarkEnd w:id="76"/>
    </w:p>
    <w:tbl>
      <w:tblPr>
        <w:tblW w:w="7921" w:type="dxa"/>
        <w:tblCellMar>
          <w:left w:w="70" w:type="dxa"/>
          <w:right w:w="70" w:type="dxa"/>
        </w:tblCellMar>
        <w:tblLook w:val="04A0" w:firstRow="1" w:lastRow="0" w:firstColumn="1" w:lastColumn="0" w:noHBand="0" w:noVBand="1"/>
      </w:tblPr>
      <w:tblGrid>
        <w:gridCol w:w="2480"/>
        <w:gridCol w:w="1376"/>
        <w:gridCol w:w="1355"/>
        <w:gridCol w:w="1355"/>
        <w:gridCol w:w="1355"/>
      </w:tblGrid>
      <w:tr w:rsidR="00F15667" w:rsidRPr="00E44FC4" w14:paraId="262E7C74" w14:textId="77777777" w:rsidTr="0027189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83C48FF" w14:textId="7777777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Nadřízený soud</w:t>
            </w:r>
          </w:p>
        </w:tc>
        <w:tc>
          <w:tcPr>
            <w:tcW w:w="5441" w:type="dxa"/>
            <w:gridSpan w:val="4"/>
            <w:tcBorders>
              <w:top w:val="double" w:sz="6" w:space="0" w:color="auto"/>
              <w:left w:val="nil"/>
              <w:bottom w:val="nil"/>
              <w:right w:val="nil"/>
            </w:tcBorders>
            <w:shd w:val="clear" w:color="auto" w:fill="auto"/>
            <w:noWrap/>
            <w:vAlign w:val="center"/>
            <w:hideMark/>
          </w:tcPr>
          <w:p w14:paraId="6BC9577E" w14:textId="7777777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Podíl na celkovém počtu soudců dle věku</w:t>
            </w:r>
          </w:p>
        </w:tc>
      </w:tr>
      <w:tr w:rsidR="00F15667" w:rsidRPr="00E44FC4" w14:paraId="74391B93" w14:textId="77777777" w:rsidTr="00271895">
        <w:trPr>
          <w:trHeight w:val="330"/>
        </w:trPr>
        <w:tc>
          <w:tcPr>
            <w:tcW w:w="2480" w:type="dxa"/>
            <w:vMerge/>
            <w:tcBorders>
              <w:top w:val="double" w:sz="6" w:space="0" w:color="auto"/>
              <w:left w:val="nil"/>
              <w:bottom w:val="double" w:sz="6" w:space="0" w:color="000000"/>
              <w:right w:val="nil"/>
            </w:tcBorders>
            <w:vAlign w:val="center"/>
            <w:hideMark/>
          </w:tcPr>
          <w:p w14:paraId="60693565" w14:textId="77777777" w:rsidR="004638A0" w:rsidRPr="00E44FC4" w:rsidRDefault="004638A0" w:rsidP="00271895">
            <w:pPr>
              <w:spacing w:line="240" w:lineRule="auto"/>
              <w:jc w:val="center"/>
              <w:rPr>
                <w:rFonts w:eastAsia="Times New Roman"/>
                <w:b/>
                <w:bCs/>
                <w:szCs w:val="24"/>
                <w:lang w:eastAsia="cs-CZ"/>
              </w:rPr>
            </w:pPr>
          </w:p>
        </w:tc>
        <w:tc>
          <w:tcPr>
            <w:tcW w:w="1376" w:type="dxa"/>
            <w:tcBorders>
              <w:top w:val="nil"/>
              <w:left w:val="nil"/>
              <w:bottom w:val="double" w:sz="6" w:space="0" w:color="auto"/>
              <w:right w:val="nil"/>
            </w:tcBorders>
            <w:shd w:val="clear" w:color="auto" w:fill="auto"/>
            <w:noWrap/>
            <w:vAlign w:val="center"/>
            <w:hideMark/>
          </w:tcPr>
          <w:p w14:paraId="3F3259EE" w14:textId="7777777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14:paraId="09B0CB11" w14:textId="7777777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14:paraId="5E6B0937" w14:textId="7777777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14:paraId="4B4D6C1B" w14:textId="7777777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61 až 70 let</w:t>
            </w:r>
          </w:p>
        </w:tc>
      </w:tr>
      <w:tr w:rsidR="00F15667" w:rsidRPr="00E44FC4" w14:paraId="490C3C77" w14:textId="77777777" w:rsidTr="00271895">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4DE3D974"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center"/>
            <w:hideMark/>
          </w:tcPr>
          <w:p w14:paraId="391A0524" w14:textId="3B4FDF2A"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22,62</w:t>
            </w:r>
          </w:p>
        </w:tc>
        <w:tc>
          <w:tcPr>
            <w:tcW w:w="1355" w:type="dxa"/>
            <w:tcBorders>
              <w:top w:val="single" w:sz="4" w:space="0" w:color="auto"/>
              <w:left w:val="nil"/>
              <w:bottom w:val="single" w:sz="4" w:space="0" w:color="auto"/>
              <w:right w:val="nil"/>
            </w:tcBorders>
            <w:shd w:val="clear" w:color="auto" w:fill="auto"/>
            <w:noWrap/>
            <w:vAlign w:val="center"/>
            <w:hideMark/>
          </w:tcPr>
          <w:p w14:paraId="3644134A" w14:textId="301618B3"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40,98</w:t>
            </w:r>
          </w:p>
        </w:tc>
        <w:tc>
          <w:tcPr>
            <w:tcW w:w="1355" w:type="dxa"/>
            <w:tcBorders>
              <w:top w:val="single" w:sz="4" w:space="0" w:color="auto"/>
              <w:left w:val="nil"/>
              <w:bottom w:val="single" w:sz="4" w:space="0" w:color="auto"/>
              <w:right w:val="nil"/>
            </w:tcBorders>
            <w:shd w:val="clear" w:color="auto" w:fill="auto"/>
            <w:noWrap/>
            <w:vAlign w:val="center"/>
            <w:hideMark/>
          </w:tcPr>
          <w:p w14:paraId="6CA4D639" w14:textId="52704102"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25,57</w:t>
            </w:r>
          </w:p>
        </w:tc>
        <w:tc>
          <w:tcPr>
            <w:tcW w:w="1355" w:type="dxa"/>
            <w:tcBorders>
              <w:top w:val="single" w:sz="4" w:space="0" w:color="auto"/>
              <w:left w:val="nil"/>
              <w:bottom w:val="single" w:sz="4" w:space="0" w:color="auto"/>
              <w:right w:val="nil"/>
            </w:tcBorders>
            <w:shd w:val="clear" w:color="auto" w:fill="auto"/>
            <w:noWrap/>
            <w:vAlign w:val="center"/>
            <w:hideMark/>
          </w:tcPr>
          <w:p w14:paraId="0ABB2878" w14:textId="7C14DEB0"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10,82</w:t>
            </w:r>
          </w:p>
        </w:tc>
      </w:tr>
      <w:tr w:rsidR="00F15667" w:rsidRPr="00E44FC4" w14:paraId="503F6454"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757875E6"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Praha</w:t>
            </w:r>
          </w:p>
        </w:tc>
        <w:tc>
          <w:tcPr>
            <w:tcW w:w="1376" w:type="dxa"/>
            <w:tcBorders>
              <w:top w:val="nil"/>
              <w:left w:val="nil"/>
              <w:bottom w:val="single" w:sz="4" w:space="0" w:color="auto"/>
              <w:right w:val="nil"/>
            </w:tcBorders>
            <w:shd w:val="clear" w:color="auto" w:fill="auto"/>
            <w:noWrap/>
            <w:vAlign w:val="center"/>
            <w:hideMark/>
          </w:tcPr>
          <w:p w14:paraId="294FDC23" w14:textId="479A9CCE"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37,44</w:t>
            </w:r>
          </w:p>
        </w:tc>
        <w:tc>
          <w:tcPr>
            <w:tcW w:w="1355" w:type="dxa"/>
            <w:tcBorders>
              <w:top w:val="nil"/>
              <w:left w:val="nil"/>
              <w:bottom w:val="single" w:sz="4" w:space="0" w:color="auto"/>
              <w:right w:val="nil"/>
            </w:tcBorders>
            <w:shd w:val="clear" w:color="auto" w:fill="auto"/>
            <w:noWrap/>
            <w:vAlign w:val="center"/>
            <w:hideMark/>
          </w:tcPr>
          <w:p w14:paraId="77BCED9F" w14:textId="3BD750C4"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32,42</w:t>
            </w:r>
          </w:p>
        </w:tc>
        <w:tc>
          <w:tcPr>
            <w:tcW w:w="1355" w:type="dxa"/>
            <w:tcBorders>
              <w:top w:val="nil"/>
              <w:left w:val="nil"/>
              <w:bottom w:val="single" w:sz="4" w:space="0" w:color="auto"/>
              <w:right w:val="nil"/>
            </w:tcBorders>
            <w:shd w:val="clear" w:color="auto" w:fill="auto"/>
            <w:noWrap/>
            <w:vAlign w:val="center"/>
            <w:hideMark/>
          </w:tcPr>
          <w:p w14:paraId="25F4F4D5" w14:textId="5FB11FE6"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20,09</w:t>
            </w:r>
          </w:p>
        </w:tc>
        <w:tc>
          <w:tcPr>
            <w:tcW w:w="1355" w:type="dxa"/>
            <w:tcBorders>
              <w:top w:val="nil"/>
              <w:left w:val="nil"/>
              <w:bottom w:val="single" w:sz="4" w:space="0" w:color="auto"/>
              <w:right w:val="nil"/>
            </w:tcBorders>
            <w:shd w:val="clear" w:color="auto" w:fill="auto"/>
            <w:noWrap/>
            <w:vAlign w:val="center"/>
            <w:hideMark/>
          </w:tcPr>
          <w:p w14:paraId="416163D3" w14:textId="0C266BC0"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10,05</w:t>
            </w:r>
          </w:p>
        </w:tc>
      </w:tr>
      <w:tr w:rsidR="00F15667" w:rsidRPr="00E44FC4" w14:paraId="3DFD7489"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2AF8B9B7"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Č. Budějovice</w:t>
            </w:r>
          </w:p>
        </w:tc>
        <w:tc>
          <w:tcPr>
            <w:tcW w:w="1376" w:type="dxa"/>
            <w:tcBorders>
              <w:top w:val="nil"/>
              <w:left w:val="nil"/>
              <w:bottom w:val="single" w:sz="4" w:space="0" w:color="auto"/>
              <w:right w:val="nil"/>
            </w:tcBorders>
            <w:shd w:val="clear" w:color="auto" w:fill="auto"/>
            <w:noWrap/>
            <w:vAlign w:val="center"/>
            <w:hideMark/>
          </w:tcPr>
          <w:p w14:paraId="22F97B19" w14:textId="5CDB1F87"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20,19</w:t>
            </w:r>
          </w:p>
        </w:tc>
        <w:tc>
          <w:tcPr>
            <w:tcW w:w="1355" w:type="dxa"/>
            <w:tcBorders>
              <w:top w:val="nil"/>
              <w:left w:val="nil"/>
              <w:bottom w:val="single" w:sz="4" w:space="0" w:color="auto"/>
              <w:right w:val="nil"/>
            </w:tcBorders>
            <w:shd w:val="clear" w:color="auto" w:fill="auto"/>
            <w:noWrap/>
            <w:vAlign w:val="center"/>
            <w:hideMark/>
          </w:tcPr>
          <w:p w14:paraId="57F42AD9" w14:textId="2DE2AD3B"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38,46</w:t>
            </w:r>
          </w:p>
        </w:tc>
        <w:tc>
          <w:tcPr>
            <w:tcW w:w="1355" w:type="dxa"/>
            <w:tcBorders>
              <w:top w:val="nil"/>
              <w:left w:val="nil"/>
              <w:bottom w:val="single" w:sz="4" w:space="0" w:color="auto"/>
              <w:right w:val="nil"/>
            </w:tcBorders>
            <w:shd w:val="clear" w:color="auto" w:fill="auto"/>
            <w:noWrap/>
            <w:vAlign w:val="center"/>
            <w:hideMark/>
          </w:tcPr>
          <w:p w14:paraId="4D1CAC96" w14:textId="1E1C8F2A"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27,88</w:t>
            </w:r>
          </w:p>
        </w:tc>
        <w:tc>
          <w:tcPr>
            <w:tcW w:w="1355" w:type="dxa"/>
            <w:tcBorders>
              <w:top w:val="nil"/>
              <w:left w:val="nil"/>
              <w:bottom w:val="single" w:sz="4" w:space="0" w:color="auto"/>
              <w:right w:val="nil"/>
            </w:tcBorders>
            <w:shd w:val="clear" w:color="auto" w:fill="auto"/>
            <w:noWrap/>
            <w:vAlign w:val="center"/>
            <w:hideMark/>
          </w:tcPr>
          <w:p w14:paraId="6015C397" w14:textId="2FF031E1"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13,46</w:t>
            </w:r>
          </w:p>
        </w:tc>
      </w:tr>
      <w:tr w:rsidR="00F15667" w:rsidRPr="00E44FC4" w14:paraId="661BAA86"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3F6C8F33"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Plzeň</w:t>
            </w:r>
          </w:p>
        </w:tc>
        <w:tc>
          <w:tcPr>
            <w:tcW w:w="1376" w:type="dxa"/>
            <w:tcBorders>
              <w:top w:val="nil"/>
              <w:left w:val="nil"/>
              <w:bottom w:val="single" w:sz="4" w:space="0" w:color="auto"/>
              <w:right w:val="nil"/>
            </w:tcBorders>
            <w:shd w:val="clear" w:color="auto" w:fill="auto"/>
            <w:noWrap/>
            <w:vAlign w:val="center"/>
            <w:hideMark/>
          </w:tcPr>
          <w:p w14:paraId="42BE72CA" w14:textId="6C319B9B"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16,99</w:t>
            </w:r>
          </w:p>
        </w:tc>
        <w:tc>
          <w:tcPr>
            <w:tcW w:w="1355" w:type="dxa"/>
            <w:tcBorders>
              <w:top w:val="nil"/>
              <w:left w:val="nil"/>
              <w:bottom w:val="single" w:sz="4" w:space="0" w:color="auto"/>
              <w:right w:val="nil"/>
            </w:tcBorders>
            <w:shd w:val="clear" w:color="auto" w:fill="auto"/>
            <w:noWrap/>
            <w:vAlign w:val="center"/>
            <w:hideMark/>
          </w:tcPr>
          <w:p w14:paraId="1F46925E" w14:textId="0E4483FB"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56,21</w:t>
            </w:r>
          </w:p>
        </w:tc>
        <w:tc>
          <w:tcPr>
            <w:tcW w:w="1355" w:type="dxa"/>
            <w:tcBorders>
              <w:top w:val="nil"/>
              <w:left w:val="nil"/>
              <w:bottom w:val="single" w:sz="4" w:space="0" w:color="auto"/>
              <w:right w:val="nil"/>
            </w:tcBorders>
            <w:shd w:val="clear" w:color="auto" w:fill="auto"/>
            <w:noWrap/>
            <w:vAlign w:val="center"/>
            <w:hideMark/>
          </w:tcPr>
          <w:p w14:paraId="7169D199" w14:textId="78E07ACC"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16,34</w:t>
            </w:r>
          </w:p>
        </w:tc>
        <w:tc>
          <w:tcPr>
            <w:tcW w:w="1355" w:type="dxa"/>
            <w:tcBorders>
              <w:top w:val="nil"/>
              <w:left w:val="nil"/>
              <w:bottom w:val="single" w:sz="4" w:space="0" w:color="auto"/>
              <w:right w:val="nil"/>
            </w:tcBorders>
            <w:shd w:val="clear" w:color="auto" w:fill="auto"/>
            <w:noWrap/>
            <w:vAlign w:val="center"/>
            <w:hideMark/>
          </w:tcPr>
          <w:p w14:paraId="039AD64B" w14:textId="1960A905"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10,46</w:t>
            </w:r>
          </w:p>
        </w:tc>
      </w:tr>
      <w:tr w:rsidR="00F15667" w:rsidRPr="00E44FC4" w14:paraId="68133F88"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4E69C81F"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Ústí n. Labem</w:t>
            </w:r>
          </w:p>
        </w:tc>
        <w:tc>
          <w:tcPr>
            <w:tcW w:w="1376" w:type="dxa"/>
            <w:tcBorders>
              <w:top w:val="nil"/>
              <w:left w:val="nil"/>
              <w:bottom w:val="single" w:sz="4" w:space="0" w:color="auto"/>
              <w:right w:val="nil"/>
            </w:tcBorders>
            <w:shd w:val="clear" w:color="auto" w:fill="auto"/>
            <w:noWrap/>
            <w:vAlign w:val="center"/>
            <w:hideMark/>
          </w:tcPr>
          <w:p w14:paraId="4B2F2740" w14:textId="50969152"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27,14</w:t>
            </w:r>
          </w:p>
        </w:tc>
        <w:tc>
          <w:tcPr>
            <w:tcW w:w="1355" w:type="dxa"/>
            <w:tcBorders>
              <w:top w:val="nil"/>
              <w:left w:val="nil"/>
              <w:bottom w:val="single" w:sz="4" w:space="0" w:color="auto"/>
              <w:right w:val="nil"/>
            </w:tcBorders>
            <w:shd w:val="clear" w:color="auto" w:fill="auto"/>
            <w:noWrap/>
            <w:vAlign w:val="center"/>
            <w:hideMark/>
          </w:tcPr>
          <w:p w14:paraId="6B01A1DB" w14:textId="4D055EED"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39,64</w:t>
            </w:r>
          </w:p>
        </w:tc>
        <w:tc>
          <w:tcPr>
            <w:tcW w:w="1355" w:type="dxa"/>
            <w:tcBorders>
              <w:top w:val="nil"/>
              <w:left w:val="nil"/>
              <w:bottom w:val="single" w:sz="4" w:space="0" w:color="auto"/>
              <w:right w:val="nil"/>
            </w:tcBorders>
            <w:shd w:val="clear" w:color="auto" w:fill="auto"/>
            <w:noWrap/>
            <w:vAlign w:val="center"/>
            <w:hideMark/>
          </w:tcPr>
          <w:p w14:paraId="38AB4612" w14:textId="3CEAEBD0"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23,93</w:t>
            </w:r>
          </w:p>
        </w:tc>
        <w:tc>
          <w:tcPr>
            <w:tcW w:w="1355" w:type="dxa"/>
            <w:tcBorders>
              <w:top w:val="nil"/>
              <w:left w:val="nil"/>
              <w:bottom w:val="single" w:sz="4" w:space="0" w:color="auto"/>
              <w:right w:val="nil"/>
            </w:tcBorders>
            <w:shd w:val="clear" w:color="auto" w:fill="auto"/>
            <w:noWrap/>
            <w:vAlign w:val="center"/>
            <w:hideMark/>
          </w:tcPr>
          <w:p w14:paraId="1DABEF97" w14:textId="1DBADEB8"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9,29</w:t>
            </w:r>
          </w:p>
        </w:tc>
      </w:tr>
      <w:tr w:rsidR="00F15667" w:rsidRPr="00E44FC4" w14:paraId="5BFE616F"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45792FC7"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Hr. Králové</w:t>
            </w:r>
          </w:p>
        </w:tc>
        <w:tc>
          <w:tcPr>
            <w:tcW w:w="1376" w:type="dxa"/>
            <w:tcBorders>
              <w:top w:val="nil"/>
              <w:left w:val="nil"/>
              <w:bottom w:val="single" w:sz="4" w:space="0" w:color="auto"/>
              <w:right w:val="nil"/>
            </w:tcBorders>
            <w:shd w:val="clear" w:color="auto" w:fill="auto"/>
            <w:noWrap/>
            <w:vAlign w:val="center"/>
            <w:hideMark/>
          </w:tcPr>
          <w:p w14:paraId="552ACA4C" w14:textId="650FDCB0"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23,98</w:t>
            </w:r>
          </w:p>
        </w:tc>
        <w:tc>
          <w:tcPr>
            <w:tcW w:w="1355" w:type="dxa"/>
            <w:tcBorders>
              <w:top w:val="nil"/>
              <w:left w:val="nil"/>
              <w:bottom w:val="single" w:sz="4" w:space="0" w:color="auto"/>
              <w:right w:val="nil"/>
            </w:tcBorders>
            <w:shd w:val="clear" w:color="auto" w:fill="auto"/>
            <w:noWrap/>
            <w:vAlign w:val="center"/>
            <w:hideMark/>
          </w:tcPr>
          <w:p w14:paraId="659F99C0" w14:textId="0212C32E"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36,26</w:t>
            </w:r>
          </w:p>
        </w:tc>
        <w:tc>
          <w:tcPr>
            <w:tcW w:w="1355" w:type="dxa"/>
            <w:tcBorders>
              <w:top w:val="nil"/>
              <w:left w:val="nil"/>
              <w:bottom w:val="single" w:sz="4" w:space="0" w:color="auto"/>
              <w:right w:val="nil"/>
            </w:tcBorders>
            <w:shd w:val="clear" w:color="auto" w:fill="auto"/>
            <w:noWrap/>
            <w:vAlign w:val="center"/>
            <w:hideMark/>
          </w:tcPr>
          <w:p w14:paraId="36DA5A47" w14:textId="4F550E8E"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26,90</w:t>
            </w:r>
          </w:p>
        </w:tc>
        <w:tc>
          <w:tcPr>
            <w:tcW w:w="1355" w:type="dxa"/>
            <w:tcBorders>
              <w:top w:val="nil"/>
              <w:left w:val="nil"/>
              <w:bottom w:val="single" w:sz="4" w:space="0" w:color="auto"/>
              <w:right w:val="nil"/>
            </w:tcBorders>
            <w:shd w:val="clear" w:color="auto" w:fill="auto"/>
            <w:noWrap/>
            <w:vAlign w:val="center"/>
            <w:hideMark/>
          </w:tcPr>
          <w:p w14:paraId="71C63579" w14:textId="0DE62984"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12,87</w:t>
            </w:r>
          </w:p>
        </w:tc>
      </w:tr>
      <w:tr w:rsidR="00F15667" w:rsidRPr="00E44FC4" w14:paraId="79ABC3B2" w14:textId="77777777" w:rsidTr="00271895">
        <w:trPr>
          <w:trHeight w:val="315"/>
        </w:trPr>
        <w:tc>
          <w:tcPr>
            <w:tcW w:w="2480" w:type="dxa"/>
            <w:tcBorders>
              <w:top w:val="nil"/>
              <w:left w:val="nil"/>
              <w:bottom w:val="single" w:sz="4" w:space="0" w:color="auto"/>
              <w:right w:val="nil"/>
            </w:tcBorders>
            <w:shd w:val="clear" w:color="auto" w:fill="auto"/>
            <w:noWrap/>
            <w:vAlign w:val="center"/>
            <w:hideMark/>
          </w:tcPr>
          <w:p w14:paraId="48ECD08A"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Brno</w:t>
            </w:r>
          </w:p>
        </w:tc>
        <w:tc>
          <w:tcPr>
            <w:tcW w:w="1376" w:type="dxa"/>
            <w:tcBorders>
              <w:top w:val="nil"/>
              <w:left w:val="nil"/>
              <w:bottom w:val="single" w:sz="4" w:space="0" w:color="auto"/>
              <w:right w:val="nil"/>
            </w:tcBorders>
            <w:shd w:val="clear" w:color="auto" w:fill="auto"/>
            <w:noWrap/>
            <w:vAlign w:val="center"/>
            <w:hideMark/>
          </w:tcPr>
          <w:p w14:paraId="40092995" w14:textId="352CED60"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17,86</w:t>
            </w:r>
          </w:p>
        </w:tc>
        <w:tc>
          <w:tcPr>
            <w:tcW w:w="1355" w:type="dxa"/>
            <w:tcBorders>
              <w:top w:val="nil"/>
              <w:left w:val="nil"/>
              <w:bottom w:val="single" w:sz="4" w:space="0" w:color="auto"/>
              <w:right w:val="nil"/>
            </w:tcBorders>
            <w:shd w:val="clear" w:color="auto" w:fill="auto"/>
            <w:noWrap/>
            <w:vAlign w:val="center"/>
            <w:hideMark/>
          </w:tcPr>
          <w:p w14:paraId="3A8CFEBD" w14:textId="3BE6AE28"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42,50</w:t>
            </w:r>
          </w:p>
        </w:tc>
        <w:tc>
          <w:tcPr>
            <w:tcW w:w="1355" w:type="dxa"/>
            <w:tcBorders>
              <w:top w:val="nil"/>
              <w:left w:val="nil"/>
              <w:bottom w:val="single" w:sz="4" w:space="0" w:color="auto"/>
              <w:right w:val="nil"/>
            </w:tcBorders>
            <w:shd w:val="clear" w:color="auto" w:fill="auto"/>
            <w:noWrap/>
            <w:vAlign w:val="center"/>
            <w:hideMark/>
          </w:tcPr>
          <w:p w14:paraId="4E1568AF" w14:textId="626D88A7"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27,86</w:t>
            </w:r>
          </w:p>
        </w:tc>
        <w:tc>
          <w:tcPr>
            <w:tcW w:w="1355" w:type="dxa"/>
            <w:tcBorders>
              <w:top w:val="nil"/>
              <w:left w:val="nil"/>
              <w:bottom w:val="single" w:sz="4" w:space="0" w:color="auto"/>
              <w:right w:val="nil"/>
            </w:tcBorders>
            <w:shd w:val="clear" w:color="auto" w:fill="auto"/>
            <w:noWrap/>
            <w:vAlign w:val="center"/>
            <w:hideMark/>
          </w:tcPr>
          <w:p w14:paraId="265DDB1E" w14:textId="36286247"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11,79</w:t>
            </w:r>
          </w:p>
        </w:tc>
      </w:tr>
      <w:tr w:rsidR="00F15667" w:rsidRPr="00E44FC4" w14:paraId="7FBB06C6" w14:textId="77777777" w:rsidTr="00271895">
        <w:trPr>
          <w:trHeight w:val="330"/>
        </w:trPr>
        <w:tc>
          <w:tcPr>
            <w:tcW w:w="2480" w:type="dxa"/>
            <w:tcBorders>
              <w:top w:val="nil"/>
              <w:left w:val="nil"/>
              <w:bottom w:val="double" w:sz="6" w:space="0" w:color="auto"/>
              <w:right w:val="nil"/>
            </w:tcBorders>
            <w:shd w:val="clear" w:color="auto" w:fill="auto"/>
            <w:noWrap/>
            <w:vAlign w:val="center"/>
            <w:hideMark/>
          </w:tcPr>
          <w:p w14:paraId="4D7F6D8A"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Ostrava</w:t>
            </w:r>
          </w:p>
        </w:tc>
        <w:tc>
          <w:tcPr>
            <w:tcW w:w="1376" w:type="dxa"/>
            <w:tcBorders>
              <w:top w:val="nil"/>
              <w:left w:val="nil"/>
              <w:bottom w:val="double" w:sz="6" w:space="0" w:color="auto"/>
              <w:right w:val="nil"/>
            </w:tcBorders>
            <w:shd w:val="clear" w:color="auto" w:fill="auto"/>
            <w:noWrap/>
            <w:vAlign w:val="center"/>
            <w:hideMark/>
          </w:tcPr>
          <w:p w14:paraId="2C9A13F0" w14:textId="60875356"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19,77</w:t>
            </w:r>
          </w:p>
        </w:tc>
        <w:tc>
          <w:tcPr>
            <w:tcW w:w="1355" w:type="dxa"/>
            <w:tcBorders>
              <w:top w:val="nil"/>
              <w:left w:val="nil"/>
              <w:bottom w:val="double" w:sz="6" w:space="0" w:color="auto"/>
              <w:right w:val="nil"/>
            </w:tcBorders>
            <w:shd w:val="clear" w:color="auto" w:fill="auto"/>
            <w:noWrap/>
            <w:vAlign w:val="center"/>
            <w:hideMark/>
          </w:tcPr>
          <w:p w14:paraId="2DFB98A2" w14:textId="67602FE2"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49,57</w:t>
            </w:r>
          </w:p>
        </w:tc>
        <w:tc>
          <w:tcPr>
            <w:tcW w:w="1355" w:type="dxa"/>
            <w:tcBorders>
              <w:top w:val="nil"/>
              <w:left w:val="nil"/>
              <w:bottom w:val="double" w:sz="6" w:space="0" w:color="auto"/>
              <w:right w:val="nil"/>
            </w:tcBorders>
            <w:shd w:val="clear" w:color="auto" w:fill="auto"/>
            <w:noWrap/>
            <w:vAlign w:val="center"/>
            <w:hideMark/>
          </w:tcPr>
          <w:p w14:paraId="281B4C67" w14:textId="29C78300"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22,92</w:t>
            </w:r>
          </w:p>
        </w:tc>
        <w:tc>
          <w:tcPr>
            <w:tcW w:w="1355" w:type="dxa"/>
            <w:tcBorders>
              <w:top w:val="nil"/>
              <w:left w:val="nil"/>
              <w:bottom w:val="double" w:sz="6" w:space="0" w:color="auto"/>
              <w:right w:val="nil"/>
            </w:tcBorders>
            <w:shd w:val="clear" w:color="auto" w:fill="auto"/>
            <w:noWrap/>
            <w:vAlign w:val="center"/>
            <w:hideMark/>
          </w:tcPr>
          <w:p w14:paraId="3A4EE52F" w14:textId="28A7F09D"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7,74</w:t>
            </w:r>
          </w:p>
        </w:tc>
      </w:tr>
      <w:tr w:rsidR="00F15667" w:rsidRPr="00E44FC4" w14:paraId="631B8CC4" w14:textId="77777777" w:rsidTr="00271895">
        <w:trPr>
          <w:trHeight w:val="345"/>
        </w:trPr>
        <w:tc>
          <w:tcPr>
            <w:tcW w:w="2480" w:type="dxa"/>
            <w:tcBorders>
              <w:top w:val="nil"/>
              <w:left w:val="nil"/>
              <w:bottom w:val="double" w:sz="6" w:space="0" w:color="auto"/>
              <w:right w:val="nil"/>
            </w:tcBorders>
            <w:shd w:val="clear" w:color="auto" w:fill="auto"/>
            <w:noWrap/>
            <w:vAlign w:val="center"/>
            <w:hideMark/>
          </w:tcPr>
          <w:p w14:paraId="44FFDDCE" w14:textId="77777777" w:rsidR="004638A0" w:rsidRPr="00E44FC4" w:rsidRDefault="004638A0" w:rsidP="00271895">
            <w:pPr>
              <w:spacing w:line="240" w:lineRule="auto"/>
              <w:jc w:val="left"/>
              <w:rPr>
                <w:rFonts w:eastAsia="Times New Roman"/>
                <w:b/>
                <w:bCs/>
                <w:szCs w:val="24"/>
                <w:lang w:eastAsia="cs-CZ"/>
              </w:rPr>
            </w:pPr>
            <w:r w:rsidRPr="00E44FC4">
              <w:rPr>
                <w:rFonts w:eastAsia="Times New Roman"/>
                <w:b/>
                <w:bCs/>
                <w:szCs w:val="24"/>
                <w:lang w:eastAsia="cs-CZ"/>
              </w:rPr>
              <w:t>Celkem ČR</w:t>
            </w:r>
          </w:p>
        </w:tc>
        <w:tc>
          <w:tcPr>
            <w:tcW w:w="1376" w:type="dxa"/>
            <w:tcBorders>
              <w:top w:val="nil"/>
              <w:left w:val="nil"/>
              <w:bottom w:val="double" w:sz="6" w:space="0" w:color="auto"/>
              <w:right w:val="nil"/>
            </w:tcBorders>
            <w:shd w:val="clear" w:color="auto" w:fill="auto"/>
            <w:noWrap/>
            <w:vAlign w:val="center"/>
            <w:hideMark/>
          </w:tcPr>
          <w:p w14:paraId="26ECF5B0" w14:textId="530491D3"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23,32</w:t>
            </w:r>
          </w:p>
        </w:tc>
        <w:tc>
          <w:tcPr>
            <w:tcW w:w="1355" w:type="dxa"/>
            <w:tcBorders>
              <w:top w:val="nil"/>
              <w:left w:val="nil"/>
              <w:bottom w:val="double" w:sz="6" w:space="0" w:color="auto"/>
              <w:right w:val="nil"/>
            </w:tcBorders>
            <w:shd w:val="clear" w:color="auto" w:fill="auto"/>
            <w:noWrap/>
            <w:vAlign w:val="center"/>
            <w:hideMark/>
          </w:tcPr>
          <w:p w14:paraId="6B9A3036" w14:textId="53EA7FB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42,29</w:t>
            </w:r>
          </w:p>
        </w:tc>
        <w:tc>
          <w:tcPr>
            <w:tcW w:w="1355" w:type="dxa"/>
            <w:tcBorders>
              <w:top w:val="nil"/>
              <w:left w:val="nil"/>
              <w:bottom w:val="double" w:sz="6" w:space="0" w:color="auto"/>
              <w:right w:val="nil"/>
            </w:tcBorders>
            <w:shd w:val="clear" w:color="auto" w:fill="auto"/>
            <w:noWrap/>
            <w:vAlign w:val="center"/>
            <w:hideMark/>
          </w:tcPr>
          <w:p w14:paraId="15386834" w14:textId="39C82064"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24,02</w:t>
            </w:r>
          </w:p>
        </w:tc>
        <w:tc>
          <w:tcPr>
            <w:tcW w:w="1355" w:type="dxa"/>
            <w:tcBorders>
              <w:top w:val="nil"/>
              <w:left w:val="nil"/>
              <w:bottom w:val="double" w:sz="6" w:space="0" w:color="auto"/>
              <w:right w:val="nil"/>
            </w:tcBorders>
            <w:shd w:val="clear" w:color="auto" w:fill="auto"/>
            <w:noWrap/>
            <w:vAlign w:val="center"/>
            <w:hideMark/>
          </w:tcPr>
          <w:p w14:paraId="30024B9D" w14:textId="0FF50C7E"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10,37</w:t>
            </w:r>
          </w:p>
        </w:tc>
      </w:tr>
      <w:tr w:rsidR="00F15667" w:rsidRPr="00E44FC4" w14:paraId="41203DCF" w14:textId="77777777" w:rsidTr="00271895">
        <w:trPr>
          <w:trHeight w:val="330"/>
        </w:trPr>
        <w:tc>
          <w:tcPr>
            <w:tcW w:w="2480" w:type="dxa"/>
            <w:tcBorders>
              <w:top w:val="nil"/>
              <w:left w:val="nil"/>
              <w:bottom w:val="nil"/>
              <w:right w:val="nil"/>
            </w:tcBorders>
            <w:shd w:val="clear" w:color="auto" w:fill="auto"/>
            <w:noWrap/>
            <w:vAlign w:val="center"/>
            <w:hideMark/>
          </w:tcPr>
          <w:p w14:paraId="32F42707" w14:textId="77777777" w:rsidR="004638A0" w:rsidRPr="00E44FC4" w:rsidRDefault="004638A0" w:rsidP="00271895">
            <w:pPr>
              <w:spacing w:line="240" w:lineRule="auto"/>
              <w:jc w:val="center"/>
              <w:rPr>
                <w:rFonts w:eastAsia="Times New Roman"/>
                <w:b/>
                <w:bCs/>
                <w:szCs w:val="24"/>
                <w:lang w:eastAsia="cs-CZ"/>
              </w:rPr>
            </w:pPr>
          </w:p>
        </w:tc>
        <w:tc>
          <w:tcPr>
            <w:tcW w:w="1376" w:type="dxa"/>
            <w:tcBorders>
              <w:top w:val="nil"/>
              <w:left w:val="nil"/>
              <w:bottom w:val="nil"/>
              <w:right w:val="nil"/>
            </w:tcBorders>
            <w:shd w:val="clear" w:color="auto" w:fill="auto"/>
            <w:noWrap/>
            <w:vAlign w:val="center"/>
            <w:hideMark/>
          </w:tcPr>
          <w:p w14:paraId="5B89F9A1" w14:textId="77777777" w:rsidR="004638A0" w:rsidRPr="00E44FC4" w:rsidRDefault="004638A0" w:rsidP="00271895">
            <w:pPr>
              <w:spacing w:line="240" w:lineRule="auto"/>
              <w:jc w:val="center"/>
              <w:rPr>
                <w:rFonts w:eastAsia="Times New Roman"/>
                <w:sz w:val="20"/>
                <w:szCs w:val="20"/>
                <w:lang w:eastAsia="cs-CZ"/>
              </w:rPr>
            </w:pPr>
          </w:p>
        </w:tc>
        <w:tc>
          <w:tcPr>
            <w:tcW w:w="1355" w:type="dxa"/>
            <w:tcBorders>
              <w:top w:val="nil"/>
              <w:left w:val="nil"/>
              <w:bottom w:val="nil"/>
              <w:right w:val="nil"/>
            </w:tcBorders>
            <w:shd w:val="clear" w:color="auto" w:fill="auto"/>
            <w:noWrap/>
            <w:vAlign w:val="center"/>
            <w:hideMark/>
          </w:tcPr>
          <w:p w14:paraId="573A7745" w14:textId="77777777" w:rsidR="004638A0" w:rsidRPr="00E44FC4" w:rsidRDefault="004638A0" w:rsidP="00271895">
            <w:pPr>
              <w:spacing w:line="240" w:lineRule="auto"/>
              <w:jc w:val="center"/>
              <w:rPr>
                <w:rFonts w:eastAsia="Times New Roman"/>
                <w:sz w:val="20"/>
                <w:szCs w:val="20"/>
                <w:lang w:eastAsia="cs-CZ"/>
              </w:rPr>
            </w:pPr>
          </w:p>
        </w:tc>
        <w:tc>
          <w:tcPr>
            <w:tcW w:w="1355" w:type="dxa"/>
            <w:tcBorders>
              <w:top w:val="nil"/>
              <w:left w:val="nil"/>
              <w:bottom w:val="nil"/>
              <w:right w:val="nil"/>
            </w:tcBorders>
            <w:shd w:val="clear" w:color="auto" w:fill="auto"/>
            <w:noWrap/>
            <w:vAlign w:val="center"/>
            <w:hideMark/>
          </w:tcPr>
          <w:p w14:paraId="78FE6D7A" w14:textId="77777777" w:rsidR="004638A0" w:rsidRPr="00E44FC4" w:rsidRDefault="004638A0" w:rsidP="00271895">
            <w:pPr>
              <w:spacing w:line="240" w:lineRule="auto"/>
              <w:jc w:val="center"/>
              <w:rPr>
                <w:rFonts w:eastAsia="Times New Roman"/>
                <w:sz w:val="20"/>
                <w:szCs w:val="20"/>
                <w:lang w:eastAsia="cs-CZ"/>
              </w:rPr>
            </w:pPr>
          </w:p>
        </w:tc>
        <w:tc>
          <w:tcPr>
            <w:tcW w:w="1355" w:type="dxa"/>
            <w:tcBorders>
              <w:top w:val="nil"/>
              <w:left w:val="nil"/>
              <w:bottom w:val="nil"/>
              <w:right w:val="nil"/>
            </w:tcBorders>
            <w:shd w:val="clear" w:color="auto" w:fill="auto"/>
            <w:noWrap/>
            <w:vAlign w:val="center"/>
            <w:hideMark/>
          </w:tcPr>
          <w:p w14:paraId="53BAD23D" w14:textId="77777777" w:rsidR="004638A0" w:rsidRPr="00E44FC4" w:rsidRDefault="004638A0" w:rsidP="00271895">
            <w:pPr>
              <w:spacing w:line="240" w:lineRule="auto"/>
              <w:jc w:val="center"/>
              <w:rPr>
                <w:rFonts w:eastAsia="Times New Roman"/>
                <w:sz w:val="20"/>
                <w:szCs w:val="20"/>
                <w:lang w:eastAsia="cs-CZ"/>
              </w:rPr>
            </w:pPr>
          </w:p>
        </w:tc>
      </w:tr>
    </w:tbl>
    <w:p w14:paraId="6806178E" w14:textId="77777777" w:rsidR="004638A0" w:rsidRPr="00E44FC4" w:rsidRDefault="004638A0" w:rsidP="004638A0">
      <w:pPr>
        <w:pStyle w:val="OdstavecASR"/>
      </w:pPr>
      <w:r w:rsidRPr="00E44FC4">
        <w:t>Posledním ukazatelem, na který se v této části zaměříme, bude srovnání plánovaného a evidenčního počtu soudců v jednotlivých krajích za posledních 7 let. Tento ukazatel může pomoci identifikovat, zda je v nějakých krajích dlouhodobý rozdíl mezi evidenčním a plánovaným počtem soudců. Průměry za celé období najdeme v následující tabulce:</w:t>
      </w:r>
    </w:p>
    <w:p w14:paraId="4CC2A410" w14:textId="58B6BE5A" w:rsidR="004638A0" w:rsidRPr="00E44FC4" w:rsidRDefault="004638A0" w:rsidP="004638A0">
      <w:pPr>
        <w:pStyle w:val="Podnadpis"/>
        <w:rPr>
          <w:color w:val="auto"/>
        </w:rPr>
      </w:pPr>
      <w:bookmarkStart w:id="77" w:name="_Toc75952308"/>
      <w:bookmarkStart w:id="78" w:name="_Toc106106767"/>
      <w:bookmarkStart w:id="79" w:name="_Toc144104244"/>
      <w:r w:rsidRPr="00E44FC4">
        <w:rPr>
          <w:color w:val="auto"/>
        </w:rPr>
        <w:t xml:space="preserve">Tabulka </w:t>
      </w:r>
      <w:r w:rsidRPr="00E44FC4">
        <w:rPr>
          <w:color w:val="auto"/>
        </w:rPr>
        <w:fldChar w:fldCharType="begin"/>
      </w:r>
      <w:r w:rsidRPr="00E44FC4">
        <w:rPr>
          <w:color w:val="auto"/>
        </w:rPr>
        <w:instrText xml:space="preserve"> SEQ Tabulka \* ARABIC </w:instrText>
      </w:r>
      <w:r w:rsidRPr="00E44FC4">
        <w:rPr>
          <w:color w:val="auto"/>
        </w:rPr>
        <w:fldChar w:fldCharType="separate"/>
      </w:r>
      <w:r w:rsidR="001E1A67">
        <w:rPr>
          <w:noProof/>
          <w:color w:val="auto"/>
        </w:rPr>
        <w:t>5</w:t>
      </w:r>
      <w:r w:rsidRPr="00E44FC4">
        <w:rPr>
          <w:noProof/>
          <w:color w:val="auto"/>
        </w:rPr>
        <w:fldChar w:fldCharType="end"/>
      </w:r>
      <w:r w:rsidRPr="00E44FC4">
        <w:rPr>
          <w:color w:val="auto"/>
        </w:rPr>
        <w:t>: OS – srovnání evidenčního a plánovaného počtu soudců za 8 let</w:t>
      </w:r>
      <w:bookmarkEnd w:id="77"/>
      <w:bookmarkEnd w:id="78"/>
      <w:bookmarkEnd w:id="79"/>
    </w:p>
    <w:tbl>
      <w:tblPr>
        <w:tblW w:w="7920" w:type="dxa"/>
        <w:tblCellMar>
          <w:left w:w="70" w:type="dxa"/>
          <w:right w:w="70" w:type="dxa"/>
        </w:tblCellMar>
        <w:tblLook w:val="04A0" w:firstRow="1" w:lastRow="0" w:firstColumn="1" w:lastColumn="0" w:noHBand="0" w:noVBand="1"/>
      </w:tblPr>
      <w:tblGrid>
        <w:gridCol w:w="2220"/>
        <w:gridCol w:w="1608"/>
        <w:gridCol w:w="1632"/>
        <w:gridCol w:w="2460"/>
      </w:tblGrid>
      <w:tr w:rsidR="00F15667" w:rsidRPr="00E44FC4" w14:paraId="1AA46628" w14:textId="77777777" w:rsidTr="00271895">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16A6F2E1" w14:textId="7777777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Nadřízený soud</w:t>
            </w:r>
          </w:p>
        </w:tc>
        <w:tc>
          <w:tcPr>
            <w:tcW w:w="3240" w:type="dxa"/>
            <w:gridSpan w:val="2"/>
            <w:tcBorders>
              <w:top w:val="double" w:sz="6" w:space="0" w:color="auto"/>
              <w:left w:val="nil"/>
              <w:bottom w:val="nil"/>
              <w:right w:val="nil"/>
            </w:tcBorders>
            <w:shd w:val="clear" w:color="auto" w:fill="auto"/>
            <w:noWrap/>
            <w:vAlign w:val="center"/>
            <w:hideMark/>
          </w:tcPr>
          <w:p w14:paraId="1DC05943" w14:textId="7777777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Průměrný počet soudců</w:t>
            </w:r>
          </w:p>
        </w:tc>
        <w:tc>
          <w:tcPr>
            <w:tcW w:w="2460" w:type="dxa"/>
            <w:vMerge w:val="restart"/>
            <w:tcBorders>
              <w:top w:val="double" w:sz="6" w:space="0" w:color="auto"/>
              <w:left w:val="nil"/>
              <w:bottom w:val="double" w:sz="6" w:space="0" w:color="000000"/>
              <w:right w:val="nil"/>
            </w:tcBorders>
            <w:shd w:val="clear" w:color="auto" w:fill="auto"/>
            <w:vAlign w:val="center"/>
            <w:hideMark/>
          </w:tcPr>
          <w:p w14:paraId="772D29AA" w14:textId="0886F45A"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Nadstav/podstav v</w:t>
            </w:r>
            <w:r w:rsidR="00E44FC4" w:rsidRPr="00E44FC4">
              <w:rPr>
                <w:rFonts w:eastAsia="Times New Roman"/>
                <w:b/>
                <w:bCs/>
                <w:szCs w:val="24"/>
                <w:lang w:eastAsia="cs-CZ"/>
              </w:rPr>
              <w:t> </w:t>
            </w:r>
            <w:r w:rsidRPr="00E44FC4">
              <w:rPr>
                <w:rFonts w:eastAsia="Times New Roman"/>
                <w:b/>
                <w:bCs/>
                <w:szCs w:val="24"/>
                <w:lang w:eastAsia="cs-CZ"/>
              </w:rPr>
              <w:t>%</w:t>
            </w:r>
          </w:p>
        </w:tc>
      </w:tr>
      <w:tr w:rsidR="00F15667" w:rsidRPr="00E44FC4" w14:paraId="6B727522" w14:textId="77777777" w:rsidTr="00271895">
        <w:trPr>
          <w:trHeight w:val="330"/>
        </w:trPr>
        <w:tc>
          <w:tcPr>
            <w:tcW w:w="2220" w:type="dxa"/>
            <w:vMerge/>
            <w:tcBorders>
              <w:top w:val="double" w:sz="6" w:space="0" w:color="auto"/>
              <w:left w:val="nil"/>
              <w:bottom w:val="double" w:sz="6" w:space="0" w:color="000000"/>
              <w:right w:val="nil"/>
            </w:tcBorders>
            <w:vAlign w:val="center"/>
            <w:hideMark/>
          </w:tcPr>
          <w:p w14:paraId="2FEFC8B3" w14:textId="77777777" w:rsidR="004638A0" w:rsidRPr="00E44FC4" w:rsidRDefault="004638A0" w:rsidP="00271895">
            <w:pPr>
              <w:spacing w:line="240" w:lineRule="auto"/>
              <w:jc w:val="center"/>
              <w:rPr>
                <w:rFonts w:eastAsia="Times New Roman"/>
                <w:b/>
                <w:bCs/>
                <w:szCs w:val="24"/>
                <w:lang w:eastAsia="cs-CZ"/>
              </w:rPr>
            </w:pPr>
          </w:p>
        </w:tc>
        <w:tc>
          <w:tcPr>
            <w:tcW w:w="1608" w:type="dxa"/>
            <w:tcBorders>
              <w:top w:val="nil"/>
              <w:left w:val="nil"/>
              <w:bottom w:val="double" w:sz="6" w:space="0" w:color="auto"/>
              <w:right w:val="nil"/>
            </w:tcBorders>
            <w:shd w:val="clear" w:color="auto" w:fill="auto"/>
            <w:noWrap/>
            <w:vAlign w:val="center"/>
            <w:hideMark/>
          </w:tcPr>
          <w:p w14:paraId="1CF34F66" w14:textId="208AEFCB" w:rsidR="004638A0" w:rsidRPr="00E44FC4" w:rsidRDefault="00CE31B1" w:rsidP="00271895">
            <w:pPr>
              <w:spacing w:line="240" w:lineRule="auto"/>
              <w:jc w:val="center"/>
              <w:rPr>
                <w:rFonts w:eastAsia="Times New Roman"/>
                <w:b/>
                <w:bCs/>
                <w:szCs w:val="24"/>
                <w:lang w:eastAsia="cs-CZ"/>
              </w:rPr>
            </w:pPr>
            <w:r w:rsidRPr="00E44FC4">
              <w:rPr>
                <w:rFonts w:eastAsia="Times New Roman"/>
                <w:b/>
                <w:bCs/>
                <w:szCs w:val="24"/>
                <w:lang w:eastAsia="cs-CZ"/>
              </w:rPr>
              <w:t>Evidenční</w:t>
            </w:r>
          </w:p>
        </w:tc>
        <w:tc>
          <w:tcPr>
            <w:tcW w:w="1632" w:type="dxa"/>
            <w:tcBorders>
              <w:top w:val="nil"/>
              <w:left w:val="nil"/>
              <w:bottom w:val="double" w:sz="6" w:space="0" w:color="auto"/>
              <w:right w:val="nil"/>
            </w:tcBorders>
            <w:shd w:val="clear" w:color="auto" w:fill="auto"/>
            <w:noWrap/>
            <w:vAlign w:val="center"/>
            <w:hideMark/>
          </w:tcPr>
          <w:p w14:paraId="3D39C3C3" w14:textId="77777777"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Plánovaný</w:t>
            </w:r>
          </w:p>
        </w:tc>
        <w:tc>
          <w:tcPr>
            <w:tcW w:w="2460" w:type="dxa"/>
            <w:vMerge/>
            <w:tcBorders>
              <w:top w:val="double" w:sz="6" w:space="0" w:color="auto"/>
              <w:left w:val="nil"/>
              <w:bottom w:val="double" w:sz="6" w:space="0" w:color="000000"/>
              <w:right w:val="nil"/>
            </w:tcBorders>
            <w:vAlign w:val="center"/>
            <w:hideMark/>
          </w:tcPr>
          <w:p w14:paraId="6C17E328" w14:textId="77777777" w:rsidR="004638A0" w:rsidRPr="00E44FC4" w:rsidRDefault="004638A0" w:rsidP="00271895">
            <w:pPr>
              <w:spacing w:line="240" w:lineRule="auto"/>
              <w:jc w:val="center"/>
              <w:rPr>
                <w:rFonts w:eastAsia="Times New Roman"/>
                <w:b/>
                <w:bCs/>
                <w:szCs w:val="24"/>
                <w:lang w:eastAsia="cs-CZ"/>
              </w:rPr>
            </w:pPr>
          </w:p>
        </w:tc>
      </w:tr>
      <w:tr w:rsidR="00F15667" w:rsidRPr="00E44FC4" w14:paraId="6D4C145F" w14:textId="77777777" w:rsidTr="00271895">
        <w:trPr>
          <w:trHeight w:val="330"/>
        </w:trPr>
        <w:tc>
          <w:tcPr>
            <w:tcW w:w="2220" w:type="dxa"/>
            <w:tcBorders>
              <w:top w:val="nil"/>
              <w:left w:val="nil"/>
              <w:bottom w:val="single" w:sz="4" w:space="0" w:color="auto"/>
              <w:right w:val="nil"/>
            </w:tcBorders>
            <w:shd w:val="clear" w:color="auto" w:fill="auto"/>
            <w:noWrap/>
            <w:vAlign w:val="center"/>
            <w:hideMark/>
          </w:tcPr>
          <w:p w14:paraId="21048015"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MS Praha</w:t>
            </w:r>
          </w:p>
        </w:tc>
        <w:tc>
          <w:tcPr>
            <w:tcW w:w="1608" w:type="dxa"/>
            <w:tcBorders>
              <w:top w:val="nil"/>
              <w:left w:val="nil"/>
              <w:bottom w:val="single" w:sz="4" w:space="0" w:color="auto"/>
              <w:right w:val="nil"/>
            </w:tcBorders>
            <w:shd w:val="clear" w:color="auto" w:fill="auto"/>
            <w:noWrap/>
            <w:vAlign w:val="center"/>
            <w:hideMark/>
          </w:tcPr>
          <w:p w14:paraId="44B25A4E" w14:textId="659A9406"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311</w:t>
            </w:r>
            <w:r w:rsidR="000D5E5A" w:rsidRPr="00E44FC4">
              <w:rPr>
                <w:rFonts w:eastAsia="Times New Roman"/>
                <w:szCs w:val="24"/>
                <w:lang w:eastAsia="cs-CZ"/>
              </w:rPr>
              <w:t>,</w:t>
            </w:r>
            <w:r w:rsidRPr="00E44FC4">
              <w:rPr>
                <w:rFonts w:eastAsia="Times New Roman"/>
                <w:szCs w:val="24"/>
                <w:lang w:eastAsia="cs-CZ"/>
              </w:rPr>
              <w:t>3</w:t>
            </w:r>
          </w:p>
        </w:tc>
        <w:tc>
          <w:tcPr>
            <w:tcW w:w="1632" w:type="dxa"/>
            <w:tcBorders>
              <w:top w:val="nil"/>
              <w:left w:val="nil"/>
              <w:bottom w:val="single" w:sz="4" w:space="0" w:color="auto"/>
              <w:right w:val="nil"/>
            </w:tcBorders>
            <w:shd w:val="clear" w:color="auto" w:fill="auto"/>
            <w:noWrap/>
            <w:vAlign w:val="center"/>
            <w:hideMark/>
          </w:tcPr>
          <w:p w14:paraId="093F306A" w14:textId="1DE24C4E"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290</w:t>
            </w:r>
            <w:r w:rsidR="000D5E5A" w:rsidRPr="00E44FC4">
              <w:rPr>
                <w:rFonts w:eastAsia="Times New Roman"/>
                <w:szCs w:val="24"/>
                <w:lang w:eastAsia="cs-CZ"/>
              </w:rPr>
              <w:t>,</w:t>
            </w:r>
            <w:r w:rsidRPr="00E44FC4">
              <w:rPr>
                <w:rFonts w:eastAsia="Times New Roman"/>
                <w:szCs w:val="24"/>
                <w:lang w:eastAsia="cs-CZ"/>
              </w:rPr>
              <w:t>8</w:t>
            </w:r>
          </w:p>
        </w:tc>
        <w:tc>
          <w:tcPr>
            <w:tcW w:w="2460" w:type="dxa"/>
            <w:tcBorders>
              <w:top w:val="nil"/>
              <w:left w:val="nil"/>
              <w:bottom w:val="single" w:sz="4" w:space="0" w:color="auto"/>
              <w:right w:val="nil"/>
            </w:tcBorders>
            <w:shd w:val="clear" w:color="auto" w:fill="auto"/>
            <w:noWrap/>
            <w:vAlign w:val="center"/>
            <w:hideMark/>
          </w:tcPr>
          <w:p w14:paraId="58311053" w14:textId="4BD6AB5A"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7</w:t>
            </w:r>
            <w:r w:rsidR="000D5E5A" w:rsidRPr="00E44FC4">
              <w:rPr>
                <w:rFonts w:eastAsia="Times New Roman"/>
                <w:szCs w:val="24"/>
                <w:lang w:eastAsia="cs-CZ"/>
              </w:rPr>
              <w:t>,</w:t>
            </w:r>
            <w:r w:rsidRPr="00E44FC4">
              <w:rPr>
                <w:rFonts w:eastAsia="Times New Roman"/>
                <w:szCs w:val="24"/>
                <w:lang w:eastAsia="cs-CZ"/>
              </w:rPr>
              <w:t>05</w:t>
            </w:r>
          </w:p>
        </w:tc>
      </w:tr>
      <w:tr w:rsidR="00F15667" w:rsidRPr="00E44FC4" w14:paraId="65E1435F" w14:textId="77777777" w:rsidTr="00271895">
        <w:trPr>
          <w:trHeight w:val="315"/>
        </w:trPr>
        <w:tc>
          <w:tcPr>
            <w:tcW w:w="2220" w:type="dxa"/>
            <w:tcBorders>
              <w:top w:val="nil"/>
              <w:left w:val="nil"/>
              <w:bottom w:val="single" w:sz="4" w:space="0" w:color="auto"/>
              <w:right w:val="nil"/>
            </w:tcBorders>
            <w:shd w:val="clear" w:color="auto" w:fill="auto"/>
            <w:noWrap/>
            <w:vAlign w:val="center"/>
            <w:hideMark/>
          </w:tcPr>
          <w:p w14:paraId="1AB660A6"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Praha</w:t>
            </w:r>
          </w:p>
        </w:tc>
        <w:tc>
          <w:tcPr>
            <w:tcW w:w="1608" w:type="dxa"/>
            <w:tcBorders>
              <w:top w:val="nil"/>
              <w:left w:val="nil"/>
              <w:bottom w:val="single" w:sz="4" w:space="0" w:color="auto"/>
              <w:right w:val="nil"/>
            </w:tcBorders>
            <w:shd w:val="clear" w:color="auto" w:fill="auto"/>
            <w:noWrap/>
            <w:vAlign w:val="center"/>
            <w:hideMark/>
          </w:tcPr>
          <w:p w14:paraId="61A67594" w14:textId="33CE1B08"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204</w:t>
            </w:r>
            <w:r w:rsidR="000D5E5A" w:rsidRPr="00E44FC4">
              <w:rPr>
                <w:rFonts w:eastAsia="Times New Roman"/>
                <w:szCs w:val="24"/>
                <w:lang w:eastAsia="cs-CZ"/>
              </w:rPr>
              <w:t>,</w:t>
            </w:r>
            <w:r w:rsidRPr="00E44FC4">
              <w:rPr>
                <w:rFonts w:eastAsia="Times New Roman"/>
                <w:szCs w:val="24"/>
                <w:lang w:eastAsia="cs-CZ"/>
              </w:rPr>
              <w:t>1</w:t>
            </w:r>
          </w:p>
        </w:tc>
        <w:tc>
          <w:tcPr>
            <w:tcW w:w="1632" w:type="dxa"/>
            <w:tcBorders>
              <w:top w:val="nil"/>
              <w:left w:val="nil"/>
              <w:bottom w:val="single" w:sz="4" w:space="0" w:color="auto"/>
              <w:right w:val="nil"/>
            </w:tcBorders>
            <w:shd w:val="clear" w:color="auto" w:fill="auto"/>
            <w:noWrap/>
            <w:vAlign w:val="center"/>
            <w:hideMark/>
          </w:tcPr>
          <w:p w14:paraId="49F98E39" w14:textId="3E31FA2A"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207</w:t>
            </w:r>
            <w:r w:rsidR="000D5E5A" w:rsidRPr="00E44FC4">
              <w:rPr>
                <w:rFonts w:eastAsia="Times New Roman"/>
                <w:szCs w:val="24"/>
                <w:lang w:eastAsia="cs-CZ"/>
              </w:rPr>
              <w:t>,</w:t>
            </w:r>
            <w:r w:rsidRPr="00E44FC4">
              <w:rPr>
                <w:rFonts w:eastAsia="Times New Roman"/>
                <w:szCs w:val="24"/>
                <w:lang w:eastAsia="cs-CZ"/>
              </w:rPr>
              <w:t>1</w:t>
            </w:r>
          </w:p>
        </w:tc>
        <w:tc>
          <w:tcPr>
            <w:tcW w:w="2460" w:type="dxa"/>
            <w:tcBorders>
              <w:top w:val="nil"/>
              <w:left w:val="nil"/>
              <w:bottom w:val="single" w:sz="4" w:space="0" w:color="auto"/>
              <w:right w:val="nil"/>
            </w:tcBorders>
            <w:shd w:val="clear" w:color="auto" w:fill="auto"/>
            <w:noWrap/>
            <w:vAlign w:val="center"/>
            <w:hideMark/>
          </w:tcPr>
          <w:p w14:paraId="05D20A49" w14:textId="1AFBC9EA"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w:t>
            </w:r>
            <w:r w:rsidR="000D5E5A" w:rsidRPr="00E44FC4">
              <w:rPr>
                <w:rFonts w:eastAsia="Times New Roman"/>
                <w:szCs w:val="24"/>
                <w:lang w:eastAsia="cs-CZ"/>
              </w:rPr>
              <w:t>,</w:t>
            </w:r>
            <w:r w:rsidRPr="00E44FC4">
              <w:rPr>
                <w:rFonts w:eastAsia="Times New Roman"/>
                <w:szCs w:val="24"/>
                <w:lang w:eastAsia="cs-CZ"/>
              </w:rPr>
              <w:t>45</w:t>
            </w:r>
          </w:p>
        </w:tc>
      </w:tr>
      <w:tr w:rsidR="00F15667" w:rsidRPr="00E44FC4" w14:paraId="0AA7E05B" w14:textId="77777777" w:rsidTr="00271895">
        <w:trPr>
          <w:trHeight w:val="315"/>
        </w:trPr>
        <w:tc>
          <w:tcPr>
            <w:tcW w:w="2220" w:type="dxa"/>
            <w:tcBorders>
              <w:top w:val="nil"/>
              <w:left w:val="nil"/>
              <w:bottom w:val="single" w:sz="4" w:space="0" w:color="auto"/>
              <w:right w:val="nil"/>
            </w:tcBorders>
            <w:shd w:val="clear" w:color="auto" w:fill="auto"/>
            <w:noWrap/>
            <w:vAlign w:val="center"/>
            <w:hideMark/>
          </w:tcPr>
          <w:p w14:paraId="0DE27DD7"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Č. Budějovice</w:t>
            </w:r>
          </w:p>
        </w:tc>
        <w:tc>
          <w:tcPr>
            <w:tcW w:w="1608" w:type="dxa"/>
            <w:tcBorders>
              <w:top w:val="nil"/>
              <w:left w:val="nil"/>
              <w:bottom w:val="single" w:sz="4" w:space="0" w:color="auto"/>
              <w:right w:val="nil"/>
            </w:tcBorders>
            <w:shd w:val="clear" w:color="auto" w:fill="auto"/>
            <w:noWrap/>
            <w:vAlign w:val="center"/>
            <w:hideMark/>
          </w:tcPr>
          <w:p w14:paraId="45024AEA" w14:textId="28F4EFE5"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103</w:t>
            </w:r>
            <w:r w:rsidR="000D5E5A" w:rsidRPr="00E44FC4">
              <w:rPr>
                <w:rFonts w:eastAsia="Times New Roman"/>
                <w:szCs w:val="24"/>
                <w:lang w:eastAsia="cs-CZ"/>
              </w:rPr>
              <w:t>,</w:t>
            </w:r>
            <w:r w:rsidRPr="00E44FC4">
              <w:rPr>
                <w:rFonts w:eastAsia="Times New Roman"/>
                <w:szCs w:val="24"/>
                <w:lang w:eastAsia="cs-CZ"/>
              </w:rPr>
              <w:t>4</w:t>
            </w:r>
          </w:p>
        </w:tc>
        <w:tc>
          <w:tcPr>
            <w:tcW w:w="1632" w:type="dxa"/>
            <w:tcBorders>
              <w:top w:val="nil"/>
              <w:left w:val="nil"/>
              <w:bottom w:val="single" w:sz="4" w:space="0" w:color="auto"/>
              <w:right w:val="nil"/>
            </w:tcBorders>
            <w:shd w:val="clear" w:color="auto" w:fill="auto"/>
            <w:noWrap/>
            <w:vAlign w:val="center"/>
            <w:hideMark/>
          </w:tcPr>
          <w:p w14:paraId="0400DA7D" w14:textId="0EA4A4C2"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102</w:t>
            </w:r>
            <w:r w:rsidR="000D5E5A" w:rsidRPr="00E44FC4">
              <w:rPr>
                <w:rFonts w:eastAsia="Times New Roman"/>
                <w:szCs w:val="24"/>
                <w:lang w:eastAsia="cs-CZ"/>
              </w:rPr>
              <w:t>,</w:t>
            </w:r>
            <w:r w:rsidRPr="00E44FC4">
              <w:rPr>
                <w:rFonts w:eastAsia="Times New Roman"/>
                <w:szCs w:val="24"/>
                <w:lang w:eastAsia="cs-CZ"/>
              </w:rPr>
              <w:t>9</w:t>
            </w:r>
          </w:p>
        </w:tc>
        <w:tc>
          <w:tcPr>
            <w:tcW w:w="2460" w:type="dxa"/>
            <w:tcBorders>
              <w:top w:val="nil"/>
              <w:left w:val="nil"/>
              <w:bottom w:val="single" w:sz="4" w:space="0" w:color="auto"/>
              <w:right w:val="nil"/>
            </w:tcBorders>
            <w:shd w:val="clear" w:color="auto" w:fill="auto"/>
            <w:noWrap/>
            <w:vAlign w:val="center"/>
            <w:hideMark/>
          </w:tcPr>
          <w:p w14:paraId="2FCA9AF8" w14:textId="7DB72C1A"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0</w:t>
            </w:r>
            <w:r w:rsidR="000D5E5A" w:rsidRPr="00E44FC4">
              <w:rPr>
                <w:rFonts w:eastAsia="Times New Roman"/>
                <w:szCs w:val="24"/>
                <w:lang w:eastAsia="cs-CZ"/>
              </w:rPr>
              <w:t>,</w:t>
            </w:r>
            <w:r w:rsidRPr="00E44FC4">
              <w:rPr>
                <w:rFonts w:eastAsia="Times New Roman"/>
                <w:szCs w:val="24"/>
                <w:lang w:eastAsia="cs-CZ"/>
              </w:rPr>
              <w:t>49</w:t>
            </w:r>
          </w:p>
        </w:tc>
      </w:tr>
      <w:tr w:rsidR="00F15667" w:rsidRPr="00E44FC4" w14:paraId="77DCE249" w14:textId="77777777" w:rsidTr="00271895">
        <w:trPr>
          <w:trHeight w:val="315"/>
        </w:trPr>
        <w:tc>
          <w:tcPr>
            <w:tcW w:w="2220" w:type="dxa"/>
            <w:tcBorders>
              <w:top w:val="nil"/>
              <w:left w:val="nil"/>
              <w:bottom w:val="single" w:sz="4" w:space="0" w:color="auto"/>
              <w:right w:val="nil"/>
            </w:tcBorders>
            <w:shd w:val="clear" w:color="auto" w:fill="auto"/>
            <w:noWrap/>
            <w:vAlign w:val="center"/>
            <w:hideMark/>
          </w:tcPr>
          <w:p w14:paraId="6556C8BD"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Plzeň</w:t>
            </w:r>
          </w:p>
        </w:tc>
        <w:tc>
          <w:tcPr>
            <w:tcW w:w="1608" w:type="dxa"/>
            <w:tcBorders>
              <w:top w:val="nil"/>
              <w:left w:val="nil"/>
              <w:bottom w:val="single" w:sz="4" w:space="0" w:color="auto"/>
              <w:right w:val="nil"/>
            </w:tcBorders>
            <w:shd w:val="clear" w:color="auto" w:fill="auto"/>
            <w:noWrap/>
            <w:vAlign w:val="center"/>
            <w:hideMark/>
          </w:tcPr>
          <w:p w14:paraId="4D5FF804" w14:textId="0A6C395B"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159</w:t>
            </w:r>
            <w:r w:rsidR="000D5E5A" w:rsidRPr="00E44FC4">
              <w:rPr>
                <w:rFonts w:eastAsia="Times New Roman"/>
                <w:szCs w:val="24"/>
                <w:lang w:eastAsia="cs-CZ"/>
              </w:rPr>
              <w:t>,</w:t>
            </w:r>
            <w:r w:rsidRPr="00E44FC4">
              <w:rPr>
                <w:rFonts w:eastAsia="Times New Roman"/>
                <w:szCs w:val="24"/>
                <w:lang w:eastAsia="cs-CZ"/>
              </w:rPr>
              <w:t>9</w:t>
            </w:r>
          </w:p>
        </w:tc>
        <w:tc>
          <w:tcPr>
            <w:tcW w:w="1632" w:type="dxa"/>
            <w:tcBorders>
              <w:top w:val="nil"/>
              <w:left w:val="nil"/>
              <w:bottom w:val="single" w:sz="4" w:space="0" w:color="auto"/>
              <w:right w:val="nil"/>
            </w:tcBorders>
            <w:shd w:val="clear" w:color="auto" w:fill="auto"/>
            <w:noWrap/>
            <w:vAlign w:val="center"/>
            <w:hideMark/>
          </w:tcPr>
          <w:p w14:paraId="75BA86DE" w14:textId="64F4842F"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161</w:t>
            </w:r>
            <w:r w:rsidR="000D5E5A" w:rsidRPr="00E44FC4">
              <w:rPr>
                <w:rFonts w:eastAsia="Times New Roman"/>
                <w:szCs w:val="24"/>
                <w:lang w:eastAsia="cs-CZ"/>
              </w:rPr>
              <w:t>,</w:t>
            </w:r>
            <w:r w:rsidRPr="00E44FC4">
              <w:rPr>
                <w:rFonts w:eastAsia="Times New Roman"/>
                <w:szCs w:val="24"/>
                <w:lang w:eastAsia="cs-CZ"/>
              </w:rPr>
              <w:t>4</w:t>
            </w:r>
          </w:p>
        </w:tc>
        <w:tc>
          <w:tcPr>
            <w:tcW w:w="2460" w:type="dxa"/>
            <w:tcBorders>
              <w:top w:val="nil"/>
              <w:left w:val="nil"/>
              <w:bottom w:val="single" w:sz="4" w:space="0" w:color="auto"/>
              <w:right w:val="nil"/>
            </w:tcBorders>
            <w:shd w:val="clear" w:color="auto" w:fill="auto"/>
            <w:noWrap/>
            <w:vAlign w:val="center"/>
            <w:hideMark/>
          </w:tcPr>
          <w:p w14:paraId="0FD4F58D" w14:textId="28E86E74"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-0</w:t>
            </w:r>
            <w:r w:rsidR="000D5E5A" w:rsidRPr="00E44FC4">
              <w:rPr>
                <w:rFonts w:eastAsia="Times New Roman"/>
                <w:szCs w:val="24"/>
                <w:lang w:eastAsia="cs-CZ"/>
              </w:rPr>
              <w:t>,</w:t>
            </w:r>
            <w:r w:rsidRPr="00E44FC4">
              <w:rPr>
                <w:rFonts w:eastAsia="Times New Roman"/>
                <w:szCs w:val="24"/>
                <w:lang w:eastAsia="cs-CZ"/>
              </w:rPr>
              <w:t>93</w:t>
            </w:r>
          </w:p>
        </w:tc>
      </w:tr>
      <w:tr w:rsidR="00F15667" w:rsidRPr="00E44FC4" w14:paraId="2C62324D" w14:textId="77777777" w:rsidTr="00271895">
        <w:trPr>
          <w:trHeight w:val="315"/>
        </w:trPr>
        <w:tc>
          <w:tcPr>
            <w:tcW w:w="2220" w:type="dxa"/>
            <w:tcBorders>
              <w:top w:val="nil"/>
              <w:left w:val="nil"/>
              <w:bottom w:val="single" w:sz="4" w:space="0" w:color="auto"/>
              <w:right w:val="nil"/>
            </w:tcBorders>
            <w:shd w:val="clear" w:color="auto" w:fill="auto"/>
            <w:noWrap/>
            <w:vAlign w:val="center"/>
            <w:hideMark/>
          </w:tcPr>
          <w:p w14:paraId="6FE1EFF8"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Ústí n. Labem</w:t>
            </w:r>
          </w:p>
        </w:tc>
        <w:tc>
          <w:tcPr>
            <w:tcW w:w="1608" w:type="dxa"/>
            <w:tcBorders>
              <w:top w:val="nil"/>
              <w:left w:val="nil"/>
              <w:bottom w:val="single" w:sz="4" w:space="0" w:color="auto"/>
              <w:right w:val="nil"/>
            </w:tcBorders>
            <w:shd w:val="clear" w:color="auto" w:fill="auto"/>
            <w:noWrap/>
            <w:vAlign w:val="center"/>
            <w:hideMark/>
          </w:tcPr>
          <w:p w14:paraId="49BFFB33" w14:textId="71D3F81E"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276</w:t>
            </w:r>
            <w:r w:rsidR="000D5E5A" w:rsidRPr="00E44FC4">
              <w:rPr>
                <w:rFonts w:eastAsia="Times New Roman"/>
                <w:szCs w:val="24"/>
                <w:lang w:eastAsia="cs-CZ"/>
              </w:rPr>
              <w:t>,</w:t>
            </w:r>
            <w:r w:rsidRPr="00E44FC4">
              <w:rPr>
                <w:rFonts w:eastAsia="Times New Roman"/>
                <w:szCs w:val="24"/>
                <w:lang w:eastAsia="cs-CZ"/>
              </w:rPr>
              <w:t>4</w:t>
            </w:r>
          </w:p>
        </w:tc>
        <w:tc>
          <w:tcPr>
            <w:tcW w:w="1632" w:type="dxa"/>
            <w:tcBorders>
              <w:top w:val="nil"/>
              <w:left w:val="nil"/>
              <w:bottom w:val="single" w:sz="4" w:space="0" w:color="auto"/>
              <w:right w:val="nil"/>
            </w:tcBorders>
            <w:shd w:val="clear" w:color="auto" w:fill="auto"/>
            <w:noWrap/>
            <w:vAlign w:val="center"/>
            <w:hideMark/>
          </w:tcPr>
          <w:p w14:paraId="6514A1FA" w14:textId="4680009D"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260</w:t>
            </w:r>
            <w:r w:rsidR="000D5E5A" w:rsidRPr="00E44FC4">
              <w:rPr>
                <w:rFonts w:eastAsia="Times New Roman"/>
                <w:szCs w:val="24"/>
                <w:lang w:eastAsia="cs-CZ"/>
              </w:rPr>
              <w:t>,</w:t>
            </w:r>
            <w:r w:rsidRPr="00E44FC4">
              <w:rPr>
                <w:rFonts w:eastAsia="Times New Roman"/>
                <w:szCs w:val="24"/>
                <w:lang w:eastAsia="cs-CZ"/>
              </w:rPr>
              <w:t>4</w:t>
            </w:r>
          </w:p>
        </w:tc>
        <w:tc>
          <w:tcPr>
            <w:tcW w:w="2460" w:type="dxa"/>
            <w:tcBorders>
              <w:top w:val="nil"/>
              <w:left w:val="nil"/>
              <w:bottom w:val="single" w:sz="4" w:space="0" w:color="auto"/>
              <w:right w:val="nil"/>
            </w:tcBorders>
            <w:shd w:val="clear" w:color="auto" w:fill="auto"/>
            <w:noWrap/>
            <w:vAlign w:val="center"/>
            <w:hideMark/>
          </w:tcPr>
          <w:p w14:paraId="6396D47A" w14:textId="6F6D7274"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6</w:t>
            </w:r>
            <w:r w:rsidR="000D5E5A" w:rsidRPr="00E44FC4">
              <w:rPr>
                <w:rFonts w:eastAsia="Times New Roman"/>
                <w:szCs w:val="24"/>
                <w:lang w:eastAsia="cs-CZ"/>
              </w:rPr>
              <w:t>,</w:t>
            </w:r>
            <w:r w:rsidRPr="00E44FC4">
              <w:rPr>
                <w:rFonts w:eastAsia="Times New Roman"/>
                <w:szCs w:val="24"/>
                <w:lang w:eastAsia="cs-CZ"/>
              </w:rPr>
              <w:t>14</w:t>
            </w:r>
          </w:p>
        </w:tc>
      </w:tr>
      <w:tr w:rsidR="00F15667" w:rsidRPr="00E44FC4" w14:paraId="31D3BBCE" w14:textId="77777777" w:rsidTr="00271895">
        <w:trPr>
          <w:trHeight w:val="315"/>
        </w:trPr>
        <w:tc>
          <w:tcPr>
            <w:tcW w:w="2220" w:type="dxa"/>
            <w:tcBorders>
              <w:top w:val="nil"/>
              <w:left w:val="nil"/>
              <w:bottom w:val="single" w:sz="4" w:space="0" w:color="auto"/>
              <w:right w:val="nil"/>
            </w:tcBorders>
            <w:shd w:val="clear" w:color="auto" w:fill="auto"/>
            <w:noWrap/>
            <w:vAlign w:val="center"/>
            <w:hideMark/>
          </w:tcPr>
          <w:p w14:paraId="4E306F9D"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Hr. Králové</w:t>
            </w:r>
          </w:p>
        </w:tc>
        <w:tc>
          <w:tcPr>
            <w:tcW w:w="1608" w:type="dxa"/>
            <w:tcBorders>
              <w:top w:val="nil"/>
              <w:left w:val="nil"/>
              <w:bottom w:val="single" w:sz="4" w:space="0" w:color="auto"/>
              <w:right w:val="nil"/>
            </w:tcBorders>
            <w:shd w:val="clear" w:color="auto" w:fill="auto"/>
            <w:noWrap/>
            <w:vAlign w:val="center"/>
            <w:hideMark/>
          </w:tcPr>
          <w:p w14:paraId="3336CA5B" w14:textId="3BC9C287"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169</w:t>
            </w:r>
            <w:r w:rsidR="000D5E5A" w:rsidRPr="00E44FC4">
              <w:rPr>
                <w:rFonts w:eastAsia="Times New Roman"/>
                <w:szCs w:val="24"/>
                <w:lang w:eastAsia="cs-CZ"/>
              </w:rPr>
              <w:t>,</w:t>
            </w:r>
            <w:r w:rsidRPr="00E44FC4">
              <w:rPr>
                <w:rFonts w:eastAsia="Times New Roman"/>
                <w:szCs w:val="24"/>
                <w:lang w:eastAsia="cs-CZ"/>
              </w:rPr>
              <w:t>5</w:t>
            </w:r>
          </w:p>
        </w:tc>
        <w:tc>
          <w:tcPr>
            <w:tcW w:w="1632" w:type="dxa"/>
            <w:tcBorders>
              <w:top w:val="nil"/>
              <w:left w:val="nil"/>
              <w:bottom w:val="single" w:sz="4" w:space="0" w:color="auto"/>
              <w:right w:val="nil"/>
            </w:tcBorders>
            <w:shd w:val="clear" w:color="auto" w:fill="auto"/>
            <w:noWrap/>
            <w:vAlign w:val="center"/>
            <w:hideMark/>
          </w:tcPr>
          <w:p w14:paraId="57FDC33F" w14:textId="3B1A3821"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167</w:t>
            </w:r>
            <w:r w:rsidR="000D5E5A" w:rsidRPr="00E44FC4">
              <w:rPr>
                <w:rFonts w:eastAsia="Times New Roman"/>
                <w:szCs w:val="24"/>
                <w:lang w:eastAsia="cs-CZ"/>
              </w:rPr>
              <w:t>,</w:t>
            </w:r>
            <w:r w:rsidRPr="00E44FC4">
              <w:rPr>
                <w:rFonts w:eastAsia="Times New Roman"/>
                <w:szCs w:val="24"/>
                <w:lang w:eastAsia="cs-CZ"/>
              </w:rPr>
              <w:t>5</w:t>
            </w:r>
          </w:p>
        </w:tc>
        <w:tc>
          <w:tcPr>
            <w:tcW w:w="2460" w:type="dxa"/>
            <w:tcBorders>
              <w:top w:val="nil"/>
              <w:left w:val="nil"/>
              <w:bottom w:val="single" w:sz="4" w:space="0" w:color="auto"/>
              <w:right w:val="nil"/>
            </w:tcBorders>
            <w:shd w:val="clear" w:color="auto" w:fill="auto"/>
            <w:noWrap/>
            <w:vAlign w:val="center"/>
            <w:hideMark/>
          </w:tcPr>
          <w:p w14:paraId="3D383EF3" w14:textId="12AC6190"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w:t>
            </w:r>
            <w:r w:rsidR="000D5E5A" w:rsidRPr="00E44FC4">
              <w:rPr>
                <w:rFonts w:eastAsia="Times New Roman"/>
                <w:szCs w:val="24"/>
                <w:lang w:eastAsia="cs-CZ"/>
              </w:rPr>
              <w:t>,</w:t>
            </w:r>
            <w:r w:rsidRPr="00E44FC4">
              <w:rPr>
                <w:rFonts w:eastAsia="Times New Roman"/>
                <w:szCs w:val="24"/>
                <w:lang w:eastAsia="cs-CZ"/>
              </w:rPr>
              <w:t>19</w:t>
            </w:r>
          </w:p>
        </w:tc>
      </w:tr>
      <w:tr w:rsidR="00F15667" w:rsidRPr="00E44FC4" w14:paraId="00F70F86" w14:textId="77777777" w:rsidTr="00271895">
        <w:trPr>
          <w:trHeight w:val="315"/>
        </w:trPr>
        <w:tc>
          <w:tcPr>
            <w:tcW w:w="2220" w:type="dxa"/>
            <w:tcBorders>
              <w:top w:val="nil"/>
              <w:left w:val="nil"/>
              <w:bottom w:val="single" w:sz="4" w:space="0" w:color="auto"/>
              <w:right w:val="nil"/>
            </w:tcBorders>
            <w:shd w:val="clear" w:color="auto" w:fill="auto"/>
            <w:noWrap/>
            <w:vAlign w:val="center"/>
            <w:hideMark/>
          </w:tcPr>
          <w:p w14:paraId="22D8AB46"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Brno</w:t>
            </w:r>
          </w:p>
        </w:tc>
        <w:tc>
          <w:tcPr>
            <w:tcW w:w="1608" w:type="dxa"/>
            <w:tcBorders>
              <w:top w:val="nil"/>
              <w:left w:val="nil"/>
              <w:bottom w:val="single" w:sz="4" w:space="0" w:color="auto"/>
              <w:right w:val="nil"/>
            </w:tcBorders>
            <w:shd w:val="clear" w:color="auto" w:fill="auto"/>
            <w:noWrap/>
            <w:vAlign w:val="center"/>
            <w:hideMark/>
          </w:tcPr>
          <w:p w14:paraId="6D2F634F" w14:textId="0D4D5AB8"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285</w:t>
            </w:r>
            <w:r w:rsidR="000D5E5A" w:rsidRPr="00E44FC4">
              <w:rPr>
                <w:rFonts w:eastAsia="Times New Roman"/>
                <w:szCs w:val="24"/>
                <w:lang w:eastAsia="cs-CZ"/>
              </w:rPr>
              <w:t>,</w:t>
            </w:r>
            <w:r w:rsidRPr="00E44FC4">
              <w:rPr>
                <w:rFonts w:eastAsia="Times New Roman"/>
                <w:szCs w:val="24"/>
                <w:lang w:eastAsia="cs-CZ"/>
              </w:rPr>
              <w:t>9</w:t>
            </w:r>
          </w:p>
        </w:tc>
        <w:tc>
          <w:tcPr>
            <w:tcW w:w="1632" w:type="dxa"/>
            <w:tcBorders>
              <w:top w:val="nil"/>
              <w:left w:val="nil"/>
              <w:bottom w:val="single" w:sz="4" w:space="0" w:color="auto"/>
              <w:right w:val="nil"/>
            </w:tcBorders>
            <w:shd w:val="clear" w:color="auto" w:fill="auto"/>
            <w:noWrap/>
            <w:vAlign w:val="center"/>
            <w:hideMark/>
          </w:tcPr>
          <w:p w14:paraId="4E01C775" w14:textId="24EF985C"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275</w:t>
            </w:r>
            <w:r w:rsidR="000D5E5A" w:rsidRPr="00E44FC4">
              <w:rPr>
                <w:rFonts w:eastAsia="Times New Roman"/>
                <w:szCs w:val="24"/>
                <w:lang w:eastAsia="cs-CZ"/>
              </w:rPr>
              <w:t>,</w:t>
            </w:r>
            <w:r w:rsidRPr="00E44FC4">
              <w:rPr>
                <w:rFonts w:eastAsia="Times New Roman"/>
                <w:szCs w:val="24"/>
                <w:lang w:eastAsia="cs-CZ"/>
              </w:rPr>
              <w:t>9</w:t>
            </w:r>
          </w:p>
        </w:tc>
        <w:tc>
          <w:tcPr>
            <w:tcW w:w="2460" w:type="dxa"/>
            <w:tcBorders>
              <w:top w:val="nil"/>
              <w:left w:val="nil"/>
              <w:bottom w:val="single" w:sz="4" w:space="0" w:color="auto"/>
              <w:right w:val="nil"/>
            </w:tcBorders>
            <w:shd w:val="clear" w:color="auto" w:fill="auto"/>
            <w:noWrap/>
            <w:vAlign w:val="center"/>
            <w:hideMark/>
          </w:tcPr>
          <w:p w14:paraId="354DB3CA" w14:textId="07855A71"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3</w:t>
            </w:r>
            <w:r w:rsidR="000D5E5A" w:rsidRPr="00E44FC4">
              <w:rPr>
                <w:rFonts w:eastAsia="Times New Roman"/>
                <w:szCs w:val="24"/>
                <w:lang w:eastAsia="cs-CZ"/>
              </w:rPr>
              <w:t>,</w:t>
            </w:r>
            <w:r w:rsidRPr="00E44FC4">
              <w:rPr>
                <w:rFonts w:eastAsia="Times New Roman"/>
                <w:szCs w:val="24"/>
                <w:lang w:eastAsia="cs-CZ"/>
              </w:rPr>
              <w:t>62</w:t>
            </w:r>
          </w:p>
        </w:tc>
      </w:tr>
      <w:tr w:rsidR="00F15667" w:rsidRPr="00E44FC4" w14:paraId="2429814E" w14:textId="77777777" w:rsidTr="00271895">
        <w:trPr>
          <w:trHeight w:val="330"/>
        </w:trPr>
        <w:tc>
          <w:tcPr>
            <w:tcW w:w="2220" w:type="dxa"/>
            <w:tcBorders>
              <w:top w:val="nil"/>
              <w:left w:val="nil"/>
              <w:bottom w:val="double" w:sz="6" w:space="0" w:color="auto"/>
              <w:right w:val="nil"/>
            </w:tcBorders>
            <w:shd w:val="clear" w:color="auto" w:fill="auto"/>
            <w:noWrap/>
            <w:vAlign w:val="center"/>
            <w:hideMark/>
          </w:tcPr>
          <w:p w14:paraId="211B3191" w14:textId="77777777" w:rsidR="004638A0" w:rsidRPr="00E44FC4" w:rsidRDefault="004638A0" w:rsidP="00271895">
            <w:pPr>
              <w:spacing w:line="240" w:lineRule="auto"/>
              <w:jc w:val="left"/>
              <w:rPr>
                <w:rFonts w:eastAsia="Times New Roman"/>
                <w:szCs w:val="24"/>
                <w:lang w:eastAsia="cs-CZ"/>
              </w:rPr>
            </w:pPr>
            <w:r w:rsidRPr="00E44FC4">
              <w:rPr>
                <w:rFonts w:eastAsia="Times New Roman"/>
                <w:szCs w:val="24"/>
                <w:lang w:eastAsia="cs-CZ"/>
              </w:rPr>
              <w:t>KS Ostrava</w:t>
            </w:r>
          </w:p>
        </w:tc>
        <w:tc>
          <w:tcPr>
            <w:tcW w:w="1608" w:type="dxa"/>
            <w:tcBorders>
              <w:top w:val="nil"/>
              <w:left w:val="nil"/>
              <w:bottom w:val="double" w:sz="6" w:space="0" w:color="auto"/>
              <w:right w:val="nil"/>
            </w:tcBorders>
            <w:shd w:val="clear" w:color="auto" w:fill="auto"/>
            <w:noWrap/>
            <w:vAlign w:val="center"/>
            <w:hideMark/>
          </w:tcPr>
          <w:p w14:paraId="2B494FC2" w14:textId="74EE2643"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318</w:t>
            </w:r>
            <w:r w:rsidR="000D5E5A" w:rsidRPr="00E44FC4">
              <w:rPr>
                <w:rFonts w:eastAsia="Times New Roman"/>
                <w:szCs w:val="24"/>
                <w:lang w:eastAsia="cs-CZ"/>
              </w:rPr>
              <w:t>,</w:t>
            </w:r>
            <w:r w:rsidRPr="00E44FC4">
              <w:rPr>
                <w:rFonts w:eastAsia="Times New Roman"/>
                <w:szCs w:val="24"/>
                <w:lang w:eastAsia="cs-CZ"/>
              </w:rPr>
              <w:t>1</w:t>
            </w:r>
          </w:p>
        </w:tc>
        <w:tc>
          <w:tcPr>
            <w:tcW w:w="1632" w:type="dxa"/>
            <w:tcBorders>
              <w:top w:val="nil"/>
              <w:left w:val="nil"/>
              <w:bottom w:val="double" w:sz="6" w:space="0" w:color="auto"/>
              <w:right w:val="nil"/>
            </w:tcBorders>
            <w:shd w:val="clear" w:color="auto" w:fill="auto"/>
            <w:noWrap/>
            <w:vAlign w:val="center"/>
            <w:hideMark/>
          </w:tcPr>
          <w:p w14:paraId="3685A0C7" w14:textId="629201BA"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312</w:t>
            </w:r>
            <w:r w:rsidR="000D5E5A" w:rsidRPr="00E44FC4">
              <w:rPr>
                <w:rFonts w:eastAsia="Times New Roman"/>
                <w:szCs w:val="24"/>
                <w:lang w:eastAsia="cs-CZ"/>
              </w:rPr>
              <w:t>,</w:t>
            </w:r>
            <w:r w:rsidRPr="00E44FC4">
              <w:rPr>
                <w:rFonts w:eastAsia="Times New Roman"/>
                <w:szCs w:val="24"/>
                <w:lang w:eastAsia="cs-CZ"/>
              </w:rPr>
              <w:t>6</w:t>
            </w:r>
          </w:p>
        </w:tc>
        <w:tc>
          <w:tcPr>
            <w:tcW w:w="2460" w:type="dxa"/>
            <w:tcBorders>
              <w:top w:val="nil"/>
              <w:left w:val="nil"/>
              <w:bottom w:val="double" w:sz="6" w:space="0" w:color="auto"/>
              <w:right w:val="nil"/>
            </w:tcBorders>
            <w:shd w:val="clear" w:color="auto" w:fill="auto"/>
            <w:noWrap/>
            <w:vAlign w:val="center"/>
            <w:hideMark/>
          </w:tcPr>
          <w:p w14:paraId="3F75C593" w14:textId="2D35D2A0" w:rsidR="004638A0" w:rsidRPr="00E44FC4" w:rsidRDefault="004638A0" w:rsidP="00271895">
            <w:pPr>
              <w:spacing w:line="240" w:lineRule="auto"/>
              <w:jc w:val="center"/>
              <w:rPr>
                <w:rFonts w:eastAsia="Times New Roman"/>
                <w:szCs w:val="24"/>
                <w:lang w:eastAsia="cs-CZ"/>
              </w:rPr>
            </w:pPr>
            <w:r w:rsidRPr="00E44FC4">
              <w:rPr>
                <w:rFonts w:eastAsia="Times New Roman"/>
                <w:szCs w:val="24"/>
                <w:lang w:eastAsia="cs-CZ"/>
              </w:rPr>
              <w:t>1</w:t>
            </w:r>
            <w:r w:rsidR="000D5E5A" w:rsidRPr="00E44FC4">
              <w:rPr>
                <w:rFonts w:eastAsia="Times New Roman"/>
                <w:szCs w:val="24"/>
                <w:lang w:eastAsia="cs-CZ"/>
              </w:rPr>
              <w:t>,</w:t>
            </w:r>
            <w:r w:rsidRPr="00E44FC4">
              <w:rPr>
                <w:rFonts w:eastAsia="Times New Roman"/>
                <w:szCs w:val="24"/>
                <w:lang w:eastAsia="cs-CZ"/>
              </w:rPr>
              <w:t>76</w:t>
            </w:r>
          </w:p>
        </w:tc>
      </w:tr>
      <w:tr w:rsidR="00F15667" w:rsidRPr="00E44FC4" w14:paraId="040EC89A" w14:textId="77777777" w:rsidTr="00271895">
        <w:trPr>
          <w:trHeight w:val="345"/>
        </w:trPr>
        <w:tc>
          <w:tcPr>
            <w:tcW w:w="2220" w:type="dxa"/>
            <w:tcBorders>
              <w:top w:val="nil"/>
              <w:left w:val="nil"/>
              <w:bottom w:val="double" w:sz="6" w:space="0" w:color="auto"/>
              <w:right w:val="nil"/>
            </w:tcBorders>
            <w:shd w:val="clear" w:color="auto" w:fill="auto"/>
            <w:noWrap/>
            <w:vAlign w:val="center"/>
            <w:hideMark/>
          </w:tcPr>
          <w:p w14:paraId="67524C33" w14:textId="77777777" w:rsidR="004638A0" w:rsidRPr="00E44FC4" w:rsidRDefault="004638A0" w:rsidP="00271895">
            <w:pPr>
              <w:spacing w:line="240" w:lineRule="auto"/>
              <w:jc w:val="left"/>
              <w:rPr>
                <w:rFonts w:eastAsia="Times New Roman"/>
                <w:b/>
                <w:bCs/>
                <w:szCs w:val="24"/>
                <w:lang w:eastAsia="cs-CZ"/>
              </w:rPr>
            </w:pPr>
            <w:r w:rsidRPr="00E44FC4">
              <w:rPr>
                <w:rFonts w:eastAsia="Times New Roman"/>
                <w:b/>
                <w:bCs/>
                <w:szCs w:val="24"/>
                <w:lang w:eastAsia="cs-CZ"/>
              </w:rPr>
              <w:t>Celkem ČR</w:t>
            </w:r>
          </w:p>
        </w:tc>
        <w:tc>
          <w:tcPr>
            <w:tcW w:w="1608" w:type="dxa"/>
            <w:tcBorders>
              <w:top w:val="nil"/>
              <w:left w:val="nil"/>
              <w:bottom w:val="double" w:sz="6" w:space="0" w:color="auto"/>
              <w:right w:val="nil"/>
            </w:tcBorders>
            <w:shd w:val="clear" w:color="auto" w:fill="auto"/>
            <w:noWrap/>
            <w:vAlign w:val="center"/>
            <w:hideMark/>
          </w:tcPr>
          <w:p w14:paraId="5B422993" w14:textId="67A81788"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1</w:t>
            </w:r>
            <w:r w:rsidR="0038112F" w:rsidRPr="00E44FC4">
              <w:rPr>
                <w:rFonts w:eastAsia="Times New Roman"/>
                <w:b/>
                <w:bCs/>
                <w:szCs w:val="24"/>
                <w:lang w:eastAsia="cs-CZ"/>
              </w:rPr>
              <w:t xml:space="preserve"> </w:t>
            </w:r>
            <w:r w:rsidRPr="00E44FC4">
              <w:rPr>
                <w:rFonts w:eastAsia="Times New Roman"/>
                <w:b/>
                <w:bCs/>
                <w:szCs w:val="24"/>
                <w:lang w:eastAsia="cs-CZ"/>
              </w:rPr>
              <w:t>828</w:t>
            </w:r>
            <w:r w:rsidR="000D5E5A" w:rsidRPr="00E44FC4">
              <w:rPr>
                <w:rFonts w:eastAsia="Times New Roman"/>
                <w:b/>
                <w:bCs/>
                <w:szCs w:val="24"/>
                <w:lang w:eastAsia="cs-CZ"/>
              </w:rPr>
              <w:t>,</w:t>
            </w:r>
            <w:r w:rsidRPr="00E44FC4">
              <w:rPr>
                <w:rFonts w:eastAsia="Times New Roman"/>
                <w:b/>
                <w:bCs/>
                <w:szCs w:val="24"/>
                <w:lang w:eastAsia="cs-CZ"/>
              </w:rPr>
              <w:t>5</w:t>
            </w:r>
          </w:p>
        </w:tc>
        <w:tc>
          <w:tcPr>
            <w:tcW w:w="1632" w:type="dxa"/>
            <w:tcBorders>
              <w:top w:val="nil"/>
              <w:left w:val="nil"/>
              <w:bottom w:val="double" w:sz="6" w:space="0" w:color="auto"/>
              <w:right w:val="nil"/>
            </w:tcBorders>
            <w:shd w:val="clear" w:color="auto" w:fill="auto"/>
            <w:noWrap/>
            <w:vAlign w:val="center"/>
            <w:hideMark/>
          </w:tcPr>
          <w:p w14:paraId="1441DF92" w14:textId="21EECB98"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1</w:t>
            </w:r>
            <w:r w:rsidR="0038112F" w:rsidRPr="00E44FC4">
              <w:rPr>
                <w:rFonts w:eastAsia="Times New Roman"/>
                <w:b/>
                <w:bCs/>
                <w:szCs w:val="24"/>
                <w:lang w:eastAsia="cs-CZ"/>
              </w:rPr>
              <w:t xml:space="preserve"> </w:t>
            </w:r>
            <w:r w:rsidRPr="00E44FC4">
              <w:rPr>
                <w:rFonts w:eastAsia="Times New Roman"/>
                <w:b/>
                <w:bCs/>
                <w:szCs w:val="24"/>
                <w:lang w:eastAsia="cs-CZ"/>
              </w:rPr>
              <w:t>778</w:t>
            </w:r>
            <w:r w:rsidR="000D5E5A" w:rsidRPr="00E44FC4">
              <w:rPr>
                <w:rFonts w:eastAsia="Times New Roman"/>
                <w:b/>
                <w:bCs/>
                <w:szCs w:val="24"/>
                <w:lang w:eastAsia="cs-CZ"/>
              </w:rPr>
              <w:t>,</w:t>
            </w:r>
            <w:r w:rsidRPr="00E44FC4">
              <w:rPr>
                <w:rFonts w:eastAsia="Times New Roman"/>
                <w:b/>
                <w:bCs/>
                <w:szCs w:val="24"/>
                <w:lang w:eastAsia="cs-CZ"/>
              </w:rPr>
              <w:t>5</w:t>
            </w:r>
          </w:p>
        </w:tc>
        <w:tc>
          <w:tcPr>
            <w:tcW w:w="2460" w:type="dxa"/>
            <w:tcBorders>
              <w:top w:val="nil"/>
              <w:left w:val="nil"/>
              <w:bottom w:val="double" w:sz="6" w:space="0" w:color="auto"/>
              <w:right w:val="nil"/>
            </w:tcBorders>
            <w:shd w:val="clear" w:color="auto" w:fill="auto"/>
            <w:noWrap/>
            <w:vAlign w:val="center"/>
            <w:hideMark/>
          </w:tcPr>
          <w:p w14:paraId="3E2A9E7C" w14:textId="18A0008F" w:rsidR="004638A0" w:rsidRPr="00E44FC4" w:rsidRDefault="004638A0" w:rsidP="00271895">
            <w:pPr>
              <w:spacing w:line="240" w:lineRule="auto"/>
              <w:jc w:val="center"/>
              <w:rPr>
                <w:rFonts w:eastAsia="Times New Roman"/>
                <w:b/>
                <w:bCs/>
                <w:szCs w:val="24"/>
                <w:lang w:eastAsia="cs-CZ"/>
              </w:rPr>
            </w:pPr>
            <w:r w:rsidRPr="00E44FC4">
              <w:rPr>
                <w:rFonts w:eastAsia="Times New Roman"/>
                <w:b/>
                <w:bCs/>
                <w:szCs w:val="24"/>
                <w:lang w:eastAsia="cs-CZ"/>
              </w:rPr>
              <w:t>2</w:t>
            </w:r>
            <w:r w:rsidR="000D5E5A" w:rsidRPr="00E44FC4">
              <w:rPr>
                <w:rFonts w:eastAsia="Times New Roman"/>
                <w:b/>
                <w:bCs/>
                <w:szCs w:val="24"/>
                <w:lang w:eastAsia="cs-CZ"/>
              </w:rPr>
              <w:t>,</w:t>
            </w:r>
            <w:r w:rsidRPr="00E44FC4">
              <w:rPr>
                <w:rFonts w:eastAsia="Times New Roman"/>
                <w:b/>
                <w:bCs/>
                <w:szCs w:val="24"/>
                <w:lang w:eastAsia="cs-CZ"/>
              </w:rPr>
              <w:t>81</w:t>
            </w:r>
          </w:p>
        </w:tc>
      </w:tr>
      <w:tr w:rsidR="00F15667" w:rsidRPr="00E44FC4" w14:paraId="7734E293" w14:textId="77777777" w:rsidTr="00271895">
        <w:trPr>
          <w:trHeight w:val="345"/>
        </w:trPr>
        <w:tc>
          <w:tcPr>
            <w:tcW w:w="2220" w:type="dxa"/>
            <w:tcBorders>
              <w:top w:val="nil"/>
              <w:left w:val="nil"/>
              <w:bottom w:val="nil"/>
              <w:right w:val="nil"/>
            </w:tcBorders>
            <w:shd w:val="clear" w:color="auto" w:fill="auto"/>
            <w:noWrap/>
            <w:vAlign w:val="center"/>
            <w:hideMark/>
          </w:tcPr>
          <w:p w14:paraId="46326F59" w14:textId="77777777" w:rsidR="004638A0" w:rsidRPr="00E44FC4" w:rsidRDefault="004638A0" w:rsidP="00271895">
            <w:pPr>
              <w:spacing w:line="240" w:lineRule="auto"/>
              <w:jc w:val="center"/>
              <w:rPr>
                <w:rFonts w:eastAsia="Times New Roman"/>
                <w:b/>
                <w:bCs/>
                <w:szCs w:val="24"/>
                <w:lang w:eastAsia="cs-CZ"/>
              </w:rPr>
            </w:pPr>
          </w:p>
        </w:tc>
        <w:tc>
          <w:tcPr>
            <w:tcW w:w="1608" w:type="dxa"/>
            <w:tcBorders>
              <w:top w:val="nil"/>
              <w:left w:val="nil"/>
              <w:bottom w:val="nil"/>
              <w:right w:val="nil"/>
            </w:tcBorders>
            <w:shd w:val="clear" w:color="auto" w:fill="auto"/>
            <w:noWrap/>
            <w:vAlign w:val="center"/>
            <w:hideMark/>
          </w:tcPr>
          <w:p w14:paraId="17E6740A" w14:textId="77777777" w:rsidR="004638A0" w:rsidRPr="00E44FC4" w:rsidRDefault="004638A0" w:rsidP="00271895">
            <w:pPr>
              <w:spacing w:line="240" w:lineRule="auto"/>
              <w:jc w:val="center"/>
              <w:rPr>
                <w:rFonts w:eastAsia="Times New Roman"/>
                <w:sz w:val="20"/>
                <w:szCs w:val="20"/>
                <w:lang w:eastAsia="cs-CZ"/>
              </w:rPr>
            </w:pPr>
          </w:p>
        </w:tc>
        <w:tc>
          <w:tcPr>
            <w:tcW w:w="1632" w:type="dxa"/>
            <w:tcBorders>
              <w:top w:val="nil"/>
              <w:left w:val="nil"/>
              <w:bottom w:val="nil"/>
              <w:right w:val="nil"/>
            </w:tcBorders>
            <w:shd w:val="clear" w:color="auto" w:fill="auto"/>
            <w:noWrap/>
            <w:vAlign w:val="center"/>
            <w:hideMark/>
          </w:tcPr>
          <w:p w14:paraId="7EFE5AC7" w14:textId="77777777" w:rsidR="004638A0" w:rsidRPr="00E44FC4" w:rsidRDefault="004638A0" w:rsidP="00271895">
            <w:pPr>
              <w:spacing w:line="240" w:lineRule="auto"/>
              <w:jc w:val="center"/>
              <w:rPr>
                <w:rFonts w:eastAsia="Times New Roman"/>
                <w:sz w:val="20"/>
                <w:szCs w:val="20"/>
                <w:lang w:eastAsia="cs-CZ"/>
              </w:rPr>
            </w:pPr>
          </w:p>
        </w:tc>
        <w:tc>
          <w:tcPr>
            <w:tcW w:w="2460" w:type="dxa"/>
            <w:tcBorders>
              <w:top w:val="nil"/>
              <w:left w:val="nil"/>
              <w:bottom w:val="nil"/>
              <w:right w:val="nil"/>
            </w:tcBorders>
            <w:shd w:val="clear" w:color="auto" w:fill="auto"/>
            <w:noWrap/>
            <w:vAlign w:val="center"/>
            <w:hideMark/>
          </w:tcPr>
          <w:p w14:paraId="7EED7881" w14:textId="77777777" w:rsidR="004638A0" w:rsidRPr="00E44FC4" w:rsidRDefault="004638A0" w:rsidP="00271895">
            <w:pPr>
              <w:spacing w:line="240" w:lineRule="auto"/>
              <w:jc w:val="center"/>
              <w:rPr>
                <w:rFonts w:eastAsia="Times New Roman"/>
                <w:sz w:val="20"/>
                <w:szCs w:val="20"/>
                <w:lang w:eastAsia="cs-CZ"/>
              </w:rPr>
            </w:pPr>
          </w:p>
        </w:tc>
      </w:tr>
    </w:tbl>
    <w:p w14:paraId="5C8DCB21" w14:textId="68A5C826" w:rsidR="004638A0" w:rsidRPr="00E44FC4" w:rsidRDefault="004638A0" w:rsidP="004638A0">
      <w:pPr>
        <w:pStyle w:val="OdstavecASR"/>
      </w:pPr>
      <w:r w:rsidRPr="00E44FC4">
        <w:t xml:space="preserve">V tabulce vidíme, že dlouhodobě jsou okresní soudy v „plusu“ oproti plánovanému počtu. To je koneckonců vidět i na </w:t>
      </w:r>
      <w:r w:rsidR="00404C98" w:rsidRPr="00E44FC4">
        <w:t xml:space="preserve">předchozím </w:t>
      </w:r>
      <w:r w:rsidRPr="00E44FC4">
        <w:t xml:space="preserve">grafu. Zdaleka nejvíce to platí pro obvodní soudy v Praze, což </w:t>
      </w:r>
      <w:r w:rsidRPr="00E44FC4">
        <w:lastRenderedPageBreak/>
        <w:t>vyplývá z faktu, že tyto soudy mají specifickou agendu, a obecná měřítka tak dle systemizační komise ve vztahu k nim zcela neodráží realitu. Dlouhodobě mají vyšší počet evidenčních soudců všechny kraje s výjimkou Středočeského a nově také Západočeského, byť rozdíly nejsou velké. V některých krajích (Severočeský, Jihomoravský, Severomoravský) se odráží posilování vybraných soudů v těchto krajích z důvodu velkého počtu nevyřízených věcí a vysokých délek řízení. Do statistiky se značně promítl rok 2022, neboť plánovaný počet převýšil počet evidenční poprvé ve sledovaném období.</w:t>
      </w:r>
    </w:p>
    <w:p w14:paraId="46B69F22" w14:textId="77777777" w:rsidR="004638A0" w:rsidRPr="00E44FC4" w:rsidRDefault="004638A0" w:rsidP="004638A0">
      <w:pPr>
        <w:pStyle w:val="OdstavecASR"/>
      </w:pPr>
      <w:r w:rsidRPr="00E44FC4">
        <w:t>Na závěr je třeba upozornit, že v systemizaci (v plánovaném počtu soudců) nejsou promítnuty všechny faktory (například počet nevyřízených věcí nebo počet věcí přerušených</w:t>
      </w:r>
      <w:r w:rsidRPr="00E44FC4">
        <w:rPr>
          <w:rStyle w:val="Znakapoznpodarou"/>
        </w:rPr>
        <w:footnoteReference w:id="4"/>
      </w:r>
      <w:r w:rsidRPr="00E44FC4">
        <w:t>).</w:t>
      </w:r>
    </w:p>
    <w:p w14:paraId="7036460E" w14:textId="77223A27" w:rsidR="008430BD" w:rsidRPr="00E44FC4" w:rsidRDefault="008430BD" w:rsidP="008430BD">
      <w:pPr>
        <w:pStyle w:val="Nadpis3"/>
        <w:numPr>
          <w:ilvl w:val="2"/>
          <w:numId w:val="1"/>
        </w:numPr>
        <w:rPr>
          <w:color w:val="auto"/>
        </w:rPr>
      </w:pPr>
      <w:bookmarkStart w:id="80" w:name="_Ref3374388"/>
      <w:bookmarkStart w:id="81" w:name="_Ref10813793"/>
      <w:bookmarkStart w:id="82" w:name="_Toc106092715"/>
      <w:bookmarkStart w:id="83" w:name="_Toc144104336"/>
      <w:r w:rsidRPr="00E44FC4">
        <w:rPr>
          <w:color w:val="auto"/>
        </w:rPr>
        <w:t>Zaměstnanci ve výkonu</w:t>
      </w:r>
      <w:bookmarkEnd w:id="80"/>
      <w:r w:rsidRPr="00E44FC4">
        <w:rPr>
          <w:color w:val="auto"/>
        </w:rPr>
        <w:t xml:space="preserve"> </w:t>
      </w:r>
      <w:r w:rsidR="001B5E6A" w:rsidRPr="00E44FC4">
        <w:rPr>
          <w:color w:val="auto"/>
        </w:rPr>
        <w:t>a </w:t>
      </w:r>
      <w:r w:rsidRPr="00E44FC4">
        <w:rPr>
          <w:color w:val="auto"/>
        </w:rPr>
        <w:t>ve správě</w:t>
      </w:r>
      <w:bookmarkEnd w:id="81"/>
      <w:bookmarkEnd w:id="82"/>
      <w:bookmarkEnd w:id="83"/>
    </w:p>
    <w:p w14:paraId="16EA76D1" w14:textId="0D51A349" w:rsidR="0053006D" w:rsidRPr="00E44FC4" w:rsidRDefault="0053006D" w:rsidP="0053006D">
      <w:pPr>
        <w:pStyle w:val="OdstavecASR"/>
      </w:pPr>
      <w:r w:rsidRPr="00E44FC4">
        <w:t>Vzhledem k většímu počtu kategorií zaměstnanců ve výkonu uvádíme pro zachování přehlednosti v tabulce níže pouze jejich počty k 1. 1. </w:t>
      </w:r>
      <w:r w:rsidR="00864D80" w:rsidRPr="00E44FC4">
        <w:t>2022</w:t>
      </w:r>
      <w:r w:rsidRPr="00E44FC4">
        <w:t>, a to po krajích a pouze pro vybrané kategorie.</w:t>
      </w:r>
    </w:p>
    <w:p w14:paraId="2C4EF7A9" w14:textId="25FF6B6B" w:rsidR="0053006D" w:rsidRPr="00E44FC4" w:rsidRDefault="0053006D" w:rsidP="0053006D">
      <w:pPr>
        <w:pStyle w:val="Podnadpis"/>
        <w:rPr>
          <w:color w:val="auto"/>
        </w:rPr>
      </w:pPr>
      <w:bookmarkStart w:id="84" w:name="_Toc515871439"/>
      <w:bookmarkStart w:id="85" w:name="_Toc11133207"/>
      <w:bookmarkStart w:id="86" w:name="_Toc43931179"/>
      <w:bookmarkStart w:id="87" w:name="_Toc75952309"/>
      <w:bookmarkStart w:id="88" w:name="_Toc106106768"/>
      <w:bookmarkStart w:id="89" w:name="_Toc144104245"/>
      <w:r w:rsidRPr="00E44FC4">
        <w:rPr>
          <w:color w:val="auto"/>
        </w:rPr>
        <w:t xml:space="preserve">Tabulka </w:t>
      </w:r>
      <w:r w:rsidRPr="00E44FC4">
        <w:rPr>
          <w:color w:val="auto"/>
        </w:rPr>
        <w:fldChar w:fldCharType="begin"/>
      </w:r>
      <w:r w:rsidRPr="00E44FC4">
        <w:rPr>
          <w:color w:val="auto"/>
        </w:rPr>
        <w:instrText xml:space="preserve"> SEQ Tabulka \* ARABIC </w:instrText>
      </w:r>
      <w:r w:rsidRPr="00E44FC4">
        <w:rPr>
          <w:color w:val="auto"/>
        </w:rPr>
        <w:fldChar w:fldCharType="separate"/>
      </w:r>
      <w:r w:rsidR="001E1A67">
        <w:rPr>
          <w:noProof/>
          <w:color w:val="auto"/>
        </w:rPr>
        <w:t>6</w:t>
      </w:r>
      <w:r w:rsidRPr="00E44FC4">
        <w:rPr>
          <w:noProof/>
          <w:color w:val="auto"/>
        </w:rPr>
        <w:fldChar w:fldCharType="end"/>
      </w:r>
      <w:r w:rsidRPr="00E44FC4">
        <w:rPr>
          <w:color w:val="auto"/>
        </w:rPr>
        <w:t>: OS – evidenční počet zaměstnanců ve výkonu dle krajů</w:t>
      </w:r>
      <w:bookmarkEnd w:id="84"/>
      <w:bookmarkEnd w:id="85"/>
      <w:bookmarkEnd w:id="86"/>
      <w:bookmarkEnd w:id="87"/>
      <w:bookmarkEnd w:id="88"/>
      <w:bookmarkEnd w:id="89"/>
    </w:p>
    <w:tbl>
      <w:tblPr>
        <w:tblW w:w="9072" w:type="dxa"/>
        <w:tblLayout w:type="fixed"/>
        <w:tblCellMar>
          <w:left w:w="70" w:type="dxa"/>
          <w:right w:w="70" w:type="dxa"/>
        </w:tblCellMar>
        <w:tblLook w:val="04A0" w:firstRow="1" w:lastRow="0" w:firstColumn="1" w:lastColumn="0" w:noHBand="0" w:noVBand="1"/>
      </w:tblPr>
      <w:tblGrid>
        <w:gridCol w:w="2080"/>
        <w:gridCol w:w="732"/>
        <w:gridCol w:w="732"/>
        <w:gridCol w:w="732"/>
        <w:gridCol w:w="733"/>
        <w:gridCol w:w="732"/>
        <w:gridCol w:w="732"/>
        <w:gridCol w:w="732"/>
        <w:gridCol w:w="733"/>
        <w:gridCol w:w="1134"/>
      </w:tblGrid>
      <w:tr w:rsidR="00F15667" w:rsidRPr="00E44FC4" w14:paraId="004CB69C" w14:textId="77777777" w:rsidTr="00271895">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516BC1BA"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Nadřízený soud</w:t>
            </w:r>
          </w:p>
        </w:tc>
        <w:tc>
          <w:tcPr>
            <w:tcW w:w="6992" w:type="dxa"/>
            <w:gridSpan w:val="9"/>
            <w:tcBorders>
              <w:top w:val="double" w:sz="6" w:space="0" w:color="auto"/>
              <w:left w:val="nil"/>
              <w:bottom w:val="nil"/>
              <w:right w:val="nil"/>
            </w:tcBorders>
            <w:shd w:val="clear" w:color="auto" w:fill="auto"/>
            <w:noWrap/>
            <w:vAlign w:val="center"/>
            <w:hideMark/>
          </w:tcPr>
          <w:p w14:paraId="2DF3E2B3"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Počet osob</w:t>
            </w:r>
          </w:p>
        </w:tc>
      </w:tr>
      <w:tr w:rsidR="00F15667" w:rsidRPr="00E44FC4" w14:paraId="65CD140E" w14:textId="77777777" w:rsidTr="00271895">
        <w:trPr>
          <w:trHeight w:val="330"/>
        </w:trPr>
        <w:tc>
          <w:tcPr>
            <w:tcW w:w="2080" w:type="dxa"/>
            <w:vMerge/>
            <w:tcBorders>
              <w:top w:val="double" w:sz="6" w:space="0" w:color="auto"/>
              <w:left w:val="nil"/>
              <w:bottom w:val="double" w:sz="6" w:space="0" w:color="000000"/>
              <w:right w:val="nil"/>
            </w:tcBorders>
            <w:vAlign w:val="center"/>
            <w:hideMark/>
          </w:tcPr>
          <w:p w14:paraId="1A064063" w14:textId="77777777" w:rsidR="0053006D" w:rsidRPr="00E44FC4" w:rsidRDefault="0053006D" w:rsidP="00271895">
            <w:pPr>
              <w:spacing w:line="240" w:lineRule="auto"/>
              <w:jc w:val="center"/>
              <w:rPr>
                <w:rFonts w:eastAsia="Times New Roman"/>
                <w:b/>
                <w:bCs/>
                <w:szCs w:val="24"/>
                <w:lang w:eastAsia="cs-CZ"/>
              </w:rPr>
            </w:pPr>
          </w:p>
        </w:tc>
        <w:tc>
          <w:tcPr>
            <w:tcW w:w="732" w:type="dxa"/>
            <w:tcBorders>
              <w:top w:val="nil"/>
              <w:left w:val="nil"/>
              <w:bottom w:val="double" w:sz="6" w:space="0" w:color="auto"/>
              <w:right w:val="nil"/>
            </w:tcBorders>
            <w:shd w:val="clear" w:color="auto" w:fill="auto"/>
            <w:noWrap/>
            <w:vAlign w:val="center"/>
            <w:hideMark/>
          </w:tcPr>
          <w:p w14:paraId="7CE0D4E7"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VSÚ</w:t>
            </w:r>
          </w:p>
        </w:tc>
        <w:tc>
          <w:tcPr>
            <w:tcW w:w="732" w:type="dxa"/>
            <w:tcBorders>
              <w:top w:val="nil"/>
              <w:left w:val="nil"/>
              <w:bottom w:val="double" w:sz="6" w:space="0" w:color="auto"/>
              <w:right w:val="nil"/>
            </w:tcBorders>
            <w:shd w:val="clear" w:color="auto" w:fill="auto"/>
            <w:noWrap/>
            <w:vAlign w:val="center"/>
            <w:hideMark/>
          </w:tcPr>
          <w:p w14:paraId="5854A04D"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ST</w:t>
            </w:r>
          </w:p>
        </w:tc>
        <w:tc>
          <w:tcPr>
            <w:tcW w:w="732" w:type="dxa"/>
            <w:tcBorders>
              <w:top w:val="nil"/>
              <w:left w:val="nil"/>
              <w:bottom w:val="double" w:sz="6" w:space="0" w:color="auto"/>
              <w:right w:val="nil"/>
            </w:tcBorders>
            <w:shd w:val="clear" w:color="auto" w:fill="auto"/>
            <w:noWrap/>
            <w:vAlign w:val="center"/>
            <w:hideMark/>
          </w:tcPr>
          <w:p w14:paraId="41969C17"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A</w:t>
            </w:r>
          </w:p>
        </w:tc>
        <w:tc>
          <w:tcPr>
            <w:tcW w:w="733" w:type="dxa"/>
            <w:tcBorders>
              <w:top w:val="nil"/>
              <w:left w:val="nil"/>
              <w:bottom w:val="double" w:sz="6" w:space="0" w:color="auto"/>
              <w:right w:val="nil"/>
            </w:tcBorders>
            <w:shd w:val="clear" w:color="auto" w:fill="auto"/>
            <w:noWrap/>
            <w:vAlign w:val="center"/>
            <w:hideMark/>
          </w:tcPr>
          <w:p w14:paraId="49EEEA55"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VK</w:t>
            </w:r>
          </w:p>
        </w:tc>
        <w:tc>
          <w:tcPr>
            <w:tcW w:w="732" w:type="dxa"/>
            <w:tcBorders>
              <w:top w:val="nil"/>
              <w:left w:val="nil"/>
              <w:bottom w:val="double" w:sz="6" w:space="0" w:color="auto"/>
              <w:right w:val="nil"/>
            </w:tcBorders>
            <w:shd w:val="clear" w:color="auto" w:fill="auto"/>
            <w:noWrap/>
            <w:vAlign w:val="center"/>
            <w:hideMark/>
          </w:tcPr>
          <w:p w14:paraId="6DA09FC2"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PÚ</w:t>
            </w:r>
          </w:p>
        </w:tc>
        <w:tc>
          <w:tcPr>
            <w:tcW w:w="732" w:type="dxa"/>
            <w:tcBorders>
              <w:top w:val="nil"/>
              <w:left w:val="nil"/>
              <w:bottom w:val="double" w:sz="6" w:space="0" w:color="auto"/>
              <w:right w:val="nil"/>
            </w:tcBorders>
            <w:shd w:val="clear" w:color="auto" w:fill="auto"/>
            <w:noWrap/>
            <w:vAlign w:val="center"/>
            <w:hideMark/>
          </w:tcPr>
          <w:p w14:paraId="461DD05C"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Z</w:t>
            </w:r>
          </w:p>
        </w:tc>
        <w:tc>
          <w:tcPr>
            <w:tcW w:w="732" w:type="dxa"/>
            <w:tcBorders>
              <w:top w:val="nil"/>
              <w:left w:val="nil"/>
              <w:bottom w:val="double" w:sz="6" w:space="0" w:color="auto"/>
              <w:right w:val="nil"/>
            </w:tcBorders>
            <w:shd w:val="clear" w:color="auto" w:fill="auto"/>
            <w:noWrap/>
            <w:vAlign w:val="center"/>
            <w:hideMark/>
          </w:tcPr>
          <w:p w14:paraId="00CF2F12"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RV</w:t>
            </w:r>
          </w:p>
        </w:tc>
        <w:tc>
          <w:tcPr>
            <w:tcW w:w="733" w:type="dxa"/>
            <w:tcBorders>
              <w:top w:val="nil"/>
              <w:left w:val="nil"/>
              <w:bottom w:val="double" w:sz="6" w:space="0" w:color="auto"/>
              <w:right w:val="nil"/>
            </w:tcBorders>
            <w:shd w:val="clear" w:color="auto" w:fill="auto"/>
            <w:noWrap/>
            <w:vAlign w:val="center"/>
            <w:hideMark/>
          </w:tcPr>
          <w:p w14:paraId="274D6A41"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SV</w:t>
            </w:r>
          </w:p>
        </w:tc>
        <w:tc>
          <w:tcPr>
            <w:tcW w:w="1134" w:type="dxa"/>
            <w:tcBorders>
              <w:top w:val="nil"/>
              <w:left w:val="nil"/>
              <w:bottom w:val="double" w:sz="6" w:space="0" w:color="auto"/>
              <w:right w:val="nil"/>
            </w:tcBorders>
            <w:shd w:val="clear" w:color="auto" w:fill="auto"/>
            <w:noWrap/>
            <w:vAlign w:val="center"/>
            <w:hideMark/>
          </w:tcPr>
          <w:p w14:paraId="5FF2199A"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Celkem</w:t>
            </w:r>
          </w:p>
        </w:tc>
      </w:tr>
      <w:tr w:rsidR="00F15667" w:rsidRPr="00E44FC4" w14:paraId="6CCC4087" w14:textId="77777777" w:rsidTr="00271895">
        <w:trPr>
          <w:trHeight w:val="330"/>
        </w:trPr>
        <w:tc>
          <w:tcPr>
            <w:tcW w:w="2080" w:type="dxa"/>
            <w:tcBorders>
              <w:top w:val="single" w:sz="4" w:space="0" w:color="auto"/>
              <w:left w:val="nil"/>
              <w:bottom w:val="single" w:sz="4" w:space="0" w:color="auto"/>
              <w:right w:val="nil"/>
            </w:tcBorders>
            <w:shd w:val="clear" w:color="auto" w:fill="auto"/>
            <w:noWrap/>
            <w:vAlign w:val="center"/>
            <w:hideMark/>
          </w:tcPr>
          <w:p w14:paraId="07873CD9" w14:textId="77777777" w:rsidR="0053006D" w:rsidRPr="00E44FC4" w:rsidRDefault="0053006D" w:rsidP="00271895">
            <w:pPr>
              <w:spacing w:line="240" w:lineRule="auto"/>
              <w:jc w:val="left"/>
              <w:rPr>
                <w:rFonts w:eastAsia="Times New Roman"/>
                <w:szCs w:val="24"/>
                <w:lang w:eastAsia="cs-CZ"/>
              </w:rPr>
            </w:pPr>
            <w:r w:rsidRPr="00E44FC4">
              <w:rPr>
                <w:rFonts w:eastAsia="Times New Roman"/>
                <w:szCs w:val="24"/>
                <w:lang w:eastAsia="cs-CZ"/>
              </w:rPr>
              <w:t>MS Praha</w:t>
            </w:r>
          </w:p>
        </w:tc>
        <w:tc>
          <w:tcPr>
            <w:tcW w:w="732" w:type="dxa"/>
            <w:tcBorders>
              <w:top w:val="single" w:sz="4" w:space="0" w:color="auto"/>
              <w:left w:val="nil"/>
              <w:bottom w:val="single" w:sz="4" w:space="0" w:color="auto"/>
              <w:right w:val="nil"/>
            </w:tcBorders>
            <w:shd w:val="clear" w:color="auto" w:fill="auto"/>
            <w:noWrap/>
            <w:vAlign w:val="center"/>
            <w:hideMark/>
          </w:tcPr>
          <w:p w14:paraId="6A36098D"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119</w:t>
            </w:r>
          </w:p>
        </w:tc>
        <w:tc>
          <w:tcPr>
            <w:tcW w:w="732" w:type="dxa"/>
            <w:tcBorders>
              <w:top w:val="single" w:sz="4" w:space="0" w:color="auto"/>
              <w:left w:val="nil"/>
              <w:bottom w:val="single" w:sz="4" w:space="0" w:color="auto"/>
              <w:right w:val="nil"/>
            </w:tcBorders>
            <w:shd w:val="clear" w:color="auto" w:fill="auto"/>
            <w:noWrap/>
            <w:vAlign w:val="center"/>
            <w:hideMark/>
          </w:tcPr>
          <w:p w14:paraId="36195352"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35</w:t>
            </w:r>
          </w:p>
        </w:tc>
        <w:tc>
          <w:tcPr>
            <w:tcW w:w="732" w:type="dxa"/>
            <w:tcBorders>
              <w:top w:val="single" w:sz="4" w:space="0" w:color="auto"/>
              <w:left w:val="nil"/>
              <w:bottom w:val="single" w:sz="4" w:space="0" w:color="auto"/>
              <w:right w:val="nil"/>
            </w:tcBorders>
            <w:shd w:val="clear" w:color="auto" w:fill="auto"/>
            <w:noWrap/>
            <w:vAlign w:val="center"/>
            <w:hideMark/>
          </w:tcPr>
          <w:p w14:paraId="049E3640"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140</w:t>
            </w:r>
          </w:p>
        </w:tc>
        <w:tc>
          <w:tcPr>
            <w:tcW w:w="733" w:type="dxa"/>
            <w:tcBorders>
              <w:top w:val="single" w:sz="4" w:space="0" w:color="auto"/>
              <w:left w:val="nil"/>
              <w:bottom w:val="single" w:sz="4" w:space="0" w:color="auto"/>
              <w:right w:val="nil"/>
            </w:tcBorders>
            <w:shd w:val="clear" w:color="auto" w:fill="auto"/>
            <w:noWrap/>
            <w:vAlign w:val="center"/>
            <w:hideMark/>
          </w:tcPr>
          <w:p w14:paraId="4493F756"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169</w:t>
            </w:r>
          </w:p>
        </w:tc>
        <w:tc>
          <w:tcPr>
            <w:tcW w:w="732" w:type="dxa"/>
            <w:tcBorders>
              <w:top w:val="single" w:sz="4" w:space="0" w:color="auto"/>
              <w:left w:val="nil"/>
              <w:bottom w:val="single" w:sz="4" w:space="0" w:color="auto"/>
              <w:right w:val="nil"/>
            </w:tcBorders>
            <w:shd w:val="clear" w:color="auto" w:fill="auto"/>
            <w:noWrap/>
            <w:vAlign w:val="center"/>
            <w:hideMark/>
          </w:tcPr>
          <w:p w14:paraId="7B848005"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45</w:t>
            </w:r>
          </w:p>
        </w:tc>
        <w:tc>
          <w:tcPr>
            <w:tcW w:w="732" w:type="dxa"/>
            <w:tcBorders>
              <w:top w:val="single" w:sz="4" w:space="0" w:color="auto"/>
              <w:left w:val="nil"/>
              <w:bottom w:val="single" w:sz="4" w:space="0" w:color="auto"/>
              <w:right w:val="nil"/>
            </w:tcBorders>
            <w:shd w:val="clear" w:color="auto" w:fill="auto"/>
            <w:noWrap/>
            <w:vAlign w:val="center"/>
            <w:hideMark/>
          </w:tcPr>
          <w:p w14:paraId="25304198"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119</w:t>
            </w:r>
          </w:p>
        </w:tc>
        <w:tc>
          <w:tcPr>
            <w:tcW w:w="732" w:type="dxa"/>
            <w:tcBorders>
              <w:top w:val="single" w:sz="4" w:space="0" w:color="auto"/>
              <w:left w:val="nil"/>
              <w:bottom w:val="single" w:sz="4" w:space="0" w:color="auto"/>
              <w:right w:val="nil"/>
            </w:tcBorders>
            <w:shd w:val="clear" w:color="auto" w:fill="auto"/>
            <w:noWrap/>
            <w:vAlign w:val="center"/>
            <w:hideMark/>
          </w:tcPr>
          <w:p w14:paraId="47512EC6"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81</w:t>
            </w:r>
          </w:p>
        </w:tc>
        <w:tc>
          <w:tcPr>
            <w:tcW w:w="733" w:type="dxa"/>
            <w:tcBorders>
              <w:top w:val="single" w:sz="4" w:space="0" w:color="auto"/>
              <w:left w:val="nil"/>
              <w:bottom w:val="single" w:sz="4" w:space="0" w:color="auto"/>
              <w:right w:val="nil"/>
            </w:tcBorders>
            <w:shd w:val="clear" w:color="auto" w:fill="auto"/>
            <w:noWrap/>
            <w:vAlign w:val="center"/>
            <w:hideMark/>
          </w:tcPr>
          <w:p w14:paraId="107C3182"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11</w:t>
            </w:r>
          </w:p>
        </w:tc>
        <w:tc>
          <w:tcPr>
            <w:tcW w:w="1134" w:type="dxa"/>
            <w:tcBorders>
              <w:top w:val="single" w:sz="4" w:space="0" w:color="auto"/>
              <w:left w:val="nil"/>
              <w:bottom w:val="single" w:sz="4" w:space="0" w:color="auto"/>
              <w:right w:val="nil"/>
            </w:tcBorders>
            <w:shd w:val="clear" w:color="auto" w:fill="auto"/>
            <w:noWrap/>
            <w:vAlign w:val="center"/>
            <w:hideMark/>
          </w:tcPr>
          <w:p w14:paraId="0783F7F6"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719</w:t>
            </w:r>
          </w:p>
        </w:tc>
      </w:tr>
      <w:tr w:rsidR="00F15667" w:rsidRPr="00E44FC4" w14:paraId="5F9D4CEF" w14:textId="77777777" w:rsidTr="00271895">
        <w:trPr>
          <w:trHeight w:val="315"/>
        </w:trPr>
        <w:tc>
          <w:tcPr>
            <w:tcW w:w="2080" w:type="dxa"/>
            <w:tcBorders>
              <w:top w:val="nil"/>
              <w:left w:val="nil"/>
              <w:bottom w:val="single" w:sz="4" w:space="0" w:color="auto"/>
              <w:right w:val="nil"/>
            </w:tcBorders>
            <w:shd w:val="clear" w:color="auto" w:fill="auto"/>
            <w:noWrap/>
            <w:vAlign w:val="center"/>
            <w:hideMark/>
          </w:tcPr>
          <w:p w14:paraId="72D462AB" w14:textId="77777777" w:rsidR="0053006D" w:rsidRPr="00E44FC4" w:rsidRDefault="0053006D" w:rsidP="00271895">
            <w:pPr>
              <w:spacing w:line="240" w:lineRule="auto"/>
              <w:jc w:val="left"/>
              <w:rPr>
                <w:rFonts w:eastAsia="Times New Roman"/>
                <w:szCs w:val="24"/>
                <w:lang w:eastAsia="cs-CZ"/>
              </w:rPr>
            </w:pPr>
            <w:r w:rsidRPr="00E44FC4">
              <w:rPr>
                <w:rFonts w:eastAsia="Times New Roman"/>
                <w:szCs w:val="24"/>
                <w:lang w:eastAsia="cs-CZ"/>
              </w:rPr>
              <w:t>KS Praha</w:t>
            </w:r>
          </w:p>
        </w:tc>
        <w:tc>
          <w:tcPr>
            <w:tcW w:w="732" w:type="dxa"/>
            <w:tcBorders>
              <w:top w:val="nil"/>
              <w:left w:val="nil"/>
              <w:bottom w:val="single" w:sz="4" w:space="0" w:color="auto"/>
              <w:right w:val="nil"/>
            </w:tcBorders>
            <w:shd w:val="clear" w:color="auto" w:fill="auto"/>
            <w:noWrap/>
            <w:vAlign w:val="center"/>
            <w:hideMark/>
          </w:tcPr>
          <w:p w14:paraId="58DA1C0D"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113</w:t>
            </w:r>
          </w:p>
        </w:tc>
        <w:tc>
          <w:tcPr>
            <w:tcW w:w="732" w:type="dxa"/>
            <w:tcBorders>
              <w:top w:val="nil"/>
              <w:left w:val="nil"/>
              <w:bottom w:val="single" w:sz="4" w:space="0" w:color="auto"/>
              <w:right w:val="nil"/>
            </w:tcBorders>
            <w:shd w:val="clear" w:color="auto" w:fill="auto"/>
            <w:noWrap/>
            <w:vAlign w:val="center"/>
            <w:hideMark/>
          </w:tcPr>
          <w:p w14:paraId="42730826"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16</w:t>
            </w:r>
          </w:p>
        </w:tc>
        <w:tc>
          <w:tcPr>
            <w:tcW w:w="732" w:type="dxa"/>
            <w:tcBorders>
              <w:top w:val="nil"/>
              <w:left w:val="nil"/>
              <w:bottom w:val="single" w:sz="4" w:space="0" w:color="auto"/>
              <w:right w:val="nil"/>
            </w:tcBorders>
            <w:shd w:val="clear" w:color="auto" w:fill="auto"/>
            <w:noWrap/>
            <w:vAlign w:val="center"/>
            <w:hideMark/>
          </w:tcPr>
          <w:p w14:paraId="520C6315"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69</w:t>
            </w:r>
          </w:p>
        </w:tc>
        <w:tc>
          <w:tcPr>
            <w:tcW w:w="733" w:type="dxa"/>
            <w:tcBorders>
              <w:top w:val="nil"/>
              <w:left w:val="nil"/>
              <w:bottom w:val="single" w:sz="4" w:space="0" w:color="auto"/>
              <w:right w:val="nil"/>
            </w:tcBorders>
            <w:shd w:val="clear" w:color="auto" w:fill="auto"/>
            <w:noWrap/>
            <w:vAlign w:val="center"/>
            <w:hideMark/>
          </w:tcPr>
          <w:p w14:paraId="40420F32"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81</w:t>
            </w:r>
          </w:p>
        </w:tc>
        <w:tc>
          <w:tcPr>
            <w:tcW w:w="732" w:type="dxa"/>
            <w:tcBorders>
              <w:top w:val="nil"/>
              <w:left w:val="nil"/>
              <w:bottom w:val="single" w:sz="4" w:space="0" w:color="auto"/>
              <w:right w:val="nil"/>
            </w:tcBorders>
            <w:shd w:val="clear" w:color="auto" w:fill="auto"/>
            <w:noWrap/>
            <w:vAlign w:val="center"/>
            <w:hideMark/>
          </w:tcPr>
          <w:p w14:paraId="414DC097"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54</w:t>
            </w:r>
          </w:p>
        </w:tc>
        <w:tc>
          <w:tcPr>
            <w:tcW w:w="732" w:type="dxa"/>
            <w:tcBorders>
              <w:top w:val="nil"/>
              <w:left w:val="nil"/>
              <w:bottom w:val="single" w:sz="4" w:space="0" w:color="auto"/>
              <w:right w:val="nil"/>
            </w:tcBorders>
            <w:shd w:val="clear" w:color="auto" w:fill="auto"/>
            <w:noWrap/>
            <w:vAlign w:val="center"/>
            <w:hideMark/>
          </w:tcPr>
          <w:p w14:paraId="5EE22903"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100</w:t>
            </w:r>
          </w:p>
        </w:tc>
        <w:tc>
          <w:tcPr>
            <w:tcW w:w="732" w:type="dxa"/>
            <w:tcBorders>
              <w:top w:val="nil"/>
              <w:left w:val="nil"/>
              <w:bottom w:val="single" w:sz="4" w:space="0" w:color="auto"/>
              <w:right w:val="nil"/>
            </w:tcBorders>
            <w:shd w:val="clear" w:color="auto" w:fill="auto"/>
            <w:noWrap/>
            <w:vAlign w:val="center"/>
            <w:hideMark/>
          </w:tcPr>
          <w:p w14:paraId="254C2EDC"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25</w:t>
            </w:r>
          </w:p>
        </w:tc>
        <w:tc>
          <w:tcPr>
            <w:tcW w:w="733" w:type="dxa"/>
            <w:tcBorders>
              <w:top w:val="nil"/>
              <w:left w:val="nil"/>
              <w:bottom w:val="single" w:sz="4" w:space="0" w:color="auto"/>
              <w:right w:val="nil"/>
            </w:tcBorders>
            <w:shd w:val="clear" w:color="auto" w:fill="auto"/>
            <w:noWrap/>
            <w:vAlign w:val="center"/>
            <w:hideMark/>
          </w:tcPr>
          <w:p w14:paraId="76AE6E6F"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11</w:t>
            </w:r>
          </w:p>
        </w:tc>
        <w:tc>
          <w:tcPr>
            <w:tcW w:w="1134" w:type="dxa"/>
            <w:tcBorders>
              <w:top w:val="nil"/>
              <w:left w:val="nil"/>
              <w:bottom w:val="single" w:sz="4" w:space="0" w:color="auto"/>
              <w:right w:val="nil"/>
            </w:tcBorders>
            <w:shd w:val="clear" w:color="auto" w:fill="auto"/>
            <w:noWrap/>
            <w:vAlign w:val="center"/>
            <w:hideMark/>
          </w:tcPr>
          <w:p w14:paraId="1CCF813A"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469</w:t>
            </w:r>
          </w:p>
        </w:tc>
      </w:tr>
      <w:tr w:rsidR="00F15667" w:rsidRPr="00E44FC4" w14:paraId="30E05016" w14:textId="77777777" w:rsidTr="00271895">
        <w:trPr>
          <w:trHeight w:val="315"/>
        </w:trPr>
        <w:tc>
          <w:tcPr>
            <w:tcW w:w="2080" w:type="dxa"/>
            <w:tcBorders>
              <w:top w:val="nil"/>
              <w:left w:val="nil"/>
              <w:bottom w:val="single" w:sz="4" w:space="0" w:color="auto"/>
              <w:right w:val="nil"/>
            </w:tcBorders>
            <w:shd w:val="clear" w:color="auto" w:fill="auto"/>
            <w:noWrap/>
            <w:vAlign w:val="center"/>
            <w:hideMark/>
          </w:tcPr>
          <w:p w14:paraId="309D55E0" w14:textId="77777777" w:rsidR="0053006D" w:rsidRPr="00E44FC4" w:rsidRDefault="0053006D" w:rsidP="00271895">
            <w:pPr>
              <w:spacing w:line="240" w:lineRule="auto"/>
              <w:jc w:val="left"/>
              <w:rPr>
                <w:rFonts w:eastAsia="Times New Roman"/>
                <w:szCs w:val="24"/>
                <w:lang w:eastAsia="cs-CZ"/>
              </w:rPr>
            </w:pPr>
            <w:r w:rsidRPr="00E44FC4">
              <w:rPr>
                <w:rFonts w:eastAsia="Times New Roman"/>
                <w:szCs w:val="24"/>
                <w:lang w:eastAsia="cs-CZ"/>
              </w:rPr>
              <w:t>KS Č. Budějovice</w:t>
            </w:r>
          </w:p>
        </w:tc>
        <w:tc>
          <w:tcPr>
            <w:tcW w:w="732" w:type="dxa"/>
            <w:tcBorders>
              <w:top w:val="nil"/>
              <w:left w:val="nil"/>
              <w:bottom w:val="single" w:sz="4" w:space="0" w:color="auto"/>
              <w:right w:val="nil"/>
            </w:tcBorders>
            <w:shd w:val="clear" w:color="auto" w:fill="auto"/>
            <w:noWrap/>
            <w:vAlign w:val="center"/>
            <w:hideMark/>
          </w:tcPr>
          <w:p w14:paraId="1EF43F2E"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58</w:t>
            </w:r>
          </w:p>
        </w:tc>
        <w:tc>
          <w:tcPr>
            <w:tcW w:w="732" w:type="dxa"/>
            <w:tcBorders>
              <w:top w:val="nil"/>
              <w:left w:val="nil"/>
              <w:bottom w:val="single" w:sz="4" w:space="0" w:color="auto"/>
              <w:right w:val="nil"/>
            </w:tcBorders>
            <w:shd w:val="clear" w:color="auto" w:fill="auto"/>
            <w:noWrap/>
            <w:vAlign w:val="center"/>
            <w:hideMark/>
          </w:tcPr>
          <w:p w14:paraId="1B288228"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13</w:t>
            </w:r>
          </w:p>
        </w:tc>
        <w:tc>
          <w:tcPr>
            <w:tcW w:w="732" w:type="dxa"/>
            <w:tcBorders>
              <w:top w:val="nil"/>
              <w:left w:val="nil"/>
              <w:bottom w:val="single" w:sz="4" w:space="0" w:color="auto"/>
              <w:right w:val="nil"/>
            </w:tcBorders>
            <w:shd w:val="clear" w:color="auto" w:fill="auto"/>
            <w:noWrap/>
            <w:vAlign w:val="center"/>
            <w:hideMark/>
          </w:tcPr>
          <w:p w14:paraId="7C160614"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30</w:t>
            </w:r>
          </w:p>
        </w:tc>
        <w:tc>
          <w:tcPr>
            <w:tcW w:w="733" w:type="dxa"/>
            <w:tcBorders>
              <w:top w:val="nil"/>
              <w:left w:val="nil"/>
              <w:bottom w:val="single" w:sz="4" w:space="0" w:color="auto"/>
              <w:right w:val="nil"/>
            </w:tcBorders>
            <w:shd w:val="clear" w:color="auto" w:fill="auto"/>
            <w:noWrap/>
            <w:vAlign w:val="center"/>
            <w:hideMark/>
          </w:tcPr>
          <w:p w14:paraId="73F42D64"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57</w:t>
            </w:r>
          </w:p>
        </w:tc>
        <w:tc>
          <w:tcPr>
            <w:tcW w:w="732" w:type="dxa"/>
            <w:tcBorders>
              <w:top w:val="nil"/>
              <w:left w:val="nil"/>
              <w:bottom w:val="single" w:sz="4" w:space="0" w:color="auto"/>
              <w:right w:val="nil"/>
            </w:tcBorders>
            <w:shd w:val="clear" w:color="auto" w:fill="auto"/>
            <w:noWrap/>
            <w:vAlign w:val="center"/>
            <w:hideMark/>
          </w:tcPr>
          <w:p w14:paraId="797E468B"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34</w:t>
            </w:r>
          </w:p>
        </w:tc>
        <w:tc>
          <w:tcPr>
            <w:tcW w:w="732" w:type="dxa"/>
            <w:tcBorders>
              <w:top w:val="nil"/>
              <w:left w:val="nil"/>
              <w:bottom w:val="single" w:sz="4" w:space="0" w:color="auto"/>
              <w:right w:val="nil"/>
            </w:tcBorders>
            <w:shd w:val="clear" w:color="auto" w:fill="auto"/>
            <w:noWrap/>
            <w:vAlign w:val="center"/>
            <w:hideMark/>
          </w:tcPr>
          <w:p w14:paraId="7C652E04"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59</w:t>
            </w:r>
          </w:p>
        </w:tc>
        <w:tc>
          <w:tcPr>
            <w:tcW w:w="732" w:type="dxa"/>
            <w:tcBorders>
              <w:top w:val="nil"/>
              <w:left w:val="nil"/>
              <w:bottom w:val="single" w:sz="4" w:space="0" w:color="auto"/>
              <w:right w:val="nil"/>
            </w:tcBorders>
            <w:shd w:val="clear" w:color="auto" w:fill="auto"/>
            <w:noWrap/>
            <w:vAlign w:val="center"/>
            <w:hideMark/>
          </w:tcPr>
          <w:p w14:paraId="50A34278"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22</w:t>
            </w:r>
          </w:p>
        </w:tc>
        <w:tc>
          <w:tcPr>
            <w:tcW w:w="733" w:type="dxa"/>
            <w:tcBorders>
              <w:top w:val="nil"/>
              <w:left w:val="nil"/>
              <w:bottom w:val="single" w:sz="4" w:space="0" w:color="auto"/>
              <w:right w:val="nil"/>
            </w:tcBorders>
            <w:shd w:val="clear" w:color="auto" w:fill="auto"/>
            <w:noWrap/>
            <w:vAlign w:val="center"/>
            <w:hideMark/>
          </w:tcPr>
          <w:p w14:paraId="2239C88B"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9</w:t>
            </w:r>
          </w:p>
        </w:tc>
        <w:tc>
          <w:tcPr>
            <w:tcW w:w="1134" w:type="dxa"/>
            <w:tcBorders>
              <w:top w:val="nil"/>
              <w:left w:val="nil"/>
              <w:bottom w:val="single" w:sz="4" w:space="0" w:color="auto"/>
              <w:right w:val="nil"/>
            </w:tcBorders>
            <w:shd w:val="clear" w:color="auto" w:fill="auto"/>
            <w:noWrap/>
            <w:vAlign w:val="center"/>
            <w:hideMark/>
          </w:tcPr>
          <w:p w14:paraId="1DCF32E5"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282</w:t>
            </w:r>
          </w:p>
        </w:tc>
      </w:tr>
      <w:tr w:rsidR="00F15667" w:rsidRPr="00E44FC4" w14:paraId="36429E3A" w14:textId="77777777" w:rsidTr="00271895">
        <w:trPr>
          <w:trHeight w:val="315"/>
        </w:trPr>
        <w:tc>
          <w:tcPr>
            <w:tcW w:w="2080" w:type="dxa"/>
            <w:tcBorders>
              <w:top w:val="nil"/>
              <w:left w:val="nil"/>
              <w:bottom w:val="single" w:sz="4" w:space="0" w:color="auto"/>
              <w:right w:val="nil"/>
            </w:tcBorders>
            <w:shd w:val="clear" w:color="auto" w:fill="auto"/>
            <w:noWrap/>
            <w:vAlign w:val="center"/>
            <w:hideMark/>
          </w:tcPr>
          <w:p w14:paraId="286D2E1E" w14:textId="77777777" w:rsidR="0053006D" w:rsidRPr="00E44FC4" w:rsidRDefault="0053006D" w:rsidP="00271895">
            <w:pPr>
              <w:spacing w:line="240" w:lineRule="auto"/>
              <w:jc w:val="left"/>
              <w:rPr>
                <w:rFonts w:eastAsia="Times New Roman"/>
                <w:szCs w:val="24"/>
                <w:lang w:eastAsia="cs-CZ"/>
              </w:rPr>
            </w:pPr>
            <w:r w:rsidRPr="00E44FC4">
              <w:rPr>
                <w:rFonts w:eastAsia="Times New Roman"/>
                <w:szCs w:val="24"/>
                <w:lang w:eastAsia="cs-CZ"/>
              </w:rPr>
              <w:t>KS Plzeň</w:t>
            </w:r>
          </w:p>
        </w:tc>
        <w:tc>
          <w:tcPr>
            <w:tcW w:w="732" w:type="dxa"/>
            <w:tcBorders>
              <w:top w:val="nil"/>
              <w:left w:val="nil"/>
              <w:bottom w:val="single" w:sz="4" w:space="0" w:color="auto"/>
              <w:right w:val="nil"/>
            </w:tcBorders>
            <w:shd w:val="clear" w:color="auto" w:fill="auto"/>
            <w:noWrap/>
            <w:vAlign w:val="center"/>
            <w:hideMark/>
          </w:tcPr>
          <w:p w14:paraId="7F8EEB5E"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95</w:t>
            </w:r>
          </w:p>
        </w:tc>
        <w:tc>
          <w:tcPr>
            <w:tcW w:w="732" w:type="dxa"/>
            <w:tcBorders>
              <w:top w:val="nil"/>
              <w:left w:val="nil"/>
              <w:bottom w:val="single" w:sz="4" w:space="0" w:color="auto"/>
              <w:right w:val="nil"/>
            </w:tcBorders>
            <w:shd w:val="clear" w:color="auto" w:fill="auto"/>
            <w:noWrap/>
            <w:vAlign w:val="center"/>
            <w:hideMark/>
          </w:tcPr>
          <w:p w14:paraId="28E87760"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10</w:t>
            </w:r>
          </w:p>
        </w:tc>
        <w:tc>
          <w:tcPr>
            <w:tcW w:w="732" w:type="dxa"/>
            <w:tcBorders>
              <w:top w:val="nil"/>
              <w:left w:val="nil"/>
              <w:bottom w:val="single" w:sz="4" w:space="0" w:color="auto"/>
              <w:right w:val="nil"/>
            </w:tcBorders>
            <w:shd w:val="clear" w:color="auto" w:fill="auto"/>
            <w:noWrap/>
            <w:vAlign w:val="center"/>
            <w:hideMark/>
          </w:tcPr>
          <w:p w14:paraId="79386C06"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34</w:t>
            </w:r>
          </w:p>
        </w:tc>
        <w:tc>
          <w:tcPr>
            <w:tcW w:w="733" w:type="dxa"/>
            <w:tcBorders>
              <w:top w:val="nil"/>
              <w:left w:val="nil"/>
              <w:bottom w:val="single" w:sz="4" w:space="0" w:color="auto"/>
              <w:right w:val="nil"/>
            </w:tcBorders>
            <w:shd w:val="clear" w:color="auto" w:fill="auto"/>
            <w:noWrap/>
            <w:vAlign w:val="center"/>
            <w:hideMark/>
          </w:tcPr>
          <w:p w14:paraId="04950D55"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81</w:t>
            </w:r>
          </w:p>
        </w:tc>
        <w:tc>
          <w:tcPr>
            <w:tcW w:w="732" w:type="dxa"/>
            <w:tcBorders>
              <w:top w:val="nil"/>
              <w:left w:val="nil"/>
              <w:bottom w:val="single" w:sz="4" w:space="0" w:color="auto"/>
              <w:right w:val="nil"/>
            </w:tcBorders>
            <w:shd w:val="clear" w:color="auto" w:fill="auto"/>
            <w:noWrap/>
            <w:vAlign w:val="center"/>
            <w:hideMark/>
          </w:tcPr>
          <w:p w14:paraId="652D1FC3"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36</w:t>
            </w:r>
          </w:p>
        </w:tc>
        <w:tc>
          <w:tcPr>
            <w:tcW w:w="732" w:type="dxa"/>
            <w:tcBorders>
              <w:top w:val="nil"/>
              <w:left w:val="nil"/>
              <w:bottom w:val="single" w:sz="4" w:space="0" w:color="auto"/>
              <w:right w:val="nil"/>
            </w:tcBorders>
            <w:shd w:val="clear" w:color="auto" w:fill="auto"/>
            <w:noWrap/>
            <w:vAlign w:val="center"/>
            <w:hideMark/>
          </w:tcPr>
          <w:p w14:paraId="0F286A4A"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82</w:t>
            </w:r>
          </w:p>
        </w:tc>
        <w:tc>
          <w:tcPr>
            <w:tcW w:w="732" w:type="dxa"/>
            <w:tcBorders>
              <w:top w:val="nil"/>
              <w:left w:val="nil"/>
              <w:bottom w:val="single" w:sz="4" w:space="0" w:color="auto"/>
              <w:right w:val="nil"/>
            </w:tcBorders>
            <w:shd w:val="clear" w:color="auto" w:fill="auto"/>
            <w:noWrap/>
            <w:vAlign w:val="center"/>
            <w:hideMark/>
          </w:tcPr>
          <w:p w14:paraId="1C824252"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59</w:t>
            </w:r>
          </w:p>
        </w:tc>
        <w:tc>
          <w:tcPr>
            <w:tcW w:w="733" w:type="dxa"/>
            <w:tcBorders>
              <w:top w:val="nil"/>
              <w:left w:val="nil"/>
              <w:bottom w:val="single" w:sz="4" w:space="0" w:color="auto"/>
              <w:right w:val="nil"/>
            </w:tcBorders>
            <w:shd w:val="clear" w:color="auto" w:fill="auto"/>
            <w:noWrap/>
            <w:vAlign w:val="center"/>
            <w:hideMark/>
          </w:tcPr>
          <w:p w14:paraId="4C37086C"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5</w:t>
            </w:r>
          </w:p>
        </w:tc>
        <w:tc>
          <w:tcPr>
            <w:tcW w:w="1134" w:type="dxa"/>
            <w:tcBorders>
              <w:top w:val="nil"/>
              <w:left w:val="nil"/>
              <w:bottom w:val="single" w:sz="4" w:space="0" w:color="auto"/>
              <w:right w:val="nil"/>
            </w:tcBorders>
            <w:shd w:val="clear" w:color="auto" w:fill="auto"/>
            <w:noWrap/>
            <w:vAlign w:val="center"/>
            <w:hideMark/>
          </w:tcPr>
          <w:p w14:paraId="764AFFC2"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402</w:t>
            </w:r>
          </w:p>
        </w:tc>
      </w:tr>
      <w:tr w:rsidR="00F15667" w:rsidRPr="00E44FC4" w14:paraId="09BC255C" w14:textId="77777777" w:rsidTr="00271895">
        <w:trPr>
          <w:trHeight w:val="315"/>
        </w:trPr>
        <w:tc>
          <w:tcPr>
            <w:tcW w:w="2080" w:type="dxa"/>
            <w:tcBorders>
              <w:top w:val="nil"/>
              <w:left w:val="nil"/>
              <w:bottom w:val="single" w:sz="4" w:space="0" w:color="auto"/>
              <w:right w:val="nil"/>
            </w:tcBorders>
            <w:shd w:val="clear" w:color="auto" w:fill="auto"/>
            <w:noWrap/>
            <w:vAlign w:val="center"/>
            <w:hideMark/>
          </w:tcPr>
          <w:p w14:paraId="34BCEE83" w14:textId="77777777" w:rsidR="0053006D" w:rsidRPr="00E44FC4" w:rsidRDefault="0053006D" w:rsidP="00271895">
            <w:pPr>
              <w:spacing w:line="240" w:lineRule="auto"/>
              <w:jc w:val="left"/>
              <w:rPr>
                <w:rFonts w:eastAsia="Times New Roman"/>
                <w:szCs w:val="24"/>
                <w:lang w:eastAsia="cs-CZ"/>
              </w:rPr>
            </w:pPr>
            <w:r w:rsidRPr="00E44FC4">
              <w:rPr>
                <w:rFonts w:eastAsia="Times New Roman"/>
                <w:szCs w:val="24"/>
                <w:lang w:eastAsia="cs-CZ"/>
              </w:rPr>
              <w:t>KS Ústí n. Labem</w:t>
            </w:r>
          </w:p>
        </w:tc>
        <w:tc>
          <w:tcPr>
            <w:tcW w:w="732" w:type="dxa"/>
            <w:tcBorders>
              <w:top w:val="nil"/>
              <w:left w:val="nil"/>
              <w:bottom w:val="single" w:sz="4" w:space="0" w:color="auto"/>
              <w:right w:val="nil"/>
            </w:tcBorders>
            <w:shd w:val="clear" w:color="auto" w:fill="auto"/>
            <w:noWrap/>
            <w:vAlign w:val="center"/>
            <w:hideMark/>
          </w:tcPr>
          <w:p w14:paraId="4F16F074"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157</w:t>
            </w:r>
          </w:p>
        </w:tc>
        <w:tc>
          <w:tcPr>
            <w:tcW w:w="732" w:type="dxa"/>
            <w:tcBorders>
              <w:top w:val="nil"/>
              <w:left w:val="nil"/>
              <w:bottom w:val="single" w:sz="4" w:space="0" w:color="auto"/>
              <w:right w:val="nil"/>
            </w:tcBorders>
            <w:shd w:val="clear" w:color="auto" w:fill="auto"/>
            <w:noWrap/>
            <w:vAlign w:val="center"/>
            <w:hideMark/>
          </w:tcPr>
          <w:p w14:paraId="3E137C51"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13</w:t>
            </w:r>
          </w:p>
        </w:tc>
        <w:tc>
          <w:tcPr>
            <w:tcW w:w="732" w:type="dxa"/>
            <w:tcBorders>
              <w:top w:val="nil"/>
              <w:left w:val="nil"/>
              <w:bottom w:val="single" w:sz="4" w:space="0" w:color="auto"/>
              <w:right w:val="nil"/>
            </w:tcBorders>
            <w:shd w:val="clear" w:color="auto" w:fill="auto"/>
            <w:noWrap/>
            <w:vAlign w:val="center"/>
            <w:hideMark/>
          </w:tcPr>
          <w:p w14:paraId="0C94F1AA"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63</w:t>
            </w:r>
          </w:p>
        </w:tc>
        <w:tc>
          <w:tcPr>
            <w:tcW w:w="733" w:type="dxa"/>
            <w:tcBorders>
              <w:top w:val="nil"/>
              <w:left w:val="nil"/>
              <w:bottom w:val="single" w:sz="4" w:space="0" w:color="auto"/>
              <w:right w:val="nil"/>
            </w:tcBorders>
            <w:shd w:val="clear" w:color="auto" w:fill="auto"/>
            <w:noWrap/>
            <w:vAlign w:val="center"/>
            <w:hideMark/>
          </w:tcPr>
          <w:p w14:paraId="4907D01D"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70</w:t>
            </w:r>
          </w:p>
        </w:tc>
        <w:tc>
          <w:tcPr>
            <w:tcW w:w="732" w:type="dxa"/>
            <w:tcBorders>
              <w:top w:val="nil"/>
              <w:left w:val="nil"/>
              <w:bottom w:val="single" w:sz="4" w:space="0" w:color="auto"/>
              <w:right w:val="nil"/>
            </w:tcBorders>
            <w:shd w:val="clear" w:color="auto" w:fill="auto"/>
            <w:noWrap/>
            <w:vAlign w:val="center"/>
            <w:hideMark/>
          </w:tcPr>
          <w:p w14:paraId="4BC7BBB5"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63</w:t>
            </w:r>
          </w:p>
        </w:tc>
        <w:tc>
          <w:tcPr>
            <w:tcW w:w="732" w:type="dxa"/>
            <w:tcBorders>
              <w:top w:val="nil"/>
              <w:left w:val="nil"/>
              <w:bottom w:val="single" w:sz="4" w:space="0" w:color="auto"/>
              <w:right w:val="nil"/>
            </w:tcBorders>
            <w:shd w:val="clear" w:color="auto" w:fill="auto"/>
            <w:noWrap/>
            <w:vAlign w:val="center"/>
            <w:hideMark/>
          </w:tcPr>
          <w:p w14:paraId="4878DA0F"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85</w:t>
            </w:r>
          </w:p>
        </w:tc>
        <w:tc>
          <w:tcPr>
            <w:tcW w:w="732" w:type="dxa"/>
            <w:tcBorders>
              <w:top w:val="nil"/>
              <w:left w:val="nil"/>
              <w:bottom w:val="single" w:sz="4" w:space="0" w:color="auto"/>
              <w:right w:val="nil"/>
            </w:tcBorders>
            <w:shd w:val="clear" w:color="auto" w:fill="auto"/>
            <w:noWrap/>
            <w:vAlign w:val="center"/>
            <w:hideMark/>
          </w:tcPr>
          <w:p w14:paraId="5F5239FA"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161</w:t>
            </w:r>
          </w:p>
        </w:tc>
        <w:tc>
          <w:tcPr>
            <w:tcW w:w="733" w:type="dxa"/>
            <w:tcBorders>
              <w:top w:val="nil"/>
              <w:left w:val="nil"/>
              <w:bottom w:val="single" w:sz="4" w:space="0" w:color="auto"/>
              <w:right w:val="nil"/>
            </w:tcBorders>
            <w:shd w:val="clear" w:color="auto" w:fill="auto"/>
            <w:noWrap/>
            <w:vAlign w:val="center"/>
            <w:hideMark/>
          </w:tcPr>
          <w:p w14:paraId="7087256D"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13</w:t>
            </w:r>
          </w:p>
        </w:tc>
        <w:tc>
          <w:tcPr>
            <w:tcW w:w="1134" w:type="dxa"/>
            <w:tcBorders>
              <w:top w:val="nil"/>
              <w:left w:val="nil"/>
              <w:bottom w:val="single" w:sz="4" w:space="0" w:color="auto"/>
              <w:right w:val="nil"/>
            </w:tcBorders>
            <w:shd w:val="clear" w:color="auto" w:fill="auto"/>
            <w:noWrap/>
            <w:vAlign w:val="center"/>
            <w:hideMark/>
          </w:tcPr>
          <w:p w14:paraId="0BB3BF3C"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625</w:t>
            </w:r>
          </w:p>
        </w:tc>
      </w:tr>
      <w:tr w:rsidR="00F15667" w:rsidRPr="00E44FC4" w14:paraId="4DEDBF8C" w14:textId="77777777" w:rsidTr="00271895">
        <w:trPr>
          <w:trHeight w:val="315"/>
        </w:trPr>
        <w:tc>
          <w:tcPr>
            <w:tcW w:w="2080" w:type="dxa"/>
            <w:tcBorders>
              <w:top w:val="nil"/>
              <w:left w:val="nil"/>
              <w:bottom w:val="single" w:sz="4" w:space="0" w:color="auto"/>
              <w:right w:val="nil"/>
            </w:tcBorders>
            <w:shd w:val="clear" w:color="auto" w:fill="auto"/>
            <w:noWrap/>
            <w:vAlign w:val="center"/>
            <w:hideMark/>
          </w:tcPr>
          <w:p w14:paraId="11F1F59E" w14:textId="77777777" w:rsidR="0053006D" w:rsidRPr="00E44FC4" w:rsidRDefault="0053006D" w:rsidP="00271895">
            <w:pPr>
              <w:spacing w:line="240" w:lineRule="auto"/>
              <w:jc w:val="left"/>
              <w:rPr>
                <w:rFonts w:eastAsia="Times New Roman"/>
                <w:szCs w:val="24"/>
                <w:lang w:eastAsia="cs-CZ"/>
              </w:rPr>
            </w:pPr>
            <w:r w:rsidRPr="00E44FC4">
              <w:rPr>
                <w:rFonts w:eastAsia="Times New Roman"/>
                <w:szCs w:val="24"/>
                <w:lang w:eastAsia="cs-CZ"/>
              </w:rPr>
              <w:t>KS Hr. Králové</w:t>
            </w:r>
          </w:p>
        </w:tc>
        <w:tc>
          <w:tcPr>
            <w:tcW w:w="732" w:type="dxa"/>
            <w:tcBorders>
              <w:top w:val="nil"/>
              <w:left w:val="nil"/>
              <w:bottom w:val="single" w:sz="4" w:space="0" w:color="auto"/>
              <w:right w:val="nil"/>
            </w:tcBorders>
            <w:shd w:val="clear" w:color="auto" w:fill="auto"/>
            <w:noWrap/>
            <w:vAlign w:val="center"/>
            <w:hideMark/>
          </w:tcPr>
          <w:p w14:paraId="0A6874E9"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104</w:t>
            </w:r>
          </w:p>
        </w:tc>
        <w:tc>
          <w:tcPr>
            <w:tcW w:w="732" w:type="dxa"/>
            <w:tcBorders>
              <w:top w:val="nil"/>
              <w:left w:val="nil"/>
              <w:bottom w:val="single" w:sz="4" w:space="0" w:color="auto"/>
              <w:right w:val="nil"/>
            </w:tcBorders>
            <w:shd w:val="clear" w:color="auto" w:fill="auto"/>
            <w:noWrap/>
            <w:vAlign w:val="center"/>
            <w:hideMark/>
          </w:tcPr>
          <w:p w14:paraId="6459BF32"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15</w:t>
            </w:r>
          </w:p>
        </w:tc>
        <w:tc>
          <w:tcPr>
            <w:tcW w:w="732" w:type="dxa"/>
            <w:tcBorders>
              <w:top w:val="nil"/>
              <w:left w:val="nil"/>
              <w:bottom w:val="single" w:sz="4" w:space="0" w:color="auto"/>
              <w:right w:val="nil"/>
            </w:tcBorders>
            <w:shd w:val="clear" w:color="auto" w:fill="auto"/>
            <w:noWrap/>
            <w:vAlign w:val="center"/>
            <w:hideMark/>
          </w:tcPr>
          <w:p w14:paraId="6208D5FA"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14</w:t>
            </w:r>
          </w:p>
        </w:tc>
        <w:tc>
          <w:tcPr>
            <w:tcW w:w="733" w:type="dxa"/>
            <w:tcBorders>
              <w:top w:val="nil"/>
              <w:left w:val="nil"/>
              <w:bottom w:val="single" w:sz="4" w:space="0" w:color="auto"/>
              <w:right w:val="nil"/>
            </w:tcBorders>
            <w:shd w:val="clear" w:color="auto" w:fill="auto"/>
            <w:noWrap/>
            <w:vAlign w:val="center"/>
            <w:hideMark/>
          </w:tcPr>
          <w:p w14:paraId="0805B87B"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79</w:t>
            </w:r>
          </w:p>
        </w:tc>
        <w:tc>
          <w:tcPr>
            <w:tcW w:w="732" w:type="dxa"/>
            <w:tcBorders>
              <w:top w:val="nil"/>
              <w:left w:val="nil"/>
              <w:bottom w:val="single" w:sz="4" w:space="0" w:color="auto"/>
              <w:right w:val="nil"/>
            </w:tcBorders>
            <w:shd w:val="clear" w:color="auto" w:fill="auto"/>
            <w:noWrap/>
            <w:vAlign w:val="center"/>
            <w:hideMark/>
          </w:tcPr>
          <w:p w14:paraId="5E83064C"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43</w:t>
            </w:r>
          </w:p>
        </w:tc>
        <w:tc>
          <w:tcPr>
            <w:tcW w:w="732" w:type="dxa"/>
            <w:tcBorders>
              <w:top w:val="nil"/>
              <w:left w:val="nil"/>
              <w:bottom w:val="single" w:sz="4" w:space="0" w:color="auto"/>
              <w:right w:val="nil"/>
            </w:tcBorders>
            <w:shd w:val="clear" w:color="auto" w:fill="auto"/>
            <w:noWrap/>
            <w:vAlign w:val="center"/>
            <w:hideMark/>
          </w:tcPr>
          <w:p w14:paraId="6395739D"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115</w:t>
            </w:r>
          </w:p>
        </w:tc>
        <w:tc>
          <w:tcPr>
            <w:tcW w:w="732" w:type="dxa"/>
            <w:tcBorders>
              <w:top w:val="nil"/>
              <w:left w:val="nil"/>
              <w:bottom w:val="single" w:sz="4" w:space="0" w:color="auto"/>
              <w:right w:val="nil"/>
            </w:tcBorders>
            <w:shd w:val="clear" w:color="auto" w:fill="auto"/>
            <w:noWrap/>
            <w:vAlign w:val="center"/>
            <w:hideMark/>
          </w:tcPr>
          <w:p w14:paraId="77813E59"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24</w:t>
            </w:r>
          </w:p>
        </w:tc>
        <w:tc>
          <w:tcPr>
            <w:tcW w:w="733" w:type="dxa"/>
            <w:tcBorders>
              <w:top w:val="nil"/>
              <w:left w:val="nil"/>
              <w:bottom w:val="single" w:sz="4" w:space="0" w:color="auto"/>
              <w:right w:val="nil"/>
            </w:tcBorders>
            <w:shd w:val="clear" w:color="auto" w:fill="auto"/>
            <w:noWrap/>
            <w:vAlign w:val="center"/>
            <w:hideMark/>
          </w:tcPr>
          <w:p w14:paraId="3441E740"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11</w:t>
            </w:r>
          </w:p>
        </w:tc>
        <w:tc>
          <w:tcPr>
            <w:tcW w:w="1134" w:type="dxa"/>
            <w:tcBorders>
              <w:top w:val="nil"/>
              <w:left w:val="nil"/>
              <w:bottom w:val="single" w:sz="4" w:space="0" w:color="auto"/>
              <w:right w:val="nil"/>
            </w:tcBorders>
            <w:shd w:val="clear" w:color="auto" w:fill="auto"/>
            <w:noWrap/>
            <w:vAlign w:val="center"/>
            <w:hideMark/>
          </w:tcPr>
          <w:p w14:paraId="5F515319"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405</w:t>
            </w:r>
          </w:p>
        </w:tc>
      </w:tr>
      <w:tr w:rsidR="00F15667" w:rsidRPr="00E44FC4" w14:paraId="35DB7DE0" w14:textId="77777777" w:rsidTr="00271895">
        <w:trPr>
          <w:trHeight w:val="315"/>
        </w:trPr>
        <w:tc>
          <w:tcPr>
            <w:tcW w:w="2080" w:type="dxa"/>
            <w:tcBorders>
              <w:top w:val="nil"/>
              <w:left w:val="nil"/>
              <w:bottom w:val="single" w:sz="4" w:space="0" w:color="auto"/>
              <w:right w:val="nil"/>
            </w:tcBorders>
            <w:shd w:val="clear" w:color="auto" w:fill="auto"/>
            <w:noWrap/>
            <w:vAlign w:val="center"/>
            <w:hideMark/>
          </w:tcPr>
          <w:p w14:paraId="34DA330E" w14:textId="77777777" w:rsidR="0053006D" w:rsidRPr="00E44FC4" w:rsidRDefault="0053006D" w:rsidP="00271895">
            <w:pPr>
              <w:spacing w:line="240" w:lineRule="auto"/>
              <w:jc w:val="left"/>
              <w:rPr>
                <w:rFonts w:eastAsia="Times New Roman"/>
                <w:szCs w:val="24"/>
                <w:lang w:eastAsia="cs-CZ"/>
              </w:rPr>
            </w:pPr>
            <w:r w:rsidRPr="00E44FC4">
              <w:rPr>
                <w:rFonts w:eastAsia="Times New Roman"/>
                <w:szCs w:val="24"/>
                <w:lang w:eastAsia="cs-CZ"/>
              </w:rPr>
              <w:t>KS Brno</w:t>
            </w:r>
          </w:p>
        </w:tc>
        <w:tc>
          <w:tcPr>
            <w:tcW w:w="732" w:type="dxa"/>
            <w:tcBorders>
              <w:top w:val="nil"/>
              <w:left w:val="nil"/>
              <w:bottom w:val="single" w:sz="4" w:space="0" w:color="auto"/>
              <w:right w:val="nil"/>
            </w:tcBorders>
            <w:shd w:val="clear" w:color="auto" w:fill="auto"/>
            <w:noWrap/>
            <w:vAlign w:val="center"/>
            <w:hideMark/>
          </w:tcPr>
          <w:p w14:paraId="31E567B8"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163</w:t>
            </w:r>
          </w:p>
        </w:tc>
        <w:tc>
          <w:tcPr>
            <w:tcW w:w="732" w:type="dxa"/>
            <w:tcBorders>
              <w:top w:val="nil"/>
              <w:left w:val="nil"/>
              <w:bottom w:val="single" w:sz="4" w:space="0" w:color="auto"/>
              <w:right w:val="nil"/>
            </w:tcBorders>
            <w:shd w:val="clear" w:color="auto" w:fill="auto"/>
            <w:noWrap/>
            <w:vAlign w:val="center"/>
            <w:hideMark/>
          </w:tcPr>
          <w:p w14:paraId="48C8CA32"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11</w:t>
            </w:r>
          </w:p>
        </w:tc>
        <w:tc>
          <w:tcPr>
            <w:tcW w:w="732" w:type="dxa"/>
            <w:tcBorders>
              <w:top w:val="nil"/>
              <w:left w:val="nil"/>
              <w:bottom w:val="single" w:sz="4" w:space="0" w:color="auto"/>
              <w:right w:val="nil"/>
            </w:tcBorders>
            <w:shd w:val="clear" w:color="auto" w:fill="auto"/>
            <w:noWrap/>
            <w:vAlign w:val="center"/>
            <w:hideMark/>
          </w:tcPr>
          <w:p w14:paraId="5A01BD86"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74</w:t>
            </w:r>
          </w:p>
        </w:tc>
        <w:tc>
          <w:tcPr>
            <w:tcW w:w="733" w:type="dxa"/>
            <w:tcBorders>
              <w:top w:val="nil"/>
              <w:left w:val="nil"/>
              <w:bottom w:val="single" w:sz="4" w:space="0" w:color="auto"/>
              <w:right w:val="nil"/>
            </w:tcBorders>
            <w:shd w:val="clear" w:color="auto" w:fill="auto"/>
            <w:noWrap/>
            <w:vAlign w:val="center"/>
            <w:hideMark/>
          </w:tcPr>
          <w:p w14:paraId="0FD0A3F6"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73</w:t>
            </w:r>
          </w:p>
        </w:tc>
        <w:tc>
          <w:tcPr>
            <w:tcW w:w="732" w:type="dxa"/>
            <w:tcBorders>
              <w:top w:val="nil"/>
              <w:left w:val="nil"/>
              <w:bottom w:val="single" w:sz="4" w:space="0" w:color="auto"/>
              <w:right w:val="nil"/>
            </w:tcBorders>
            <w:shd w:val="clear" w:color="auto" w:fill="auto"/>
            <w:noWrap/>
            <w:vAlign w:val="center"/>
            <w:hideMark/>
          </w:tcPr>
          <w:p w14:paraId="522EC585"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64</w:t>
            </w:r>
          </w:p>
        </w:tc>
        <w:tc>
          <w:tcPr>
            <w:tcW w:w="732" w:type="dxa"/>
            <w:tcBorders>
              <w:top w:val="nil"/>
              <w:left w:val="nil"/>
              <w:bottom w:val="single" w:sz="4" w:space="0" w:color="auto"/>
              <w:right w:val="nil"/>
            </w:tcBorders>
            <w:shd w:val="clear" w:color="auto" w:fill="auto"/>
            <w:noWrap/>
            <w:vAlign w:val="center"/>
            <w:hideMark/>
          </w:tcPr>
          <w:p w14:paraId="675C5F26"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158</w:t>
            </w:r>
          </w:p>
        </w:tc>
        <w:tc>
          <w:tcPr>
            <w:tcW w:w="732" w:type="dxa"/>
            <w:tcBorders>
              <w:top w:val="nil"/>
              <w:left w:val="nil"/>
              <w:bottom w:val="single" w:sz="4" w:space="0" w:color="auto"/>
              <w:right w:val="nil"/>
            </w:tcBorders>
            <w:shd w:val="clear" w:color="auto" w:fill="auto"/>
            <w:noWrap/>
            <w:vAlign w:val="center"/>
            <w:hideMark/>
          </w:tcPr>
          <w:p w14:paraId="5DBB1ADB"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144</w:t>
            </w:r>
          </w:p>
        </w:tc>
        <w:tc>
          <w:tcPr>
            <w:tcW w:w="733" w:type="dxa"/>
            <w:tcBorders>
              <w:top w:val="nil"/>
              <w:left w:val="nil"/>
              <w:bottom w:val="single" w:sz="4" w:space="0" w:color="auto"/>
              <w:right w:val="nil"/>
            </w:tcBorders>
            <w:shd w:val="clear" w:color="auto" w:fill="auto"/>
            <w:noWrap/>
            <w:vAlign w:val="center"/>
            <w:hideMark/>
          </w:tcPr>
          <w:p w14:paraId="6E022C88"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14</w:t>
            </w:r>
          </w:p>
        </w:tc>
        <w:tc>
          <w:tcPr>
            <w:tcW w:w="1134" w:type="dxa"/>
            <w:tcBorders>
              <w:top w:val="nil"/>
              <w:left w:val="nil"/>
              <w:bottom w:val="single" w:sz="4" w:space="0" w:color="auto"/>
              <w:right w:val="nil"/>
            </w:tcBorders>
            <w:shd w:val="clear" w:color="auto" w:fill="auto"/>
            <w:noWrap/>
            <w:vAlign w:val="center"/>
            <w:hideMark/>
          </w:tcPr>
          <w:p w14:paraId="6473499A"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701</w:t>
            </w:r>
          </w:p>
        </w:tc>
      </w:tr>
      <w:tr w:rsidR="00F15667" w:rsidRPr="00E44FC4" w14:paraId="5EAB323F" w14:textId="77777777" w:rsidTr="00271895">
        <w:trPr>
          <w:trHeight w:val="330"/>
        </w:trPr>
        <w:tc>
          <w:tcPr>
            <w:tcW w:w="2080" w:type="dxa"/>
            <w:tcBorders>
              <w:top w:val="nil"/>
              <w:left w:val="nil"/>
              <w:bottom w:val="double" w:sz="6" w:space="0" w:color="auto"/>
              <w:right w:val="nil"/>
            </w:tcBorders>
            <w:shd w:val="clear" w:color="auto" w:fill="auto"/>
            <w:noWrap/>
            <w:vAlign w:val="center"/>
            <w:hideMark/>
          </w:tcPr>
          <w:p w14:paraId="4078C78D" w14:textId="77777777" w:rsidR="0053006D" w:rsidRPr="00E44FC4" w:rsidRDefault="0053006D" w:rsidP="00271895">
            <w:pPr>
              <w:spacing w:line="240" w:lineRule="auto"/>
              <w:jc w:val="left"/>
              <w:rPr>
                <w:rFonts w:eastAsia="Times New Roman"/>
                <w:szCs w:val="24"/>
                <w:lang w:eastAsia="cs-CZ"/>
              </w:rPr>
            </w:pPr>
            <w:r w:rsidRPr="00E44FC4">
              <w:rPr>
                <w:rFonts w:eastAsia="Times New Roman"/>
                <w:szCs w:val="24"/>
                <w:lang w:eastAsia="cs-CZ"/>
              </w:rPr>
              <w:t>KS Ostrava</w:t>
            </w:r>
          </w:p>
        </w:tc>
        <w:tc>
          <w:tcPr>
            <w:tcW w:w="732" w:type="dxa"/>
            <w:tcBorders>
              <w:top w:val="nil"/>
              <w:left w:val="nil"/>
              <w:bottom w:val="double" w:sz="6" w:space="0" w:color="auto"/>
              <w:right w:val="nil"/>
            </w:tcBorders>
            <w:shd w:val="clear" w:color="auto" w:fill="auto"/>
            <w:noWrap/>
            <w:vAlign w:val="center"/>
            <w:hideMark/>
          </w:tcPr>
          <w:p w14:paraId="748C4981"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184</w:t>
            </w:r>
          </w:p>
        </w:tc>
        <w:tc>
          <w:tcPr>
            <w:tcW w:w="732" w:type="dxa"/>
            <w:tcBorders>
              <w:top w:val="nil"/>
              <w:left w:val="nil"/>
              <w:bottom w:val="double" w:sz="6" w:space="0" w:color="auto"/>
              <w:right w:val="nil"/>
            </w:tcBorders>
            <w:shd w:val="clear" w:color="auto" w:fill="auto"/>
            <w:noWrap/>
            <w:vAlign w:val="center"/>
            <w:hideMark/>
          </w:tcPr>
          <w:p w14:paraId="44ECDF89"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24</w:t>
            </w:r>
          </w:p>
        </w:tc>
        <w:tc>
          <w:tcPr>
            <w:tcW w:w="732" w:type="dxa"/>
            <w:tcBorders>
              <w:top w:val="nil"/>
              <w:left w:val="nil"/>
              <w:bottom w:val="double" w:sz="6" w:space="0" w:color="auto"/>
              <w:right w:val="nil"/>
            </w:tcBorders>
            <w:shd w:val="clear" w:color="auto" w:fill="auto"/>
            <w:noWrap/>
            <w:vAlign w:val="center"/>
            <w:hideMark/>
          </w:tcPr>
          <w:p w14:paraId="4E486668"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39</w:t>
            </w:r>
          </w:p>
        </w:tc>
        <w:tc>
          <w:tcPr>
            <w:tcW w:w="733" w:type="dxa"/>
            <w:tcBorders>
              <w:top w:val="nil"/>
              <w:left w:val="nil"/>
              <w:bottom w:val="double" w:sz="6" w:space="0" w:color="auto"/>
              <w:right w:val="nil"/>
            </w:tcBorders>
            <w:shd w:val="clear" w:color="auto" w:fill="auto"/>
            <w:noWrap/>
            <w:vAlign w:val="center"/>
            <w:hideMark/>
          </w:tcPr>
          <w:p w14:paraId="4A8D833D"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96</w:t>
            </w:r>
          </w:p>
        </w:tc>
        <w:tc>
          <w:tcPr>
            <w:tcW w:w="732" w:type="dxa"/>
            <w:tcBorders>
              <w:top w:val="nil"/>
              <w:left w:val="nil"/>
              <w:bottom w:val="double" w:sz="6" w:space="0" w:color="auto"/>
              <w:right w:val="nil"/>
            </w:tcBorders>
            <w:shd w:val="clear" w:color="auto" w:fill="auto"/>
            <w:noWrap/>
            <w:vAlign w:val="center"/>
            <w:hideMark/>
          </w:tcPr>
          <w:p w14:paraId="31F0A4BC"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74</w:t>
            </w:r>
          </w:p>
        </w:tc>
        <w:tc>
          <w:tcPr>
            <w:tcW w:w="732" w:type="dxa"/>
            <w:tcBorders>
              <w:top w:val="nil"/>
              <w:left w:val="nil"/>
              <w:bottom w:val="double" w:sz="6" w:space="0" w:color="auto"/>
              <w:right w:val="nil"/>
            </w:tcBorders>
            <w:shd w:val="clear" w:color="auto" w:fill="auto"/>
            <w:noWrap/>
            <w:vAlign w:val="center"/>
            <w:hideMark/>
          </w:tcPr>
          <w:p w14:paraId="77EC9783"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195</w:t>
            </w:r>
          </w:p>
        </w:tc>
        <w:tc>
          <w:tcPr>
            <w:tcW w:w="732" w:type="dxa"/>
            <w:tcBorders>
              <w:top w:val="nil"/>
              <w:left w:val="nil"/>
              <w:bottom w:val="double" w:sz="6" w:space="0" w:color="auto"/>
              <w:right w:val="nil"/>
            </w:tcBorders>
            <w:shd w:val="clear" w:color="auto" w:fill="auto"/>
            <w:noWrap/>
            <w:vAlign w:val="center"/>
            <w:hideMark/>
          </w:tcPr>
          <w:p w14:paraId="4A7D66EA"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103</w:t>
            </w:r>
          </w:p>
        </w:tc>
        <w:tc>
          <w:tcPr>
            <w:tcW w:w="733" w:type="dxa"/>
            <w:tcBorders>
              <w:top w:val="nil"/>
              <w:left w:val="nil"/>
              <w:bottom w:val="nil"/>
              <w:right w:val="nil"/>
            </w:tcBorders>
            <w:shd w:val="clear" w:color="auto" w:fill="auto"/>
            <w:noWrap/>
            <w:vAlign w:val="center"/>
            <w:hideMark/>
          </w:tcPr>
          <w:p w14:paraId="47E1EF41" w14:textId="77777777" w:rsidR="0053006D" w:rsidRPr="00E44FC4" w:rsidRDefault="0053006D" w:rsidP="00271895">
            <w:pPr>
              <w:spacing w:line="240" w:lineRule="auto"/>
              <w:jc w:val="center"/>
              <w:rPr>
                <w:rFonts w:eastAsia="Times New Roman"/>
                <w:szCs w:val="24"/>
                <w:lang w:eastAsia="cs-CZ"/>
              </w:rPr>
            </w:pPr>
            <w:r w:rsidRPr="00E44FC4">
              <w:rPr>
                <w:rFonts w:eastAsia="Times New Roman"/>
                <w:szCs w:val="24"/>
                <w:lang w:eastAsia="cs-CZ"/>
              </w:rPr>
              <w:t>14</w:t>
            </w:r>
          </w:p>
        </w:tc>
        <w:tc>
          <w:tcPr>
            <w:tcW w:w="1134" w:type="dxa"/>
            <w:tcBorders>
              <w:top w:val="nil"/>
              <w:left w:val="nil"/>
              <w:bottom w:val="single" w:sz="4" w:space="0" w:color="auto"/>
              <w:right w:val="nil"/>
            </w:tcBorders>
            <w:shd w:val="clear" w:color="auto" w:fill="auto"/>
            <w:noWrap/>
            <w:vAlign w:val="center"/>
            <w:hideMark/>
          </w:tcPr>
          <w:p w14:paraId="41A47F0F"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729</w:t>
            </w:r>
          </w:p>
        </w:tc>
      </w:tr>
      <w:tr w:rsidR="00F15667" w:rsidRPr="00E44FC4" w14:paraId="7B695787" w14:textId="77777777" w:rsidTr="00271895">
        <w:trPr>
          <w:trHeight w:val="345"/>
        </w:trPr>
        <w:tc>
          <w:tcPr>
            <w:tcW w:w="2080" w:type="dxa"/>
            <w:tcBorders>
              <w:top w:val="nil"/>
              <w:left w:val="nil"/>
              <w:bottom w:val="double" w:sz="6" w:space="0" w:color="auto"/>
              <w:right w:val="nil"/>
            </w:tcBorders>
            <w:shd w:val="clear" w:color="auto" w:fill="auto"/>
            <w:noWrap/>
            <w:vAlign w:val="center"/>
            <w:hideMark/>
          </w:tcPr>
          <w:p w14:paraId="68B385E2" w14:textId="77777777" w:rsidR="0053006D" w:rsidRPr="00E44FC4" w:rsidRDefault="0053006D" w:rsidP="00271895">
            <w:pPr>
              <w:spacing w:line="240" w:lineRule="auto"/>
              <w:jc w:val="left"/>
              <w:rPr>
                <w:rFonts w:eastAsia="Times New Roman"/>
                <w:b/>
                <w:bCs/>
                <w:szCs w:val="24"/>
                <w:lang w:eastAsia="cs-CZ"/>
              </w:rPr>
            </w:pPr>
            <w:r w:rsidRPr="00E44FC4">
              <w:rPr>
                <w:rFonts w:eastAsia="Times New Roman"/>
                <w:b/>
                <w:bCs/>
                <w:szCs w:val="24"/>
                <w:lang w:eastAsia="cs-CZ"/>
              </w:rPr>
              <w:t>Celkem ČR</w:t>
            </w:r>
          </w:p>
        </w:tc>
        <w:tc>
          <w:tcPr>
            <w:tcW w:w="732" w:type="dxa"/>
            <w:tcBorders>
              <w:top w:val="nil"/>
              <w:left w:val="nil"/>
              <w:bottom w:val="double" w:sz="6" w:space="0" w:color="auto"/>
              <w:right w:val="nil"/>
            </w:tcBorders>
            <w:shd w:val="clear" w:color="auto" w:fill="auto"/>
            <w:noWrap/>
            <w:vAlign w:val="center"/>
            <w:hideMark/>
          </w:tcPr>
          <w:p w14:paraId="4A2417A0"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993</w:t>
            </w:r>
          </w:p>
        </w:tc>
        <w:tc>
          <w:tcPr>
            <w:tcW w:w="732" w:type="dxa"/>
            <w:tcBorders>
              <w:top w:val="nil"/>
              <w:left w:val="nil"/>
              <w:bottom w:val="double" w:sz="6" w:space="0" w:color="auto"/>
              <w:right w:val="nil"/>
            </w:tcBorders>
            <w:shd w:val="clear" w:color="auto" w:fill="auto"/>
            <w:noWrap/>
            <w:vAlign w:val="center"/>
            <w:hideMark/>
          </w:tcPr>
          <w:p w14:paraId="65AB3DDF"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137</w:t>
            </w:r>
          </w:p>
        </w:tc>
        <w:tc>
          <w:tcPr>
            <w:tcW w:w="732" w:type="dxa"/>
            <w:tcBorders>
              <w:top w:val="nil"/>
              <w:left w:val="nil"/>
              <w:bottom w:val="double" w:sz="6" w:space="0" w:color="auto"/>
              <w:right w:val="nil"/>
            </w:tcBorders>
            <w:shd w:val="clear" w:color="auto" w:fill="auto"/>
            <w:noWrap/>
            <w:vAlign w:val="center"/>
            <w:hideMark/>
          </w:tcPr>
          <w:p w14:paraId="757191AA"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463</w:t>
            </w:r>
          </w:p>
        </w:tc>
        <w:tc>
          <w:tcPr>
            <w:tcW w:w="733" w:type="dxa"/>
            <w:tcBorders>
              <w:top w:val="nil"/>
              <w:left w:val="nil"/>
              <w:bottom w:val="double" w:sz="6" w:space="0" w:color="auto"/>
              <w:right w:val="nil"/>
            </w:tcBorders>
            <w:shd w:val="clear" w:color="auto" w:fill="auto"/>
            <w:noWrap/>
            <w:vAlign w:val="center"/>
            <w:hideMark/>
          </w:tcPr>
          <w:p w14:paraId="20EE180D"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706</w:t>
            </w:r>
          </w:p>
        </w:tc>
        <w:tc>
          <w:tcPr>
            <w:tcW w:w="732" w:type="dxa"/>
            <w:tcBorders>
              <w:top w:val="nil"/>
              <w:left w:val="nil"/>
              <w:bottom w:val="double" w:sz="6" w:space="0" w:color="auto"/>
              <w:right w:val="nil"/>
            </w:tcBorders>
            <w:shd w:val="clear" w:color="auto" w:fill="auto"/>
            <w:noWrap/>
            <w:vAlign w:val="center"/>
            <w:hideMark/>
          </w:tcPr>
          <w:p w14:paraId="691D76C6"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413</w:t>
            </w:r>
          </w:p>
        </w:tc>
        <w:tc>
          <w:tcPr>
            <w:tcW w:w="732" w:type="dxa"/>
            <w:tcBorders>
              <w:top w:val="nil"/>
              <w:left w:val="nil"/>
              <w:bottom w:val="double" w:sz="6" w:space="0" w:color="auto"/>
              <w:right w:val="nil"/>
            </w:tcBorders>
            <w:shd w:val="clear" w:color="auto" w:fill="auto"/>
            <w:noWrap/>
            <w:vAlign w:val="center"/>
            <w:hideMark/>
          </w:tcPr>
          <w:p w14:paraId="2A6271C8"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913</w:t>
            </w:r>
          </w:p>
        </w:tc>
        <w:tc>
          <w:tcPr>
            <w:tcW w:w="732" w:type="dxa"/>
            <w:tcBorders>
              <w:top w:val="nil"/>
              <w:left w:val="nil"/>
              <w:bottom w:val="double" w:sz="6" w:space="0" w:color="auto"/>
              <w:right w:val="nil"/>
            </w:tcBorders>
            <w:shd w:val="clear" w:color="auto" w:fill="auto"/>
            <w:noWrap/>
            <w:vAlign w:val="center"/>
            <w:hideMark/>
          </w:tcPr>
          <w:p w14:paraId="1DB3D60F"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619</w:t>
            </w:r>
          </w:p>
        </w:tc>
        <w:tc>
          <w:tcPr>
            <w:tcW w:w="733" w:type="dxa"/>
            <w:tcBorders>
              <w:top w:val="double" w:sz="6" w:space="0" w:color="auto"/>
              <w:left w:val="nil"/>
              <w:bottom w:val="double" w:sz="6" w:space="0" w:color="auto"/>
              <w:right w:val="nil"/>
            </w:tcBorders>
            <w:shd w:val="clear" w:color="auto" w:fill="auto"/>
            <w:noWrap/>
            <w:vAlign w:val="center"/>
            <w:hideMark/>
          </w:tcPr>
          <w:p w14:paraId="1727AD1B" w14:textId="77777777"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88</w:t>
            </w:r>
          </w:p>
        </w:tc>
        <w:tc>
          <w:tcPr>
            <w:tcW w:w="1134" w:type="dxa"/>
            <w:tcBorders>
              <w:top w:val="double" w:sz="6" w:space="0" w:color="auto"/>
              <w:left w:val="nil"/>
              <w:bottom w:val="double" w:sz="6" w:space="0" w:color="auto"/>
              <w:right w:val="nil"/>
            </w:tcBorders>
            <w:shd w:val="clear" w:color="auto" w:fill="auto"/>
            <w:noWrap/>
            <w:vAlign w:val="center"/>
            <w:hideMark/>
          </w:tcPr>
          <w:p w14:paraId="6828AC5D" w14:textId="3A51BCBB" w:rsidR="0053006D" w:rsidRPr="00E44FC4" w:rsidRDefault="0053006D" w:rsidP="00271895">
            <w:pPr>
              <w:spacing w:line="240" w:lineRule="auto"/>
              <w:jc w:val="center"/>
              <w:rPr>
                <w:rFonts w:eastAsia="Times New Roman"/>
                <w:b/>
                <w:bCs/>
                <w:szCs w:val="24"/>
                <w:lang w:eastAsia="cs-CZ"/>
              </w:rPr>
            </w:pPr>
            <w:r w:rsidRPr="00E44FC4">
              <w:rPr>
                <w:rFonts w:eastAsia="Times New Roman"/>
                <w:b/>
                <w:bCs/>
                <w:szCs w:val="24"/>
                <w:lang w:eastAsia="cs-CZ"/>
              </w:rPr>
              <w:t>4</w:t>
            </w:r>
            <w:r w:rsidR="0038112F" w:rsidRPr="00E44FC4">
              <w:rPr>
                <w:rFonts w:eastAsia="Times New Roman"/>
                <w:b/>
                <w:bCs/>
                <w:szCs w:val="24"/>
                <w:lang w:eastAsia="cs-CZ"/>
              </w:rPr>
              <w:t xml:space="preserve"> </w:t>
            </w:r>
            <w:r w:rsidRPr="00E44FC4">
              <w:rPr>
                <w:rFonts w:eastAsia="Times New Roman"/>
                <w:b/>
                <w:bCs/>
                <w:szCs w:val="24"/>
                <w:lang w:eastAsia="cs-CZ"/>
              </w:rPr>
              <w:t>332</w:t>
            </w:r>
          </w:p>
        </w:tc>
      </w:tr>
      <w:tr w:rsidR="00F15667" w:rsidRPr="00E44FC4" w14:paraId="19CFA9AC" w14:textId="77777777" w:rsidTr="00271895">
        <w:trPr>
          <w:trHeight w:val="330"/>
        </w:trPr>
        <w:tc>
          <w:tcPr>
            <w:tcW w:w="2080" w:type="dxa"/>
            <w:tcBorders>
              <w:top w:val="nil"/>
              <w:left w:val="nil"/>
              <w:bottom w:val="nil"/>
              <w:right w:val="nil"/>
            </w:tcBorders>
            <w:shd w:val="clear" w:color="auto" w:fill="auto"/>
            <w:noWrap/>
            <w:vAlign w:val="center"/>
            <w:hideMark/>
          </w:tcPr>
          <w:p w14:paraId="134FDDE4" w14:textId="77777777" w:rsidR="0053006D" w:rsidRPr="00E44FC4" w:rsidRDefault="0053006D" w:rsidP="00271895">
            <w:pPr>
              <w:spacing w:line="240" w:lineRule="auto"/>
              <w:jc w:val="center"/>
              <w:rPr>
                <w:rFonts w:eastAsia="Times New Roman"/>
                <w:b/>
                <w:bCs/>
                <w:szCs w:val="24"/>
                <w:lang w:eastAsia="cs-CZ"/>
              </w:rPr>
            </w:pPr>
          </w:p>
        </w:tc>
        <w:tc>
          <w:tcPr>
            <w:tcW w:w="732" w:type="dxa"/>
            <w:tcBorders>
              <w:top w:val="nil"/>
              <w:left w:val="nil"/>
              <w:bottom w:val="nil"/>
              <w:right w:val="nil"/>
            </w:tcBorders>
            <w:shd w:val="clear" w:color="auto" w:fill="auto"/>
            <w:noWrap/>
            <w:vAlign w:val="center"/>
            <w:hideMark/>
          </w:tcPr>
          <w:p w14:paraId="7A003370" w14:textId="77777777" w:rsidR="0053006D" w:rsidRPr="00E44FC4" w:rsidRDefault="0053006D" w:rsidP="00271895">
            <w:pPr>
              <w:spacing w:line="240" w:lineRule="auto"/>
              <w:jc w:val="center"/>
              <w:rPr>
                <w:rFonts w:eastAsia="Times New Roman"/>
                <w:sz w:val="20"/>
                <w:szCs w:val="20"/>
                <w:lang w:eastAsia="cs-CZ"/>
              </w:rPr>
            </w:pPr>
          </w:p>
        </w:tc>
        <w:tc>
          <w:tcPr>
            <w:tcW w:w="732" w:type="dxa"/>
            <w:tcBorders>
              <w:top w:val="nil"/>
              <w:left w:val="nil"/>
              <w:bottom w:val="nil"/>
              <w:right w:val="nil"/>
            </w:tcBorders>
            <w:shd w:val="clear" w:color="auto" w:fill="auto"/>
            <w:noWrap/>
            <w:vAlign w:val="center"/>
            <w:hideMark/>
          </w:tcPr>
          <w:p w14:paraId="74C2580E" w14:textId="77777777" w:rsidR="0053006D" w:rsidRPr="00E44FC4" w:rsidRDefault="0053006D" w:rsidP="00271895">
            <w:pPr>
              <w:spacing w:line="240" w:lineRule="auto"/>
              <w:jc w:val="center"/>
              <w:rPr>
                <w:rFonts w:eastAsia="Times New Roman"/>
                <w:sz w:val="20"/>
                <w:szCs w:val="20"/>
                <w:lang w:eastAsia="cs-CZ"/>
              </w:rPr>
            </w:pPr>
          </w:p>
        </w:tc>
        <w:tc>
          <w:tcPr>
            <w:tcW w:w="732" w:type="dxa"/>
            <w:tcBorders>
              <w:top w:val="nil"/>
              <w:left w:val="nil"/>
              <w:bottom w:val="nil"/>
              <w:right w:val="nil"/>
            </w:tcBorders>
            <w:shd w:val="clear" w:color="auto" w:fill="auto"/>
            <w:noWrap/>
            <w:vAlign w:val="center"/>
            <w:hideMark/>
          </w:tcPr>
          <w:p w14:paraId="5EB90167" w14:textId="77777777" w:rsidR="0053006D" w:rsidRPr="00E44FC4" w:rsidRDefault="0053006D" w:rsidP="00271895">
            <w:pPr>
              <w:spacing w:line="240" w:lineRule="auto"/>
              <w:jc w:val="center"/>
              <w:rPr>
                <w:rFonts w:eastAsia="Times New Roman"/>
                <w:sz w:val="20"/>
                <w:szCs w:val="20"/>
                <w:lang w:eastAsia="cs-CZ"/>
              </w:rPr>
            </w:pPr>
          </w:p>
        </w:tc>
        <w:tc>
          <w:tcPr>
            <w:tcW w:w="733" w:type="dxa"/>
            <w:tcBorders>
              <w:top w:val="nil"/>
              <w:left w:val="nil"/>
              <w:bottom w:val="nil"/>
              <w:right w:val="nil"/>
            </w:tcBorders>
            <w:shd w:val="clear" w:color="auto" w:fill="auto"/>
            <w:noWrap/>
            <w:vAlign w:val="center"/>
            <w:hideMark/>
          </w:tcPr>
          <w:p w14:paraId="7A77B10B" w14:textId="77777777" w:rsidR="0053006D" w:rsidRPr="00E44FC4" w:rsidRDefault="0053006D" w:rsidP="00271895">
            <w:pPr>
              <w:spacing w:line="240" w:lineRule="auto"/>
              <w:jc w:val="center"/>
              <w:rPr>
                <w:rFonts w:eastAsia="Times New Roman"/>
                <w:sz w:val="20"/>
                <w:szCs w:val="20"/>
                <w:lang w:eastAsia="cs-CZ"/>
              </w:rPr>
            </w:pPr>
          </w:p>
        </w:tc>
        <w:tc>
          <w:tcPr>
            <w:tcW w:w="732" w:type="dxa"/>
            <w:tcBorders>
              <w:top w:val="nil"/>
              <w:left w:val="nil"/>
              <w:bottom w:val="nil"/>
              <w:right w:val="nil"/>
            </w:tcBorders>
            <w:shd w:val="clear" w:color="auto" w:fill="auto"/>
            <w:noWrap/>
            <w:vAlign w:val="center"/>
            <w:hideMark/>
          </w:tcPr>
          <w:p w14:paraId="5CCFF106" w14:textId="77777777" w:rsidR="0053006D" w:rsidRPr="00E44FC4" w:rsidRDefault="0053006D" w:rsidP="00271895">
            <w:pPr>
              <w:spacing w:line="240" w:lineRule="auto"/>
              <w:jc w:val="center"/>
              <w:rPr>
                <w:rFonts w:eastAsia="Times New Roman"/>
                <w:sz w:val="20"/>
                <w:szCs w:val="20"/>
                <w:lang w:eastAsia="cs-CZ"/>
              </w:rPr>
            </w:pPr>
          </w:p>
        </w:tc>
        <w:tc>
          <w:tcPr>
            <w:tcW w:w="732" w:type="dxa"/>
            <w:tcBorders>
              <w:top w:val="nil"/>
              <w:left w:val="nil"/>
              <w:bottom w:val="nil"/>
              <w:right w:val="nil"/>
            </w:tcBorders>
            <w:shd w:val="clear" w:color="auto" w:fill="auto"/>
            <w:noWrap/>
            <w:vAlign w:val="center"/>
            <w:hideMark/>
          </w:tcPr>
          <w:p w14:paraId="305E611A" w14:textId="77777777" w:rsidR="0053006D" w:rsidRPr="00E44FC4" w:rsidRDefault="0053006D" w:rsidP="00271895">
            <w:pPr>
              <w:spacing w:line="240" w:lineRule="auto"/>
              <w:jc w:val="center"/>
              <w:rPr>
                <w:rFonts w:eastAsia="Times New Roman"/>
                <w:sz w:val="20"/>
                <w:szCs w:val="20"/>
                <w:lang w:eastAsia="cs-CZ"/>
              </w:rPr>
            </w:pPr>
          </w:p>
        </w:tc>
        <w:tc>
          <w:tcPr>
            <w:tcW w:w="732" w:type="dxa"/>
            <w:tcBorders>
              <w:top w:val="nil"/>
              <w:left w:val="nil"/>
              <w:bottom w:val="nil"/>
              <w:right w:val="nil"/>
            </w:tcBorders>
            <w:shd w:val="clear" w:color="auto" w:fill="auto"/>
            <w:noWrap/>
            <w:vAlign w:val="center"/>
            <w:hideMark/>
          </w:tcPr>
          <w:p w14:paraId="2FBFE7D5" w14:textId="77777777" w:rsidR="0053006D" w:rsidRPr="00E44FC4" w:rsidRDefault="0053006D" w:rsidP="00271895">
            <w:pPr>
              <w:spacing w:line="240" w:lineRule="auto"/>
              <w:jc w:val="center"/>
              <w:rPr>
                <w:rFonts w:eastAsia="Times New Roman"/>
                <w:sz w:val="20"/>
                <w:szCs w:val="20"/>
                <w:lang w:eastAsia="cs-CZ"/>
              </w:rPr>
            </w:pPr>
          </w:p>
        </w:tc>
        <w:tc>
          <w:tcPr>
            <w:tcW w:w="733" w:type="dxa"/>
            <w:tcBorders>
              <w:top w:val="nil"/>
              <w:left w:val="nil"/>
              <w:bottom w:val="nil"/>
              <w:right w:val="nil"/>
            </w:tcBorders>
            <w:shd w:val="clear" w:color="auto" w:fill="auto"/>
            <w:noWrap/>
            <w:vAlign w:val="center"/>
            <w:hideMark/>
          </w:tcPr>
          <w:p w14:paraId="702D917F" w14:textId="77777777" w:rsidR="0053006D" w:rsidRPr="00E44FC4" w:rsidRDefault="0053006D" w:rsidP="00271895">
            <w:pPr>
              <w:spacing w:line="240" w:lineRule="auto"/>
              <w:jc w:val="center"/>
              <w:rPr>
                <w:rFonts w:eastAsia="Times New Roman"/>
                <w:sz w:val="20"/>
                <w:szCs w:val="20"/>
                <w:lang w:eastAsia="cs-CZ"/>
              </w:rPr>
            </w:pPr>
          </w:p>
        </w:tc>
        <w:tc>
          <w:tcPr>
            <w:tcW w:w="1134" w:type="dxa"/>
            <w:tcBorders>
              <w:top w:val="nil"/>
              <w:left w:val="nil"/>
              <w:bottom w:val="nil"/>
              <w:right w:val="nil"/>
            </w:tcBorders>
            <w:shd w:val="clear" w:color="auto" w:fill="auto"/>
            <w:noWrap/>
            <w:vAlign w:val="center"/>
            <w:hideMark/>
          </w:tcPr>
          <w:p w14:paraId="1F339B0B" w14:textId="77777777" w:rsidR="0053006D" w:rsidRPr="00E44FC4" w:rsidRDefault="0053006D" w:rsidP="00271895">
            <w:pPr>
              <w:spacing w:line="240" w:lineRule="auto"/>
              <w:jc w:val="center"/>
              <w:rPr>
                <w:rFonts w:eastAsia="Times New Roman"/>
                <w:sz w:val="20"/>
                <w:szCs w:val="20"/>
                <w:lang w:eastAsia="cs-CZ"/>
              </w:rPr>
            </w:pPr>
          </w:p>
        </w:tc>
      </w:tr>
    </w:tbl>
    <w:p w14:paraId="39A03939" w14:textId="77777777" w:rsidR="004F7976" w:rsidRPr="00E44FC4" w:rsidRDefault="004F7976" w:rsidP="004F7976">
      <w:pPr>
        <w:pStyle w:val="OdstavecASR"/>
      </w:pPr>
      <w:r w:rsidRPr="00E44FC4">
        <w:t>Plánovaný počet zaměstnanců ve výkonu se stejně jako plánovaný počet soudců odvíjí od systemizace. Evidenční počet zaměstnanců se odvíjí od plánovaného počtu zaměstnanců ve výkonu, ale závisí také na situaci na trhu práce a personální politice jednotlivých soudů. Z toho ve výsledku plyne skutečnost, že poměr počtu soudců k počtu zaměstnanců ve výkonu je sice u všech soudů podobný, ale zdaleka ne totožný.</w:t>
      </w:r>
    </w:p>
    <w:p w14:paraId="52C0119B" w14:textId="12106908" w:rsidR="004F7976" w:rsidRPr="00E44FC4" w:rsidRDefault="004F7976" w:rsidP="004F7976">
      <w:pPr>
        <w:pStyle w:val="OdstavecASR"/>
      </w:pPr>
      <w:r w:rsidRPr="00E44FC4">
        <w:t>K 1. 1. </w:t>
      </w:r>
      <w:r w:rsidR="00C9192D" w:rsidRPr="00E44FC4">
        <w:t xml:space="preserve">2022 </w:t>
      </w:r>
      <w:r w:rsidRPr="00E44FC4">
        <w:t>pracovalo u okresních soudů celkem 4</w:t>
      </w:r>
      <w:r w:rsidR="00764D53" w:rsidRPr="00E44FC4">
        <w:t> </w:t>
      </w:r>
      <w:r w:rsidRPr="00E44FC4">
        <w:t>3</w:t>
      </w:r>
      <w:r w:rsidR="00764D53" w:rsidRPr="00E44FC4">
        <w:t>32</w:t>
      </w:r>
      <w:r w:rsidRPr="00E44FC4">
        <w:t xml:space="preserve"> zaměstnanců ve výkonu. </w:t>
      </w:r>
      <w:r w:rsidR="00764D53" w:rsidRPr="00E44FC4">
        <w:t>Tento počet</w:t>
      </w:r>
      <w:r w:rsidRPr="00E44FC4">
        <w:t xml:space="preserve"> se takřka nezměnil, došlo k meziročnímu </w:t>
      </w:r>
      <w:r w:rsidR="00764D53" w:rsidRPr="00E44FC4">
        <w:t>nárůstu</w:t>
      </w:r>
      <w:r w:rsidRPr="00E44FC4">
        <w:t xml:space="preserve"> o </w:t>
      </w:r>
      <w:r w:rsidR="00764D53" w:rsidRPr="00E44FC4">
        <w:t>10</w:t>
      </w:r>
      <w:r w:rsidRPr="00E44FC4">
        <w:t xml:space="preserve"> zaměstnanců (0,</w:t>
      </w:r>
      <w:r w:rsidR="00764D53" w:rsidRPr="00E44FC4">
        <w:t>2</w:t>
      </w:r>
      <w:r w:rsidRPr="00E44FC4">
        <w:t xml:space="preserve"> %). Za pozornost nicméně stojí změny v jednotlivých kategoriích zaměstnanců. </w:t>
      </w:r>
      <w:r w:rsidR="00764D53" w:rsidRPr="00E44FC4">
        <w:t>V jednotlivých kategoriích došlo k mírným změnám. Například klesl počet zapisovatel</w:t>
      </w:r>
      <w:r w:rsidR="00C9192D" w:rsidRPr="00E44FC4">
        <w:t>ek</w:t>
      </w:r>
      <w:r w:rsidR="00764D53" w:rsidRPr="00E44FC4">
        <w:t xml:space="preserve"> a vzrostl počet vedoucích kanceláří. </w:t>
      </w:r>
    </w:p>
    <w:p w14:paraId="2D703AB5" w14:textId="77777777" w:rsidR="004F7976" w:rsidRPr="00E44FC4" w:rsidRDefault="004F7976" w:rsidP="004F7976">
      <w:pPr>
        <w:pStyle w:val="OdstavecASR"/>
      </w:pPr>
      <w:r w:rsidRPr="00E44FC4">
        <w:t>Pro úplnost následuje krátké shrnutí pravomocí a pracovní náplně jednotlivých pracovníků soudu:</w:t>
      </w:r>
    </w:p>
    <w:p w14:paraId="4588EB99" w14:textId="77777777" w:rsidR="004F7976" w:rsidRPr="00E44FC4" w:rsidRDefault="004F7976" w:rsidP="004F7976">
      <w:pPr>
        <w:pStyle w:val="Odstavecseseznamem"/>
        <w:numPr>
          <w:ilvl w:val="0"/>
          <w:numId w:val="20"/>
        </w:numPr>
      </w:pPr>
      <w:r w:rsidRPr="00E44FC4">
        <w:rPr>
          <w:b/>
        </w:rPr>
        <w:t xml:space="preserve">Vyšší soudní úředník (VSÚ) </w:t>
      </w:r>
      <w:r w:rsidRPr="00E44FC4">
        <w:t xml:space="preserve">– rozsah činnosti vyššího soudního úředníka je vymezen v Hlavě II. z. č. 121/2008 Sb., o vyšších soudních úřednících a vyšších úřednících státního </w:t>
      </w:r>
      <w:r w:rsidRPr="00E44FC4">
        <w:lastRenderedPageBreak/>
        <w:t>zastupitelství a o změně souvisejících zákonů, ve znění pozdějších předpisů. Může provádět, nestanoví-li zvláštní zákon jinak, v občanském soudním řízení, v soudním řízení správním a v trestním řízení veškeré úkony soudu prvního stupně, s výjimkou úkonů uvedených v ust. § 11 a 12 citovaného zákona jako je například vedení jednání ve věci samé, rozhodování ve věci samé formou rozsudku, rozhodování o předběžném opatření, rozhodování a provádění úkonů při jednání soudu v hlavním líčení, veřejném zasedání a neveřejném zasedání,</w:t>
      </w:r>
      <w:r w:rsidRPr="00E44FC4">
        <w:rPr>
          <w:rFonts w:eastAsiaTheme="minorEastAsia" w:cs="Arial"/>
          <w:sz w:val="16"/>
          <w:szCs w:val="16"/>
          <w:lang w:eastAsia="cs-CZ"/>
        </w:rPr>
        <w:t xml:space="preserve"> </w:t>
      </w:r>
      <w:r w:rsidRPr="00E44FC4">
        <w:t>vydání trestního příkazu, příkazu k zatčení atd. Může jím být pouze absolvent studia na Justiční akademii v Kroměříži nebo absolvent vysokoškolského bakalářského nebo magisterského studijního programu v oblasti práva.</w:t>
      </w:r>
    </w:p>
    <w:p w14:paraId="30C32F1D" w14:textId="22427E8C" w:rsidR="004F7976" w:rsidRPr="00E44FC4" w:rsidRDefault="004F7976" w:rsidP="004F7976">
      <w:pPr>
        <w:pStyle w:val="Odstavecseseznamem"/>
        <w:numPr>
          <w:ilvl w:val="0"/>
          <w:numId w:val="20"/>
        </w:numPr>
        <w:rPr>
          <w:b/>
        </w:rPr>
      </w:pPr>
      <w:r w:rsidRPr="00E44FC4">
        <w:rPr>
          <w:b/>
        </w:rPr>
        <w:t xml:space="preserve">Soudní tajemník (ST) </w:t>
      </w:r>
      <w:r w:rsidRPr="00E44FC4">
        <w:t xml:space="preserve">– může jím být pouze osoba s úspěšně složenou maturitní zkouškou. Může provádět jednoduché úkony, ke kterým je pověřen předsedou soudu. Jedná se například o dožádání v jednoduchých věcech, sepisování podání, včetně návrhů apod. </w:t>
      </w:r>
      <w:r w:rsidR="00CF32FA">
        <w:t>–</w:t>
      </w:r>
      <w:r w:rsidRPr="00E44FC4">
        <w:t xml:space="preserve"> úkony soudních tajemníků jsou vymezeny v ust. § 6 vyhlášky Ministerstva spravedlnosti č. 37/1992 Sb. ze dne 23. 12. 1991 o jednacím řádu pro okresní a krajské soudy, ve znění pozdějších předpisů.</w:t>
      </w:r>
    </w:p>
    <w:p w14:paraId="4AF33FE7" w14:textId="77777777" w:rsidR="004F7976" w:rsidRPr="00E44FC4" w:rsidRDefault="004F7976" w:rsidP="004F7976">
      <w:pPr>
        <w:pStyle w:val="Odstavecseseznamem"/>
        <w:numPr>
          <w:ilvl w:val="0"/>
          <w:numId w:val="20"/>
        </w:numPr>
      </w:pPr>
      <w:r w:rsidRPr="00E44FC4">
        <w:rPr>
          <w:b/>
        </w:rPr>
        <w:t xml:space="preserve">Asistent soudce (A) </w:t>
      </w:r>
      <w:r w:rsidRPr="00E44FC4">
        <w:t>– samostatně vykonává jednotlivé úkony v soudním řízení z pověření soudce, jehož je asistentem, například zpracovává koncepty rozhodnutí. Podílí se na rozhodovací činnosti soudu v rozsahu stanoveném zvláštním právním předpisem pro vyšší soudní úředníky. Je jmenován předsedou soudu k návrhu příslušného soudce. Může jím být pouze absolvent vysokoškolského magisterského studijního programu v oblasti práva.</w:t>
      </w:r>
    </w:p>
    <w:p w14:paraId="70E76EFC" w14:textId="77777777" w:rsidR="004F7976" w:rsidRPr="00E44FC4" w:rsidRDefault="004F7976" w:rsidP="004F7976">
      <w:pPr>
        <w:pStyle w:val="Odstavecseseznamem"/>
        <w:numPr>
          <w:ilvl w:val="0"/>
          <w:numId w:val="20"/>
        </w:numPr>
        <w:rPr>
          <w:b/>
        </w:rPr>
      </w:pPr>
      <w:r w:rsidRPr="00E44FC4">
        <w:rPr>
          <w:b/>
        </w:rPr>
        <w:t xml:space="preserve">Vedoucí kanceláře (VK) </w:t>
      </w:r>
      <w:r w:rsidRPr="00E44FC4">
        <w:t>– vede rejstříky, řídí práci zapisovatelek většinou ve více soudních odděleních, vykonávají i určité administrativní práce dle pokynů soudce, vyššího soudního úředníka apod. Někdy bývá označována i jako rejstříková vedoucí či referentka soudní kanceláře.</w:t>
      </w:r>
    </w:p>
    <w:p w14:paraId="7999B33A" w14:textId="77777777" w:rsidR="004F7976" w:rsidRPr="00E44FC4" w:rsidRDefault="004F7976" w:rsidP="004F7976">
      <w:pPr>
        <w:pStyle w:val="Odstavecseseznamem"/>
        <w:numPr>
          <w:ilvl w:val="0"/>
          <w:numId w:val="20"/>
        </w:numPr>
        <w:rPr>
          <w:b/>
        </w:rPr>
      </w:pPr>
      <w:r w:rsidRPr="00E44FC4">
        <w:rPr>
          <w:b/>
        </w:rPr>
        <w:t xml:space="preserve">Protokolující úředník (PÚ) </w:t>
      </w:r>
      <w:r w:rsidRPr="00E44FC4">
        <w:t>– pořizuje zvukový záznam o průběhu hlavního líčení a na jeho podkladě vypracuje protokol.</w:t>
      </w:r>
    </w:p>
    <w:p w14:paraId="187DB7AD" w14:textId="3913BF07" w:rsidR="004F7976" w:rsidRPr="00E44FC4" w:rsidRDefault="004F7976" w:rsidP="004F7976">
      <w:pPr>
        <w:pStyle w:val="Odstavecseseznamem"/>
        <w:numPr>
          <w:ilvl w:val="0"/>
          <w:numId w:val="20"/>
        </w:numPr>
      </w:pPr>
      <w:r w:rsidRPr="00E44FC4">
        <w:rPr>
          <w:b/>
        </w:rPr>
        <w:t xml:space="preserve">Rejstříková vedoucí (RV) </w:t>
      </w:r>
      <w:r w:rsidRPr="00E44FC4">
        <w:t xml:space="preserve">– většinou pro jedno soudní oddělení vede rejstřík, munduje </w:t>
      </w:r>
      <w:r w:rsidR="00AD5543" w:rsidRPr="00E44FC4">
        <w:t xml:space="preserve">(zpracovává) </w:t>
      </w:r>
      <w:r w:rsidRPr="00E44FC4">
        <w:t>spisy a sepisuje protokol o jednání v jednací síni dle diktátu soudce, popř. přepisu zvukového nebo zvukově-obrazového záznamu o průběhu jednání. Tato pozice je zaměnitelná s pozicí vedoucí kanceláře.</w:t>
      </w:r>
    </w:p>
    <w:p w14:paraId="29FC2836" w14:textId="77777777" w:rsidR="004F7976" w:rsidRPr="00E44FC4" w:rsidRDefault="004F7976" w:rsidP="004F7976">
      <w:pPr>
        <w:pStyle w:val="Odstavecseseznamem"/>
        <w:numPr>
          <w:ilvl w:val="0"/>
          <w:numId w:val="20"/>
        </w:numPr>
        <w:rPr>
          <w:b/>
        </w:rPr>
      </w:pPr>
      <w:r w:rsidRPr="00E44FC4">
        <w:rPr>
          <w:b/>
        </w:rPr>
        <w:t xml:space="preserve">Zapisovatelka (Z) </w:t>
      </w:r>
      <w:r w:rsidRPr="00E44FC4">
        <w:t>– munduje (zpracovává) spisy a sepisuje protokol o jednání v jednací síni dle diktátu soudce, popř. přepisu zvukového nebo zvukově-obrazového záznamu o průběhu jednání.</w:t>
      </w:r>
    </w:p>
    <w:p w14:paraId="499F7A94" w14:textId="77777777" w:rsidR="004F7976" w:rsidRPr="00E44FC4" w:rsidRDefault="004F7976" w:rsidP="004F7976">
      <w:pPr>
        <w:pStyle w:val="Odstavecseseznamem"/>
        <w:numPr>
          <w:ilvl w:val="0"/>
          <w:numId w:val="20"/>
        </w:numPr>
      </w:pPr>
      <w:r w:rsidRPr="00E44FC4">
        <w:rPr>
          <w:b/>
        </w:rPr>
        <w:t xml:space="preserve">Soudní vykonavatel (SV) </w:t>
      </w:r>
      <w:r w:rsidRPr="00E44FC4">
        <w:t>– vymáhá splnění povinnosti na povinné osobě, které byla tato povinnost uložena vykonatelným exekučním titulem. Také je oprávněn provádět úkony spojené s odebráním dítěte v řízení péče o nezletilé.</w:t>
      </w:r>
    </w:p>
    <w:p w14:paraId="062E6D3D" w14:textId="0AE8C42F" w:rsidR="004F7976" w:rsidRPr="00E44FC4" w:rsidRDefault="004F7976" w:rsidP="004F7976">
      <w:pPr>
        <w:pStyle w:val="OdstavecASR"/>
      </w:pPr>
      <w:r w:rsidRPr="00E44FC4">
        <w:t>Dalšími zaměstnanci soudů jsou tzv. zaměstnanci ve správě. Zatímco zaměstnanci ve výkonu se bezprostředně podílejí na vyřizování soudní agendy a výkonu soudnictví, zaměstnanci ve správě zajišťují provoz soudu, který zahrnuje širokou škálu funkcí. Celou správu soudu řídí ředitel správy. Dalšími zaměstnanci ve správě jsou například pracovníci sekretariátu, dozorčí úředníci, účetní, ekonomové, informatici nebo řidiči. Celkem je rozlišováno 40 kategorií zaměstnanců ve správě. K 1. 1. 202</w:t>
      </w:r>
      <w:r w:rsidR="00764D53" w:rsidRPr="00E44FC4">
        <w:t>2</w:t>
      </w:r>
      <w:r w:rsidRPr="00E44FC4">
        <w:t xml:space="preserve"> pracovalo ve správě u okresních soudů celkem 1 66</w:t>
      </w:r>
      <w:r w:rsidR="00764D53" w:rsidRPr="00E44FC4">
        <w:t>6</w:t>
      </w:r>
      <w:r w:rsidRPr="00E44FC4">
        <w:t xml:space="preserve"> osob, tedy o </w:t>
      </w:r>
      <w:r w:rsidR="00764D53" w:rsidRPr="00E44FC4">
        <w:t>1</w:t>
      </w:r>
      <w:r w:rsidRPr="00E44FC4">
        <w:t xml:space="preserve"> osob</w:t>
      </w:r>
      <w:r w:rsidR="00764D53" w:rsidRPr="00E44FC4">
        <w:t>u</w:t>
      </w:r>
      <w:r w:rsidRPr="00E44FC4">
        <w:t xml:space="preserve"> </w:t>
      </w:r>
      <w:r w:rsidR="00764D53" w:rsidRPr="00E44FC4">
        <w:t>více</w:t>
      </w:r>
      <w:r w:rsidRPr="00E44FC4">
        <w:t xml:space="preserve"> než k 1. 1. 202</w:t>
      </w:r>
      <w:r w:rsidR="00764D53" w:rsidRPr="00E44FC4">
        <w:t>1</w:t>
      </w:r>
      <w:r w:rsidRPr="00E44FC4">
        <w:t>.</w:t>
      </w:r>
    </w:p>
    <w:p w14:paraId="7C62A51E" w14:textId="77777777" w:rsidR="00764D53" w:rsidRPr="00E44FC4" w:rsidRDefault="00764D53" w:rsidP="00764D53">
      <w:pPr>
        <w:pStyle w:val="Nadpis3"/>
        <w:numPr>
          <w:ilvl w:val="2"/>
          <w:numId w:val="1"/>
        </w:numPr>
        <w:rPr>
          <w:color w:val="auto"/>
        </w:rPr>
      </w:pPr>
      <w:bookmarkStart w:id="90" w:name="_Toc106092716"/>
      <w:bookmarkStart w:id="91" w:name="_Toc144104337"/>
      <w:r w:rsidRPr="00E44FC4">
        <w:rPr>
          <w:color w:val="auto"/>
        </w:rPr>
        <w:lastRenderedPageBreak/>
        <w:t>Přísedící soudu</w:t>
      </w:r>
      <w:bookmarkEnd w:id="90"/>
      <w:bookmarkEnd w:id="91"/>
    </w:p>
    <w:p w14:paraId="6F657079" w14:textId="3A041F71" w:rsidR="00764D53" w:rsidRPr="00E44FC4" w:rsidRDefault="00764D53" w:rsidP="00764D53">
      <w:r w:rsidRPr="00E44FC4">
        <w:t>Kromě soudců a zaměstnanců ve výkonu se na rozhodovací činnosti podílí také tzv. přísedící. Přísedícím se může stát každý svéprávný a bezúhonný občan České republiky, kterému je nejméně 30 let. V trestním řízení rozhodují přísedící v prvním stupni ve věcech, kde zákon stanoví trest odnětí svobody, jehož dolní hranice je minimálně pět let. Jde tedy o řízení u okresních soudů nebo prvostupňové řízení u soudu krajských. V civilním řízení rozhodují přísedící v pracovněprávních sporech u okresních soudů.</w:t>
      </w:r>
    </w:p>
    <w:p w14:paraId="2198C679" w14:textId="7C69097D" w:rsidR="00764D53" w:rsidRPr="00E44FC4" w:rsidRDefault="00764D53" w:rsidP="00764D53">
      <w:r w:rsidRPr="00E44FC4">
        <w:t>Od roku 2019 jsou k dispozici počty přísedících dle krajů, pohlaví a věku, což umožňuje jejich bližší prozkoumání. Na rozdíl od ostatních dat v této kapitole se jedná o data k 1. 1. 202</w:t>
      </w:r>
      <w:r w:rsidR="004F5790" w:rsidRPr="00E44FC4">
        <w:t>3</w:t>
      </w:r>
      <w:r w:rsidRPr="00E44FC4">
        <w:t>.</w:t>
      </w:r>
    </w:p>
    <w:p w14:paraId="7D02D4D0" w14:textId="77777777" w:rsidR="00764D53" w:rsidRPr="00E44FC4" w:rsidRDefault="00764D53" w:rsidP="00764D53">
      <w:r w:rsidRPr="00E44FC4">
        <w:t>V tabulce je uveden počet přísedících podle krajů a pohlaví. Počet přísedících do určité míry odpovídá velikosti jednotlivých soudních krajů. Hrají zde roli ale i jiné faktory, v první řadě samozřejmě složení agendy. Z tabulky je rovněž patrné, že funkce přísedícího je populárnější mezi ženami než mezi muži.</w:t>
      </w:r>
    </w:p>
    <w:p w14:paraId="3370958D" w14:textId="74906405" w:rsidR="0053006D" w:rsidRPr="00E44FC4" w:rsidRDefault="004F5790" w:rsidP="004F5790">
      <w:pPr>
        <w:pStyle w:val="Podnadpis"/>
        <w:rPr>
          <w:color w:val="auto"/>
        </w:rPr>
      </w:pPr>
      <w:bookmarkStart w:id="92" w:name="_Toc43931180"/>
      <w:bookmarkStart w:id="93" w:name="_Toc75952310"/>
      <w:bookmarkStart w:id="94" w:name="_Toc106106769"/>
      <w:bookmarkStart w:id="95" w:name="_Toc144104246"/>
      <w:r w:rsidRPr="00E44FC4">
        <w:rPr>
          <w:color w:val="auto"/>
        </w:rPr>
        <w:t xml:space="preserve">Tabulka </w:t>
      </w:r>
      <w:r w:rsidRPr="00E44FC4">
        <w:rPr>
          <w:color w:val="auto"/>
        </w:rPr>
        <w:fldChar w:fldCharType="begin"/>
      </w:r>
      <w:r w:rsidRPr="00E44FC4">
        <w:rPr>
          <w:noProof/>
          <w:color w:val="auto"/>
        </w:rPr>
        <w:instrText xml:space="preserve"> SEQ Tabulka \* ARABIC </w:instrText>
      </w:r>
      <w:r w:rsidRPr="00E44FC4">
        <w:rPr>
          <w:color w:val="auto"/>
        </w:rPr>
        <w:fldChar w:fldCharType="separate"/>
      </w:r>
      <w:r w:rsidR="001E1A67">
        <w:rPr>
          <w:noProof/>
          <w:color w:val="auto"/>
        </w:rPr>
        <w:t>7</w:t>
      </w:r>
      <w:r w:rsidRPr="00E44FC4">
        <w:rPr>
          <w:color w:val="auto"/>
        </w:rPr>
        <w:fldChar w:fldCharType="end"/>
      </w:r>
      <w:r w:rsidRPr="00E44FC4">
        <w:rPr>
          <w:color w:val="auto"/>
        </w:rPr>
        <w:t>: OS – počet přísedících dle krajů a pohlaví</w:t>
      </w:r>
      <w:bookmarkEnd w:id="92"/>
      <w:bookmarkEnd w:id="93"/>
      <w:bookmarkEnd w:id="94"/>
      <w:bookmarkEnd w:id="95"/>
    </w:p>
    <w:tbl>
      <w:tblPr>
        <w:tblW w:w="6540" w:type="dxa"/>
        <w:tblLayout w:type="fixed"/>
        <w:tblCellMar>
          <w:left w:w="70" w:type="dxa"/>
          <w:right w:w="70" w:type="dxa"/>
        </w:tblCellMar>
        <w:tblLook w:val="04A0" w:firstRow="1" w:lastRow="0" w:firstColumn="1" w:lastColumn="0" w:noHBand="0" w:noVBand="1"/>
      </w:tblPr>
      <w:tblGrid>
        <w:gridCol w:w="2220"/>
        <w:gridCol w:w="1620"/>
        <w:gridCol w:w="1620"/>
        <w:gridCol w:w="1080"/>
      </w:tblGrid>
      <w:tr w:rsidR="00F15667" w:rsidRPr="00E44FC4" w14:paraId="3365EA34" w14:textId="77777777" w:rsidTr="00E44FC4">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24CD0B55" w14:textId="77777777" w:rsidR="004F5790" w:rsidRPr="00E44FC4" w:rsidRDefault="004F5790" w:rsidP="00E44FC4">
            <w:pPr>
              <w:spacing w:line="240" w:lineRule="auto"/>
              <w:jc w:val="center"/>
              <w:rPr>
                <w:rFonts w:eastAsia="Times New Roman"/>
                <w:b/>
                <w:bCs/>
                <w:szCs w:val="24"/>
                <w:lang w:eastAsia="cs-CZ"/>
              </w:rPr>
            </w:pPr>
            <w:r w:rsidRPr="00E44FC4">
              <w:rPr>
                <w:rFonts w:eastAsia="Times New Roman"/>
                <w:b/>
                <w:bCs/>
                <w:szCs w:val="24"/>
                <w:lang w:eastAsia="cs-CZ"/>
              </w:rPr>
              <w:t>Nadřízený soud</w:t>
            </w:r>
          </w:p>
        </w:tc>
        <w:tc>
          <w:tcPr>
            <w:tcW w:w="3240" w:type="dxa"/>
            <w:gridSpan w:val="2"/>
            <w:tcBorders>
              <w:top w:val="double" w:sz="6" w:space="0" w:color="auto"/>
              <w:left w:val="nil"/>
              <w:bottom w:val="nil"/>
              <w:right w:val="nil"/>
            </w:tcBorders>
            <w:shd w:val="clear" w:color="auto" w:fill="auto"/>
            <w:noWrap/>
            <w:vAlign w:val="center"/>
            <w:hideMark/>
          </w:tcPr>
          <w:p w14:paraId="69389471" w14:textId="0489C039" w:rsidR="004F5790" w:rsidRPr="00E44FC4" w:rsidRDefault="004F5790" w:rsidP="00E44FC4">
            <w:pPr>
              <w:spacing w:line="240" w:lineRule="auto"/>
              <w:jc w:val="center"/>
              <w:rPr>
                <w:rFonts w:eastAsia="Times New Roman"/>
                <w:b/>
                <w:bCs/>
                <w:szCs w:val="24"/>
                <w:lang w:eastAsia="cs-CZ"/>
              </w:rPr>
            </w:pPr>
            <w:r w:rsidRPr="00E44FC4">
              <w:rPr>
                <w:rFonts w:eastAsia="Times New Roman"/>
                <w:b/>
                <w:bCs/>
                <w:szCs w:val="24"/>
                <w:lang w:eastAsia="cs-CZ"/>
              </w:rPr>
              <w:t>Počet přísedíc</w:t>
            </w:r>
            <w:r w:rsidR="0038112F" w:rsidRPr="00E44FC4">
              <w:rPr>
                <w:rFonts w:eastAsia="Times New Roman"/>
                <w:b/>
                <w:bCs/>
                <w:szCs w:val="24"/>
                <w:lang w:eastAsia="cs-CZ"/>
              </w:rPr>
              <w:t>íc</w:t>
            </w:r>
            <w:r w:rsidRPr="00E44FC4">
              <w:rPr>
                <w:rFonts w:eastAsia="Times New Roman"/>
                <w:b/>
                <w:bCs/>
                <w:szCs w:val="24"/>
                <w:lang w:eastAsia="cs-CZ"/>
              </w:rPr>
              <w:t>h</w:t>
            </w:r>
          </w:p>
        </w:tc>
        <w:tc>
          <w:tcPr>
            <w:tcW w:w="1080" w:type="dxa"/>
            <w:vMerge w:val="restart"/>
            <w:tcBorders>
              <w:top w:val="double" w:sz="6" w:space="0" w:color="auto"/>
              <w:left w:val="nil"/>
              <w:bottom w:val="double" w:sz="6" w:space="0" w:color="000000"/>
              <w:right w:val="nil"/>
            </w:tcBorders>
            <w:shd w:val="clear" w:color="auto" w:fill="auto"/>
            <w:vAlign w:val="center"/>
            <w:hideMark/>
          </w:tcPr>
          <w:p w14:paraId="3AA3A7B7" w14:textId="34A8867D" w:rsidR="004F5790" w:rsidRPr="00E44FC4" w:rsidRDefault="004F5790" w:rsidP="00E44FC4">
            <w:pPr>
              <w:spacing w:line="240" w:lineRule="auto"/>
              <w:jc w:val="center"/>
              <w:rPr>
                <w:rFonts w:eastAsia="Times New Roman"/>
                <w:b/>
                <w:bCs/>
                <w:szCs w:val="24"/>
                <w:lang w:eastAsia="cs-CZ"/>
              </w:rPr>
            </w:pPr>
            <w:r w:rsidRPr="00E44FC4">
              <w:rPr>
                <w:rFonts w:eastAsia="Times New Roman"/>
                <w:b/>
                <w:bCs/>
                <w:szCs w:val="24"/>
                <w:lang w:eastAsia="cs-CZ"/>
              </w:rPr>
              <w:t>Podíl žen v</w:t>
            </w:r>
            <w:r w:rsidR="00E44FC4" w:rsidRPr="00E44FC4">
              <w:rPr>
                <w:rFonts w:eastAsia="Times New Roman"/>
                <w:b/>
                <w:bCs/>
                <w:szCs w:val="24"/>
                <w:lang w:eastAsia="cs-CZ"/>
              </w:rPr>
              <w:t> </w:t>
            </w:r>
            <w:r w:rsidRPr="00E44FC4">
              <w:rPr>
                <w:rFonts w:eastAsia="Times New Roman"/>
                <w:b/>
                <w:bCs/>
                <w:szCs w:val="24"/>
                <w:lang w:eastAsia="cs-CZ"/>
              </w:rPr>
              <w:t>%</w:t>
            </w:r>
          </w:p>
        </w:tc>
      </w:tr>
      <w:tr w:rsidR="00F15667" w:rsidRPr="00E44FC4" w14:paraId="49BDC1CF" w14:textId="77777777" w:rsidTr="00E44FC4">
        <w:trPr>
          <w:trHeight w:val="330"/>
        </w:trPr>
        <w:tc>
          <w:tcPr>
            <w:tcW w:w="2220" w:type="dxa"/>
            <w:vMerge/>
            <w:tcBorders>
              <w:top w:val="double" w:sz="6" w:space="0" w:color="auto"/>
              <w:left w:val="nil"/>
              <w:bottom w:val="double" w:sz="6" w:space="0" w:color="000000"/>
              <w:right w:val="nil"/>
            </w:tcBorders>
            <w:vAlign w:val="center"/>
            <w:hideMark/>
          </w:tcPr>
          <w:p w14:paraId="67D694BF" w14:textId="77777777" w:rsidR="004F5790" w:rsidRPr="00E44FC4" w:rsidRDefault="004F5790" w:rsidP="00E44FC4">
            <w:pPr>
              <w:spacing w:line="240" w:lineRule="auto"/>
              <w:jc w:val="center"/>
              <w:rPr>
                <w:rFonts w:eastAsia="Times New Roman"/>
                <w:b/>
                <w:bCs/>
                <w:szCs w:val="24"/>
                <w:lang w:eastAsia="cs-CZ"/>
              </w:rPr>
            </w:pPr>
          </w:p>
        </w:tc>
        <w:tc>
          <w:tcPr>
            <w:tcW w:w="1620" w:type="dxa"/>
            <w:tcBorders>
              <w:top w:val="nil"/>
              <w:left w:val="nil"/>
              <w:bottom w:val="double" w:sz="6" w:space="0" w:color="auto"/>
              <w:right w:val="nil"/>
            </w:tcBorders>
            <w:shd w:val="clear" w:color="auto" w:fill="auto"/>
            <w:noWrap/>
            <w:vAlign w:val="center"/>
            <w:hideMark/>
          </w:tcPr>
          <w:p w14:paraId="2E1544A5" w14:textId="77777777" w:rsidR="004F5790" w:rsidRPr="00E44FC4" w:rsidRDefault="004F5790" w:rsidP="00E44FC4">
            <w:pPr>
              <w:spacing w:line="240" w:lineRule="auto"/>
              <w:jc w:val="center"/>
              <w:rPr>
                <w:rFonts w:eastAsia="Times New Roman"/>
                <w:b/>
                <w:bCs/>
                <w:szCs w:val="24"/>
                <w:lang w:eastAsia="cs-CZ"/>
              </w:rPr>
            </w:pPr>
            <w:r w:rsidRPr="00E44FC4">
              <w:rPr>
                <w:rFonts w:eastAsia="Times New Roman"/>
                <w:b/>
                <w:bCs/>
                <w:szCs w:val="24"/>
                <w:lang w:eastAsia="cs-CZ"/>
              </w:rPr>
              <w:t>Mužů</w:t>
            </w:r>
          </w:p>
        </w:tc>
        <w:tc>
          <w:tcPr>
            <w:tcW w:w="1620" w:type="dxa"/>
            <w:tcBorders>
              <w:top w:val="nil"/>
              <w:left w:val="nil"/>
              <w:bottom w:val="double" w:sz="6" w:space="0" w:color="auto"/>
              <w:right w:val="nil"/>
            </w:tcBorders>
            <w:shd w:val="clear" w:color="auto" w:fill="auto"/>
            <w:noWrap/>
            <w:vAlign w:val="center"/>
            <w:hideMark/>
          </w:tcPr>
          <w:p w14:paraId="00F73EF1" w14:textId="77777777" w:rsidR="004F5790" w:rsidRPr="00E44FC4" w:rsidRDefault="004F5790" w:rsidP="00E44FC4">
            <w:pPr>
              <w:spacing w:line="240" w:lineRule="auto"/>
              <w:jc w:val="center"/>
              <w:rPr>
                <w:rFonts w:eastAsia="Times New Roman"/>
                <w:b/>
                <w:bCs/>
                <w:szCs w:val="24"/>
                <w:lang w:eastAsia="cs-CZ"/>
              </w:rPr>
            </w:pPr>
            <w:r w:rsidRPr="00E44FC4">
              <w:rPr>
                <w:rFonts w:eastAsia="Times New Roman"/>
                <w:b/>
                <w:bCs/>
                <w:szCs w:val="24"/>
                <w:lang w:eastAsia="cs-CZ"/>
              </w:rPr>
              <w:t>Žen</w:t>
            </w:r>
          </w:p>
        </w:tc>
        <w:tc>
          <w:tcPr>
            <w:tcW w:w="1080" w:type="dxa"/>
            <w:vMerge/>
            <w:tcBorders>
              <w:top w:val="double" w:sz="6" w:space="0" w:color="auto"/>
              <w:left w:val="nil"/>
              <w:bottom w:val="double" w:sz="6" w:space="0" w:color="000000"/>
              <w:right w:val="nil"/>
            </w:tcBorders>
            <w:vAlign w:val="center"/>
            <w:hideMark/>
          </w:tcPr>
          <w:p w14:paraId="28366497" w14:textId="77777777" w:rsidR="004F5790" w:rsidRPr="00E44FC4" w:rsidRDefault="004F5790" w:rsidP="00E44FC4">
            <w:pPr>
              <w:spacing w:line="240" w:lineRule="auto"/>
              <w:jc w:val="center"/>
              <w:rPr>
                <w:rFonts w:eastAsia="Times New Roman"/>
                <w:b/>
                <w:bCs/>
                <w:szCs w:val="24"/>
                <w:lang w:eastAsia="cs-CZ"/>
              </w:rPr>
            </w:pPr>
          </w:p>
        </w:tc>
      </w:tr>
      <w:tr w:rsidR="00F15667" w:rsidRPr="00E44FC4" w14:paraId="47F3EECC" w14:textId="77777777" w:rsidTr="00E44FC4">
        <w:trPr>
          <w:trHeight w:val="330"/>
        </w:trPr>
        <w:tc>
          <w:tcPr>
            <w:tcW w:w="2220" w:type="dxa"/>
            <w:tcBorders>
              <w:top w:val="nil"/>
              <w:left w:val="nil"/>
              <w:bottom w:val="single" w:sz="4" w:space="0" w:color="auto"/>
              <w:right w:val="nil"/>
            </w:tcBorders>
            <w:shd w:val="clear" w:color="auto" w:fill="auto"/>
            <w:noWrap/>
            <w:vAlign w:val="center"/>
            <w:hideMark/>
          </w:tcPr>
          <w:p w14:paraId="0FC0F616" w14:textId="77777777" w:rsidR="004F5790" w:rsidRPr="00E44FC4" w:rsidRDefault="004F5790" w:rsidP="00E44FC4">
            <w:pPr>
              <w:spacing w:line="240" w:lineRule="auto"/>
              <w:jc w:val="left"/>
              <w:rPr>
                <w:rFonts w:eastAsia="Times New Roman"/>
                <w:szCs w:val="24"/>
                <w:lang w:eastAsia="cs-CZ"/>
              </w:rPr>
            </w:pPr>
            <w:r w:rsidRPr="00E44FC4">
              <w:rPr>
                <w:rFonts w:eastAsia="Times New Roman"/>
                <w:szCs w:val="24"/>
                <w:lang w:eastAsia="cs-CZ"/>
              </w:rPr>
              <w:t>MS Praha</w:t>
            </w:r>
          </w:p>
        </w:tc>
        <w:tc>
          <w:tcPr>
            <w:tcW w:w="1620" w:type="dxa"/>
            <w:tcBorders>
              <w:top w:val="nil"/>
              <w:left w:val="nil"/>
              <w:bottom w:val="single" w:sz="4" w:space="0" w:color="auto"/>
              <w:right w:val="nil"/>
            </w:tcBorders>
            <w:shd w:val="clear" w:color="auto" w:fill="auto"/>
            <w:noWrap/>
            <w:vAlign w:val="center"/>
            <w:hideMark/>
          </w:tcPr>
          <w:p w14:paraId="78AD578C"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145</w:t>
            </w:r>
          </w:p>
        </w:tc>
        <w:tc>
          <w:tcPr>
            <w:tcW w:w="1620" w:type="dxa"/>
            <w:tcBorders>
              <w:top w:val="nil"/>
              <w:left w:val="nil"/>
              <w:bottom w:val="single" w:sz="4" w:space="0" w:color="auto"/>
              <w:right w:val="nil"/>
            </w:tcBorders>
            <w:shd w:val="clear" w:color="auto" w:fill="auto"/>
            <w:noWrap/>
            <w:vAlign w:val="center"/>
            <w:hideMark/>
          </w:tcPr>
          <w:p w14:paraId="2D04807C"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283</w:t>
            </w:r>
          </w:p>
        </w:tc>
        <w:tc>
          <w:tcPr>
            <w:tcW w:w="1080" w:type="dxa"/>
            <w:tcBorders>
              <w:top w:val="nil"/>
              <w:left w:val="nil"/>
              <w:bottom w:val="single" w:sz="4" w:space="0" w:color="auto"/>
              <w:right w:val="nil"/>
            </w:tcBorders>
            <w:shd w:val="clear" w:color="auto" w:fill="auto"/>
            <w:noWrap/>
            <w:vAlign w:val="center"/>
            <w:hideMark/>
          </w:tcPr>
          <w:p w14:paraId="20C1DACF" w14:textId="2783C21A"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66,12</w:t>
            </w:r>
          </w:p>
        </w:tc>
      </w:tr>
      <w:tr w:rsidR="00F15667" w:rsidRPr="00E44FC4" w14:paraId="1711A306"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741CD967" w14:textId="77777777" w:rsidR="004F5790" w:rsidRPr="00E44FC4" w:rsidRDefault="004F5790" w:rsidP="00E44FC4">
            <w:pPr>
              <w:spacing w:line="240" w:lineRule="auto"/>
              <w:jc w:val="left"/>
              <w:rPr>
                <w:rFonts w:eastAsia="Times New Roman"/>
                <w:szCs w:val="24"/>
                <w:lang w:eastAsia="cs-CZ"/>
              </w:rPr>
            </w:pPr>
            <w:r w:rsidRPr="00E44FC4">
              <w:rPr>
                <w:rFonts w:eastAsia="Times New Roman"/>
                <w:szCs w:val="24"/>
                <w:lang w:eastAsia="cs-CZ"/>
              </w:rPr>
              <w:t>KS Praha</w:t>
            </w:r>
          </w:p>
        </w:tc>
        <w:tc>
          <w:tcPr>
            <w:tcW w:w="1620" w:type="dxa"/>
            <w:tcBorders>
              <w:top w:val="nil"/>
              <w:left w:val="nil"/>
              <w:bottom w:val="single" w:sz="4" w:space="0" w:color="auto"/>
              <w:right w:val="nil"/>
            </w:tcBorders>
            <w:shd w:val="clear" w:color="auto" w:fill="auto"/>
            <w:noWrap/>
            <w:vAlign w:val="center"/>
            <w:hideMark/>
          </w:tcPr>
          <w:p w14:paraId="11CD47B2"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117</w:t>
            </w:r>
          </w:p>
        </w:tc>
        <w:tc>
          <w:tcPr>
            <w:tcW w:w="1620" w:type="dxa"/>
            <w:tcBorders>
              <w:top w:val="nil"/>
              <w:left w:val="nil"/>
              <w:bottom w:val="single" w:sz="4" w:space="0" w:color="auto"/>
              <w:right w:val="nil"/>
            </w:tcBorders>
            <w:shd w:val="clear" w:color="auto" w:fill="auto"/>
            <w:noWrap/>
            <w:vAlign w:val="center"/>
            <w:hideMark/>
          </w:tcPr>
          <w:p w14:paraId="0B443422"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233</w:t>
            </w:r>
          </w:p>
        </w:tc>
        <w:tc>
          <w:tcPr>
            <w:tcW w:w="1080" w:type="dxa"/>
            <w:tcBorders>
              <w:top w:val="nil"/>
              <w:left w:val="nil"/>
              <w:bottom w:val="single" w:sz="4" w:space="0" w:color="auto"/>
              <w:right w:val="nil"/>
            </w:tcBorders>
            <w:shd w:val="clear" w:color="auto" w:fill="auto"/>
            <w:noWrap/>
            <w:vAlign w:val="center"/>
            <w:hideMark/>
          </w:tcPr>
          <w:p w14:paraId="5290C63B" w14:textId="76C45C3B"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66,57</w:t>
            </w:r>
          </w:p>
        </w:tc>
      </w:tr>
      <w:tr w:rsidR="00F15667" w:rsidRPr="00E44FC4" w14:paraId="5530E221"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1AA7CBA3" w14:textId="77777777" w:rsidR="004F5790" w:rsidRPr="00E44FC4" w:rsidRDefault="004F5790" w:rsidP="00E44FC4">
            <w:pPr>
              <w:spacing w:line="240" w:lineRule="auto"/>
              <w:jc w:val="left"/>
              <w:rPr>
                <w:rFonts w:eastAsia="Times New Roman"/>
                <w:szCs w:val="24"/>
                <w:lang w:eastAsia="cs-CZ"/>
              </w:rPr>
            </w:pPr>
            <w:r w:rsidRPr="00E44FC4">
              <w:rPr>
                <w:rFonts w:eastAsia="Times New Roman"/>
                <w:szCs w:val="24"/>
                <w:lang w:eastAsia="cs-CZ"/>
              </w:rPr>
              <w:t>KS Č. Budějovice</w:t>
            </w:r>
          </w:p>
        </w:tc>
        <w:tc>
          <w:tcPr>
            <w:tcW w:w="1620" w:type="dxa"/>
            <w:tcBorders>
              <w:top w:val="nil"/>
              <w:left w:val="nil"/>
              <w:bottom w:val="single" w:sz="4" w:space="0" w:color="auto"/>
              <w:right w:val="nil"/>
            </w:tcBorders>
            <w:shd w:val="clear" w:color="auto" w:fill="auto"/>
            <w:noWrap/>
            <w:vAlign w:val="center"/>
            <w:hideMark/>
          </w:tcPr>
          <w:p w14:paraId="323BF75E"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84</w:t>
            </w:r>
          </w:p>
        </w:tc>
        <w:tc>
          <w:tcPr>
            <w:tcW w:w="1620" w:type="dxa"/>
            <w:tcBorders>
              <w:top w:val="nil"/>
              <w:left w:val="nil"/>
              <w:bottom w:val="single" w:sz="4" w:space="0" w:color="auto"/>
              <w:right w:val="nil"/>
            </w:tcBorders>
            <w:shd w:val="clear" w:color="auto" w:fill="auto"/>
            <w:noWrap/>
            <w:vAlign w:val="center"/>
            <w:hideMark/>
          </w:tcPr>
          <w:p w14:paraId="418DB21B"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146</w:t>
            </w:r>
          </w:p>
        </w:tc>
        <w:tc>
          <w:tcPr>
            <w:tcW w:w="1080" w:type="dxa"/>
            <w:tcBorders>
              <w:top w:val="nil"/>
              <w:left w:val="nil"/>
              <w:bottom w:val="single" w:sz="4" w:space="0" w:color="auto"/>
              <w:right w:val="nil"/>
            </w:tcBorders>
            <w:shd w:val="clear" w:color="auto" w:fill="auto"/>
            <w:noWrap/>
            <w:vAlign w:val="center"/>
            <w:hideMark/>
          </w:tcPr>
          <w:p w14:paraId="73F6914B" w14:textId="0D1C2A45"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63,48</w:t>
            </w:r>
          </w:p>
        </w:tc>
      </w:tr>
      <w:tr w:rsidR="00F15667" w:rsidRPr="00E44FC4" w14:paraId="50A472DB"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4F5FFDCE" w14:textId="77777777" w:rsidR="004F5790" w:rsidRPr="00E44FC4" w:rsidRDefault="004F5790" w:rsidP="00E44FC4">
            <w:pPr>
              <w:spacing w:line="240" w:lineRule="auto"/>
              <w:jc w:val="left"/>
              <w:rPr>
                <w:rFonts w:eastAsia="Times New Roman"/>
                <w:szCs w:val="24"/>
                <w:lang w:eastAsia="cs-CZ"/>
              </w:rPr>
            </w:pPr>
            <w:r w:rsidRPr="00E44FC4">
              <w:rPr>
                <w:rFonts w:eastAsia="Times New Roman"/>
                <w:szCs w:val="24"/>
                <w:lang w:eastAsia="cs-CZ"/>
              </w:rPr>
              <w:t>KS Plzeň</w:t>
            </w:r>
          </w:p>
        </w:tc>
        <w:tc>
          <w:tcPr>
            <w:tcW w:w="1620" w:type="dxa"/>
            <w:tcBorders>
              <w:top w:val="nil"/>
              <w:left w:val="nil"/>
              <w:bottom w:val="single" w:sz="4" w:space="0" w:color="auto"/>
              <w:right w:val="nil"/>
            </w:tcBorders>
            <w:shd w:val="clear" w:color="auto" w:fill="auto"/>
            <w:noWrap/>
            <w:vAlign w:val="center"/>
            <w:hideMark/>
          </w:tcPr>
          <w:p w14:paraId="30989E4E"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114</w:t>
            </w:r>
          </w:p>
        </w:tc>
        <w:tc>
          <w:tcPr>
            <w:tcW w:w="1620" w:type="dxa"/>
            <w:tcBorders>
              <w:top w:val="nil"/>
              <w:left w:val="nil"/>
              <w:bottom w:val="single" w:sz="4" w:space="0" w:color="auto"/>
              <w:right w:val="nil"/>
            </w:tcBorders>
            <w:shd w:val="clear" w:color="auto" w:fill="auto"/>
            <w:noWrap/>
            <w:vAlign w:val="center"/>
            <w:hideMark/>
          </w:tcPr>
          <w:p w14:paraId="69FDE156"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242</w:t>
            </w:r>
          </w:p>
        </w:tc>
        <w:tc>
          <w:tcPr>
            <w:tcW w:w="1080" w:type="dxa"/>
            <w:tcBorders>
              <w:top w:val="nil"/>
              <w:left w:val="nil"/>
              <w:bottom w:val="single" w:sz="4" w:space="0" w:color="auto"/>
              <w:right w:val="nil"/>
            </w:tcBorders>
            <w:shd w:val="clear" w:color="auto" w:fill="auto"/>
            <w:noWrap/>
            <w:vAlign w:val="center"/>
            <w:hideMark/>
          </w:tcPr>
          <w:p w14:paraId="4BBA99A0" w14:textId="4D6B3C04"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67,98</w:t>
            </w:r>
          </w:p>
        </w:tc>
      </w:tr>
      <w:tr w:rsidR="00F15667" w:rsidRPr="00E44FC4" w14:paraId="26430553"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4FD70C55" w14:textId="77777777" w:rsidR="004F5790" w:rsidRPr="00E44FC4" w:rsidRDefault="004F5790" w:rsidP="00E44FC4">
            <w:pPr>
              <w:spacing w:line="240" w:lineRule="auto"/>
              <w:jc w:val="left"/>
              <w:rPr>
                <w:rFonts w:eastAsia="Times New Roman"/>
                <w:szCs w:val="24"/>
                <w:lang w:eastAsia="cs-CZ"/>
              </w:rPr>
            </w:pPr>
            <w:r w:rsidRPr="00E44FC4">
              <w:rPr>
                <w:rFonts w:eastAsia="Times New Roman"/>
                <w:szCs w:val="24"/>
                <w:lang w:eastAsia="cs-CZ"/>
              </w:rPr>
              <w:t>KS Ústí n. Labem</w:t>
            </w:r>
          </w:p>
        </w:tc>
        <w:tc>
          <w:tcPr>
            <w:tcW w:w="1620" w:type="dxa"/>
            <w:tcBorders>
              <w:top w:val="nil"/>
              <w:left w:val="nil"/>
              <w:bottom w:val="single" w:sz="4" w:space="0" w:color="auto"/>
              <w:right w:val="nil"/>
            </w:tcBorders>
            <w:shd w:val="clear" w:color="auto" w:fill="auto"/>
            <w:noWrap/>
            <w:vAlign w:val="center"/>
            <w:hideMark/>
          </w:tcPr>
          <w:p w14:paraId="0800EB61"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185</w:t>
            </w:r>
          </w:p>
        </w:tc>
        <w:tc>
          <w:tcPr>
            <w:tcW w:w="1620" w:type="dxa"/>
            <w:tcBorders>
              <w:top w:val="nil"/>
              <w:left w:val="nil"/>
              <w:bottom w:val="single" w:sz="4" w:space="0" w:color="auto"/>
              <w:right w:val="nil"/>
            </w:tcBorders>
            <w:shd w:val="clear" w:color="auto" w:fill="auto"/>
            <w:noWrap/>
            <w:vAlign w:val="center"/>
            <w:hideMark/>
          </w:tcPr>
          <w:p w14:paraId="26529B31"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379</w:t>
            </w:r>
          </w:p>
        </w:tc>
        <w:tc>
          <w:tcPr>
            <w:tcW w:w="1080" w:type="dxa"/>
            <w:tcBorders>
              <w:top w:val="nil"/>
              <w:left w:val="nil"/>
              <w:bottom w:val="single" w:sz="4" w:space="0" w:color="auto"/>
              <w:right w:val="nil"/>
            </w:tcBorders>
            <w:shd w:val="clear" w:color="auto" w:fill="auto"/>
            <w:noWrap/>
            <w:vAlign w:val="center"/>
            <w:hideMark/>
          </w:tcPr>
          <w:p w14:paraId="4A186E0F" w14:textId="2842BE22"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67,20</w:t>
            </w:r>
          </w:p>
        </w:tc>
      </w:tr>
      <w:tr w:rsidR="00F15667" w:rsidRPr="00E44FC4" w14:paraId="19D991D4"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74300CC1" w14:textId="77777777" w:rsidR="004F5790" w:rsidRPr="00E44FC4" w:rsidRDefault="004F5790" w:rsidP="00E44FC4">
            <w:pPr>
              <w:spacing w:line="240" w:lineRule="auto"/>
              <w:jc w:val="left"/>
              <w:rPr>
                <w:rFonts w:eastAsia="Times New Roman"/>
                <w:szCs w:val="24"/>
                <w:lang w:eastAsia="cs-CZ"/>
              </w:rPr>
            </w:pPr>
            <w:r w:rsidRPr="00E44FC4">
              <w:rPr>
                <w:rFonts w:eastAsia="Times New Roman"/>
                <w:szCs w:val="24"/>
                <w:lang w:eastAsia="cs-CZ"/>
              </w:rPr>
              <w:t>KS Hr. Králové</w:t>
            </w:r>
          </w:p>
        </w:tc>
        <w:tc>
          <w:tcPr>
            <w:tcW w:w="1620" w:type="dxa"/>
            <w:tcBorders>
              <w:top w:val="nil"/>
              <w:left w:val="nil"/>
              <w:bottom w:val="single" w:sz="4" w:space="0" w:color="auto"/>
              <w:right w:val="nil"/>
            </w:tcBorders>
            <w:shd w:val="clear" w:color="auto" w:fill="auto"/>
            <w:noWrap/>
            <w:vAlign w:val="center"/>
            <w:hideMark/>
          </w:tcPr>
          <w:p w14:paraId="72662C84"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145</w:t>
            </w:r>
          </w:p>
        </w:tc>
        <w:tc>
          <w:tcPr>
            <w:tcW w:w="1620" w:type="dxa"/>
            <w:tcBorders>
              <w:top w:val="nil"/>
              <w:left w:val="nil"/>
              <w:bottom w:val="single" w:sz="4" w:space="0" w:color="auto"/>
              <w:right w:val="nil"/>
            </w:tcBorders>
            <w:shd w:val="clear" w:color="auto" w:fill="auto"/>
            <w:noWrap/>
            <w:vAlign w:val="center"/>
            <w:hideMark/>
          </w:tcPr>
          <w:p w14:paraId="54C6AD14"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274</w:t>
            </w:r>
          </w:p>
        </w:tc>
        <w:tc>
          <w:tcPr>
            <w:tcW w:w="1080" w:type="dxa"/>
            <w:tcBorders>
              <w:top w:val="nil"/>
              <w:left w:val="nil"/>
              <w:bottom w:val="single" w:sz="4" w:space="0" w:color="auto"/>
              <w:right w:val="nil"/>
            </w:tcBorders>
            <w:shd w:val="clear" w:color="auto" w:fill="auto"/>
            <w:noWrap/>
            <w:vAlign w:val="center"/>
            <w:hideMark/>
          </w:tcPr>
          <w:p w14:paraId="64EAAC1C" w14:textId="3C9FFF1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65,39</w:t>
            </w:r>
          </w:p>
        </w:tc>
      </w:tr>
      <w:tr w:rsidR="00F15667" w:rsidRPr="00E44FC4" w14:paraId="4CFF5086"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4ABC3BD2" w14:textId="77777777" w:rsidR="004F5790" w:rsidRPr="00E44FC4" w:rsidRDefault="004F5790" w:rsidP="00E44FC4">
            <w:pPr>
              <w:spacing w:line="240" w:lineRule="auto"/>
              <w:jc w:val="left"/>
              <w:rPr>
                <w:rFonts w:eastAsia="Times New Roman"/>
                <w:szCs w:val="24"/>
                <w:lang w:eastAsia="cs-CZ"/>
              </w:rPr>
            </w:pPr>
            <w:r w:rsidRPr="00E44FC4">
              <w:rPr>
                <w:rFonts w:eastAsia="Times New Roman"/>
                <w:szCs w:val="24"/>
                <w:lang w:eastAsia="cs-CZ"/>
              </w:rPr>
              <w:t>KS Brno</w:t>
            </w:r>
          </w:p>
        </w:tc>
        <w:tc>
          <w:tcPr>
            <w:tcW w:w="1620" w:type="dxa"/>
            <w:tcBorders>
              <w:top w:val="nil"/>
              <w:left w:val="nil"/>
              <w:bottom w:val="single" w:sz="4" w:space="0" w:color="auto"/>
              <w:right w:val="nil"/>
            </w:tcBorders>
            <w:shd w:val="clear" w:color="auto" w:fill="auto"/>
            <w:noWrap/>
            <w:vAlign w:val="center"/>
            <w:hideMark/>
          </w:tcPr>
          <w:p w14:paraId="324FBDE8"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258</w:t>
            </w:r>
          </w:p>
        </w:tc>
        <w:tc>
          <w:tcPr>
            <w:tcW w:w="1620" w:type="dxa"/>
            <w:tcBorders>
              <w:top w:val="nil"/>
              <w:left w:val="nil"/>
              <w:bottom w:val="single" w:sz="4" w:space="0" w:color="auto"/>
              <w:right w:val="nil"/>
            </w:tcBorders>
            <w:shd w:val="clear" w:color="auto" w:fill="auto"/>
            <w:noWrap/>
            <w:vAlign w:val="center"/>
            <w:hideMark/>
          </w:tcPr>
          <w:p w14:paraId="38354639"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437</w:t>
            </w:r>
          </w:p>
        </w:tc>
        <w:tc>
          <w:tcPr>
            <w:tcW w:w="1080" w:type="dxa"/>
            <w:tcBorders>
              <w:top w:val="nil"/>
              <w:left w:val="nil"/>
              <w:bottom w:val="single" w:sz="4" w:space="0" w:color="auto"/>
              <w:right w:val="nil"/>
            </w:tcBorders>
            <w:shd w:val="clear" w:color="auto" w:fill="auto"/>
            <w:noWrap/>
            <w:vAlign w:val="center"/>
            <w:hideMark/>
          </w:tcPr>
          <w:p w14:paraId="6ED3C37C" w14:textId="52CB9E1F"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62,88</w:t>
            </w:r>
          </w:p>
        </w:tc>
      </w:tr>
      <w:tr w:rsidR="00F15667" w:rsidRPr="00E44FC4" w14:paraId="6FA9301C" w14:textId="77777777" w:rsidTr="00E44FC4">
        <w:trPr>
          <w:trHeight w:val="330"/>
        </w:trPr>
        <w:tc>
          <w:tcPr>
            <w:tcW w:w="2220" w:type="dxa"/>
            <w:tcBorders>
              <w:top w:val="nil"/>
              <w:left w:val="nil"/>
              <w:bottom w:val="double" w:sz="6" w:space="0" w:color="auto"/>
              <w:right w:val="nil"/>
            </w:tcBorders>
            <w:shd w:val="clear" w:color="auto" w:fill="auto"/>
            <w:noWrap/>
            <w:vAlign w:val="center"/>
            <w:hideMark/>
          </w:tcPr>
          <w:p w14:paraId="79C114D8" w14:textId="77777777" w:rsidR="004F5790" w:rsidRPr="00E44FC4" w:rsidRDefault="004F5790" w:rsidP="00E44FC4">
            <w:pPr>
              <w:spacing w:line="240" w:lineRule="auto"/>
              <w:jc w:val="left"/>
              <w:rPr>
                <w:rFonts w:eastAsia="Times New Roman"/>
                <w:szCs w:val="24"/>
                <w:lang w:eastAsia="cs-CZ"/>
              </w:rPr>
            </w:pPr>
            <w:r w:rsidRPr="00E44FC4">
              <w:rPr>
                <w:rFonts w:eastAsia="Times New Roman"/>
                <w:szCs w:val="24"/>
                <w:lang w:eastAsia="cs-CZ"/>
              </w:rPr>
              <w:t>KS Ostrava</w:t>
            </w:r>
          </w:p>
        </w:tc>
        <w:tc>
          <w:tcPr>
            <w:tcW w:w="1620" w:type="dxa"/>
            <w:tcBorders>
              <w:top w:val="nil"/>
              <w:left w:val="nil"/>
              <w:bottom w:val="double" w:sz="6" w:space="0" w:color="auto"/>
              <w:right w:val="nil"/>
            </w:tcBorders>
            <w:shd w:val="clear" w:color="auto" w:fill="auto"/>
            <w:noWrap/>
            <w:vAlign w:val="center"/>
            <w:hideMark/>
          </w:tcPr>
          <w:p w14:paraId="7F499F72"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368</w:t>
            </w:r>
          </w:p>
        </w:tc>
        <w:tc>
          <w:tcPr>
            <w:tcW w:w="1620" w:type="dxa"/>
            <w:tcBorders>
              <w:top w:val="nil"/>
              <w:left w:val="nil"/>
              <w:bottom w:val="double" w:sz="6" w:space="0" w:color="auto"/>
              <w:right w:val="nil"/>
            </w:tcBorders>
            <w:shd w:val="clear" w:color="auto" w:fill="auto"/>
            <w:noWrap/>
            <w:vAlign w:val="center"/>
            <w:hideMark/>
          </w:tcPr>
          <w:p w14:paraId="4676D7B8" w14:textId="77777777"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616</w:t>
            </w:r>
          </w:p>
        </w:tc>
        <w:tc>
          <w:tcPr>
            <w:tcW w:w="1080" w:type="dxa"/>
            <w:tcBorders>
              <w:top w:val="nil"/>
              <w:left w:val="nil"/>
              <w:bottom w:val="double" w:sz="6" w:space="0" w:color="auto"/>
              <w:right w:val="nil"/>
            </w:tcBorders>
            <w:shd w:val="clear" w:color="auto" w:fill="auto"/>
            <w:noWrap/>
            <w:vAlign w:val="center"/>
            <w:hideMark/>
          </w:tcPr>
          <w:p w14:paraId="583E78B2" w14:textId="448DDCCB" w:rsidR="004F5790" w:rsidRPr="00E44FC4" w:rsidRDefault="004F5790" w:rsidP="00E44FC4">
            <w:pPr>
              <w:spacing w:line="240" w:lineRule="auto"/>
              <w:jc w:val="center"/>
              <w:rPr>
                <w:rFonts w:eastAsia="Times New Roman"/>
                <w:szCs w:val="24"/>
                <w:lang w:eastAsia="cs-CZ"/>
              </w:rPr>
            </w:pPr>
            <w:r w:rsidRPr="00E44FC4">
              <w:rPr>
                <w:rFonts w:eastAsia="Times New Roman"/>
                <w:szCs w:val="24"/>
                <w:lang w:eastAsia="cs-CZ"/>
              </w:rPr>
              <w:t>62,60</w:t>
            </w:r>
          </w:p>
        </w:tc>
      </w:tr>
      <w:tr w:rsidR="00F15667" w:rsidRPr="00E44FC4" w14:paraId="652DA9A5" w14:textId="77777777" w:rsidTr="00E44FC4">
        <w:trPr>
          <w:trHeight w:val="345"/>
        </w:trPr>
        <w:tc>
          <w:tcPr>
            <w:tcW w:w="2220" w:type="dxa"/>
            <w:tcBorders>
              <w:top w:val="nil"/>
              <w:left w:val="nil"/>
              <w:bottom w:val="double" w:sz="6" w:space="0" w:color="auto"/>
              <w:right w:val="nil"/>
            </w:tcBorders>
            <w:shd w:val="clear" w:color="auto" w:fill="auto"/>
            <w:noWrap/>
            <w:vAlign w:val="center"/>
            <w:hideMark/>
          </w:tcPr>
          <w:p w14:paraId="48A78E25" w14:textId="77777777" w:rsidR="004F5790" w:rsidRPr="00E44FC4" w:rsidRDefault="004F5790" w:rsidP="00E44FC4">
            <w:pPr>
              <w:spacing w:line="240" w:lineRule="auto"/>
              <w:jc w:val="left"/>
              <w:rPr>
                <w:rFonts w:eastAsia="Times New Roman"/>
                <w:b/>
                <w:bCs/>
                <w:szCs w:val="24"/>
                <w:lang w:eastAsia="cs-CZ"/>
              </w:rPr>
            </w:pPr>
            <w:r w:rsidRPr="00E44FC4">
              <w:rPr>
                <w:rFonts w:eastAsia="Times New Roman"/>
                <w:b/>
                <w:bCs/>
                <w:szCs w:val="24"/>
                <w:lang w:eastAsia="cs-CZ"/>
              </w:rPr>
              <w:t>Celkem ČR</w:t>
            </w:r>
          </w:p>
        </w:tc>
        <w:tc>
          <w:tcPr>
            <w:tcW w:w="1620" w:type="dxa"/>
            <w:tcBorders>
              <w:top w:val="nil"/>
              <w:left w:val="nil"/>
              <w:bottom w:val="double" w:sz="6" w:space="0" w:color="auto"/>
              <w:right w:val="nil"/>
            </w:tcBorders>
            <w:shd w:val="clear" w:color="auto" w:fill="auto"/>
            <w:noWrap/>
            <w:vAlign w:val="center"/>
            <w:hideMark/>
          </w:tcPr>
          <w:p w14:paraId="5F04F18A" w14:textId="4CD96C63" w:rsidR="004F5790" w:rsidRPr="00E44FC4" w:rsidRDefault="004F5790" w:rsidP="00E44FC4">
            <w:pPr>
              <w:spacing w:line="240" w:lineRule="auto"/>
              <w:jc w:val="center"/>
              <w:rPr>
                <w:rFonts w:eastAsia="Times New Roman"/>
                <w:b/>
                <w:bCs/>
                <w:szCs w:val="24"/>
                <w:lang w:eastAsia="cs-CZ"/>
              </w:rPr>
            </w:pPr>
            <w:r w:rsidRPr="00E44FC4">
              <w:rPr>
                <w:rFonts w:eastAsia="Times New Roman"/>
                <w:b/>
                <w:bCs/>
                <w:szCs w:val="24"/>
                <w:lang w:eastAsia="cs-CZ"/>
              </w:rPr>
              <w:t>1</w:t>
            </w:r>
            <w:r w:rsidR="0038112F" w:rsidRPr="00E44FC4">
              <w:rPr>
                <w:rFonts w:eastAsia="Times New Roman"/>
                <w:b/>
                <w:bCs/>
                <w:szCs w:val="24"/>
                <w:lang w:eastAsia="cs-CZ"/>
              </w:rPr>
              <w:t xml:space="preserve"> </w:t>
            </w:r>
            <w:r w:rsidRPr="00E44FC4">
              <w:rPr>
                <w:rFonts w:eastAsia="Times New Roman"/>
                <w:b/>
                <w:bCs/>
                <w:szCs w:val="24"/>
                <w:lang w:eastAsia="cs-CZ"/>
              </w:rPr>
              <w:t>416</w:t>
            </w:r>
          </w:p>
        </w:tc>
        <w:tc>
          <w:tcPr>
            <w:tcW w:w="1620" w:type="dxa"/>
            <w:tcBorders>
              <w:top w:val="nil"/>
              <w:left w:val="nil"/>
              <w:bottom w:val="double" w:sz="6" w:space="0" w:color="auto"/>
              <w:right w:val="nil"/>
            </w:tcBorders>
            <w:shd w:val="clear" w:color="auto" w:fill="auto"/>
            <w:noWrap/>
            <w:vAlign w:val="center"/>
            <w:hideMark/>
          </w:tcPr>
          <w:p w14:paraId="5BB31BA4" w14:textId="78AC1CC2" w:rsidR="004F5790" w:rsidRPr="00E44FC4" w:rsidRDefault="004F5790" w:rsidP="00E44FC4">
            <w:pPr>
              <w:spacing w:line="240" w:lineRule="auto"/>
              <w:jc w:val="center"/>
              <w:rPr>
                <w:rFonts w:eastAsia="Times New Roman"/>
                <w:b/>
                <w:bCs/>
                <w:szCs w:val="24"/>
                <w:lang w:eastAsia="cs-CZ"/>
              </w:rPr>
            </w:pPr>
            <w:r w:rsidRPr="00E44FC4">
              <w:rPr>
                <w:rFonts w:eastAsia="Times New Roman"/>
                <w:b/>
                <w:bCs/>
                <w:szCs w:val="24"/>
                <w:lang w:eastAsia="cs-CZ"/>
              </w:rPr>
              <w:t>2</w:t>
            </w:r>
            <w:r w:rsidR="0038112F" w:rsidRPr="00E44FC4">
              <w:rPr>
                <w:rFonts w:eastAsia="Times New Roman"/>
                <w:b/>
                <w:bCs/>
                <w:szCs w:val="24"/>
                <w:lang w:eastAsia="cs-CZ"/>
              </w:rPr>
              <w:t xml:space="preserve"> </w:t>
            </w:r>
            <w:r w:rsidRPr="00E44FC4">
              <w:rPr>
                <w:rFonts w:eastAsia="Times New Roman"/>
                <w:b/>
                <w:bCs/>
                <w:szCs w:val="24"/>
                <w:lang w:eastAsia="cs-CZ"/>
              </w:rPr>
              <w:t>610</w:t>
            </w:r>
          </w:p>
        </w:tc>
        <w:tc>
          <w:tcPr>
            <w:tcW w:w="1080" w:type="dxa"/>
            <w:tcBorders>
              <w:top w:val="nil"/>
              <w:left w:val="nil"/>
              <w:bottom w:val="double" w:sz="6" w:space="0" w:color="auto"/>
              <w:right w:val="nil"/>
            </w:tcBorders>
            <w:shd w:val="clear" w:color="auto" w:fill="auto"/>
            <w:noWrap/>
            <w:vAlign w:val="center"/>
            <w:hideMark/>
          </w:tcPr>
          <w:p w14:paraId="01383A9F" w14:textId="18E9F90A" w:rsidR="004F5790" w:rsidRPr="00E44FC4" w:rsidRDefault="004F5790" w:rsidP="00E44FC4">
            <w:pPr>
              <w:spacing w:line="240" w:lineRule="auto"/>
              <w:jc w:val="center"/>
              <w:rPr>
                <w:rFonts w:eastAsia="Times New Roman"/>
                <w:b/>
                <w:bCs/>
                <w:szCs w:val="24"/>
                <w:lang w:eastAsia="cs-CZ"/>
              </w:rPr>
            </w:pPr>
            <w:r w:rsidRPr="00E44FC4">
              <w:rPr>
                <w:rFonts w:eastAsia="Times New Roman"/>
                <w:b/>
                <w:bCs/>
                <w:szCs w:val="24"/>
                <w:lang w:eastAsia="cs-CZ"/>
              </w:rPr>
              <w:t>64,83</w:t>
            </w:r>
          </w:p>
        </w:tc>
      </w:tr>
      <w:tr w:rsidR="00F15667" w:rsidRPr="00E44FC4" w14:paraId="11A8CA17" w14:textId="77777777" w:rsidTr="00E44FC4">
        <w:trPr>
          <w:trHeight w:val="345"/>
        </w:trPr>
        <w:tc>
          <w:tcPr>
            <w:tcW w:w="2220" w:type="dxa"/>
            <w:tcBorders>
              <w:top w:val="nil"/>
              <w:left w:val="nil"/>
              <w:bottom w:val="nil"/>
              <w:right w:val="nil"/>
            </w:tcBorders>
            <w:shd w:val="clear" w:color="auto" w:fill="auto"/>
            <w:noWrap/>
            <w:vAlign w:val="center"/>
            <w:hideMark/>
          </w:tcPr>
          <w:p w14:paraId="23D20E83" w14:textId="77777777" w:rsidR="004F5790" w:rsidRPr="00E44FC4" w:rsidRDefault="004F5790" w:rsidP="00E44FC4">
            <w:pPr>
              <w:spacing w:line="240" w:lineRule="auto"/>
              <w:jc w:val="center"/>
              <w:rPr>
                <w:rFonts w:eastAsia="Times New Roman"/>
                <w:b/>
                <w:bCs/>
                <w:szCs w:val="24"/>
                <w:lang w:eastAsia="cs-CZ"/>
              </w:rPr>
            </w:pPr>
          </w:p>
        </w:tc>
        <w:tc>
          <w:tcPr>
            <w:tcW w:w="1620" w:type="dxa"/>
            <w:tcBorders>
              <w:top w:val="nil"/>
              <w:left w:val="nil"/>
              <w:bottom w:val="nil"/>
              <w:right w:val="nil"/>
            </w:tcBorders>
            <w:shd w:val="clear" w:color="auto" w:fill="auto"/>
            <w:noWrap/>
            <w:vAlign w:val="center"/>
            <w:hideMark/>
          </w:tcPr>
          <w:p w14:paraId="4C83884A" w14:textId="77777777" w:rsidR="004F5790" w:rsidRPr="00E44FC4" w:rsidRDefault="004F5790" w:rsidP="00E44FC4">
            <w:pPr>
              <w:spacing w:line="240" w:lineRule="auto"/>
              <w:jc w:val="center"/>
              <w:rPr>
                <w:rFonts w:eastAsia="Times New Roman"/>
                <w:sz w:val="20"/>
                <w:szCs w:val="20"/>
                <w:lang w:eastAsia="cs-CZ"/>
              </w:rPr>
            </w:pPr>
          </w:p>
        </w:tc>
        <w:tc>
          <w:tcPr>
            <w:tcW w:w="1620" w:type="dxa"/>
            <w:tcBorders>
              <w:top w:val="nil"/>
              <w:left w:val="nil"/>
              <w:bottom w:val="nil"/>
              <w:right w:val="nil"/>
            </w:tcBorders>
            <w:shd w:val="clear" w:color="auto" w:fill="auto"/>
            <w:noWrap/>
            <w:vAlign w:val="center"/>
            <w:hideMark/>
          </w:tcPr>
          <w:p w14:paraId="6D104A68" w14:textId="77777777" w:rsidR="004F5790" w:rsidRPr="00E44FC4" w:rsidRDefault="004F5790" w:rsidP="00E44FC4">
            <w:pPr>
              <w:spacing w:line="240" w:lineRule="auto"/>
              <w:jc w:val="center"/>
              <w:rPr>
                <w:rFonts w:eastAsia="Times New Roman"/>
                <w:sz w:val="20"/>
                <w:szCs w:val="20"/>
                <w:lang w:eastAsia="cs-CZ"/>
              </w:rPr>
            </w:pPr>
          </w:p>
        </w:tc>
        <w:tc>
          <w:tcPr>
            <w:tcW w:w="1080" w:type="dxa"/>
            <w:tcBorders>
              <w:top w:val="nil"/>
              <w:left w:val="nil"/>
              <w:bottom w:val="nil"/>
              <w:right w:val="nil"/>
            </w:tcBorders>
            <w:shd w:val="clear" w:color="auto" w:fill="auto"/>
            <w:noWrap/>
            <w:vAlign w:val="center"/>
            <w:hideMark/>
          </w:tcPr>
          <w:p w14:paraId="25037B95" w14:textId="77777777" w:rsidR="004F5790" w:rsidRPr="00E44FC4" w:rsidRDefault="004F5790" w:rsidP="00E44FC4">
            <w:pPr>
              <w:spacing w:line="240" w:lineRule="auto"/>
              <w:jc w:val="center"/>
              <w:rPr>
                <w:rFonts w:eastAsia="Times New Roman"/>
                <w:sz w:val="20"/>
                <w:szCs w:val="20"/>
                <w:lang w:eastAsia="cs-CZ"/>
              </w:rPr>
            </w:pPr>
          </w:p>
        </w:tc>
      </w:tr>
    </w:tbl>
    <w:p w14:paraId="54263D1A" w14:textId="60B39987" w:rsidR="00BB134A" w:rsidRPr="00E44FC4" w:rsidRDefault="00BB134A" w:rsidP="00BB134A">
      <w:r w:rsidRPr="00E44FC4">
        <w:t xml:space="preserve">V předchozím roce působilo jako přísedící 1 430 mužů a 2 595 žen. </w:t>
      </w:r>
      <w:r w:rsidR="00AD5543" w:rsidRPr="00E44FC4">
        <w:t>V</w:t>
      </w:r>
      <w:r w:rsidR="00E44FC4" w:rsidRPr="00E44FC4">
        <w:t> </w:t>
      </w:r>
      <w:r w:rsidR="00AD5543" w:rsidRPr="00E44FC4">
        <w:t>součtu tedy došlo</w:t>
      </w:r>
      <w:r w:rsidRPr="00E44FC4">
        <w:t xml:space="preserve"> k nárůstu o jednu osobu. Mírně se zvýšil podíl žen, a to asi o 0,4 procentního bodu.</w:t>
      </w:r>
    </w:p>
    <w:p w14:paraId="0EF6D8F9" w14:textId="264CCA14" w:rsidR="00BB134A" w:rsidRPr="00E44FC4" w:rsidRDefault="00BB134A" w:rsidP="00BB134A">
      <w:r w:rsidRPr="00E44FC4">
        <w:t>Další tabulka se zabývá věkovou strukturou. Vyplývá z ní, že post přísedící/ho je mnohem populárnější u vyšších věkových skupin. Asi 60 % přísedících tvoří lidé ve věku 60 let a více, tedy ve většině případů v důchodovém věku. Naopak přísedící ve věku do 39 let tvoří pouze 4,2 % (4 % rok předtím)</w:t>
      </w:r>
      <w:r w:rsidR="009543D9" w:rsidRPr="00E44FC4">
        <w:t>.</w:t>
      </w:r>
      <w:r w:rsidRPr="00E44FC4">
        <w:t xml:space="preserve"> Obvykle je tento jev přisuzován tomu, že finanční odměna za výkon funkce přísedícího je považována za nízkou. Jde totiž vlastně spíše o paušalizovanou náhradu nákladů. Funkce je totiž koncipována jako funkce čestná, tj. bez nároku na odměnu. Lidé v produktivním věku pravděpodobně preferují výdělečnou činnost nebo jinak strávený čas. Seniorům se nicméně čas stráveným tímto způsobem může zdát zajímavější. Mezi jednotlivými kraji jsou určité, ale nijak závratné rozdíly. V průměru nejstarší jsou přísedící v Jihočeském kraji – pouze necelé 1 % z nich je ve věku do 39 let a téměř 71 % je ve věku 60 let a více. Je nicméně třeba zmínit, že Jihočeský kraj je nejmenší, a tudíž ze statistického pohledu nejvíce podléhá výchylkám. Oproti předchozímu roku se věková struktura téměř nezměnila.</w:t>
      </w:r>
    </w:p>
    <w:p w14:paraId="6AF11617" w14:textId="77777777" w:rsidR="008433A9" w:rsidRPr="00E44FC4" w:rsidRDefault="008433A9" w:rsidP="00BB134A"/>
    <w:p w14:paraId="2D978336" w14:textId="60F4C758" w:rsidR="00BB134A" w:rsidRPr="00E44FC4" w:rsidRDefault="00BB134A" w:rsidP="00BB134A">
      <w:pPr>
        <w:pStyle w:val="Podnadpis"/>
        <w:rPr>
          <w:color w:val="auto"/>
        </w:rPr>
      </w:pPr>
      <w:bookmarkStart w:id="96" w:name="_Toc75952311"/>
      <w:bookmarkStart w:id="97" w:name="_Toc106106770"/>
      <w:bookmarkStart w:id="98" w:name="_Toc144104247"/>
      <w:r w:rsidRPr="00E44FC4">
        <w:rPr>
          <w:color w:val="auto"/>
        </w:rPr>
        <w:lastRenderedPageBreak/>
        <w:t xml:space="preserve">Tabulka </w:t>
      </w:r>
      <w:r w:rsidRPr="00E44FC4">
        <w:rPr>
          <w:color w:val="auto"/>
        </w:rPr>
        <w:fldChar w:fldCharType="begin"/>
      </w:r>
      <w:r w:rsidRPr="00E44FC4">
        <w:rPr>
          <w:noProof/>
          <w:color w:val="auto"/>
        </w:rPr>
        <w:instrText xml:space="preserve"> SEQ Tabulka \* ARABIC </w:instrText>
      </w:r>
      <w:r w:rsidRPr="00E44FC4">
        <w:rPr>
          <w:color w:val="auto"/>
        </w:rPr>
        <w:fldChar w:fldCharType="separate"/>
      </w:r>
      <w:r w:rsidR="001E1A67">
        <w:rPr>
          <w:noProof/>
          <w:color w:val="auto"/>
        </w:rPr>
        <w:t>8</w:t>
      </w:r>
      <w:r w:rsidRPr="00E44FC4">
        <w:rPr>
          <w:color w:val="auto"/>
        </w:rPr>
        <w:fldChar w:fldCharType="end"/>
      </w:r>
      <w:r w:rsidRPr="00E44FC4">
        <w:rPr>
          <w:color w:val="auto"/>
        </w:rPr>
        <w:t>: OS – podíl přísedících dle krajů a věku</w:t>
      </w:r>
      <w:bookmarkEnd w:id="96"/>
      <w:bookmarkEnd w:id="97"/>
      <w:bookmarkEnd w:id="98"/>
    </w:p>
    <w:tbl>
      <w:tblPr>
        <w:tblW w:w="7620" w:type="dxa"/>
        <w:tblLayout w:type="fixed"/>
        <w:tblCellMar>
          <w:left w:w="70" w:type="dxa"/>
          <w:right w:w="70" w:type="dxa"/>
        </w:tblCellMar>
        <w:tblLook w:val="04A0" w:firstRow="1" w:lastRow="0" w:firstColumn="1" w:lastColumn="0" w:noHBand="0" w:noVBand="1"/>
      </w:tblPr>
      <w:tblGrid>
        <w:gridCol w:w="2220"/>
        <w:gridCol w:w="1080"/>
        <w:gridCol w:w="1080"/>
        <w:gridCol w:w="1080"/>
        <w:gridCol w:w="1080"/>
        <w:gridCol w:w="1080"/>
      </w:tblGrid>
      <w:tr w:rsidR="00F15667" w:rsidRPr="00E44FC4" w14:paraId="3E209777" w14:textId="77777777" w:rsidTr="00E44FC4">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6EDFD6F1" w14:textId="77777777"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Nadřízený soud</w:t>
            </w:r>
          </w:p>
        </w:tc>
        <w:tc>
          <w:tcPr>
            <w:tcW w:w="5400" w:type="dxa"/>
            <w:gridSpan w:val="5"/>
            <w:tcBorders>
              <w:top w:val="double" w:sz="6" w:space="0" w:color="auto"/>
              <w:left w:val="nil"/>
              <w:bottom w:val="nil"/>
              <w:right w:val="nil"/>
            </w:tcBorders>
            <w:shd w:val="clear" w:color="auto" w:fill="auto"/>
            <w:noWrap/>
            <w:vAlign w:val="center"/>
            <w:hideMark/>
          </w:tcPr>
          <w:p w14:paraId="1C45D59D" w14:textId="77777777"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Věková skupina (podíl v %)</w:t>
            </w:r>
          </w:p>
        </w:tc>
      </w:tr>
      <w:tr w:rsidR="00F15667" w:rsidRPr="00E44FC4" w14:paraId="283CDEBD" w14:textId="77777777" w:rsidTr="00E44FC4">
        <w:trPr>
          <w:trHeight w:val="330"/>
        </w:trPr>
        <w:tc>
          <w:tcPr>
            <w:tcW w:w="2220" w:type="dxa"/>
            <w:vMerge/>
            <w:tcBorders>
              <w:top w:val="double" w:sz="6" w:space="0" w:color="auto"/>
              <w:left w:val="nil"/>
              <w:bottom w:val="double" w:sz="6" w:space="0" w:color="000000"/>
              <w:right w:val="nil"/>
            </w:tcBorders>
            <w:vAlign w:val="center"/>
            <w:hideMark/>
          </w:tcPr>
          <w:p w14:paraId="035F8940" w14:textId="77777777" w:rsidR="00BB134A" w:rsidRPr="00E44FC4" w:rsidRDefault="00BB134A" w:rsidP="00E44FC4">
            <w:pPr>
              <w:spacing w:line="240" w:lineRule="auto"/>
              <w:jc w:val="center"/>
              <w:rPr>
                <w:rFonts w:eastAsia="Times New Roman"/>
                <w:b/>
                <w:bCs/>
                <w:szCs w:val="24"/>
                <w:lang w:eastAsia="cs-CZ"/>
              </w:rPr>
            </w:pPr>
          </w:p>
        </w:tc>
        <w:tc>
          <w:tcPr>
            <w:tcW w:w="1080" w:type="dxa"/>
            <w:tcBorders>
              <w:top w:val="nil"/>
              <w:left w:val="nil"/>
              <w:bottom w:val="double" w:sz="6" w:space="0" w:color="auto"/>
              <w:right w:val="nil"/>
            </w:tcBorders>
            <w:shd w:val="clear" w:color="auto" w:fill="auto"/>
            <w:noWrap/>
            <w:vAlign w:val="center"/>
            <w:hideMark/>
          </w:tcPr>
          <w:p w14:paraId="032107A3" w14:textId="364BF08B" w:rsidR="00BB134A" w:rsidRPr="00E44FC4" w:rsidRDefault="0038112F" w:rsidP="00E44FC4">
            <w:pPr>
              <w:spacing w:line="240" w:lineRule="auto"/>
              <w:jc w:val="center"/>
              <w:rPr>
                <w:rFonts w:eastAsia="Times New Roman"/>
                <w:b/>
                <w:bCs/>
                <w:szCs w:val="24"/>
                <w:lang w:eastAsia="cs-CZ"/>
              </w:rPr>
            </w:pPr>
            <w:r w:rsidRPr="00E44FC4">
              <w:rPr>
                <w:rFonts w:eastAsia="Times New Roman"/>
                <w:b/>
                <w:bCs/>
                <w:szCs w:val="24"/>
                <w:lang w:eastAsia="cs-CZ"/>
              </w:rPr>
              <w:t>30–39</w:t>
            </w:r>
          </w:p>
        </w:tc>
        <w:tc>
          <w:tcPr>
            <w:tcW w:w="1080" w:type="dxa"/>
            <w:tcBorders>
              <w:top w:val="nil"/>
              <w:left w:val="nil"/>
              <w:bottom w:val="double" w:sz="6" w:space="0" w:color="auto"/>
              <w:right w:val="nil"/>
            </w:tcBorders>
            <w:shd w:val="clear" w:color="auto" w:fill="auto"/>
            <w:noWrap/>
            <w:vAlign w:val="center"/>
            <w:hideMark/>
          </w:tcPr>
          <w:p w14:paraId="252EB236" w14:textId="015F9355"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40</w:t>
            </w:r>
            <w:r w:rsidR="0038112F" w:rsidRPr="00E44FC4">
              <w:rPr>
                <w:rFonts w:eastAsia="Times New Roman"/>
                <w:b/>
                <w:bCs/>
                <w:szCs w:val="24"/>
                <w:lang w:eastAsia="cs-CZ"/>
              </w:rPr>
              <w:t>–</w:t>
            </w:r>
            <w:r w:rsidRPr="00E44FC4">
              <w:rPr>
                <w:rFonts w:eastAsia="Times New Roman"/>
                <w:b/>
                <w:bCs/>
                <w:szCs w:val="24"/>
                <w:lang w:eastAsia="cs-CZ"/>
              </w:rPr>
              <w:t>49</w:t>
            </w:r>
          </w:p>
        </w:tc>
        <w:tc>
          <w:tcPr>
            <w:tcW w:w="1080" w:type="dxa"/>
            <w:tcBorders>
              <w:top w:val="nil"/>
              <w:left w:val="nil"/>
              <w:bottom w:val="double" w:sz="6" w:space="0" w:color="auto"/>
              <w:right w:val="nil"/>
            </w:tcBorders>
            <w:shd w:val="clear" w:color="auto" w:fill="auto"/>
            <w:noWrap/>
            <w:vAlign w:val="center"/>
            <w:hideMark/>
          </w:tcPr>
          <w:p w14:paraId="0B778BBA" w14:textId="282C9FE1"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50</w:t>
            </w:r>
            <w:r w:rsidR="0038112F" w:rsidRPr="00E44FC4">
              <w:rPr>
                <w:rFonts w:eastAsia="Times New Roman"/>
                <w:b/>
                <w:bCs/>
                <w:szCs w:val="24"/>
                <w:lang w:eastAsia="cs-CZ"/>
              </w:rPr>
              <w:t>–</w:t>
            </w:r>
            <w:r w:rsidRPr="00E44FC4">
              <w:rPr>
                <w:rFonts w:eastAsia="Times New Roman"/>
                <w:b/>
                <w:bCs/>
                <w:szCs w:val="24"/>
                <w:lang w:eastAsia="cs-CZ"/>
              </w:rPr>
              <w:t>59</w:t>
            </w:r>
          </w:p>
        </w:tc>
        <w:tc>
          <w:tcPr>
            <w:tcW w:w="1080" w:type="dxa"/>
            <w:tcBorders>
              <w:top w:val="nil"/>
              <w:left w:val="nil"/>
              <w:bottom w:val="double" w:sz="6" w:space="0" w:color="auto"/>
              <w:right w:val="nil"/>
            </w:tcBorders>
            <w:shd w:val="clear" w:color="auto" w:fill="auto"/>
            <w:noWrap/>
            <w:vAlign w:val="center"/>
            <w:hideMark/>
          </w:tcPr>
          <w:p w14:paraId="04381B57" w14:textId="728D72B7"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60</w:t>
            </w:r>
            <w:r w:rsidR="0038112F" w:rsidRPr="00E44FC4">
              <w:rPr>
                <w:rFonts w:eastAsia="Times New Roman"/>
                <w:b/>
                <w:bCs/>
                <w:szCs w:val="24"/>
                <w:lang w:eastAsia="cs-CZ"/>
              </w:rPr>
              <w:t>–</w:t>
            </w:r>
            <w:r w:rsidRPr="00E44FC4">
              <w:rPr>
                <w:rFonts w:eastAsia="Times New Roman"/>
                <w:b/>
                <w:bCs/>
                <w:szCs w:val="24"/>
                <w:lang w:eastAsia="cs-CZ"/>
              </w:rPr>
              <w:t>69</w:t>
            </w:r>
          </w:p>
        </w:tc>
        <w:tc>
          <w:tcPr>
            <w:tcW w:w="1080" w:type="dxa"/>
            <w:tcBorders>
              <w:top w:val="nil"/>
              <w:left w:val="nil"/>
              <w:bottom w:val="double" w:sz="6" w:space="0" w:color="auto"/>
              <w:right w:val="nil"/>
            </w:tcBorders>
            <w:shd w:val="clear" w:color="auto" w:fill="auto"/>
            <w:noWrap/>
            <w:vAlign w:val="center"/>
            <w:hideMark/>
          </w:tcPr>
          <w:p w14:paraId="777D97FE" w14:textId="77777777"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70 a více</w:t>
            </w:r>
          </w:p>
        </w:tc>
      </w:tr>
      <w:tr w:rsidR="00F15667" w:rsidRPr="00E44FC4" w14:paraId="5D460FA4" w14:textId="77777777" w:rsidTr="00E44FC4">
        <w:trPr>
          <w:trHeight w:val="330"/>
        </w:trPr>
        <w:tc>
          <w:tcPr>
            <w:tcW w:w="2220" w:type="dxa"/>
            <w:tcBorders>
              <w:top w:val="nil"/>
              <w:left w:val="nil"/>
              <w:bottom w:val="single" w:sz="4" w:space="0" w:color="auto"/>
              <w:right w:val="nil"/>
            </w:tcBorders>
            <w:shd w:val="clear" w:color="auto" w:fill="auto"/>
            <w:noWrap/>
            <w:vAlign w:val="center"/>
            <w:hideMark/>
          </w:tcPr>
          <w:p w14:paraId="4239CF0D" w14:textId="77777777" w:rsidR="00BB134A" w:rsidRPr="00E44FC4" w:rsidRDefault="00BB134A" w:rsidP="00E44FC4">
            <w:pPr>
              <w:spacing w:line="240" w:lineRule="auto"/>
              <w:jc w:val="left"/>
              <w:rPr>
                <w:rFonts w:eastAsia="Times New Roman"/>
                <w:szCs w:val="24"/>
                <w:lang w:eastAsia="cs-CZ"/>
              </w:rPr>
            </w:pPr>
            <w:r w:rsidRPr="00E44FC4">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center"/>
            <w:hideMark/>
          </w:tcPr>
          <w:p w14:paraId="3EC9101F" w14:textId="0250A455"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7,48</w:t>
            </w:r>
          </w:p>
        </w:tc>
        <w:tc>
          <w:tcPr>
            <w:tcW w:w="1080" w:type="dxa"/>
            <w:tcBorders>
              <w:top w:val="nil"/>
              <w:left w:val="nil"/>
              <w:bottom w:val="single" w:sz="4" w:space="0" w:color="auto"/>
              <w:right w:val="nil"/>
            </w:tcBorders>
            <w:shd w:val="clear" w:color="auto" w:fill="auto"/>
            <w:noWrap/>
            <w:vAlign w:val="center"/>
            <w:hideMark/>
          </w:tcPr>
          <w:p w14:paraId="427C4C67" w14:textId="71C7186F"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15,42</w:t>
            </w:r>
          </w:p>
        </w:tc>
        <w:tc>
          <w:tcPr>
            <w:tcW w:w="1080" w:type="dxa"/>
            <w:tcBorders>
              <w:top w:val="nil"/>
              <w:left w:val="nil"/>
              <w:bottom w:val="single" w:sz="4" w:space="0" w:color="auto"/>
              <w:right w:val="nil"/>
            </w:tcBorders>
            <w:shd w:val="clear" w:color="auto" w:fill="auto"/>
            <w:noWrap/>
            <w:vAlign w:val="center"/>
            <w:hideMark/>
          </w:tcPr>
          <w:p w14:paraId="358BEEC6" w14:textId="15485B60"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17,99</w:t>
            </w:r>
          </w:p>
        </w:tc>
        <w:tc>
          <w:tcPr>
            <w:tcW w:w="1080" w:type="dxa"/>
            <w:tcBorders>
              <w:top w:val="nil"/>
              <w:left w:val="nil"/>
              <w:bottom w:val="single" w:sz="4" w:space="0" w:color="auto"/>
              <w:right w:val="nil"/>
            </w:tcBorders>
            <w:shd w:val="clear" w:color="auto" w:fill="auto"/>
            <w:noWrap/>
            <w:vAlign w:val="center"/>
            <w:hideMark/>
          </w:tcPr>
          <w:p w14:paraId="5453F639" w14:textId="01CEA15E"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20,33</w:t>
            </w:r>
          </w:p>
        </w:tc>
        <w:tc>
          <w:tcPr>
            <w:tcW w:w="1080" w:type="dxa"/>
            <w:tcBorders>
              <w:top w:val="nil"/>
              <w:left w:val="nil"/>
              <w:bottom w:val="single" w:sz="4" w:space="0" w:color="auto"/>
              <w:right w:val="nil"/>
            </w:tcBorders>
            <w:shd w:val="clear" w:color="auto" w:fill="auto"/>
            <w:noWrap/>
            <w:vAlign w:val="center"/>
            <w:hideMark/>
          </w:tcPr>
          <w:p w14:paraId="3419CFCF" w14:textId="0530F568"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38,79</w:t>
            </w:r>
          </w:p>
        </w:tc>
      </w:tr>
      <w:tr w:rsidR="00F15667" w:rsidRPr="00E44FC4" w14:paraId="5D4B20C3"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63D2DF71" w14:textId="77777777" w:rsidR="00BB134A" w:rsidRPr="00E44FC4" w:rsidRDefault="00BB134A" w:rsidP="00E44FC4">
            <w:pPr>
              <w:spacing w:line="240" w:lineRule="auto"/>
              <w:jc w:val="left"/>
              <w:rPr>
                <w:rFonts w:eastAsia="Times New Roman"/>
                <w:szCs w:val="24"/>
                <w:lang w:eastAsia="cs-CZ"/>
              </w:rPr>
            </w:pPr>
            <w:r w:rsidRPr="00E44FC4">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center"/>
            <w:hideMark/>
          </w:tcPr>
          <w:p w14:paraId="2BD2DC3A" w14:textId="2A289BCA"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4,00</w:t>
            </w:r>
          </w:p>
        </w:tc>
        <w:tc>
          <w:tcPr>
            <w:tcW w:w="1080" w:type="dxa"/>
            <w:tcBorders>
              <w:top w:val="nil"/>
              <w:left w:val="nil"/>
              <w:bottom w:val="single" w:sz="4" w:space="0" w:color="auto"/>
              <w:right w:val="nil"/>
            </w:tcBorders>
            <w:shd w:val="clear" w:color="auto" w:fill="auto"/>
            <w:noWrap/>
            <w:vAlign w:val="center"/>
            <w:hideMark/>
          </w:tcPr>
          <w:p w14:paraId="53575F4E" w14:textId="165D3867"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16,86</w:t>
            </w:r>
          </w:p>
        </w:tc>
        <w:tc>
          <w:tcPr>
            <w:tcW w:w="1080" w:type="dxa"/>
            <w:tcBorders>
              <w:top w:val="nil"/>
              <w:left w:val="nil"/>
              <w:bottom w:val="single" w:sz="4" w:space="0" w:color="auto"/>
              <w:right w:val="nil"/>
            </w:tcBorders>
            <w:shd w:val="clear" w:color="auto" w:fill="auto"/>
            <w:noWrap/>
            <w:vAlign w:val="center"/>
            <w:hideMark/>
          </w:tcPr>
          <w:p w14:paraId="59F0230E" w14:textId="4E43CF19"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21,14</w:t>
            </w:r>
          </w:p>
        </w:tc>
        <w:tc>
          <w:tcPr>
            <w:tcW w:w="1080" w:type="dxa"/>
            <w:tcBorders>
              <w:top w:val="nil"/>
              <w:left w:val="nil"/>
              <w:bottom w:val="single" w:sz="4" w:space="0" w:color="auto"/>
              <w:right w:val="nil"/>
            </w:tcBorders>
            <w:shd w:val="clear" w:color="auto" w:fill="auto"/>
            <w:noWrap/>
            <w:vAlign w:val="center"/>
            <w:hideMark/>
          </w:tcPr>
          <w:p w14:paraId="6C7DA341" w14:textId="5E6A0547"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23,71</w:t>
            </w:r>
          </w:p>
        </w:tc>
        <w:tc>
          <w:tcPr>
            <w:tcW w:w="1080" w:type="dxa"/>
            <w:tcBorders>
              <w:top w:val="nil"/>
              <w:left w:val="nil"/>
              <w:bottom w:val="single" w:sz="4" w:space="0" w:color="auto"/>
              <w:right w:val="nil"/>
            </w:tcBorders>
            <w:shd w:val="clear" w:color="auto" w:fill="auto"/>
            <w:noWrap/>
            <w:vAlign w:val="center"/>
            <w:hideMark/>
          </w:tcPr>
          <w:p w14:paraId="2AECE648" w14:textId="15ED37B1"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34,29</w:t>
            </w:r>
          </w:p>
        </w:tc>
      </w:tr>
      <w:tr w:rsidR="00F15667" w:rsidRPr="00E44FC4" w14:paraId="1BF39C03"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2634B30E" w14:textId="77777777" w:rsidR="00BB134A" w:rsidRPr="00E44FC4" w:rsidRDefault="00BB134A" w:rsidP="00E44FC4">
            <w:pPr>
              <w:spacing w:line="240" w:lineRule="auto"/>
              <w:jc w:val="left"/>
              <w:rPr>
                <w:rFonts w:eastAsia="Times New Roman"/>
                <w:szCs w:val="24"/>
                <w:lang w:eastAsia="cs-CZ"/>
              </w:rPr>
            </w:pPr>
            <w:r w:rsidRPr="00E44FC4">
              <w:rPr>
                <w:rFonts w:eastAsia="Times New Roman"/>
                <w:szCs w:val="24"/>
                <w:lang w:eastAsia="cs-CZ"/>
              </w:rPr>
              <w:t>KS Č. Budějovice</w:t>
            </w:r>
          </w:p>
        </w:tc>
        <w:tc>
          <w:tcPr>
            <w:tcW w:w="1080" w:type="dxa"/>
            <w:tcBorders>
              <w:top w:val="nil"/>
              <w:left w:val="nil"/>
              <w:bottom w:val="single" w:sz="4" w:space="0" w:color="auto"/>
              <w:right w:val="nil"/>
            </w:tcBorders>
            <w:shd w:val="clear" w:color="auto" w:fill="auto"/>
            <w:noWrap/>
            <w:vAlign w:val="center"/>
            <w:hideMark/>
          </w:tcPr>
          <w:p w14:paraId="4EC5EE3C" w14:textId="2F452ABD"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0,87</w:t>
            </w:r>
          </w:p>
        </w:tc>
        <w:tc>
          <w:tcPr>
            <w:tcW w:w="1080" w:type="dxa"/>
            <w:tcBorders>
              <w:top w:val="nil"/>
              <w:left w:val="nil"/>
              <w:bottom w:val="single" w:sz="4" w:space="0" w:color="auto"/>
              <w:right w:val="nil"/>
            </w:tcBorders>
            <w:shd w:val="clear" w:color="auto" w:fill="auto"/>
            <w:noWrap/>
            <w:vAlign w:val="center"/>
            <w:hideMark/>
          </w:tcPr>
          <w:p w14:paraId="1A515EF2" w14:textId="17438951"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9,57</w:t>
            </w:r>
          </w:p>
        </w:tc>
        <w:tc>
          <w:tcPr>
            <w:tcW w:w="1080" w:type="dxa"/>
            <w:tcBorders>
              <w:top w:val="nil"/>
              <w:left w:val="nil"/>
              <w:bottom w:val="single" w:sz="4" w:space="0" w:color="auto"/>
              <w:right w:val="nil"/>
            </w:tcBorders>
            <w:shd w:val="clear" w:color="auto" w:fill="auto"/>
            <w:noWrap/>
            <w:vAlign w:val="center"/>
            <w:hideMark/>
          </w:tcPr>
          <w:p w14:paraId="3EB43A03" w14:textId="797E0616"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19,13</w:t>
            </w:r>
          </w:p>
        </w:tc>
        <w:tc>
          <w:tcPr>
            <w:tcW w:w="1080" w:type="dxa"/>
            <w:tcBorders>
              <w:top w:val="nil"/>
              <w:left w:val="nil"/>
              <w:bottom w:val="single" w:sz="4" w:space="0" w:color="auto"/>
              <w:right w:val="nil"/>
            </w:tcBorders>
            <w:shd w:val="clear" w:color="auto" w:fill="auto"/>
            <w:noWrap/>
            <w:vAlign w:val="center"/>
            <w:hideMark/>
          </w:tcPr>
          <w:p w14:paraId="23226599" w14:textId="44EA936D"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34,78</w:t>
            </w:r>
          </w:p>
        </w:tc>
        <w:tc>
          <w:tcPr>
            <w:tcW w:w="1080" w:type="dxa"/>
            <w:tcBorders>
              <w:top w:val="nil"/>
              <w:left w:val="nil"/>
              <w:bottom w:val="single" w:sz="4" w:space="0" w:color="auto"/>
              <w:right w:val="nil"/>
            </w:tcBorders>
            <w:shd w:val="clear" w:color="auto" w:fill="auto"/>
            <w:noWrap/>
            <w:vAlign w:val="center"/>
            <w:hideMark/>
          </w:tcPr>
          <w:p w14:paraId="79A0769F" w14:textId="42350F0C"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35,65</w:t>
            </w:r>
          </w:p>
        </w:tc>
      </w:tr>
      <w:tr w:rsidR="00F15667" w:rsidRPr="00E44FC4" w14:paraId="7DD3443E"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6BB4E871" w14:textId="77777777" w:rsidR="00BB134A" w:rsidRPr="00E44FC4" w:rsidRDefault="00BB134A" w:rsidP="00E44FC4">
            <w:pPr>
              <w:spacing w:line="240" w:lineRule="auto"/>
              <w:jc w:val="left"/>
              <w:rPr>
                <w:rFonts w:eastAsia="Times New Roman"/>
                <w:szCs w:val="24"/>
                <w:lang w:eastAsia="cs-CZ"/>
              </w:rPr>
            </w:pPr>
            <w:r w:rsidRPr="00E44FC4">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center"/>
            <w:hideMark/>
          </w:tcPr>
          <w:p w14:paraId="16463096" w14:textId="7641FA20"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3,09</w:t>
            </w:r>
          </w:p>
        </w:tc>
        <w:tc>
          <w:tcPr>
            <w:tcW w:w="1080" w:type="dxa"/>
            <w:tcBorders>
              <w:top w:val="nil"/>
              <w:left w:val="nil"/>
              <w:bottom w:val="single" w:sz="4" w:space="0" w:color="auto"/>
              <w:right w:val="nil"/>
            </w:tcBorders>
            <w:shd w:val="clear" w:color="auto" w:fill="auto"/>
            <w:noWrap/>
            <w:vAlign w:val="center"/>
            <w:hideMark/>
          </w:tcPr>
          <w:p w14:paraId="1DC2B5F3" w14:textId="290AEC70"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11,52</w:t>
            </w:r>
          </w:p>
        </w:tc>
        <w:tc>
          <w:tcPr>
            <w:tcW w:w="1080" w:type="dxa"/>
            <w:tcBorders>
              <w:top w:val="nil"/>
              <w:left w:val="nil"/>
              <w:bottom w:val="single" w:sz="4" w:space="0" w:color="auto"/>
              <w:right w:val="nil"/>
            </w:tcBorders>
            <w:shd w:val="clear" w:color="auto" w:fill="auto"/>
            <w:noWrap/>
            <w:vAlign w:val="center"/>
            <w:hideMark/>
          </w:tcPr>
          <w:p w14:paraId="51CADB61" w14:textId="3702A6C3"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21,63</w:t>
            </w:r>
          </w:p>
        </w:tc>
        <w:tc>
          <w:tcPr>
            <w:tcW w:w="1080" w:type="dxa"/>
            <w:tcBorders>
              <w:top w:val="nil"/>
              <w:left w:val="nil"/>
              <w:bottom w:val="single" w:sz="4" w:space="0" w:color="auto"/>
              <w:right w:val="nil"/>
            </w:tcBorders>
            <w:shd w:val="clear" w:color="auto" w:fill="auto"/>
            <w:noWrap/>
            <w:vAlign w:val="center"/>
            <w:hideMark/>
          </w:tcPr>
          <w:p w14:paraId="6E4F099A" w14:textId="35A9FCCF"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30,34</w:t>
            </w:r>
          </w:p>
        </w:tc>
        <w:tc>
          <w:tcPr>
            <w:tcW w:w="1080" w:type="dxa"/>
            <w:tcBorders>
              <w:top w:val="nil"/>
              <w:left w:val="nil"/>
              <w:bottom w:val="single" w:sz="4" w:space="0" w:color="auto"/>
              <w:right w:val="nil"/>
            </w:tcBorders>
            <w:shd w:val="clear" w:color="auto" w:fill="auto"/>
            <w:noWrap/>
            <w:vAlign w:val="center"/>
            <w:hideMark/>
          </w:tcPr>
          <w:p w14:paraId="69305254" w14:textId="21D1F95C"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33,43</w:t>
            </w:r>
          </w:p>
        </w:tc>
      </w:tr>
      <w:tr w:rsidR="00F15667" w:rsidRPr="00E44FC4" w14:paraId="60A7BB88"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2CEDF5A9" w14:textId="77777777" w:rsidR="00BB134A" w:rsidRPr="00E44FC4" w:rsidRDefault="00BB134A" w:rsidP="00E44FC4">
            <w:pPr>
              <w:spacing w:line="240" w:lineRule="auto"/>
              <w:jc w:val="left"/>
              <w:rPr>
                <w:rFonts w:eastAsia="Times New Roman"/>
                <w:szCs w:val="24"/>
                <w:lang w:eastAsia="cs-CZ"/>
              </w:rPr>
            </w:pPr>
            <w:r w:rsidRPr="00E44FC4">
              <w:rPr>
                <w:rFonts w:eastAsia="Times New Roman"/>
                <w:szCs w:val="24"/>
                <w:lang w:eastAsia="cs-CZ"/>
              </w:rPr>
              <w:t>KS Ústí n. Labem</w:t>
            </w:r>
          </w:p>
        </w:tc>
        <w:tc>
          <w:tcPr>
            <w:tcW w:w="1080" w:type="dxa"/>
            <w:tcBorders>
              <w:top w:val="nil"/>
              <w:left w:val="nil"/>
              <w:bottom w:val="single" w:sz="4" w:space="0" w:color="auto"/>
              <w:right w:val="nil"/>
            </w:tcBorders>
            <w:shd w:val="clear" w:color="auto" w:fill="auto"/>
            <w:noWrap/>
            <w:vAlign w:val="center"/>
            <w:hideMark/>
          </w:tcPr>
          <w:p w14:paraId="3FF6270A" w14:textId="3ED3349A"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4,43</w:t>
            </w:r>
          </w:p>
        </w:tc>
        <w:tc>
          <w:tcPr>
            <w:tcW w:w="1080" w:type="dxa"/>
            <w:tcBorders>
              <w:top w:val="nil"/>
              <w:left w:val="nil"/>
              <w:bottom w:val="single" w:sz="4" w:space="0" w:color="auto"/>
              <w:right w:val="nil"/>
            </w:tcBorders>
            <w:shd w:val="clear" w:color="auto" w:fill="auto"/>
            <w:noWrap/>
            <w:vAlign w:val="center"/>
            <w:hideMark/>
          </w:tcPr>
          <w:p w14:paraId="614491E2" w14:textId="59F419CF"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15,07</w:t>
            </w:r>
          </w:p>
        </w:tc>
        <w:tc>
          <w:tcPr>
            <w:tcW w:w="1080" w:type="dxa"/>
            <w:tcBorders>
              <w:top w:val="nil"/>
              <w:left w:val="nil"/>
              <w:bottom w:val="single" w:sz="4" w:space="0" w:color="auto"/>
              <w:right w:val="nil"/>
            </w:tcBorders>
            <w:shd w:val="clear" w:color="auto" w:fill="auto"/>
            <w:noWrap/>
            <w:vAlign w:val="center"/>
            <w:hideMark/>
          </w:tcPr>
          <w:p w14:paraId="1E9D707B" w14:textId="7F9BC29B"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21,28</w:t>
            </w:r>
          </w:p>
        </w:tc>
        <w:tc>
          <w:tcPr>
            <w:tcW w:w="1080" w:type="dxa"/>
            <w:tcBorders>
              <w:top w:val="nil"/>
              <w:left w:val="nil"/>
              <w:bottom w:val="single" w:sz="4" w:space="0" w:color="auto"/>
              <w:right w:val="nil"/>
            </w:tcBorders>
            <w:shd w:val="clear" w:color="auto" w:fill="auto"/>
            <w:noWrap/>
            <w:vAlign w:val="center"/>
            <w:hideMark/>
          </w:tcPr>
          <w:p w14:paraId="18F0EF4F" w14:textId="44B89F5B"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24,29</w:t>
            </w:r>
          </w:p>
        </w:tc>
        <w:tc>
          <w:tcPr>
            <w:tcW w:w="1080" w:type="dxa"/>
            <w:tcBorders>
              <w:top w:val="nil"/>
              <w:left w:val="nil"/>
              <w:bottom w:val="single" w:sz="4" w:space="0" w:color="auto"/>
              <w:right w:val="nil"/>
            </w:tcBorders>
            <w:shd w:val="clear" w:color="auto" w:fill="auto"/>
            <w:noWrap/>
            <w:vAlign w:val="center"/>
            <w:hideMark/>
          </w:tcPr>
          <w:p w14:paraId="6E196E42" w14:textId="4494177A"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34,93</w:t>
            </w:r>
          </w:p>
        </w:tc>
      </w:tr>
      <w:tr w:rsidR="00F15667" w:rsidRPr="00E44FC4" w14:paraId="13278018"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1DD23D6E" w14:textId="77777777" w:rsidR="00BB134A" w:rsidRPr="00E44FC4" w:rsidRDefault="00BB134A" w:rsidP="00E44FC4">
            <w:pPr>
              <w:spacing w:line="240" w:lineRule="auto"/>
              <w:jc w:val="left"/>
              <w:rPr>
                <w:rFonts w:eastAsia="Times New Roman"/>
                <w:szCs w:val="24"/>
                <w:lang w:eastAsia="cs-CZ"/>
              </w:rPr>
            </w:pPr>
            <w:r w:rsidRPr="00E44FC4">
              <w:rPr>
                <w:rFonts w:eastAsia="Times New Roman"/>
                <w:szCs w:val="24"/>
                <w:lang w:eastAsia="cs-CZ"/>
              </w:rPr>
              <w:t>KS Hr. Králové</w:t>
            </w:r>
          </w:p>
        </w:tc>
        <w:tc>
          <w:tcPr>
            <w:tcW w:w="1080" w:type="dxa"/>
            <w:tcBorders>
              <w:top w:val="nil"/>
              <w:left w:val="nil"/>
              <w:bottom w:val="single" w:sz="4" w:space="0" w:color="auto"/>
              <w:right w:val="nil"/>
            </w:tcBorders>
            <w:shd w:val="clear" w:color="auto" w:fill="auto"/>
            <w:noWrap/>
            <w:vAlign w:val="center"/>
            <w:hideMark/>
          </w:tcPr>
          <w:p w14:paraId="258B6374" w14:textId="6C9DC952"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2,63</w:t>
            </w:r>
          </w:p>
        </w:tc>
        <w:tc>
          <w:tcPr>
            <w:tcW w:w="1080" w:type="dxa"/>
            <w:tcBorders>
              <w:top w:val="nil"/>
              <w:left w:val="nil"/>
              <w:bottom w:val="single" w:sz="4" w:space="0" w:color="auto"/>
              <w:right w:val="nil"/>
            </w:tcBorders>
            <w:shd w:val="clear" w:color="auto" w:fill="auto"/>
            <w:noWrap/>
            <w:vAlign w:val="center"/>
            <w:hideMark/>
          </w:tcPr>
          <w:p w14:paraId="6F731F59" w14:textId="6DB1A6BC"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10,02</w:t>
            </w:r>
          </w:p>
        </w:tc>
        <w:tc>
          <w:tcPr>
            <w:tcW w:w="1080" w:type="dxa"/>
            <w:tcBorders>
              <w:top w:val="nil"/>
              <w:left w:val="nil"/>
              <w:bottom w:val="single" w:sz="4" w:space="0" w:color="auto"/>
              <w:right w:val="nil"/>
            </w:tcBorders>
            <w:shd w:val="clear" w:color="auto" w:fill="auto"/>
            <w:noWrap/>
            <w:vAlign w:val="center"/>
            <w:hideMark/>
          </w:tcPr>
          <w:p w14:paraId="2E867ABD" w14:textId="371698B7"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19,09</w:t>
            </w:r>
          </w:p>
        </w:tc>
        <w:tc>
          <w:tcPr>
            <w:tcW w:w="1080" w:type="dxa"/>
            <w:tcBorders>
              <w:top w:val="nil"/>
              <w:left w:val="nil"/>
              <w:bottom w:val="single" w:sz="4" w:space="0" w:color="auto"/>
              <w:right w:val="nil"/>
            </w:tcBorders>
            <w:shd w:val="clear" w:color="auto" w:fill="auto"/>
            <w:noWrap/>
            <w:vAlign w:val="center"/>
            <w:hideMark/>
          </w:tcPr>
          <w:p w14:paraId="781F8397" w14:textId="47705FDA"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33,17</w:t>
            </w:r>
          </w:p>
        </w:tc>
        <w:tc>
          <w:tcPr>
            <w:tcW w:w="1080" w:type="dxa"/>
            <w:tcBorders>
              <w:top w:val="nil"/>
              <w:left w:val="nil"/>
              <w:bottom w:val="single" w:sz="4" w:space="0" w:color="auto"/>
              <w:right w:val="nil"/>
            </w:tcBorders>
            <w:shd w:val="clear" w:color="auto" w:fill="auto"/>
            <w:noWrap/>
            <w:vAlign w:val="center"/>
            <w:hideMark/>
          </w:tcPr>
          <w:p w14:paraId="6C083D60" w14:textId="2C0C036C"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35,08</w:t>
            </w:r>
          </w:p>
        </w:tc>
      </w:tr>
      <w:tr w:rsidR="00F15667" w:rsidRPr="00E44FC4" w14:paraId="7CF6121C" w14:textId="77777777" w:rsidTr="00E44FC4">
        <w:trPr>
          <w:trHeight w:val="315"/>
        </w:trPr>
        <w:tc>
          <w:tcPr>
            <w:tcW w:w="2220" w:type="dxa"/>
            <w:tcBorders>
              <w:top w:val="nil"/>
              <w:left w:val="nil"/>
              <w:bottom w:val="single" w:sz="4" w:space="0" w:color="auto"/>
              <w:right w:val="nil"/>
            </w:tcBorders>
            <w:shd w:val="clear" w:color="auto" w:fill="auto"/>
            <w:noWrap/>
            <w:vAlign w:val="center"/>
            <w:hideMark/>
          </w:tcPr>
          <w:p w14:paraId="6D69C1B4" w14:textId="77777777" w:rsidR="00BB134A" w:rsidRPr="00E44FC4" w:rsidRDefault="00BB134A" w:rsidP="00E44FC4">
            <w:pPr>
              <w:spacing w:line="240" w:lineRule="auto"/>
              <w:jc w:val="left"/>
              <w:rPr>
                <w:rFonts w:eastAsia="Times New Roman"/>
                <w:szCs w:val="24"/>
                <w:lang w:eastAsia="cs-CZ"/>
              </w:rPr>
            </w:pPr>
            <w:r w:rsidRPr="00E44FC4">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center"/>
            <w:hideMark/>
          </w:tcPr>
          <w:p w14:paraId="0D38FDF2" w14:textId="7527041B"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3,60</w:t>
            </w:r>
          </w:p>
        </w:tc>
        <w:tc>
          <w:tcPr>
            <w:tcW w:w="1080" w:type="dxa"/>
            <w:tcBorders>
              <w:top w:val="nil"/>
              <w:left w:val="nil"/>
              <w:bottom w:val="single" w:sz="4" w:space="0" w:color="auto"/>
              <w:right w:val="nil"/>
            </w:tcBorders>
            <w:shd w:val="clear" w:color="auto" w:fill="auto"/>
            <w:noWrap/>
            <w:vAlign w:val="center"/>
            <w:hideMark/>
          </w:tcPr>
          <w:p w14:paraId="5E72E196" w14:textId="3B695E2F"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16,83</w:t>
            </w:r>
          </w:p>
        </w:tc>
        <w:tc>
          <w:tcPr>
            <w:tcW w:w="1080" w:type="dxa"/>
            <w:tcBorders>
              <w:top w:val="nil"/>
              <w:left w:val="nil"/>
              <w:bottom w:val="single" w:sz="4" w:space="0" w:color="auto"/>
              <w:right w:val="nil"/>
            </w:tcBorders>
            <w:shd w:val="clear" w:color="auto" w:fill="auto"/>
            <w:noWrap/>
            <w:vAlign w:val="center"/>
            <w:hideMark/>
          </w:tcPr>
          <w:p w14:paraId="78452BED" w14:textId="78AFF5AD"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18,42</w:t>
            </w:r>
          </w:p>
        </w:tc>
        <w:tc>
          <w:tcPr>
            <w:tcW w:w="1080" w:type="dxa"/>
            <w:tcBorders>
              <w:top w:val="nil"/>
              <w:left w:val="nil"/>
              <w:bottom w:val="single" w:sz="4" w:space="0" w:color="auto"/>
              <w:right w:val="nil"/>
            </w:tcBorders>
            <w:shd w:val="clear" w:color="auto" w:fill="auto"/>
            <w:noWrap/>
            <w:vAlign w:val="center"/>
            <w:hideMark/>
          </w:tcPr>
          <w:p w14:paraId="10B32DA5" w14:textId="31B199C4"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29,50</w:t>
            </w:r>
          </w:p>
        </w:tc>
        <w:tc>
          <w:tcPr>
            <w:tcW w:w="1080" w:type="dxa"/>
            <w:tcBorders>
              <w:top w:val="nil"/>
              <w:left w:val="nil"/>
              <w:bottom w:val="single" w:sz="4" w:space="0" w:color="auto"/>
              <w:right w:val="nil"/>
            </w:tcBorders>
            <w:shd w:val="clear" w:color="auto" w:fill="auto"/>
            <w:noWrap/>
            <w:vAlign w:val="center"/>
            <w:hideMark/>
          </w:tcPr>
          <w:p w14:paraId="44EAC0DF" w14:textId="0835A2AE"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31,65</w:t>
            </w:r>
          </w:p>
        </w:tc>
      </w:tr>
      <w:tr w:rsidR="00F15667" w:rsidRPr="00E44FC4" w14:paraId="79211579" w14:textId="77777777" w:rsidTr="00E44FC4">
        <w:trPr>
          <w:trHeight w:val="330"/>
        </w:trPr>
        <w:tc>
          <w:tcPr>
            <w:tcW w:w="2220" w:type="dxa"/>
            <w:tcBorders>
              <w:top w:val="nil"/>
              <w:left w:val="nil"/>
              <w:bottom w:val="double" w:sz="6" w:space="0" w:color="auto"/>
              <w:right w:val="nil"/>
            </w:tcBorders>
            <w:shd w:val="clear" w:color="auto" w:fill="auto"/>
            <w:noWrap/>
            <w:vAlign w:val="center"/>
            <w:hideMark/>
          </w:tcPr>
          <w:p w14:paraId="0721B9FB" w14:textId="77777777" w:rsidR="00BB134A" w:rsidRPr="00E44FC4" w:rsidRDefault="00BB134A" w:rsidP="00E44FC4">
            <w:pPr>
              <w:spacing w:line="240" w:lineRule="auto"/>
              <w:jc w:val="left"/>
              <w:rPr>
                <w:rFonts w:eastAsia="Times New Roman"/>
                <w:szCs w:val="24"/>
                <w:lang w:eastAsia="cs-CZ"/>
              </w:rPr>
            </w:pPr>
            <w:r w:rsidRPr="00E44FC4">
              <w:rPr>
                <w:rFonts w:eastAsia="Times New Roman"/>
                <w:szCs w:val="24"/>
                <w:lang w:eastAsia="cs-CZ"/>
              </w:rPr>
              <w:t>KS Ostrava</w:t>
            </w:r>
          </w:p>
        </w:tc>
        <w:tc>
          <w:tcPr>
            <w:tcW w:w="1080" w:type="dxa"/>
            <w:tcBorders>
              <w:top w:val="nil"/>
              <w:left w:val="nil"/>
              <w:bottom w:val="double" w:sz="6" w:space="0" w:color="auto"/>
              <w:right w:val="nil"/>
            </w:tcBorders>
            <w:shd w:val="clear" w:color="auto" w:fill="auto"/>
            <w:noWrap/>
            <w:vAlign w:val="center"/>
            <w:hideMark/>
          </w:tcPr>
          <w:p w14:paraId="33E884C3" w14:textId="21857B0D"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4,88</w:t>
            </w:r>
          </w:p>
        </w:tc>
        <w:tc>
          <w:tcPr>
            <w:tcW w:w="1080" w:type="dxa"/>
            <w:tcBorders>
              <w:top w:val="nil"/>
              <w:left w:val="nil"/>
              <w:bottom w:val="double" w:sz="6" w:space="0" w:color="auto"/>
              <w:right w:val="nil"/>
            </w:tcBorders>
            <w:shd w:val="clear" w:color="auto" w:fill="auto"/>
            <w:noWrap/>
            <w:vAlign w:val="center"/>
            <w:hideMark/>
          </w:tcPr>
          <w:p w14:paraId="7A39F79D" w14:textId="436D003C"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15,04</w:t>
            </w:r>
          </w:p>
        </w:tc>
        <w:tc>
          <w:tcPr>
            <w:tcW w:w="1080" w:type="dxa"/>
            <w:tcBorders>
              <w:top w:val="nil"/>
              <w:left w:val="nil"/>
              <w:bottom w:val="double" w:sz="6" w:space="0" w:color="auto"/>
              <w:right w:val="nil"/>
            </w:tcBorders>
            <w:shd w:val="clear" w:color="auto" w:fill="auto"/>
            <w:noWrap/>
            <w:vAlign w:val="center"/>
            <w:hideMark/>
          </w:tcPr>
          <w:p w14:paraId="1CDD4CE1" w14:textId="1B7EE3C6"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23,68</w:t>
            </w:r>
          </w:p>
        </w:tc>
        <w:tc>
          <w:tcPr>
            <w:tcW w:w="1080" w:type="dxa"/>
            <w:tcBorders>
              <w:top w:val="nil"/>
              <w:left w:val="nil"/>
              <w:bottom w:val="double" w:sz="6" w:space="0" w:color="auto"/>
              <w:right w:val="nil"/>
            </w:tcBorders>
            <w:shd w:val="clear" w:color="auto" w:fill="auto"/>
            <w:noWrap/>
            <w:vAlign w:val="center"/>
            <w:hideMark/>
          </w:tcPr>
          <w:p w14:paraId="70DB1D8A" w14:textId="68615C74"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28,15</w:t>
            </w:r>
          </w:p>
        </w:tc>
        <w:tc>
          <w:tcPr>
            <w:tcW w:w="1080" w:type="dxa"/>
            <w:tcBorders>
              <w:top w:val="nil"/>
              <w:left w:val="nil"/>
              <w:bottom w:val="double" w:sz="6" w:space="0" w:color="auto"/>
              <w:right w:val="nil"/>
            </w:tcBorders>
            <w:shd w:val="clear" w:color="auto" w:fill="auto"/>
            <w:noWrap/>
            <w:vAlign w:val="center"/>
            <w:hideMark/>
          </w:tcPr>
          <w:p w14:paraId="2109341E" w14:textId="70B0DBC7" w:rsidR="00BB134A" w:rsidRPr="00E44FC4" w:rsidRDefault="00BB134A" w:rsidP="00E44FC4">
            <w:pPr>
              <w:spacing w:line="240" w:lineRule="auto"/>
              <w:jc w:val="center"/>
              <w:rPr>
                <w:rFonts w:eastAsia="Times New Roman"/>
                <w:szCs w:val="24"/>
                <w:lang w:eastAsia="cs-CZ"/>
              </w:rPr>
            </w:pPr>
            <w:r w:rsidRPr="00E44FC4">
              <w:rPr>
                <w:rFonts w:eastAsia="Times New Roman"/>
                <w:szCs w:val="24"/>
                <w:lang w:eastAsia="cs-CZ"/>
              </w:rPr>
              <w:t>28,25</w:t>
            </w:r>
          </w:p>
        </w:tc>
      </w:tr>
      <w:tr w:rsidR="00BB134A" w:rsidRPr="00E44FC4" w14:paraId="1B9F0E05" w14:textId="77777777" w:rsidTr="00E44FC4">
        <w:trPr>
          <w:trHeight w:val="345"/>
        </w:trPr>
        <w:tc>
          <w:tcPr>
            <w:tcW w:w="2220" w:type="dxa"/>
            <w:tcBorders>
              <w:top w:val="nil"/>
              <w:left w:val="nil"/>
              <w:bottom w:val="double" w:sz="6" w:space="0" w:color="auto"/>
              <w:right w:val="nil"/>
            </w:tcBorders>
            <w:shd w:val="clear" w:color="auto" w:fill="auto"/>
            <w:noWrap/>
            <w:vAlign w:val="center"/>
            <w:hideMark/>
          </w:tcPr>
          <w:p w14:paraId="0541B41A" w14:textId="77777777" w:rsidR="00BB134A" w:rsidRPr="00E44FC4" w:rsidRDefault="00BB134A" w:rsidP="00E44FC4">
            <w:pPr>
              <w:spacing w:line="240" w:lineRule="auto"/>
              <w:jc w:val="left"/>
              <w:rPr>
                <w:rFonts w:eastAsia="Times New Roman"/>
                <w:b/>
                <w:bCs/>
                <w:szCs w:val="24"/>
                <w:lang w:eastAsia="cs-CZ"/>
              </w:rPr>
            </w:pPr>
            <w:r w:rsidRPr="00E44FC4">
              <w:rPr>
                <w:rFonts w:eastAsia="Times New Roman"/>
                <w:b/>
                <w:bCs/>
                <w:szCs w:val="24"/>
                <w:lang w:eastAsia="cs-CZ"/>
              </w:rPr>
              <w:t>Celkem ČR</w:t>
            </w:r>
          </w:p>
        </w:tc>
        <w:tc>
          <w:tcPr>
            <w:tcW w:w="1080" w:type="dxa"/>
            <w:tcBorders>
              <w:top w:val="nil"/>
              <w:left w:val="nil"/>
              <w:bottom w:val="double" w:sz="6" w:space="0" w:color="auto"/>
              <w:right w:val="nil"/>
            </w:tcBorders>
            <w:shd w:val="clear" w:color="auto" w:fill="auto"/>
            <w:noWrap/>
            <w:vAlign w:val="center"/>
            <w:hideMark/>
          </w:tcPr>
          <w:p w14:paraId="44A707B6" w14:textId="431DBCA6"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4,17</w:t>
            </w:r>
          </w:p>
        </w:tc>
        <w:tc>
          <w:tcPr>
            <w:tcW w:w="1080" w:type="dxa"/>
            <w:tcBorders>
              <w:top w:val="nil"/>
              <w:left w:val="nil"/>
              <w:bottom w:val="double" w:sz="6" w:space="0" w:color="auto"/>
              <w:right w:val="nil"/>
            </w:tcBorders>
            <w:shd w:val="clear" w:color="auto" w:fill="auto"/>
            <w:noWrap/>
            <w:vAlign w:val="center"/>
            <w:hideMark/>
          </w:tcPr>
          <w:p w14:paraId="56DFA8C8" w14:textId="78DE49C3"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14,41</w:t>
            </w:r>
          </w:p>
        </w:tc>
        <w:tc>
          <w:tcPr>
            <w:tcW w:w="1080" w:type="dxa"/>
            <w:tcBorders>
              <w:top w:val="nil"/>
              <w:left w:val="nil"/>
              <w:bottom w:val="double" w:sz="6" w:space="0" w:color="auto"/>
              <w:right w:val="nil"/>
            </w:tcBorders>
            <w:shd w:val="clear" w:color="auto" w:fill="auto"/>
            <w:noWrap/>
            <w:vAlign w:val="center"/>
            <w:hideMark/>
          </w:tcPr>
          <w:p w14:paraId="5D5AEE6D" w14:textId="341A0245"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20,69</w:t>
            </w:r>
          </w:p>
        </w:tc>
        <w:tc>
          <w:tcPr>
            <w:tcW w:w="1080" w:type="dxa"/>
            <w:tcBorders>
              <w:top w:val="nil"/>
              <w:left w:val="nil"/>
              <w:bottom w:val="double" w:sz="6" w:space="0" w:color="auto"/>
              <w:right w:val="nil"/>
            </w:tcBorders>
            <w:shd w:val="clear" w:color="auto" w:fill="auto"/>
            <w:noWrap/>
            <w:vAlign w:val="center"/>
            <w:hideMark/>
          </w:tcPr>
          <w:p w14:paraId="0479A969" w14:textId="7A1DF76F"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27,72</w:t>
            </w:r>
          </w:p>
        </w:tc>
        <w:tc>
          <w:tcPr>
            <w:tcW w:w="1080" w:type="dxa"/>
            <w:tcBorders>
              <w:top w:val="nil"/>
              <w:left w:val="nil"/>
              <w:bottom w:val="double" w:sz="6" w:space="0" w:color="auto"/>
              <w:right w:val="nil"/>
            </w:tcBorders>
            <w:shd w:val="clear" w:color="auto" w:fill="auto"/>
            <w:noWrap/>
            <w:vAlign w:val="center"/>
            <w:hideMark/>
          </w:tcPr>
          <w:p w14:paraId="4A64E481" w14:textId="213AFF2D" w:rsidR="00BB134A" w:rsidRPr="00E44FC4" w:rsidRDefault="00BB134A" w:rsidP="00E44FC4">
            <w:pPr>
              <w:spacing w:line="240" w:lineRule="auto"/>
              <w:jc w:val="center"/>
              <w:rPr>
                <w:rFonts w:eastAsia="Times New Roman"/>
                <w:b/>
                <w:bCs/>
                <w:szCs w:val="24"/>
                <w:lang w:eastAsia="cs-CZ"/>
              </w:rPr>
            </w:pPr>
            <w:r w:rsidRPr="00E44FC4">
              <w:rPr>
                <w:rFonts w:eastAsia="Times New Roman"/>
                <w:b/>
                <w:bCs/>
                <w:szCs w:val="24"/>
                <w:lang w:eastAsia="cs-CZ"/>
              </w:rPr>
              <w:t>33,01</w:t>
            </w:r>
          </w:p>
        </w:tc>
      </w:tr>
    </w:tbl>
    <w:p w14:paraId="184D3E33" w14:textId="77777777" w:rsidR="00404C98" w:rsidRPr="00F15667" w:rsidRDefault="00404C98"/>
    <w:p w14:paraId="48BF8F17" w14:textId="0AA0CA5B" w:rsidR="008430BD" w:rsidRPr="005D7674" w:rsidRDefault="008430BD" w:rsidP="008433A9">
      <w:pPr>
        <w:pStyle w:val="Nadpis2"/>
        <w:pageBreakBefore/>
        <w:numPr>
          <w:ilvl w:val="1"/>
          <w:numId w:val="1"/>
        </w:numPr>
        <w:spacing w:before="120"/>
        <w:ind w:left="578" w:hanging="578"/>
        <w:rPr>
          <w:color w:val="auto"/>
        </w:rPr>
      </w:pPr>
      <w:bookmarkStart w:id="99" w:name="_Ref9425277"/>
      <w:bookmarkStart w:id="100" w:name="_Ref10553155"/>
      <w:bookmarkStart w:id="101" w:name="_Ref10553167"/>
      <w:bookmarkStart w:id="102" w:name="_Toc106092717"/>
      <w:bookmarkStart w:id="103" w:name="_Toc144104338"/>
      <w:r w:rsidRPr="005D7674">
        <w:rPr>
          <w:color w:val="auto"/>
        </w:rPr>
        <w:lastRenderedPageBreak/>
        <w:t>Civilní agenda</w:t>
      </w:r>
      <w:bookmarkEnd w:id="99"/>
      <w:bookmarkEnd w:id="100"/>
      <w:bookmarkEnd w:id="101"/>
      <w:bookmarkEnd w:id="102"/>
      <w:bookmarkEnd w:id="103"/>
    </w:p>
    <w:p w14:paraId="6604D131" w14:textId="77777777" w:rsidR="00287390" w:rsidRPr="005D7674" w:rsidRDefault="00287390" w:rsidP="00287390">
      <w:pPr>
        <w:pStyle w:val="OdstavecASR"/>
      </w:pPr>
      <w:r w:rsidRPr="005D7674">
        <w:t>Soudy na civilním úseku vedou značné množství různých druhů řízení (dědické řízení, exekuční řízení, výkony soudních rozhodnutí a další). Zdaleka nejvýznamnější a nejrozsáhlejší je ale prvostupňové civilní (občanskoprávní) řízení, označené jako rejstřík (agenda) C, proto se tato část Výroční statistické zprávy zaměřuje právě na tuto agendu. Statistiky týkající se vedlejších agend jsou pak dostupné z jiných zdrojů (např. na internetových stránkách InfoData nebo ve statistických ročenkách).</w:t>
      </w:r>
    </w:p>
    <w:p w14:paraId="61DA3351" w14:textId="77777777" w:rsidR="00287390" w:rsidRPr="005D7674" w:rsidRDefault="00287390" w:rsidP="00287390">
      <w:pPr>
        <w:pStyle w:val="OdstavecASR"/>
      </w:pPr>
      <w:r w:rsidRPr="005D7674">
        <w:t>Po úvaze byla data dále očištěna i o rozkazní řízení (zejména o agendy označené jako EPR a dříve EC), a to především proto, aby se předešlo zkreslení dat a trendů v časových řadách. V roce 2009 byl totiž zaveden elektronický platební rozkaz a po jeho zavedení došlo ke značným změnám ve vedení statistik. Počet věcí zanesených do statistických listů především v letech 2009–2013 tak prudce vzrostl právě o rozkazní věci. Rozkazní řízení je do značné míry automatizované, výrazně jednodušší (probíhá zcela nebo téměř zcela bez intervence soudce) a rychlejší na vyřízení. Z toho plynou i kratší délky řízení. V letech, kdy jich bylo do statistických listů zaneseno relativně více, pak došlo k poklesu vykazované délky řízení. Rozkaznímu řízení se věnuje další kapitola.</w:t>
      </w:r>
    </w:p>
    <w:p w14:paraId="0AEFA78F" w14:textId="77777777" w:rsidR="00287390" w:rsidRPr="005D7674" w:rsidRDefault="00287390" w:rsidP="00287390">
      <w:pPr>
        <w:pStyle w:val="OdstavecASR"/>
      </w:pPr>
      <w:r w:rsidRPr="005D7674">
        <w:t>Z výše zmíněného důvodu se zde uvedené údaje týkající se průměrné délky řízení liší od údajů z jiných zdrojů (internetové stránky InfoData, statistické ročenky). Údaje prezentované jak v této zprávě, tak na serveru InfoData, jsou správné, ale vycházejí z jiných dat. Zde uvedené délky řízení jsou přirozeně vyšší, protože v nich není zahrnuto rozkazní řízení.</w:t>
      </w:r>
    </w:p>
    <w:p w14:paraId="2AC7DD1C" w14:textId="77777777" w:rsidR="00287390" w:rsidRPr="005D7674" w:rsidRDefault="00287390" w:rsidP="00287390">
      <w:pPr>
        <w:pStyle w:val="Nadpis3"/>
        <w:numPr>
          <w:ilvl w:val="2"/>
          <w:numId w:val="1"/>
        </w:numPr>
        <w:rPr>
          <w:color w:val="auto"/>
        </w:rPr>
      </w:pPr>
      <w:bookmarkStart w:id="104" w:name="_Ref513277229"/>
      <w:bookmarkStart w:id="105" w:name="_Toc517118511"/>
      <w:bookmarkStart w:id="106" w:name="_Toc106092718"/>
      <w:bookmarkStart w:id="107" w:name="_Toc144104339"/>
      <w:r w:rsidRPr="005D7674">
        <w:rPr>
          <w:color w:val="auto"/>
        </w:rPr>
        <w:t>Délka řízení</w:t>
      </w:r>
      <w:bookmarkEnd w:id="104"/>
      <w:bookmarkEnd w:id="105"/>
      <w:bookmarkEnd w:id="106"/>
      <w:bookmarkEnd w:id="107"/>
    </w:p>
    <w:p w14:paraId="507A4341" w14:textId="77777777" w:rsidR="00287390" w:rsidRPr="005D7674" w:rsidRDefault="00287390" w:rsidP="00287390">
      <w:pPr>
        <w:pStyle w:val="OdstavecASR"/>
      </w:pPr>
      <w:bookmarkStart w:id="108" w:name="_Hlk129178285"/>
      <w:r w:rsidRPr="005D7674">
        <w:t>Délku řízení zjišťujeme ze statistických listů (SL). Uvádíme ji v kalendářních dnech ode dne nápadu do dne konečného vyřízení věci soudem I. stupně. Je třeba nezapomenout, že do vzorku se započítávají jen ta řízení, která v daném roce skončila, tj. byla vyřízena, nikoliv ta, která stále probíhala. Je proto typickým jevem, že pokud dojde k přetížení soudu, neprojeví se to v průměrné délce řízení okamžitě, protože soud bude mít tendenci přednostně vyřizovat jednodušší věci a složitější věci budou stárnout, a protože nebudou vyřízeny, nevstoupí do výpočtu; to se paradoxně stane naopak až ve chvíli, kdy se soudu začne dařit situaci řešit a vyřizovat nahromaděné nedodělky. Prudký nárůst délky řízení u některého soudu může tak často naopak být důkazem odblokování situace (po něm pak následuje v dalších letech neméně prudký pokles). Pro rozlišení takových situací je třeba doplnit pohled o další statistické údaje, zejména trend počtu nevyřízených věcí a tzv. disposition time (viz dále).</w:t>
      </w:r>
    </w:p>
    <w:p w14:paraId="540F5B29" w14:textId="1AE4098B" w:rsidR="00287390" w:rsidRPr="005D7674" w:rsidRDefault="00287390" w:rsidP="00287390">
      <w:pPr>
        <w:pStyle w:val="OdstavecASR"/>
      </w:pPr>
      <w:r w:rsidRPr="005D7674">
        <w:t xml:space="preserve">Graf 6 sleduje změny v průměru (jedná se o nejběžněji uváděný údaj), mediánu (není ovlivněn extrémy a v tomto případě tak má lepší vypovídající hodnotu) a percentilu 90 (ukazuje, jak dlouho soudům trvá vyřízení 10 % nejdelších věcí). Na rozdíl od neočištěných dat nevykazují očištěná data v letech 2009–2011 výrazný, ale pouze velmi mírný, pokles délky řízení. Nárůst délek řízení je však patrný v letech 2012 až 2014. Ze shromážděných dat pak vyplývá, že naopak v letech 2015–2019 došlo ke zřejmému klesajícímu trendu v délce řízení, když tento zpomaloval zejména v posledních dvou letech daného období. V roce 2018 klesl medián již jen o 5 dnů a průměr o 22 dnů a v roce 2019 poklesl medián o 6 dnů a průměr o 13 dnů. Pokles 90. percentilu se také značně zpomalil, je ale stále velmi výrazný. Je tedy zřejmé, že řízení se zrychlilo především u nejdéle trvajících sporů. Pokud porovnáme rok 2014 a rok 2019, pokles v délkách řízení je opravdu signifikantní – medián klesl o 37 %, průměr o 39 % a percentil 90 o 56 %. Tvrzení, že se situace v této agendě zlepšovala, </w:t>
      </w:r>
      <w:r w:rsidRPr="005D7674">
        <w:lastRenderedPageBreak/>
        <w:t xml:space="preserve">potvrzují také snižující se počty nevyřízených věcí (graf 10). V roce 2020 však došlo po 6 letech opět k nárůstu v délkách řízení, nicméně se jednalo o nárůst poměrně malý (průměr +18 dnů, medián +2 dny, percentil 90 +31 dnů) a v roce 2021 můžeme již znovu sledovat trend v délce řízení mírně klesající (průměr -10 dnů, medián -3 dny, percentil 90 </w:t>
      </w:r>
      <w:r w:rsidR="00EA22E7" w:rsidRPr="005D7674">
        <w:t xml:space="preserve">– </w:t>
      </w:r>
      <w:r w:rsidRPr="005D7674">
        <w:t>24 dnů). Je třeba poznamenat, že délky byly zejména v roce 2020, ale možná i v roce 2021 pravděpodobně poznamenány pandemií nemoci COVID</w:t>
      </w:r>
      <w:r w:rsidRPr="005D7674">
        <w:noBreakHyphen/>
        <w:t>19. V roce 2022 opět nedošlo k žádným citelným změnám. Velmi lehce klesl medián a průměr, naopak narost percentil 90.</w:t>
      </w:r>
      <w:r w:rsidR="00D107C4" w:rsidRPr="005D7674">
        <w:t xml:space="preserve"> </w:t>
      </w:r>
      <w:r w:rsidRPr="005D7674">
        <w:t>Mohlo by se tedy zdát, že soudy vyčerpaly nebo téměř vyčerpaly své možnosti zlepšování a délky řízení a situace u soudů se nyní nachází v jakémsi dlouhodobém rovnovážném stavu. To ale bude třeba ověřit na dalších datech.</w:t>
      </w:r>
    </w:p>
    <w:p w14:paraId="3BB17B25" w14:textId="610B2EA3" w:rsidR="00287390" w:rsidRPr="005D7674" w:rsidRDefault="00287390" w:rsidP="00287390">
      <w:pPr>
        <w:pStyle w:val="Podnadpis"/>
        <w:rPr>
          <w:color w:val="auto"/>
        </w:rPr>
      </w:pPr>
      <w:bookmarkStart w:id="109" w:name="_Toc106106640"/>
      <w:bookmarkStart w:id="110" w:name="_Toc144104118"/>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6</w:t>
      </w:r>
      <w:r w:rsidR="009A10E2" w:rsidRPr="005D7674">
        <w:rPr>
          <w:color w:val="auto"/>
        </w:rPr>
        <w:fldChar w:fldCharType="end"/>
      </w:r>
      <w:r w:rsidRPr="005D7674">
        <w:rPr>
          <w:color w:val="auto"/>
        </w:rPr>
        <w:t>: OS – délka civilního řízení v letech 2008–202</w:t>
      </w:r>
      <w:bookmarkEnd w:id="109"/>
      <w:r w:rsidRPr="005D7674">
        <w:rPr>
          <w:color w:val="auto"/>
        </w:rPr>
        <w:t>2</w:t>
      </w:r>
      <w:bookmarkEnd w:id="110"/>
    </w:p>
    <w:bookmarkEnd w:id="108"/>
    <w:p w14:paraId="2BD25429" w14:textId="61BF201F" w:rsidR="00E129AF" w:rsidRPr="005D7674" w:rsidRDefault="00287390" w:rsidP="00E706B0">
      <w:r w:rsidRPr="005D7674">
        <w:rPr>
          <w:noProof/>
          <w:lang w:eastAsia="cs-CZ"/>
        </w:rPr>
        <w:drawing>
          <wp:inline distT="0" distB="0" distL="0" distR="0" wp14:anchorId="0F7F984A" wp14:editId="3FE8D1A3">
            <wp:extent cx="5029200" cy="36576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DB9B03E" w14:textId="0A5355CE" w:rsidR="00BB134A" w:rsidRPr="005D7674" w:rsidRDefault="00BB134A" w:rsidP="00E706B0"/>
    <w:p w14:paraId="6783EBEC" w14:textId="7840C296" w:rsidR="00287390" w:rsidRPr="005D7674" w:rsidRDefault="00287390" w:rsidP="00287390">
      <w:pPr>
        <w:pStyle w:val="Podnadpis"/>
        <w:rPr>
          <w:color w:val="auto"/>
        </w:rPr>
      </w:pPr>
      <w:bookmarkStart w:id="111" w:name="_Toc11133209"/>
      <w:bookmarkStart w:id="112" w:name="_Toc43931182"/>
      <w:bookmarkStart w:id="113" w:name="_Toc75952312"/>
      <w:bookmarkStart w:id="114" w:name="_Toc106106771"/>
      <w:bookmarkStart w:id="115" w:name="_Toc144104248"/>
      <w:r w:rsidRPr="005D7674">
        <w:rPr>
          <w:color w:val="auto"/>
        </w:rPr>
        <w:t xml:space="preserve">Tabulka </w:t>
      </w:r>
      <w:r w:rsidRPr="005D7674">
        <w:rPr>
          <w:noProof/>
          <w:color w:val="auto"/>
        </w:rPr>
        <w:fldChar w:fldCharType="begin"/>
      </w:r>
      <w:r w:rsidRPr="005D7674">
        <w:rPr>
          <w:noProof/>
          <w:color w:val="auto"/>
        </w:rPr>
        <w:instrText xml:space="preserve"> SEQ Tabulka \* ARABIC </w:instrText>
      </w:r>
      <w:r w:rsidRPr="005D7674">
        <w:rPr>
          <w:noProof/>
          <w:color w:val="auto"/>
        </w:rPr>
        <w:fldChar w:fldCharType="separate"/>
      </w:r>
      <w:r w:rsidR="001E1A67">
        <w:rPr>
          <w:noProof/>
          <w:color w:val="auto"/>
        </w:rPr>
        <w:t>9</w:t>
      </w:r>
      <w:r w:rsidRPr="005D7674">
        <w:rPr>
          <w:noProof/>
          <w:color w:val="auto"/>
        </w:rPr>
        <w:fldChar w:fldCharType="end"/>
      </w:r>
      <w:r w:rsidRPr="005D7674">
        <w:rPr>
          <w:color w:val="auto"/>
        </w:rPr>
        <w:t xml:space="preserve">: </w:t>
      </w:r>
      <w:bookmarkStart w:id="116" w:name="_Ref509210728"/>
      <w:r w:rsidRPr="005D7674">
        <w:rPr>
          <w:color w:val="auto"/>
        </w:rPr>
        <w:t>OS – délky civilního řízení dle krajů</w:t>
      </w:r>
      <w:bookmarkEnd w:id="111"/>
      <w:bookmarkEnd w:id="112"/>
      <w:bookmarkEnd w:id="113"/>
      <w:bookmarkEnd w:id="114"/>
      <w:bookmarkEnd w:id="116"/>
      <w:bookmarkEnd w:id="115"/>
    </w:p>
    <w:tbl>
      <w:tblPr>
        <w:tblW w:w="7655" w:type="dxa"/>
        <w:tblCellMar>
          <w:left w:w="70" w:type="dxa"/>
          <w:right w:w="70" w:type="dxa"/>
        </w:tblCellMar>
        <w:tblLook w:val="04A0" w:firstRow="1" w:lastRow="0" w:firstColumn="1" w:lastColumn="0" w:noHBand="0" w:noVBand="1"/>
      </w:tblPr>
      <w:tblGrid>
        <w:gridCol w:w="2480"/>
        <w:gridCol w:w="922"/>
        <w:gridCol w:w="817"/>
        <w:gridCol w:w="884"/>
        <w:gridCol w:w="851"/>
        <w:gridCol w:w="881"/>
        <w:gridCol w:w="820"/>
      </w:tblGrid>
      <w:tr w:rsidR="00F15667" w:rsidRPr="005D7674" w14:paraId="480834BA" w14:textId="77777777" w:rsidTr="00E44FC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1045555" w14:textId="77777777" w:rsidR="002B608F" w:rsidRPr="005D7674" w:rsidRDefault="002B608F" w:rsidP="00E44FC4">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5175" w:type="dxa"/>
            <w:gridSpan w:val="6"/>
            <w:tcBorders>
              <w:top w:val="double" w:sz="6" w:space="0" w:color="auto"/>
              <w:left w:val="nil"/>
              <w:bottom w:val="nil"/>
              <w:right w:val="nil"/>
            </w:tcBorders>
            <w:shd w:val="clear" w:color="auto" w:fill="auto"/>
            <w:noWrap/>
            <w:vAlign w:val="center"/>
            <w:hideMark/>
          </w:tcPr>
          <w:p w14:paraId="3E4A6B6E" w14:textId="77777777" w:rsidR="002B608F" w:rsidRPr="005D7674" w:rsidRDefault="002B608F" w:rsidP="00E44FC4">
            <w:pPr>
              <w:spacing w:line="240" w:lineRule="auto"/>
              <w:jc w:val="center"/>
              <w:rPr>
                <w:rFonts w:eastAsia="Times New Roman"/>
                <w:b/>
                <w:bCs/>
                <w:szCs w:val="24"/>
                <w:lang w:eastAsia="cs-CZ"/>
              </w:rPr>
            </w:pPr>
            <w:r w:rsidRPr="005D7674">
              <w:rPr>
                <w:rFonts w:eastAsia="Times New Roman"/>
                <w:b/>
                <w:bCs/>
                <w:szCs w:val="24"/>
                <w:lang w:eastAsia="cs-CZ"/>
              </w:rPr>
              <w:t>Délka řízení</w:t>
            </w:r>
          </w:p>
        </w:tc>
      </w:tr>
      <w:tr w:rsidR="00F15667" w:rsidRPr="005D7674" w14:paraId="3BADFFC1" w14:textId="77777777" w:rsidTr="00E44FC4">
        <w:trPr>
          <w:trHeight w:val="330"/>
        </w:trPr>
        <w:tc>
          <w:tcPr>
            <w:tcW w:w="2480" w:type="dxa"/>
            <w:vMerge/>
            <w:tcBorders>
              <w:top w:val="double" w:sz="6" w:space="0" w:color="auto"/>
              <w:left w:val="nil"/>
              <w:bottom w:val="double" w:sz="6" w:space="0" w:color="000000"/>
              <w:right w:val="nil"/>
            </w:tcBorders>
            <w:vAlign w:val="center"/>
            <w:hideMark/>
          </w:tcPr>
          <w:p w14:paraId="7DDB8E45" w14:textId="77777777" w:rsidR="002B608F" w:rsidRPr="005D7674" w:rsidRDefault="002B608F" w:rsidP="00E44FC4">
            <w:pPr>
              <w:spacing w:line="240" w:lineRule="auto"/>
              <w:jc w:val="center"/>
              <w:rPr>
                <w:rFonts w:eastAsia="Times New Roman"/>
                <w:b/>
                <w:bCs/>
                <w:szCs w:val="24"/>
                <w:lang w:eastAsia="cs-CZ"/>
              </w:rPr>
            </w:pPr>
          </w:p>
        </w:tc>
        <w:tc>
          <w:tcPr>
            <w:tcW w:w="1739" w:type="dxa"/>
            <w:gridSpan w:val="2"/>
            <w:tcBorders>
              <w:top w:val="nil"/>
              <w:left w:val="nil"/>
              <w:bottom w:val="double" w:sz="6" w:space="0" w:color="auto"/>
              <w:right w:val="nil"/>
            </w:tcBorders>
            <w:shd w:val="clear" w:color="auto" w:fill="auto"/>
            <w:noWrap/>
            <w:vAlign w:val="center"/>
            <w:hideMark/>
          </w:tcPr>
          <w:p w14:paraId="6AEDF0F0" w14:textId="77777777" w:rsidR="002B608F" w:rsidRPr="005D7674" w:rsidRDefault="002B608F" w:rsidP="00E44FC4">
            <w:pPr>
              <w:spacing w:line="240" w:lineRule="auto"/>
              <w:jc w:val="center"/>
              <w:rPr>
                <w:rFonts w:eastAsia="Times New Roman"/>
                <w:b/>
                <w:bCs/>
                <w:szCs w:val="24"/>
                <w:lang w:eastAsia="cs-CZ"/>
              </w:rPr>
            </w:pPr>
            <w:r w:rsidRPr="005D7674">
              <w:rPr>
                <w:rFonts w:eastAsia="Times New Roman"/>
                <w:b/>
                <w:bCs/>
                <w:szCs w:val="24"/>
                <w:lang w:eastAsia="cs-CZ"/>
              </w:rPr>
              <w:t>Průměr</w:t>
            </w:r>
          </w:p>
        </w:tc>
        <w:tc>
          <w:tcPr>
            <w:tcW w:w="173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5411B67" w14:textId="77777777" w:rsidR="002B608F" w:rsidRPr="005D7674" w:rsidRDefault="002B608F" w:rsidP="00E44FC4">
            <w:pPr>
              <w:spacing w:line="240" w:lineRule="auto"/>
              <w:jc w:val="center"/>
              <w:rPr>
                <w:rFonts w:eastAsia="Times New Roman"/>
                <w:b/>
                <w:bCs/>
                <w:szCs w:val="24"/>
                <w:lang w:eastAsia="cs-CZ"/>
              </w:rPr>
            </w:pPr>
            <w:r w:rsidRPr="005D7674">
              <w:rPr>
                <w:rFonts w:eastAsia="Times New Roman"/>
                <w:b/>
                <w:bCs/>
                <w:szCs w:val="24"/>
                <w:lang w:eastAsia="cs-CZ"/>
              </w:rPr>
              <w:t>Medián</w:t>
            </w:r>
          </w:p>
        </w:tc>
        <w:tc>
          <w:tcPr>
            <w:tcW w:w="1701" w:type="dxa"/>
            <w:gridSpan w:val="2"/>
            <w:tcBorders>
              <w:top w:val="nil"/>
              <w:left w:val="nil"/>
              <w:bottom w:val="double" w:sz="6" w:space="0" w:color="auto"/>
              <w:right w:val="nil"/>
            </w:tcBorders>
            <w:shd w:val="clear" w:color="auto" w:fill="auto"/>
            <w:noWrap/>
            <w:vAlign w:val="center"/>
            <w:hideMark/>
          </w:tcPr>
          <w:p w14:paraId="6DC50DC4" w14:textId="77777777" w:rsidR="002B608F" w:rsidRPr="005D7674" w:rsidRDefault="002B608F" w:rsidP="00E44FC4">
            <w:pPr>
              <w:spacing w:line="240" w:lineRule="auto"/>
              <w:jc w:val="center"/>
              <w:rPr>
                <w:rFonts w:eastAsia="Times New Roman"/>
                <w:b/>
                <w:bCs/>
                <w:szCs w:val="24"/>
                <w:lang w:eastAsia="cs-CZ"/>
              </w:rPr>
            </w:pPr>
            <w:r w:rsidRPr="005D7674">
              <w:rPr>
                <w:rFonts w:eastAsia="Times New Roman"/>
                <w:b/>
                <w:bCs/>
                <w:szCs w:val="24"/>
                <w:lang w:eastAsia="cs-CZ"/>
              </w:rPr>
              <w:t>Percentil 90</w:t>
            </w:r>
          </w:p>
        </w:tc>
      </w:tr>
      <w:tr w:rsidR="00F15667" w:rsidRPr="005D7674" w14:paraId="3609A3EF" w14:textId="77777777" w:rsidTr="00E44FC4">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1D396A27" w14:textId="77777777" w:rsidR="002B608F" w:rsidRPr="005D7674" w:rsidRDefault="002B608F" w:rsidP="00E44FC4">
            <w:pPr>
              <w:spacing w:line="240" w:lineRule="auto"/>
              <w:jc w:val="left"/>
              <w:rPr>
                <w:rFonts w:eastAsia="Times New Roman"/>
                <w:szCs w:val="24"/>
                <w:lang w:eastAsia="cs-CZ"/>
              </w:rPr>
            </w:pPr>
            <w:r w:rsidRPr="005D7674">
              <w:rPr>
                <w:rFonts w:eastAsia="Times New Roman"/>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center"/>
            <w:hideMark/>
          </w:tcPr>
          <w:p w14:paraId="3EAA283E"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322</w:t>
            </w:r>
          </w:p>
        </w:tc>
        <w:tc>
          <w:tcPr>
            <w:tcW w:w="817" w:type="dxa"/>
            <w:tcBorders>
              <w:top w:val="single" w:sz="4" w:space="0" w:color="auto"/>
              <w:left w:val="nil"/>
              <w:bottom w:val="single" w:sz="4" w:space="0" w:color="auto"/>
              <w:right w:val="nil"/>
            </w:tcBorders>
            <w:shd w:val="clear" w:color="auto" w:fill="auto"/>
            <w:noWrap/>
            <w:vAlign w:val="center"/>
            <w:hideMark/>
          </w:tcPr>
          <w:p w14:paraId="20D6B6B4" w14:textId="5F209A2C"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+0 %</w:t>
            </w:r>
          </w:p>
        </w:tc>
        <w:tc>
          <w:tcPr>
            <w:tcW w:w="884" w:type="dxa"/>
            <w:tcBorders>
              <w:top w:val="nil"/>
              <w:left w:val="single" w:sz="4" w:space="0" w:color="auto"/>
              <w:bottom w:val="single" w:sz="4" w:space="0" w:color="auto"/>
              <w:right w:val="nil"/>
            </w:tcBorders>
            <w:shd w:val="clear" w:color="auto" w:fill="auto"/>
            <w:noWrap/>
            <w:vAlign w:val="center"/>
            <w:hideMark/>
          </w:tcPr>
          <w:p w14:paraId="682BEB9C"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165</w:t>
            </w:r>
          </w:p>
        </w:tc>
        <w:tc>
          <w:tcPr>
            <w:tcW w:w="851" w:type="dxa"/>
            <w:tcBorders>
              <w:top w:val="nil"/>
              <w:left w:val="nil"/>
              <w:bottom w:val="single" w:sz="4" w:space="0" w:color="auto"/>
              <w:right w:val="single" w:sz="4" w:space="0" w:color="auto"/>
            </w:tcBorders>
            <w:shd w:val="clear" w:color="auto" w:fill="auto"/>
            <w:noWrap/>
            <w:vAlign w:val="center"/>
            <w:hideMark/>
          </w:tcPr>
          <w:p w14:paraId="77FA9FCD" w14:textId="00C76A45"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-5 %</w:t>
            </w:r>
          </w:p>
        </w:tc>
        <w:tc>
          <w:tcPr>
            <w:tcW w:w="881" w:type="dxa"/>
            <w:tcBorders>
              <w:top w:val="single" w:sz="4" w:space="0" w:color="auto"/>
              <w:left w:val="nil"/>
              <w:bottom w:val="single" w:sz="4" w:space="0" w:color="auto"/>
              <w:right w:val="nil"/>
            </w:tcBorders>
            <w:shd w:val="clear" w:color="auto" w:fill="auto"/>
            <w:noWrap/>
            <w:vAlign w:val="center"/>
            <w:hideMark/>
          </w:tcPr>
          <w:p w14:paraId="64D17D65"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698</w:t>
            </w:r>
          </w:p>
        </w:tc>
        <w:tc>
          <w:tcPr>
            <w:tcW w:w="820" w:type="dxa"/>
            <w:tcBorders>
              <w:top w:val="single" w:sz="4" w:space="0" w:color="auto"/>
              <w:left w:val="nil"/>
              <w:bottom w:val="single" w:sz="4" w:space="0" w:color="auto"/>
              <w:right w:val="nil"/>
            </w:tcBorders>
            <w:shd w:val="clear" w:color="auto" w:fill="auto"/>
            <w:noWrap/>
            <w:vAlign w:val="center"/>
            <w:hideMark/>
          </w:tcPr>
          <w:p w14:paraId="53C48AB2" w14:textId="7D449C33"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+8 %</w:t>
            </w:r>
          </w:p>
        </w:tc>
      </w:tr>
      <w:tr w:rsidR="00F15667" w:rsidRPr="005D7674" w14:paraId="64473DC6" w14:textId="77777777" w:rsidTr="00E44FC4">
        <w:trPr>
          <w:trHeight w:val="315"/>
        </w:trPr>
        <w:tc>
          <w:tcPr>
            <w:tcW w:w="2480" w:type="dxa"/>
            <w:tcBorders>
              <w:top w:val="nil"/>
              <w:left w:val="nil"/>
              <w:bottom w:val="single" w:sz="4" w:space="0" w:color="auto"/>
              <w:right w:val="nil"/>
            </w:tcBorders>
            <w:shd w:val="clear" w:color="auto" w:fill="auto"/>
            <w:noWrap/>
            <w:vAlign w:val="center"/>
            <w:hideMark/>
          </w:tcPr>
          <w:p w14:paraId="2AE2D66D" w14:textId="77777777" w:rsidR="002B608F" w:rsidRPr="005D7674" w:rsidRDefault="002B608F" w:rsidP="00E44FC4">
            <w:pPr>
              <w:spacing w:line="240" w:lineRule="auto"/>
              <w:jc w:val="left"/>
              <w:rPr>
                <w:rFonts w:eastAsia="Times New Roman"/>
                <w:szCs w:val="24"/>
                <w:lang w:eastAsia="cs-CZ"/>
              </w:rPr>
            </w:pPr>
            <w:r w:rsidRPr="005D7674">
              <w:rPr>
                <w:rFonts w:eastAsia="Times New Roman"/>
                <w:szCs w:val="24"/>
                <w:lang w:eastAsia="cs-CZ"/>
              </w:rPr>
              <w:t>KS Praha</w:t>
            </w:r>
          </w:p>
        </w:tc>
        <w:tc>
          <w:tcPr>
            <w:tcW w:w="922" w:type="dxa"/>
            <w:tcBorders>
              <w:top w:val="nil"/>
              <w:left w:val="nil"/>
              <w:bottom w:val="single" w:sz="4" w:space="0" w:color="auto"/>
              <w:right w:val="nil"/>
            </w:tcBorders>
            <w:shd w:val="clear" w:color="auto" w:fill="auto"/>
            <w:noWrap/>
            <w:vAlign w:val="center"/>
            <w:hideMark/>
          </w:tcPr>
          <w:p w14:paraId="5B48DBD4"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199</w:t>
            </w:r>
          </w:p>
        </w:tc>
        <w:tc>
          <w:tcPr>
            <w:tcW w:w="817" w:type="dxa"/>
            <w:tcBorders>
              <w:top w:val="nil"/>
              <w:left w:val="nil"/>
              <w:bottom w:val="single" w:sz="4" w:space="0" w:color="auto"/>
              <w:right w:val="nil"/>
            </w:tcBorders>
            <w:shd w:val="clear" w:color="auto" w:fill="auto"/>
            <w:noWrap/>
            <w:vAlign w:val="center"/>
            <w:hideMark/>
          </w:tcPr>
          <w:p w14:paraId="152631C1" w14:textId="4C294724"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884" w:type="dxa"/>
            <w:tcBorders>
              <w:top w:val="nil"/>
              <w:left w:val="single" w:sz="4" w:space="0" w:color="auto"/>
              <w:bottom w:val="single" w:sz="4" w:space="0" w:color="auto"/>
              <w:right w:val="nil"/>
            </w:tcBorders>
            <w:shd w:val="clear" w:color="auto" w:fill="auto"/>
            <w:noWrap/>
            <w:vAlign w:val="center"/>
            <w:hideMark/>
          </w:tcPr>
          <w:p w14:paraId="754F7581"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132</w:t>
            </w:r>
          </w:p>
        </w:tc>
        <w:tc>
          <w:tcPr>
            <w:tcW w:w="851" w:type="dxa"/>
            <w:tcBorders>
              <w:top w:val="nil"/>
              <w:left w:val="nil"/>
              <w:bottom w:val="single" w:sz="4" w:space="0" w:color="auto"/>
              <w:right w:val="single" w:sz="4" w:space="0" w:color="auto"/>
            </w:tcBorders>
            <w:shd w:val="clear" w:color="auto" w:fill="auto"/>
            <w:noWrap/>
            <w:vAlign w:val="center"/>
            <w:hideMark/>
          </w:tcPr>
          <w:p w14:paraId="045BBF24" w14:textId="669B03C5"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881" w:type="dxa"/>
            <w:tcBorders>
              <w:top w:val="nil"/>
              <w:left w:val="nil"/>
              <w:bottom w:val="single" w:sz="4" w:space="0" w:color="auto"/>
              <w:right w:val="nil"/>
            </w:tcBorders>
            <w:shd w:val="clear" w:color="auto" w:fill="auto"/>
            <w:noWrap/>
            <w:vAlign w:val="center"/>
            <w:hideMark/>
          </w:tcPr>
          <w:p w14:paraId="4EC0837F"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319</w:t>
            </w:r>
          </w:p>
        </w:tc>
        <w:tc>
          <w:tcPr>
            <w:tcW w:w="820" w:type="dxa"/>
            <w:tcBorders>
              <w:top w:val="nil"/>
              <w:left w:val="nil"/>
              <w:bottom w:val="single" w:sz="4" w:space="0" w:color="auto"/>
              <w:right w:val="nil"/>
            </w:tcBorders>
            <w:shd w:val="clear" w:color="auto" w:fill="auto"/>
            <w:noWrap/>
            <w:vAlign w:val="center"/>
            <w:hideMark/>
          </w:tcPr>
          <w:p w14:paraId="4A817A8D" w14:textId="63EC98A5"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+0 %</w:t>
            </w:r>
          </w:p>
        </w:tc>
      </w:tr>
      <w:tr w:rsidR="00F15667" w:rsidRPr="005D7674" w14:paraId="78709CBA" w14:textId="77777777" w:rsidTr="00E44FC4">
        <w:trPr>
          <w:trHeight w:val="315"/>
        </w:trPr>
        <w:tc>
          <w:tcPr>
            <w:tcW w:w="2480" w:type="dxa"/>
            <w:tcBorders>
              <w:top w:val="nil"/>
              <w:left w:val="nil"/>
              <w:bottom w:val="single" w:sz="4" w:space="0" w:color="auto"/>
              <w:right w:val="nil"/>
            </w:tcBorders>
            <w:shd w:val="clear" w:color="auto" w:fill="auto"/>
            <w:noWrap/>
            <w:vAlign w:val="center"/>
            <w:hideMark/>
          </w:tcPr>
          <w:p w14:paraId="1C19CADF" w14:textId="77777777" w:rsidR="002B608F" w:rsidRPr="005D7674" w:rsidRDefault="002B608F" w:rsidP="00E44FC4">
            <w:pPr>
              <w:spacing w:line="240" w:lineRule="auto"/>
              <w:jc w:val="left"/>
              <w:rPr>
                <w:rFonts w:eastAsia="Times New Roman"/>
                <w:szCs w:val="24"/>
                <w:lang w:eastAsia="cs-CZ"/>
              </w:rPr>
            </w:pPr>
            <w:r w:rsidRPr="005D7674">
              <w:rPr>
                <w:rFonts w:eastAsia="Times New Roman"/>
                <w:szCs w:val="24"/>
                <w:lang w:eastAsia="cs-CZ"/>
              </w:rPr>
              <w:t>KS Č. Budějovice</w:t>
            </w:r>
          </w:p>
        </w:tc>
        <w:tc>
          <w:tcPr>
            <w:tcW w:w="922" w:type="dxa"/>
            <w:tcBorders>
              <w:top w:val="nil"/>
              <w:left w:val="nil"/>
              <w:bottom w:val="single" w:sz="4" w:space="0" w:color="auto"/>
              <w:right w:val="nil"/>
            </w:tcBorders>
            <w:shd w:val="clear" w:color="auto" w:fill="auto"/>
            <w:noWrap/>
            <w:vAlign w:val="center"/>
            <w:hideMark/>
          </w:tcPr>
          <w:p w14:paraId="24887CBE"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183</w:t>
            </w:r>
          </w:p>
        </w:tc>
        <w:tc>
          <w:tcPr>
            <w:tcW w:w="817" w:type="dxa"/>
            <w:tcBorders>
              <w:top w:val="nil"/>
              <w:left w:val="nil"/>
              <w:bottom w:val="single" w:sz="4" w:space="0" w:color="auto"/>
              <w:right w:val="nil"/>
            </w:tcBorders>
            <w:shd w:val="clear" w:color="auto" w:fill="auto"/>
            <w:noWrap/>
            <w:vAlign w:val="center"/>
            <w:hideMark/>
          </w:tcPr>
          <w:p w14:paraId="2326538D" w14:textId="06A8EA5B"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884" w:type="dxa"/>
            <w:tcBorders>
              <w:top w:val="nil"/>
              <w:left w:val="single" w:sz="4" w:space="0" w:color="auto"/>
              <w:bottom w:val="single" w:sz="4" w:space="0" w:color="auto"/>
              <w:right w:val="nil"/>
            </w:tcBorders>
            <w:shd w:val="clear" w:color="auto" w:fill="auto"/>
            <w:noWrap/>
            <w:vAlign w:val="center"/>
            <w:hideMark/>
          </w:tcPr>
          <w:p w14:paraId="1060097D"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122</w:t>
            </w:r>
          </w:p>
        </w:tc>
        <w:tc>
          <w:tcPr>
            <w:tcW w:w="851" w:type="dxa"/>
            <w:tcBorders>
              <w:top w:val="nil"/>
              <w:left w:val="nil"/>
              <w:bottom w:val="single" w:sz="4" w:space="0" w:color="auto"/>
              <w:right w:val="single" w:sz="4" w:space="0" w:color="auto"/>
            </w:tcBorders>
            <w:shd w:val="clear" w:color="auto" w:fill="auto"/>
            <w:noWrap/>
            <w:vAlign w:val="center"/>
            <w:hideMark/>
          </w:tcPr>
          <w:p w14:paraId="4F58BBE7" w14:textId="19335491"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-8 %</w:t>
            </w:r>
          </w:p>
        </w:tc>
        <w:tc>
          <w:tcPr>
            <w:tcW w:w="881" w:type="dxa"/>
            <w:tcBorders>
              <w:top w:val="nil"/>
              <w:left w:val="nil"/>
              <w:bottom w:val="single" w:sz="4" w:space="0" w:color="auto"/>
              <w:right w:val="nil"/>
            </w:tcBorders>
            <w:shd w:val="clear" w:color="auto" w:fill="auto"/>
            <w:noWrap/>
            <w:vAlign w:val="center"/>
            <w:hideMark/>
          </w:tcPr>
          <w:p w14:paraId="1A2D6F4D"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263</w:t>
            </w:r>
          </w:p>
        </w:tc>
        <w:tc>
          <w:tcPr>
            <w:tcW w:w="820" w:type="dxa"/>
            <w:tcBorders>
              <w:top w:val="nil"/>
              <w:left w:val="nil"/>
              <w:bottom w:val="single" w:sz="4" w:space="0" w:color="auto"/>
              <w:right w:val="nil"/>
            </w:tcBorders>
            <w:shd w:val="clear" w:color="auto" w:fill="auto"/>
            <w:noWrap/>
            <w:vAlign w:val="center"/>
            <w:hideMark/>
          </w:tcPr>
          <w:p w14:paraId="5C13A367" w14:textId="613FF84B"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-2 %</w:t>
            </w:r>
          </w:p>
        </w:tc>
      </w:tr>
      <w:tr w:rsidR="00F15667" w:rsidRPr="005D7674" w14:paraId="4E03B96A" w14:textId="77777777" w:rsidTr="00E44FC4">
        <w:trPr>
          <w:trHeight w:val="315"/>
        </w:trPr>
        <w:tc>
          <w:tcPr>
            <w:tcW w:w="2480" w:type="dxa"/>
            <w:tcBorders>
              <w:top w:val="nil"/>
              <w:left w:val="nil"/>
              <w:bottom w:val="single" w:sz="4" w:space="0" w:color="auto"/>
              <w:right w:val="nil"/>
            </w:tcBorders>
            <w:shd w:val="clear" w:color="auto" w:fill="auto"/>
            <w:noWrap/>
            <w:vAlign w:val="center"/>
            <w:hideMark/>
          </w:tcPr>
          <w:p w14:paraId="13398482" w14:textId="77777777" w:rsidR="002B608F" w:rsidRPr="005D7674" w:rsidRDefault="002B608F" w:rsidP="00E44FC4">
            <w:pPr>
              <w:spacing w:line="240" w:lineRule="auto"/>
              <w:jc w:val="left"/>
              <w:rPr>
                <w:rFonts w:eastAsia="Times New Roman"/>
                <w:szCs w:val="24"/>
                <w:lang w:eastAsia="cs-CZ"/>
              </w:rPr>
            </w:pPr>
            <w:r w:rsidRPr="005D7674">
              <w:rPr>
                <w:rFonts w:eastAsia="Times New Roman"/>
                <w:szCs w:val="24"/>
                <w:lang w:eastAsia="cs-CZ"/>
              </w:rPr>
              <w:t>KS Plzeň</w:t>
            </w:r>
          </w:p>
        </w:tc>
        <w:tc>
          <w:tcPr>
            <w:tcW w:w="922" w:type="dxa"/>
            <w:tcBorders>
              <w:top w:val="nil"/>
              <w:left w:val="nil"/>
              <w:bottom w:val="single" w:sz="4" w:space="0" w:color="auto"/>
              <w:right w:val="nil"/>
            </w:tcBorders>
            <w:shd w:val="clear" w:color="auto" w:fill="auto"/>
            <w:noWrap/>
            <w:vAlign w:val="center"/>
            <w:hideMark/>
          </w:tcPr>
          <w:p w14:paraId="209D294C"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193</w:t>
            </w:r>
          </w:p>
        </w:tc>
        <w:tc>
          <w:tcPr>
            <w:tcW w:w="817" w:type="dxa"/>
            <w:tcBorders>
              <w:top w:val="nil"/>
              <w:left w:val="nil"/>
              <w:bottom w:val="single" w:sz="4" w:space="0" w:color="auto"/>
              <w:right w:val="nil"/>
            </w:tcBorders>
            <w:shd w:val="clear" w:color="auto" w:fill="auto"/>
            <w:noWrap/>
            <w:vAlign w:val="center"/>
            <w:hideMark/>
          </w:tcPr>
          <w:p w14:paraId="484619AE" w14:textId="6E25493C"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884" w:type="dxa"/>
            <w:tcBorders>
              <w:top w:val="nil"/>
              <w:left w:val="single" w:sz="4" w:space="0" w:color="auto"/>
              <w:bottom w:val="single" w:sz="4" w:space="0" w:color="auto"/>
              <w:right w:val="nil"/>
            </w:tcBorders>
            <w:shd w:val="clear" w:color="auto" w:fill="auto"/>
            <w:noWrap/>
            <w:vAlign w:val="center"/>
            <w:hideMark/>
          </w:tcPr>
          <w:p w14:paraId="44541695"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128</w:t>
            </w:r>
          </w:p>
        </w:tc>
        <w:tc>
          <w:tcPr>
            <w:tcW w:w="851" w:type="dxa"/>
            <w:tcBorders>
              <w:top w:val="nil"/>
              <w:left w:val="nil"/>
              <w:bottom w:val="single" w:sz="4" w:space="0" w:color="auto"/>
              <w:right w:val="single" w:sz="4" w:space="0" w:color="auto"/>
            </w:tcBorders>
            <w:shd w:val="clear" w:color="auto" w:fill="auto"/>
            <w:noWrap/>
            <w:vAlign w:val="center"/>
            <w:hideMark/>
          </w:tcPr>
          <w:p w14:paraId="68F31AF5" w14:textId="27776388"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-4 %</w:t>
            </w:r>
          </w:p>
        </w:tc>
        <w:tc>
          <w:tcPr>
            <w:tcW w:w="881" w:type="dxa"/>
            <w:tcBorders>
              <w:top w:val="nil"/>
              <w:left w:val="nil"/>
              <w:bottom w:val="single" w:sz="4" w:space="0" w:color="auto"/>
              <w:right w:val="nil"/>
            </w:tcBorders>
            <w:shd w:val="clear" w:color="auto" w:fill="auto"/>
            <w:noWrap/>
            <w:vAlign w:val="center"/>
            <w:hideMark/>
          </w:tcPr>
          <w:p w14:paraId="515E181F"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302</w:t>
            </w:r>
          </w:p>
        </w:tc>
        <w:tc>
          <w:tcPr>
            <w:tcW w:w="820" w:type="dxa"/>
            <w:tcBorders>
              <w:top w:val="nil"/>
              <w:left w:val="nil"/>
              <w:bottom w:val="single" w:sz="4" w:space="0" w:color="auto"/>
              <w:right w:val="nil"/>
            </w:tcBorders>
            <w:shd w:val="clear" w:color="auto" w:fill="auto"/>
            <w:noWrap/>
            <w:vAlign w:val="center"/>
            <w:hideMark/>
          </w:tcPr>
          <w:p w14:paraId="21D0456A" w14:textId="2A321F11"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+3 %</w:t>
            </w:r>
          </w:p>
        </w:tc>
      </w:tr>
      <w:tr w:rsidR="00F15667" w:rsidRPr="005D7674" w14:paraId="56827E14" w14:textId="77777777" w:rsidTr="00E44FC4">
        <w:trPr>
          <w:trHeight w:val="315"/>
        </w:trPr>
        <w:tc>
          <w:tcPr>
            <w:tcW w:w="2480" w:type="dxa"/>
            <w:tcBorders>
              <w:top w:val="nil"/>
              <w:left w:val="nil"/>
              <w:bottom w:val="single" w:sz="4" w:space="0" w:color="auto"/>
              <w:right w:val="nil"/>
            </w:tcBorders>
            <w:shd w:val="clear" w:color="auto" w:fill="auto"/>
            <w:noWrap/>
            <w:vAlign w:val="center"/>
            <w:hideMark/>
          </w:tcPr>
          <w:p w14:paraId="7FED0367" w14:textId="77777777" w:rsidR="002B608F" w:rsidRPr="005D7674" w:rsidRDefault="002B608F" w:rsidP="00E44FC4">
            <w:pPr>
              <w:spacing w:line="240" w:lineRule="auto"/>
              <w:jc w:val="left"/>
              <w:rPr>
                <w:rFonts w:eastAsia="Times New Roman"/>
                <w:szCs w:val="24"/>
                <w:lang w:eastAsia="cs-CZ"/>
              </w:rPr>
            </w:pPr>
            <w:r w:rsidRPr="005D7674">
              <w:rPr>
                <w:rFonts w:eastAsia="Times New Roman"/>
                <w:szCs w:val="24"/>
                <w:lang w:eastAsia="cs-CZ"/>
              </w:rPr>
              <w:t>KS Ústí n. Labem</w:t>
            </w:r>
          </w:p>
        </w:tc>
        <w:tc>
          <w:tcPr>
            <w:tcW w:w="922" w:type="dxa"/>
            <w:tcBorders>
              <w:top w:val="nil"/>
              <w:left w:val="nil"/>
              <w:bottom w:val="single" w:sz="4" w:space="0" w:color="auto"/>
              <w:right w:val="nil"/>
            </w:tcBorders>
            <w:shd w:val="clear" w:color="auto" w:fill="auto"/>
            <w:noWrap/>
            <w:vAlign w:val="center"/>
            <w:hideMark/>
          </w:tcPr>
          <w:p w14:paraId="42A875D6"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295</w:t>
            </w:r>
          </w:p>
        </w:tc>
        <w:tc>
          <w:tcPr>
            <w:tcW w:w="817" w:type="dxa"/>
            <w:tcBorders>
              <w:top w:val="nil"/>
              <w:left w:val="nil"/>
              <w:bottom w:val="single" w:sz="4" w:space="0" w:color="auto"/>
              <w:right w:val="nil"/>
            </w:tcBorders>
            <w:shd w:val="clear" w:color="auto" w:fill="auto"/>
            <w:noWrap/>
            <w:vAlign w:val="center"/>
            <w:hideMark/>
          </w:tcPr>
          <w:p w14:paraId="53BD707A" w14:textId="5FDE8DAA"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-8 %</w:t>
            </w:r>
          </w:p>
        </w:tc>
        <w:tc>
          <w:tcPr>
            <w:tcW w:w="884" w:type="dxa"/>
            <w:tcBorders>
              <w:top w:val="nil"/>
              <w:left w:val="single" w:sz="4" w:space="0" w:color="auto"/>
              <w:bottom w:val="single" w:sz="4" w:space="0" w:color="auto"/>
              <w:right w:val="nil"/>
            </w:tcBorders>
            <w:shd w:val="clear" w:color="auto" w:fill="auto"/>
            <w:noWrap/>
            <w:vAlign w:val="center"/>
            <w:hideMark/>
          </w:tcPr>
          <w:p w14:paraId="2590DB14"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199</w:t>
            </w:r>
          </w:p>
        </w:tc>
        <w:tc>
          <w:tcPr>
            <w:tcW w:w="851" w:type="dxa"/>
            <w:tcBorders>
              <w:top w:val="nil"/>
              <w:left w:val="nil"/>
              <w:bottom w:val="single" w:sz="4" w:space="0" w:color="auto"/>
              <w:right w:val="single" w:sz="4" w:space="0" w:color="auto"/>
            </w:tcBorders>
            <w:shd w:val="clear" w:color="auto" w:fill="auto"/>
            <w:noWrap/>
            <w:vAlign w:val="center"/>
            <w:hideMark/>
          </w:tcPr>
          <w:p w14:paraId="4131512D" w14:textId="77ED9F53"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-5 %</w:t>
            </w:r>
          </w:p>
        </w:tc>
        <w:tc>
          <w:tcPr>
            <w:tcW w:w="881" w:type="dxa"/>
            <w:tcBorders>
              <w:top w:val="nil"/>
              <w:left w:val="nil"/>
              <w:bottom w:val="single" w:sz="4" w:space="0" w:color="auto"/>
              <w:right w:val="nil"/>
            </w:tcBorders>
            <w:shd w:val="clear" w:color="auto" w:fill="auto"/>
            <w:noWrap/>
            <w:vAlign w:val="center"/>
            <w:hideMark/>
          </w:tcPr>
          <w:p w14:paraId="1C040D0F"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441</w:t>
            </w:r>
          </w:p>
        </w:tc>
        <w:tc>
          <w:tcPr>
            <w:tcW w:w="820" w:type="dxa"/>
            <w:tcBorders>
              <w:top w:val="nil"/>
              <w:left w:val="nil"/>
              <w:bottom w:val="single" w:sz="4" w:space="0" w:color="auto"/>
              <w:right w:val="nil"/>
            </w:tcBorders>
            <w:shd w:val="clear" w:color="auto" w:fill="auto"/>
            <w:noWrap/>
            <w:vAlign w:val="center"/>
            <w:hideMark/>
          </w:tcPr>
          <w:p w14:paraId="6275A687" w14:textId="72063AEB"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-4 %</w:t>
            </w:r>
          </w:p>
        </w:tc>
      </w:tr>
      <w:tr w:rsidR="00F15667" w:rsidRPr="005D7674" w14:paraId="23C57D2C" w14:textId="77777777" w:rsidTr="00E44FC4">
        <w:trPr>
          <w:trHeight w:val="315"/>
        </w:trPr>
        <w:tc>
          <w:tcPr>
            <w:tcW w:w="2480" w:type="dxa"/>
            <w:tcBorders>
              <w:top w:val="nil"/>
              <w:left w:val="nil"/>
              <w:bottom w:val="single" w:sz="4" w:space="0" w:color="auto"/>
              <w:right w:val="nil"/>
            </w:tcBorders>
            <w:shd w:val="clear" w:color="auto" w:fill="auto"/>
            <w:noWrap/>
            <w:vAlign w:val="center"/>
            <w:hideMark/>
          </w:tcPr>
          <w:p w14:paraId="672BBAD3" w14:textId="77777777" w:rsidR="002B608F" w:rsidRPr="005D7674" w:rsidRDefault="002B608F" w:rsidP="00E44FC4">
            <w:pPr>
              <w:spacing w:line="240" w:lineRule="auto"/>
              <w:jc w:val="left"/>
              <w:rPr>
                <w:rFonts w:eastAsia="Times New Roman"/>
                <w:szCs w:val="24"/>
                <w:lang w:eastAsia="cs-CZ"/>
              </w:rPr>
            </w:pPr>
            <w:r w:rsidRPr="005D7674">
              <w:rPr>
                <w:rFonts w:eastAsia="Times New Roman"/>
                <w:szCs w:val="24"/>
                <w:lang w:eastAsia="cs-CZ"/>
              </w:rPr>
              <w:t>KS Hr. Králové</w:t>
            </w:r>
          </w:p>
        </w:tc>
        <w:tc>
          <w:tcPr>
            <w:tcW w:w="922" w:type="dxa"/>
            <w:tcBorders>
              <w:top w:val="nil"/>
              <w:left w:val="nil"/>
              <w:bottom w:val="single" w:sz="4" w:space="0" w:color="auto"/>
              <w:right w:val="nil"/>
            </w:tcBorders>
            <w:shd w:val="clear" w:color="auto" w:fill="auto"/>
            <w:noWrap/>
            <w:vAlign w:val="center"/>
            <w:hideMark/>
          </w:tcPr>
          <w:p w14:paraId="13AB30A2"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230</w:t>
            </w:r>
          </w:p>
        </w:tc>
        <w:tc>
          <w:tcPr>
            <w:tcW w:w="817" w:type="dxa"/>
            <w:tcBorders>
              <w:top w:val="nil"/>
              <w:left w:val="nil"/>
              <w:bottom w:val="single" w:sz="4" w:space="0" w:color="auto"/>
              <w:right w:val="nil"/>
            </w:tcBorders>
            <w:shd w:val="clear" w:color="auto" w:fill="auto"/>
            <w:noWrap/>
            <w:vAlign w:val="center"/>
            <w:hideMark/>
          </w:tcPr>
          <w:p w14:paraId="2975739F" w14:textId="740F4EAA"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884" w:type="dxa"/>
            <w:tcBorders>
              <w:top w:val="nil"/>
              <w:left w:val="single" w:sz="4" w:space="0" w:color="auto"/>
              <w:bottom w:val="single" w:sz="4" w:space="0" w:color="auto"/>
              <w:right w:val="nil"/>
            </w:tcBorders>
            <w:shd w:val="clear" w:color="auto" w:fill="auto"/>
            <w:noWrap/>
            <w:vAlign w:val="center"/>
            <w:hideMark/>
          </w:tcPr>
          <w:p w14:paraId="19E15A27"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149</w:t>
            </w:r>
          </w:p>
        </w:tc>
        <w:tc>
          <w:tcPr>
            <w:tcW w:w="851" w:type="dxa"/>
            <w:tcBorders>
              <w:top w:val="nil"/>
              <w:left w:val="nil"/>
              <w:bottom w:val="single" w:sz="4" w:space="0" w:color="auto"/>
              <w:right w:val="single" w:sz="4" w:space="0" w:color="auto"/>
            </w:tcBorders>
            <w:shd w:val="clear" w:color="auto" w:fill="auto"/>
            <w:noWrap/>
            <w:vAlign w:val="center"/>
            <w:hideMark/>
          </w:tcPr>
          <w:p w14:paraId="754C5744" w14:textId="0A49D55C"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881" w:type="dxa"/>
            <w:tcBorders>
              <w:top w:val="nil"/>
              <w:left w:val="nil"/>
              <w:bottom w:val="single" w:sz="4" w:space="0" w:color="auto"/>
              <w:right w:val="nil"/>
            </w:tcBorders>
            <w:shd w:val="clear" w:color="auto" w:fill="auto"/>
            <w:noWrap/>
            <w:vAlign w:val="center"/>
            <w:hideMark/>
          </w:tcPr>
          <w:p w14:paraId="0CBCC863"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377</w:t>
            </w:r>
          </w:p>
        </w:tc>
        <w:tc>
          <w:tcPr>
            <w:tcW w:w="820" w:type="dxa"/>
            <w:tcBorders>
              <w:top w:val="nil"/>
              <w:left w:val="nil"/>
              <w:bottom w:val="single" w:sz="4" w:space="0" w:color="auto"/>
              <w:right w:val="nil"/>
            </w:tcBorders>
            <w:shd w:val="clear" w:color="auto" w:fill="auto"/>
            <w:noWrap/>
            <w:vAlign w:val="center"/>
            <w:hideMark/>
          </w:tcPr>
          <w:p w14:paraId="41603B08" w14:textId="4D8AD8CD"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+3 %</w:t>
            </w:r>
          </w:p>
        </w:tc>
      </w:tr>
      <w:tr w:rsidR="00F15667" w:rsidRPr="005D7674" w14:paraId="3A408010" w14:textId="77777777" w:rsidTr="00E44FC4">
        <w:trPr>
          <w:trHeight w:val="315"/>
        </w:trPr>
        <w:tc>
          <w:tcPr>
            <w:tcW w:w="2480" w:type="dxa"/>
            <w:tcBorders>
              <w:top w:val="nil"/>
              <w:left w:val="nil"/>
              <w:bottom w:val="single" w:sz="4" w:space="0" w:color="auto"/>
              <w:right w:val="nil"/>
            </w:tcBorders>
            <w:shd w:val="clear" w:color="auto" w:fill="auto"/>
            <w:noWrap/>
            <w:vAlign w:val="center"/>
            <w:hideMark/>
          </w:tcPr>
          <w:p w14:paraId="6A5FBD99" w14:textId="77777777" w:rsidR="002B608F" w:rsidRPr="005D7674" w:rsidRDefault="002B608F" w:rsidP="00E44FC4">
            <w:pPr>
              <w:spacing w:line="240" w:lineRule="auto"/>
              <w:jc w:val="left"/>
              <w:rPr>
                <w:rFonts w:eastAsia="Times New Roman"/>
                <w:szCs w:val="24"/>
                <w:lang w:eastAsia="cs-CZ"/>
              </w:rPr>
            </w:pPr>
            <w:r w:rsidRPr="005D7674">
              <w:rPr>
                <w:rFonts w:eastAsia="Times New Roman"/>
                <w:szCs w:val="24"/>
                <w:lang w:eastAsia="cs-CZ"/>
              </w:rPr>
              <w:t>KS Brno</w:t>
            </w:r>
          </w:p>
        </w:tc>
        <w:tc>
          <w:tcPr>
            <w:tcW w:w="922" w:type="dxa"/>
            <w:tcBorders>
              <w:top w:val="nil"/>
              <w:left w:val="nil"/>
              <w:bottom w:val="single" w:sz="4" w:space="0" w:color="auto"/>
              <w:right w:val="nil"/>
            </w:tcBorders>
            <w:shd w:val="clear" w:color="auto" w:fill="auto"/>
            <w:noWrap/>
            <w:vAlign w:val="center"/>
            <w:hideMark/>
          </w:tcPr>
          <w:p w14:paraId="75F994C2"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322</w:t>
            </w:r>
          </w:p>
        </w:tc>
        <w:tc>
          <w:tcPr>
            <w:tcW w:w="817" w:type="dxa"/>
            <w:tcBorders>
              <w:top w:val="nil"/>
              <w:left w:val="nil"/>
              <w:bottom w:val="single" w:sz="4" w:space="0" w:color="auto"/>
              <w:right w:val="nil"/>
            </w:tcBorders>
            <w:shd w:val="clear" w:color="auto" w:fill="auto"/>
            <w:noWrap/>
            <w:vAlign w:val="center"/>
            <w:hideMark/>
          </w:tcPr>
          <w:p w14:paraId="02CCD230" w14:textId="62AC1B05"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-2 %</w:t>
            </w:r>
          </w:p>
        </w:tc>
        <w:tc>
          <w:tcPr>
            <w:tcW w:w="884" w:type="dxa"/>
            <w:tcBorders>
              <w:top w:val="nil"/>
              <w:left w:val="single" w:sz="4" w:space="0" w:color="auto"/>
              <w:bottom w:val="single" w:sz="4" w:space="0" w:color="auto"/>
              <w:right w:val="nil"/>
            </w:tcBorders>
            <w:shd w:val="clear" w:color="auto" w:fill="auto"/>
            <w:noWrap/>
            <w:vAlign w:val="center"/>
            <w:hideMark/>
          </w:tcPr>
          <w:p w14:paraId="06A82AB9"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197</w:t>
            </w:r>
          </w:p>
        </w:tc>
        <w:tc>
          <w:tcPr>
            <w:tcW w:w="851" w:type="dxa"/>
            <w:tcBorders>
              <w:top w:val="nil"/>
              <w:left w:val="nil"/>
              <w:bottom w:val="single" w:sz="4" w:space="0" w:color="auto"/>
              <w:right w:val="single" w:sz="4" w:space="0" w:color="auto"/>
            </w:tcBorders>
            <w:shd w:val="clear" w:color="auto" w:fill="auto"/>
            <w:noWrap/>
            <w:vAlign w:val="center"/>
            <w:hideMark/>
          </w:tcPr>
          <w:p w14:paraId="7C7B9FEC" w14:textId="7F9573E4"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-4 %</w:t>
            </w:r>
          </w:p>
        </w:tc>
        <w:tc>
          <w:tcPr>
            <w:tcW w:w="881" w:type="dxa"/>
            <w:tcBorders>
              <w:top w:val="nil"/>
              <w:left w:val="nil"/>
              <w:bottom w:val="single" w:sz="4" w:space="0" w:color="auto"/>
              <w:right w:val="nil"/>
            </w:tcBorders>
            <w:shd w:val="clear" w:color="auto" w:fill="auto"/>
            <w:noWrap/>
            <w:vAlign w:val="center"/>
            <w:hideMark/>
          </w:tcPr>
          <w:p w14:paraId="2DB311B8"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377</w:t>
            </w:r>
          </w:p>
        </w:tc>
        <w:tc>
          <w:tcPr>
            <w:tcW w:w="820" w:type="dxa"/>
            <w:tcBorders>
              <w:top w:val="nil"/>
              <w:left w:val="nil"/>
              <w:bottom w:val="single" w:sz="4" w:space="0" w:color="auto"/>
              <w:right w:val="nil"/>
            </w:tcBorders>
            <w:shd w:val="clear" w:color="auto" w:fill="auto"/>
            <w:noWrap/>
            <w:vAlign w:val="center"/>
            <w:hideMark/>
          </w:tcPr>
          <w:p w14:paraId="49BB8740" w14:textId="238BF34E"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-27 %</w:t>
            </w:r>
          </w:p>
        </w:tc>
      </w:tr>
      <w:tr w:rsidR="00F15667" w:rsidRPr="005D7674" w14:paraId="7186CA2C" w14:textId="77777777" w:rsidTr="00E44FC4">
        <w:trPr>
          <w:trHeight w:val="330"/>
        </w:trPr>
        <w:tc>
          <w:tcPr>
            <w:tcW w:w="2480" w:type="dxa"/>
            <w:tcBorders>
              <w:top w:val="nil"/>
              <w:left w:val="nil"/>
              <w:bottom w:val="double" w:sz="6" w:space="0" w:color="auto"/>
              <w:right w:val="nil"/>
            </w:tcBorders>
            <w:shd w:val="clear" w:color="auto" w:fill="auto"/>
            <w:noWrap/>
            <w:vAlign w:val="center"/>
            <w:hideMark/>
          </w:tcPr>
          <w:p w14:paraId="577DA92C" w14:textId="77777777" w:rsidR="002B608F" w:rsidRPr="005D7674" w:rsidRDefault="002B608F" w:rsidP="00E44FC4">
            <w:pPr>
              <w:spacing w:line="240" w:lineRule="auto"/>
              <w:jc w:val="left"/>
              <w:rPr>
                <w:rFonts w:eastAsia="Times New Roman"/>
                <w:szCs w:val="24"/>
                <w:lang w:eastAsia="cs-CZ"/>
              </w:rPr>
            </w:pPr>
            <w:r w:rsidRPr="005D7674">
              <w:rPr>
                <w:rFonts w:eastAsia="Times New Roman"/>
                <w:szCs w:val="24"/>
                <w:lang w:eastAsia="cs-CZ"/>
              </w:rPr>
              <w:t>KS Ostrava</w:t>
            </w:r>
          </w:p>
        </w:tc>
        <w:tc>
          <w:tcPr>
            <w:tcW w:w="922" w:type="dxa"/>
            <w:tcBorders>
              <w:top w:val="nil"/>
              <w:left w:val="nil"/>
              <w:bottom w:val="double" w:sz="6" w:space="0" w:color="auto"/>
              <w:right w:val="nil"/>
            </w:tcBorders>
            <w:shd w:val="clear" w:color="auto" w:fill="auto"/>
            <w:noWrap/>
            <w:vAlign w:val="center"/>
            <w:hideMark/>
          </w:tcPr>
          <w:p w14:paraId="0ACFE224"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268</w:t>
            </w:r>
          </w:p>
        </w:tc>
        <w:tc>
          <w:tcPr>
            <w:tcW w:w="817" w:type="dxa"/>
            <w:tcBorders>
              <w:top w:val="nil"/>
              <w:left w:val="nil"/>
              <w:bottom w:val="double" w:sz="6" w:space="0" w:color="auto"/>
              <w:right w:val="nil"/>
            </w:tcBorders>
            <w:shd w:val="clear" w:color="auto" w:fill="auto"/>
            <w:noWrap/>
            <w:vAlign w:val="center"/>
            <w:hideMark/>
          </w:tcPr>
          <w:p w14:paraId="64233ACB" w14:textId="4B01CC61"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+10 %</w:t>
            </w:r>
          </w:p>
        </w:tc>
        <w:tc>
          <w:tcPr>
            <w:tcW w:w="884" w:type="dxa"/>
            <w:tcBorders>
              <w:top w:val="nil"/>
              <w:left w:val="single" w:sz="4" w:space="0" w:color="auto"/>
              <w:bottom w:val="double" w:sz="6" w:space="0" w:color="auto"/>
              <w:right w:val="nil"/>
            </w:tcBorders>
            <w:shd w:val="clear" w:color="auto" w:fill="auto"/>
            <w:noWrap/>
            <w:vAlign w:val="center"/>
            <w:hideMark/>
          </w:tcPr>
          <w:p w14:paraId="36937508"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181</w:t>
            </w:r>
          </w:p>
        </w:tc>
        <w:tc>
          <w:tcPr>
            <w:tcW w:w="851" w:type="dxa"/>
            <w:tcBorders>
              <w:top w:val="nil"/>
              <w:left w:val="nil"/>
              <w:bottom w:val="double" w:sz="6" w:space="0" w:color="auto"/>
              <w:right w:val="single" w:sz="4" w:space="0" w:color="auto"/>
            </w:tcBorders>
            <w:shd w:val="clear" w:color="auto" w:fill="auto"/>
            <w:noWrap/>
            <w:vAlign w:val="center"/>
            <w:hideMark/>
          </w:tcPr>
          <w:p w14:paraId="51FD9457" w14:textId="1F0A854C"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+3 %</w:t>
            </w:r>
          </w:p>
        </w:tc>
        <w:tc>
          <w:tcPr>
            <w:tcW w:w="881" w:type="dxa"/>
            <w:tcBorders>
              <w:top w:val="nil"/>
              <w:left w:val="nil"/>
              <w:bottom w:val="double" w:sz="6" w:space="0" w:color="auto"/>
              <w:right w:val="nil"/>
            </w:tcBorders>
            <w:shd w:val="clear" w:color="auto" w:fill="auto"/>
            <w:noWrap/>
            <w:vAlign w:val="center"/>
            <w:hideMark/>
          </w:tcPr>
          <w:p w14:paraId="08309EAE" w14:textId="77777777" w:rsidR="002B608F" w:rsidRPr="005D7674" w:rsidRDefault="002B608F" w:rsidP="00E44FC4">
            <w:pPr>
              <w:spacing w:line="240" w:lineRule="auto"/>
              <w:jc w:val="center"/>
              <w:rPr>
                <w:rFonts w:eastAsia="Times New Roman"/>
                <w:szCs w:val="24"/>
                <w:lang w:eastAsia="cs-CZ"/>
              </w:rPr>
            </w:pPr>
            <w:r w:rsidRPr="005D7674">
              <w:rPr>
                <w:rFonts w:eastAsia="Times New Roman"/>
                <w:szCs w:val="24"/>
                <w:lang w:eastAsia="cs-CZ"/>
              </w:rPr>
              <w:t>432</w:t>
            </w:r>
          </w:p>
        </w:tc>
        <w:tc>
          <w:tcPr>
            <w:tcW w:w="820" w:type="dxa"/>
            <w:tcBorders>
              <w:top w:val="nil"/>
              <w:left w:val="nil"/>
              <w:bottom w:val="double" w:sz="6" w:space="0" w:color="auto"/>
              <w:right w:val="nil"/>
            </w:tcBorders>
            <w:shd w:val="clear" w:color="auto" w:fill="auto"/>
            <w:noWrap/>
            <w:vAlign w:val="center"/>
            <w:hideMark/>
          </w:tcPr>
          <w:p w14:paraId="4C444137" w14:textId="71A88933" w:rsidR="002B608F" w:rsidRPr="005D7674" w:rsidRDefault="002B608F" w:rsidP="00E44FC4">
            <w:pPr>
              <w:spacing w:line="240" w:lineRule="auto"/>
              <w:jc w:val="center"/>
              <w:rPr>
                <w:rFonts w:eastAsia="Times New Roman"/>
                <w:sz w:val="20"/>
                <w:szCs w:val="20"/>
                <w:lang w:eastAsia="cs-CZ"/>
              </w:rPr>
            </w:pPr>
            <w:r w:rsidRPr="005D7674">
              <w:rPr>
                <w:rFonts w:eastAsia="Times New Roman"/>
                <w:sz w:val="20"/>
                <w:szCs w:val="20"/>
                <w:lang w:eastAsia="cs-CZ"/>
              </w:rPr>
              <w:t>+25 %</w:t>
            </w:r>
          </w:p>
        </w:tc>
      </w:tr>
      <w:tr w:rsidR="00F15667" w:rsidRPr="005D7674" w14:paraId="61D64107" w14:textId="77777777" w:rsidTr="00E44FC4">
        <w:trPr>
          <w:trHeight w:val="345"/>
        </w:trPr>
        <w:tc>
          <w:tcPr>
            <w:tcW w:w="2480" w:type="dxa"/>
            <w:tcBorders>
              <w:top w:val="nil"/>
              <w:left w:val="nil"/>
              <w:bottom w:val="double" w:sz="6" w:space="0" w:color="auto"/>
              <w:right w:val="nil"/>
            </w:tcBorders>
            <w:shd w:val="clear" w:color="auto" w:fill="auto"/>
            <w:noWrap/>
            <w:vAlign w:val="center"/>
            <w:hideMark/>
          </w:tcPr>
          <w:p w14:paraId="5B06E91A" w14:textId="77777777" w:rsidR="002B608F" w:rsidRPr="005D7674" w:rsidRDefault="002B608F" w:rsidP="00E44FC4">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922" w:type="dxa"/>
            <w:tcBorders>
              <w:top w:val="nil"/>
              <w:left w:val="nil"/>
              <w:bottom w:val="double" w:sz="6" w:space="0" w:color="auto"/>
              <w:right w:val="nil"/>
            </w:tcBorders>
            <w:shd w:val="clear" w:color="auto" w:fill="auto"/>
            <w:noWrap/>
            <w:vAlign w:val="center"/>
            <w:hideMark/>
          </w:tcPr>
          <w:p w14:paraId="332972AC" w14:textId="77777777" w:rsidR="002B608F" w:rsidRPr="005D7674" w:rsidRDefault="002B608F" w:rsidP="00E44FC4">
            <w:pPr>
              <w:spacing w:line="240" w:lineRule="auto"/>
              <w:jc w:val="center"/>
              <w:rPr>
                <w:rFonts w:eastAsia="Times New Roman"/>
                <w:b/>
                <w:bCs/>
                <w:szCs w:val="24"/>
                <w:lang w:eastAsia="cs-CZ"/>
              </w:rPr>
            </w:pPr>
            <w:r w:rsidRPr="005D7674">
              <w:rPr>
                <w:rFonts w:eastAsia="Times New Roman"/>
                <w:b/>
                <w:bCs/>
                <w:szCs w:val="24"/>
                <w:lang w:eastAsia="cs-CZ"/>
              </w:rPr>
              <w:t>269</w:t>
            </w:r>
          </w:p>
        </w:tc>
        <w:tc>
          <w:tcPr>
            <w:tcW w:w="817" w:type="dxa"/>
            <w:tcBorders>
              <w:top w:val="nil"/>
              <w:left w:val="nil"/>
              <w:bottom w:val="double" w:sz="6" w:space="0" w:color="auto"/>
              <w:right w:val="nil"/>
            </w:tcBorders>
            <w:shd w:val="clear" w:color="auto" w:fill="auto"/>
            <w:noWrap/>
            <w:vAlign w:val="center"/>
            <w:hideMark/>
          </w:tcPr>
          <w:p w14:paraId="5820FD5C" w14:textId="69A46C80" w:rsidR="002B608F" w:rsidRPr="005D7674" w:rsidRDefault="002B608F" w:rsidP="00E44FC4">
            <w:pPr>
              <w:spacing w:line="240" w:lineRule="auto"/>
              <w:jc w:val="center"/>
              <w:rPr>
                <w:rFonts w:eastAsia="Times New Roman"/>
                <w:b/>
                <w:bCs/>
                <w:sz w:val="20"/>
                <w:szCs w:val="20"/>
                <w:lang w:eastAsia="cs-CZ"/>
              </w:rPr>
            </w:pPr>
            <w:r w:rsidRPr="005D7674">
              <w:rPr>
                <w:rFonts w:eastAsia="Times New Roman"/>
                <w:b/>
                <w:bCs/>
                <w:sz w:val="20"/>
                <w:szCs w:val="20"/>
                <w:lang w:eastAsia="cs-CZ"/>
              </w:rPr>
              <w:t>-1 %</w:t>
            </w:r>
          </w:p>
        </w:tc>
        <w:tc>
          <w:tcPr>
            <w:tcW w:w="884" w:type="dxa"/>
            <w:tcBorders>
              <w:top w:val="nil"/>
              <w:left w:val="single" w:sz="4" w:space="0" w:color="auto"/>
              <w:bottom w:val="double" w:sz="6" w:space="0" w:color="auto"/>
              <w:right w:val="nil"/>
            </w:tcBorders>
            <w:shd w:val="clear" w:color="auto" w:fill="auto"/>
            <w:noWrap/>
            <w:vAlign w:val="center"/>
            <w:hideMark/>
          </w:tcPr>
          <w:p w14:paraId="04A49A34" w14:textId="77777777" w:rsidR="002B608F" w:rsidRPr="005D7674" w:rsidRDefault="002B608F" w:rsidP="00E44FC4">
            <w:pPr>
              <w:spacing w:line="240" w:lineRule="auto"/>
              <w:jc w:val="center"/>
              <w:rPr>
                <w:rFonts w:eastAsia="Times New Roman"/>
                <w:b/>
                <w:bCs/>
                <w:szCs w:val="24"/>
                <w:lang w:eastAsia="cs-CZ"/>
              </w:rPr>
            </w:pPr>
            <w:r w:rsidRPr="005D7674">
              <w:rPr>
                <w:rFonts w:eastAsia="Times New Roman"/>
                <w:b/>
                <w:bCs/>
                <w:szCs w:val="24"/>
                <w:lang w:eastAsia="cs-CZ"/>
              </w:rPr>
              <w:t>163</w:t>
            </w:r>
          </w:p>
        </w:tc>
        <w:tc>
          <w:tcPr>
            <w:tcW w:w="851" w:type="dxa"/>
            <w:tcBorders>
              <w:top w:val="nil"/>
              <w:left w:val="nil"/>
              <w:bottom w:val="double" w:sz="6" w:space="0" w:color="auto"/>
              <w:right w:val="single" w:sz="4" w:space="0" w:color="auto"/>
            </w:tcBorders>
            <w:shd w:val="clear" w:color="auto" w:fill="auto"/>
            <w:noWrap/>
            <w:vAlign w:val="center"/>
            <w:hideMark/>
          </w:tcPr>
          <w:p w14:paraId="39BC5FF5" w14:textId="63E357D2" w:rsidR="002B608F" w:rsidRPr="005D7674" w:rsidRDefault="002B608F" w:rsidP="00E44FC4">
            <w:pPr>
              <w:spacing w:line="240" w:lineRule="auto"/>
              <w:jc w:val="center"/>
              <w:rPr>
                <w:rFonts w:eastAsia="Times New Roman"/>
                <w:b/>
                <w:bCs/>
                <w:sz w:val="20"/>
                <w:szCs w:val="20"/>
                <w:lang w:eastAsia="cs-CZ"/>
              </w:rPr>
            </w:pPr>
            <w:r w:rsidRPr="005D7674">
              <w:rPr>
                <w:rFonts w:eastAsia="Times New Roman"/>
                <w:b/>
                <w:bCs/>
                <w:sz w:val="20"/>
                <w:szCs w:val="20"/>
                <w:lang w:eastAsia="cs-CZ"/>
              </w:rPr>
              <w:t>-4 %</w:t>
            </w:r>
          </w:p>
        </w:tc>
        <w:tc>
          <w:tcPr>
            <w:tcW w:w="881" w:type="dxa"/>
            <w:tcBorders>
              <w:top w:val="nil"/>
              <w:left w:val="nil"/>
              <w:bottom w:val="double" w:sz="6" w:space="0" w:color="auto"/>
              <w:right w:val="nil"/>
            </w:tcBorders>
            <w:shd w:val="clear" w:color="auto" w:fill="auto"/>
            <w:noWrap/>
            <w:vAlign w:val="center"/>
            <w:hideMark/>
          </w:tcPr>
          <w:p w14:paraId="0ABA1425" w14:textId="77777777" w:rsidR="002B608F" w:rsidRPr="005D7674" w:rsidRDefault="002B608F" w:rsidP="00E44FC4">
            <w:pPr>
              <w:spacing w:line="240" w:lineRule="auto"/>
              <w:jc w:val="center"/>
              <w:rPr>
                <w:rFonts w:eastAsia="Times New Roman"/>
                <w:b/>
                <w:bCs/>
                <w:szCs w:val="24"/>
                <w:lang w:eastAsia="cs-CZ"/>
              </w:rPr>
            </w:pPr>
            <w:r w:rsidRPr="005D7674">
              <w:rPr>
                <w:rFonts w:eastAsia="Times New Roman"/>
                <w:b/>
                <w:bCs/>
                <w:szCs w:val="24"/>
                <w:lang w:eastAsia="cs-CZ"/>
              </w:rPr>
              <w:t>476</w:t>
            </w:r>
          </w:p>
        </w:tc>
        <w:tc>
          <w:tcPr>
            <w:tcW w:w="820" w:type="dxa"/>
            <w:tcBorders>
              <w:top w:val="nil"/>
              <w:left w:val="nil"/>
              <w:bottom w:val="double" w:sz="6" w:space="0" w:color="auto"/>
              <w:right w:val="nil"/>
            </w:tcBorders>
            <w:shd w:val="clear" w:color="auto" w:fill="auto"/>
            <w:noWrap/>
            <w:vAlign w:val="center"/>
            <w:hideMark/>
          </w:tcPr>
          <w:p w14:paraId="1FA396A0" w14:textId="23ACEDA8" w:rsidR="002B608F" w:rsidRPr="005D7674" w:rsidRDefault="002B608F" w:rsidP="00E44FC4">
            <w:pPr>
              <w:spacing w:line="240" w:lineRule="auto"/>
              <w:jc w:val="center"/>
              <w:rPr>
                <w:rFonts w:eastAsia="Times New Roman"/>
                <w:b/>
                <w:bCs/>
                <w:sz w:val="20"/>
                <w:szCs w:val="20"/>
                <w:lang w:eastAsia="cs-CZ"/>
              </w:rPr>
            </w:pPr>
            <w:r w:rsidRPr="005D7674">
              <w:rPr>
                <w:rFonts w:eastAsia="Times New Roman"/>
                <w:b/>
                <w:bCs/>
                <w:sz w:val="20"/>
                <w:szCs w:val="20"/>
                <w:lang w:eastAsia="cs-CZ"/>
              </w:rPr>
              <w:t>+8 %</w:t>
            </w:r>
          </w:p>
        </w:tc>
      </w:tr>
    </w:tbl>
    <w:p w14:paraId="6BBC4EE7" w14:textId="04DF486A" w:rsidR="00C41790" w:rsidRPr="005D7674" w:rsidRDefault="00D107C4" w:rsidP="00D107C4">
      <w:pPr>
        <w:pStyle w:val="OdstavecASR"/>
      </w:pPr>
      <w:r w:rsidRPr="005D7674">
        <w:lastRenderedPageBreak/>
        <w:t xml:space="preserve">Z tabulky 9 a grafu 6 jasně vyplývá, že v roce </w:t>
      </w:r>
      <w:r w:rsidR="00DE2F04" w:rsidRPr="005D7674">
        <w:t xml:space="preserve">2022 </w:t>
      </w:r>
      <w:r w:rsidRPr="005D7674">
        <w:t xml:space="preserve">stále existují výrazné rozdíly (variabilita) mezi soudními kraji a jednotlivými okresními soudy. Nejrychlejší OS většinou spadají pod KS České Budějovice a KS Praha. Nejpomalejší okresní soudy spadají pod KS Ústí nad Labem, KS Brno a MS Praha. Je však třeba zdůraznit, že významné délky řízení často nejsou způsobeny neefektivností daných soudů, ale velkou případovou zátěží z minulých let. Starší data totiž ukazují, že problémy začaly již v 90. letech. </w:t>
      </w:r>
      <w:r w:rsidR="00C41790" w:rsidRPr="005D7674">
        <w:t>Za zmínku určitě stojí fakt, že jak Severočeský, tak i Jihomoravský kraj „srazily“ mediánovou délku řízení pod 200 dnů a už tedy není žádný kraj s délkou větší, než 200 dnů.</w:t>
      </w:r>
    </w:p>
    <w:p w14:paraId="4C176FEB" w14:textId="53EE5A00" w:rsidR="00AC5FF9" w:rsidRPr="005D7674" w:rsidRDefault="00D107C4" w:rsidP="00D107C4">
      <w:pPr>
        <w:pStyle w:val="OdstavecASR"/>
      </w:pPr>
      <w:r w:rsidRPr="005D7674">
        <w:t>Ze shromážděných dat z posledních let však vyplývá, že rozdíly mezi kraji a soudy se postupně zmenšovaly, a to díky snižování délek řízení u soudů, kde je tento ukazatel nejvyšší. To je vidět v grafu 7.</w:t>
      </w:r>
    </w:p>
    <w:p w14:paraId="090BA0D7" w14:textId="0B97BAA0" w:rsidR="009A10E2" w:rsidRPr="005D7674" w:rsidRDefault="009A10E2" w:rsidP="009A10E2">
      <w:pPr>
        <w:pStyle w:val="Podnadpis"/>
        <w:rPr>
          <w:color w:val="auto"/>
        </w:rPr>
      </w:pPr>
      <w:bookmarkStart w:id="117" w:name="_Toc144104119"/>
      <w:r w:rsidRPr="005D7674">
        <w:rPr>
          <w:color w:val="auto"/>
        </w:rPr>
        <w:t xml:space="preserve">Graf </w:t>
      </w:r>
      <w:r w:rsidRPr="005D7674">
        <w:rPr>
          <w:color w:val="auto"/>
        </w:rPr>
        <w:fldChar w:fldCharType="begin"/>
      </w:r>
      <w:r w:rsidRPr="005D7674">
        <w:rPr>
          <w:color w:val="auto"/>
        </w:rPr>
        <w:instrText xml:space="preserve"> SEQ Graf \* ARABIC </w:instrText>
      </w:r>
      <w:r w:rsidRPr="005D7674">
        <w:rPr>
          <w:color w:val="auto"/>
        </w:rPr>
        <w:fldChar w:fldCharType="separate"/>
      </w:r>
      <w:r w:rsidR="001E1A67">
        <w:rPr>
          <w:noProof/>
          <w:color w:val="auto"/>
        </w:rPr>
        <w:t>7</w:t>
      </w:r>
      <w:r w:rsidRPr="005D7674">
        <w:rPr>
          <w:color w:val="auto"/>
        </w:rPr>
        <w:fldChar w:fldCharType="end"/>
      </w:r>
      <w:r w:rsidRPr="005D7674">
        <w:rPr>
          <w:color w:val="auto"/>
        </w:rPr>
        <w:t>: OS – mediánové délky civilního řízení u jednotlivých soudů</w:t>
      </w:r>
      <w:bookmarkEnd w:id="117"/>
    </w:p>
    <w:p w14:paraId="7E18298D" w14:textId="7E8BBF6C" w:rsidR="00AC5FF9" w:rsidRPr="005D7674" w:rsidRDefault="009A10E2" w:rsidP="002D4B12">
      <w:pPr>
        <w:pStyle w:val="OdstavecASR"/>
      </w:pPr>
      <w:r w:rsidRPr="005D7674">
        <w:rPr>
          <w:noProof/>
          <w:lang w:eastAsia="cs-CZ"/>
        </w:rPr>
        <w:drawing>
          <wp:anchor distT="0" distB="0" distL="114300" distR="114300" simplePos="0" relativeHeight="251664384" behindDoc="0" locked="0" layoutInCell="1" allowOverlap="1" wp14:anchorId="1860DD4D" wp14:editId="34F6C4A4">
            <wp:simplePos x="0" y="0"/>
            <wp:positionH relativeFrom="margin">
              <wp:posOffset>4477385</wp:posOffset>
            </wp:positionH>
            <wp:positionV relativeFrom="paragraph">
              <wp:posOffset>53975</wp:posOffset>
            </wp:positionV>
            <wp:extent cx="1263600" cy="918000"/>
            <wp:effectExtent l="0" t="0" r="0"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36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B4D" w:rsidRPr="005D7674">
        <w:rPr>
          <w:noProof/>
          <w:lang w:eastAsia="cs-CZ"/>
        </w:rPr>
        <w:drawing>
          <wp:inline distT="0" distB="0" distL="0" distR="0" wp14:anchorId="524E9205" wp14:editId="3D374C01">
            <wp:extent cx="5759450" cy="329628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4324A19F" w14:textId="0BADEE4B" w:rsidR="00D15371" w:rsidRPr="005D7674" w:rsidRDefault="009933DA" w:rsidP="00D15371">
      <w:r w:rsidRPr="005D7674">
        <w:t xml:space="preserve">Nejrychlejší soudy v roce 2022 byly OS pro Prahu 5 (medián 85 dnů), OS České Budějovice (medián 103 dnů) a OS Karlovy Vary (medián 104 dnů). </w:t>
      </w:r>
      <w:r w:rsidR="00D15371" w:rsidRPr="005D7674">
        <w:t>Naopak nejpomalejší</w:t>
      </w:r>
      <w:r w:rsidRPr="005D7674">
        <w:t xml:space="preserve"> byly</w:t>
      </w:r>
      <w:r w:rsidR="00D15371" w:rsidRPr="005D7674">
        <w:t xml:space="preserve"> OS pro Prahu 1 (358 dnů), OS Břeclav (293 dnů) a OS pro Prahu 7 (270 dnů). Za zmínku rozhodně stojí OS</w:t>
      </w:r>
      <w:r w:rsidR="00663D51" w:rsidRPr="005D7674">
        <w:t> </w:t>
      </w:r>
      <w:r w:rsidR="00D15371" w:rsidRPr="005D7674">
        <w:t xml:space="preserve">Chomutov, který </w:t>
      </w:r>
      <w:r w:rsidR="007A3A90" w:rsidRPr="005D7674">
        <w:t>se postupně zlepšil z 682 dnů v roce 2017 na 275 dnů v roce 2022.</w:t>
      </w:r>
      <w:r w:rsidRPr="005D7674">
        <w:t xml:space="preserve"> Soud rovněž výrazně snížil počet nedodělků. </w:t>
      </w:r>
    </w:p>
    <w:p w14:paraId="4EE11A9C" w14:textId="444BC2D9" w:rsidR="00021B4D" w:rsidRPr="005D7674" w:rsidRDefault="00021B4D" w:rsidP="00021B4D">
      <w:pPr>
        <w:pStyle w:val="OdstavecASR"/>
      </w:pPr>
      <w:r w:rsidRPr="005D7674">
        <w:t>Hypotézu snižování rozdílů mezi soudy můžeme jednoduše potvrdit pomocí krabicových grafů (graf </w:t>
      </w:r>
      <w:r w:rsidRPr="005D7674">
        <w:rPr>
          <w:noProof/>
        </w:rPr>
        <w:t>8</w:t>
      </w:r>
      <w:r w:rsidRPr="005D7674">
        <w:t>). Krabicový graf je blíže popsán v seznamu použitých pojmů v příloze. V grafu jsou vedle sebe znázorněny krabicové grafy pro roky 2008–2022 s mediánovými délkami řízení jednotlivých soudů.</w:t>
      </w:r>
    </w:p>
    <w:p w14:paraId="2CC6AFBD" w14:textId="77777777" w:rsidR="00021B4D" w:rsidRPr="005D7674" w:rsidRDefault="00021B4D" w:rsidP="00021B4D">
      <w:pPr>
        <w:pStyle w:val="OdstavecASR"/>
      </w:pPr>
      <w:r w:rsidRPr="005D7674">
        <w:t xml:space="preserve">Graf potvrzuje to, co již naznačují výše uvedená data. Jasně z něj vyplývá, že v letech s nejvyšší mediánovou délkou řízení (úsečka uvnitř šedého boxu, kdy box znázorňuje 25 % počtu OS pod mediánem a 25 % OS nad mediánem, celkem tedy 43 soudů) byla variabilita mezi soudy výrazně vyšší (vyjádřená délkou tzv. vousů). Vysoké délky řízení byly tedy způsobeny malou skupinou soudů (znázorněny jako tečky, z nichž každá představuje jeden OS s extrémní délkou řízení) </w:t>
      </w:r>
      <w:r w:rsidRPr="005D7674">
        <w:lastRenderedPageBreak/>
        <w:t>především v Severočeském a Jihomoravském kraji. Proto tyto soudy Ministerstvo spravedlnosti v několika etapách jmenování soudců personálně posílilo, aby mohly lépe vyřídit své nedodělky.</w:t>
      </w:r>
    </w:p>
    <w:p w14:paraId="5D50A0B4" w14:textId="51473000" w:rsidR="00021B4D" w:rsidRPr="005D7674" w:rsidRDefault="00021B4D" w:rsidP="00021B4D">
      <w:pPr>
        <w:pStyle w:val="OdstavecASR"/>
      </w:pPr>
      <w:r w:rsidRPr="005D7674">
        <w:t xml:space="preserve">Graf také potvrzuje hypotézu snižování rozdílů mezi soudy. Délky řízení i jejich variabilita se v posledních letech postupně snižovaly, a to až do roku 2019. V krabicových grafech to je zcela jasně vidět – zmenšuje se box, zkracují se vousy a odlehlé hodnoty se přibližují. V roce 2018 byly v datech pouze 4 odlehlé hodnoty a všechny 4 leží poměrně blízko horní přilehlé hodnotě. V roce 2019 se dvě nejodlehlejší hodnoty (Chomutov a Břeclav) opět přiblížily k boxu. V roce 2020 se opět jedna hodnota oddálila od boxu. Jedná se o OS pro Prahu 7, kde mediánová délka řízení vzrostla z 316 dnů na 419 dnů. V roce 2021 pak již zbyla jediná odlehlá hodnota – OS pro </w:t>
      </w:r>
      <w:r w:rsidR="00594B79" w:rsidRPr="005D7674">
        <w:t>Prahu </w:t>
      </w:r>
      <w:r w:rsidRPr="005D7674">
        <w:t xml:space="preserve">7. Hodnota se ale přiblížila k boxu. V roce 2022 se délka u OS pro Prahu 7 snížila natolik, že už soud není zobrazen </w:t>
      </w:r>
      <w:r w:rsidR="00C41790" w:rsidRPr="005D7674">
        <w:t xml:space="preserve">jako </w:t>
      </w:r>
      <w:r w:rsidRPr="005D7674">
        <w:t xml:space="preserve">odlehlá hodnota, ale jako odlehlá hodnota ho nahradil OS pro Prahu 1. </w:t>
      </w:r>
    </w:p>
    <w:p w14:paraId="67518D30" w14:textId="224A6039" w:rsidR="00AC5FF9" w:rsidRPr="005D7674" w:rsidRDefault="00AC5FF9" w:rsidP="00AC5FF9">
      <w:pPr>
        <w:pStyle w:val="Podnadpis"/>
        <w:rPr>
          <w:color w:val="auto"/>
        </w:rPr>
      </w:pPr>
      <w:bookmarkStart w:id="118" w:name="_Ref509212914"/>
      <w:bookmarkStart w:id="119" w:name="_Toc515871333"/>
      <w:bookmarkStart w:id="120" w:name="_Toc11135069"/>
      <w:bookmarkStart w:id="121" w:name="_Toc43841388"/>
      <w:bookmarkStart w:id="122" w:name="_Toc75952188"/>
      <w:bookmarkStart w:id="123" w:name="_Toc106106642"/>
      <w:bookmarkStart w:id="124" w:name="_Toc144104120"/>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8</w:t>
      </w:r>
      <w:r w:rsidR="009A10E2" w:rsidRPr="005D7674">
        <w:rPr>
          <w:color w:val="auto"/>
        </w:rPr>
        <w:fldChar w:fldCharType="end"/>
      </w:r>
      <w:bookmarkEnd w:id="118"/>
      <w:r w:rsidRPr="005D7674">
        <w:rPr>
          <w:color w:val="auto"/>
        </w:rPr>
        <w:t>: OS – krabicové grafy, mediánové délky civilního řízení</w:t>
      </w:r>
      <w:bookmarkEnd w:id="119"/>
      <w:bookmarkEnd w:id="120"/>
      <w:bookmarkEnd w:id="121"/>
      <w:bookmarkEnd w:id="122"/>
      <w:bookmarkEnd w:id="123"/>
      <w:bookmarkEnd w:id="124"/>
    </w:p>
    <w:p w14:paraId="079E4C6B" w14:textId="77777777" w:rsidR="009E462E" w:rsidRPr="005D7674" w:rsidRDefault="00AC5FF9" w:rsidP="00917F3F">
      <w:pPr>
        <w:pStyle w:val="OdstavecASR"/>
      </w:pPr>
      <w:r w:rsidRPr="005D7674">
        <w:rPr>
          <w:noProof/>
          <w:lang w:eastAsia="cs-CZ"/>
        </w:rPr>
        <w:drawing>
          <wp:inline distT="0" distB="0" distL="0" distR="0" wp14:anchorId="4AADDA36" wp14:editId="665D4CFA">
            <wp:extent cx="5029200" cy="36576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EE6677B" w14:textId="77777777" w:rsidR="009E462E" w:rsidRPr="005D7674" w:rsidRDefault="009E462E" w:rsidP="009E462E">
      <w:pPr>
        <w:pStyle w:val="OdstavecASR"/>
      </w:pPr>
      <w:r w:rsidRPr="005D7674">
        <w:t>Zkracující se délka řízení v letech 2014 až 2019 (a také snižující se počet nevyřízených věcí, který je zachycen v následujících podkapitolách) má tři hlavní důvody:</w:t>
      </w:r>
    </w:p>
    <w:p w14:paraId="481CC5E1" w14:textId="77777777" w:rsidR="009E462E" w:rsidRPr="005D7674" w:rsidRDefault="009E462E" w:rsidP="009E462E">
      <w:pPr>
        <w:pStyle w:val="Odstavecseseznamem"/>
        <w:numPr>
          <w:ilvl w:val="0"/>
          <w:numId w:val="5"/>
        </w:numPr>
      </w:pPr>
      <w:r w:rsidRPr="005D7674">
        <w:t>Zefektivnění práce soudů s velkým množstvím nevyřízených věcí a značnými délkami řízení.</w:t>
      </w:r>
    </w:p>
    <w:p w14:paraId="12E02DAB" w14:textId="77777777" w:rsidR="009E462E" w:rsidRPr="005D7674" w:rsidRDefault="009E462E" w:rsidP="009E462E">
      <w:pPr>
        <w:pStyle w:val="Odstavecseseznamem"/>
        <w:numPr>
          <w:ilvl w:val="0"/>
          <w:numId w:val="5"/>
        </w:numPr>
      </w:pPr>
      <w:r w:rsidRPr="005D7674">
        <w:t>Personální posilování těchto soudů.</w:t>
      </w:r>
    </w:p>
    <w:p w14:paraId="3D44C64C" w14:textId="77777777" w:rsidR="009E462E" w:rsidRPr="005D7674" w:rsidRDefault="009E462E" w:rsidP="009E462E">
      <w:pPr>
        <w:pStyle w:val="Odstavecseseznamem"/>
        <w:numPr>
          <w:ilvl w:val="0"/>
          <w:numId w:val="5"/>
        </w:numPr>
      </w:pPr>
      <w:r w:rsidRPr="005D7674">
        <w:t>Celorepublikový pokles v počtu napadlých věcí.</w:t>
      </w:r>
    </w:p>
    <w:p w14:paraId="12782EE6" w14:textId="744A06C9" w:rsidR="009E462E" w:rsidRPr="005D7674" w:rsidRDefault="009E462E" w:rsidP="009E462E">
      <w:pPr>
        <w:pStyle w:val="OdstavecASR"/>
      </w:pPr>
      <w:r w:rsidRPr="005D7674">
        <w:t>Zastavení trendu v roce 2021 mohlo být způsobeno tím, že soudy již vyčerpaly své možnosti zlepšování a délky řízení a situace u soudů se nyní nachází v jakémsi rovnovážném stavu. V roce 2022 se mírně snížil medián a průměr, naopak vzrostl percentil 90. Krabicové grafy ukazují, že ani v rozložení soudů se nic nezměnilo. Některé soudy se zlepšily, jiné zhoršily. Celkově lze říct, že délky řízení jsou na úrovn</w:t>
      </w:r>
      <w:r w:rsidR="0082781F" w:rsidRPr="005D7674">
        <w:t>i</w:t>
      </w:r>
      <w:r w:rsidRPr="005D7674">
        <w:t xml:space="preserve"> předchozího roku.</w:t>
      </w:r>
    </w:p>
    <w:p w14:paraId="164463C7" w14:textId="4B9AF803" w:rsidR="009E462E" w:rsidRPr="005D7674" w:rsidRDefault="009E462E" w:rsidP="009E462E">
      <w:pPr>
        <w:pStyle w:val="OdstavecASR"/>
      </w:pPr>
      <w:r w:rsidRPr="005D7674">
        <w:lastRenderedPageBreak/>
        <w:t xml:space="preserve">Na délky řízení v roce </w:t>
      </w:r>
      <w:r w:rsidR="00594B79" w:rsidRPr="005D7674">
        <w:t xml:space="preserve">2022 </w:t>
      </w:r>
      <w:r w:rsidRPr="005D7674">
        <w:t>se nakonec podíváme ještě pomocí histogramu (viz seznam použitých pojmů). Budeme tedy zkoumat jejich distribuci. Šířka jednoho intervalu (sloupce) je 40 dnů. Pro lepší přehlednost jsou všechny délky řízení delší než 1 000 dnů v jednom sloupci (na grafu nejvíce vpravo). Proto je tento sloupec výrazně „vyšší“ než sloupce předchozí. Z grafu lze vyčíst další informace o délkách řízení v civilních věcech. Například:</w:t>
      </w:r>
    </w:p>
    <w:p w14:paraId="58B47580" w14:textId="77777777" w:rsidR="009E462E" w:rsidRPr="005D7674" w:rsidRDefault="009E462E" w:rsidP="009E462E">
      <w:pPr>
        <w:pStyle w:val="Odstavecseseznamem"/>
        <w:numPr>
          <w:ilvl w:val="0"/>
          <w:numId w:val="9"/>
        </w:numPr>
      </w:pPr>
      <w:r w:rsidRPr="005D7674">
        <w:t>Jen asi 4 % věcí byla vyřízena za více než 1 000 dnů.</w:t>
      </w:r>
    </w:p>
    <w:p w14:paraId="1E0C8FC9" w14:textId="2E2CD2E2" w:rsidR="009E462E" w:rsidRPr="005D7674" w:rsidRDefault="009E462E" w:rsidP="009E462E">
      <w:pPr>
        <w:pStyle w:val="Odstavecseseznamem"/>
        <w:numPr>
          <w:ilvl w:val="0"/>
          <w:numId w:val="8"/>
        </w:numPr>
        <w:ind w:left="714" w:hanging="357"/>
        <w:jc w:val="left"/>
      </w:pPr>
      <w:r w:rsidRPr="005D7674">
        <w:t xml:space="preserve">Přibližně </w:t>
      </w:r>
      <w:r w:rsidR="0082781F" w:rsidRPr="005D7674">
        <w:t>8</w:t>
      </w:r>
      <w:r w:rsidRPr="005D7674">
        <w:t> % věcí bylo vyřízeno velice rychle – do 80 dnů.</w:t>
      </w:r>
    </w:p>
    <w:p w14:paraId="62F4D527" w14:textId="77777777" w:rsidR="009E462E" w:rsidRPr="005D7674" w:rsidRDefault="009E462E" w:rsidP="009E462E">
      <w:pPr>
        <w:pStyle w:val="Odstavecseseznamem"/>
        <w:numPr>
          <w:ilvl w:val="0"/>
          <w:numId w:val="8"/>
        </w:numPr>
        <w:ind w:left="714" w:hanging="357"/>
      </w:pPr>
      <w:r w:rsidRPr="005D7674">
        <w:t>Největší skupina věcí (přes 20 %) byla vyřízena za 121 až 160 dnů.</w:t>
      </w:r>
    </w:p>
    <w:p w14:paraId="65A22FC7" w14:textId="15B8A635" w:rsidR="009E462E" w:rsidRPr="005D7674" w:rsidRDefault="009E462E" w:rsidP="0082781F">
      <w:pPr>
        <w:pStyle w:val="OdstavecASR"/>
        <w:shd w:val="clear" w:color="auto" w:fill="FFFFFF" w:themeFill="background1"/>
      </w:pPr>
      <w:r w:rsidRPr="005D7674">
        <w:t>Oproti roku 202</w:t>
      </w:r>
      <w:r w:rsidR="0082781F" w:rsidRPr="005D7674">
        <w:t>1</w:t>
      </w:r>
      <w:r w:rsidRPr="005D7674">
        <w:t xml:space="preserve"> se rozdělení délek řízení v roce 202</w:t>
      </w:r>
      <w:r w:rsidR="0082781F" w:rsidRPr="005D7674">
        <w:t>2</w:t>
      </w:r>
      <w:r w:rsidRPr="005D7674">
        <w:t xml:space="preserve"> změnilo jen velmi mírně.</w:t>
      </w:r>
    </w:p>
    <w:p w14:paraId="1A0FD3BD" w14:textId="5FD47924" w:rsidR="009E462E" w:rsidRPr="005D7674" w:rsidRDefault="009E462E" w:rsidP="009E462E">
      <w:pPr>
        <w:pStyle w:val="Podnadpis"/>
        <w:rPr>
          <w:color w:val="auto"/>
        </w:rPr>
      </w:pPr>
      <w:bookmarkStart w:id="125" w:name="_Toc11135070"/>
      <w:bookmarkStart w:id="126" w:name="_Toc43841389"/>
      <w:bookmarkStart w:id="127" w:name="_Toc75952189"/>
      <w:bookmarkStart w:id="128" w:name="_Toc106106643"/>
      <w:bookmarkStart w:id="129" w:name="_Toc144104121"/>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9</w:t>
      </w:r>
      <w:r w:rsidR="009A10E2" w:rsidRPr="005D7674">
        <w:rPr>
          <w:color w:val="auto"/>
        </w:rPr>
        <w:fldChar w:fldCharType="end"/>
      </w:r>
      <w:r w:rsidRPr="005D7674">
        <w:rPr>
          <w:color w:val="auto"/>
        </w:rPr>
        <w:t>: OS – distribuce délek civilního řízení</w:t>
      </w:r>
      <w:bookmarkEnd w:id="125"/>
      <w:bookmarkEnd w:id="126"/>
      <w:bookmarkEnd w:id="127"/>
      <w:bookmarkEnd w:id="128"/>
      <w:bookmarkEnd w:id="129"/>
    </w:p>
    <w:p w14:paraId="46605323" w14:textId="3D425FC9" w:rsidR="00BB134A" w:rsidRPr="005D7674" w:rsidRDefault="00D5538C" w:rsidP="00917F3F">
      <w:pPr>
        <w:pStyle w:val="OdstavecASR"/>
      </w:pPr>
      <w:r w:rsidRPr="005D7674">
        <w:rPr>
          <w:noProof/>
          <w:lang w:eastAsia="cs-CZ"/>
        </w:rPr>
        <w:drawing>
          <wp:inline distT="0" distB="0" distL="0" distR="0" wp14:anchorId="78ABE44E" wp14:editId="527A1D04">
            <wp:extent cx="5029200" cy="365760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772BCF0" w14:textId="3ED645D9" w:rsidR="00D5538C" w:rsidRPr="005D7674" w:rsidRDefault="00D5538C" w:rsidP="00E706B0">
      <w:pPr>
        <w:pStyle w:val="Nadpis3"/>
        <w:numPr>
          <w:ilvl w:val="2"/>
          <w:numId w:val="1"/>
        </w:numPr>
        <w:rPr>
          <w:color w:val="auto"/>
        </w:rPr>
      </w:pPr>
      <w:bookmarkStart w:id="130" w:name="_Ref509669257"/>
      <w:bookmarkStart w:id="131" w:name="_Toc515871222"/>
      <w:bookmarkStart w:id="132" w:name="_Toc106092719"/>
      <w:bookmarkStart w:id="133" w:name="_Toc144104340"/>
      <w:r w:rsidRPr="005D7674">
        <w:rPr>
          <w:color w:val="auto"/>
        </w:rPr>
        <w:t>Vyřizování věcí</w:t>
      </w:r>
      <w:bookmarkEnd w:id="130"/>
      <w:bookmarkEnd w:id="131"/>
      <w:bookmarkEnd w:id="132"/>
      <w:bookmarkEnd w:id="133"/>
    </w:p>
    <w:p w14:paraId="52AF9E33" w14:textId="65E71109" w:rsidR="00D5538C" w:rsidRPr="005D7674" w:rsidRDefault="00D5538C" w:rsidP="00D5538C">
      <w:pPr>
        <w:pStyle w:val="OdstavecASR"/>
      </w:pPr>
      <w:r w:rsidRPr="005D7674">
        <w:t>Tato kapitola se věnuje tomu, jak okresní soudy vyřizují věci v civilním řízení (bez rozkazního řízení). Obsahuje tedy údaje o nápadu + obživlých věcech, vyřízených věcech, nevyřízených věcech a míře vyřizování. Tato data nezískáváme ze statistických listů, ale z výkazů o činnosti soudů. Graf </w:t>
      </w:r>
      <w:r w:rsidRPr="005D7674">
        <w:rPr>
          <w:noProof/>
        </w:rPr>
        <w:t>10</w:t>
      </w:r>
      <w:r w:rsidRPr="005D7674">
        <w:t xml:space="preserve"> ukazuje vývoj těchto proměnných v letech 2008–202</w:t>
      </w:r>
      <w:r w:rsidR="00C96E22" w:rsidRPr="005D7674">
        <w:t>2</w:t>
      </w:r>
      <w:r w:rsidRPr="005D7674">
        <w:t xml:space="preserve">. Z grafu je patrné, že počet příchozích (nápad + obživa) a vyřízených věcí jsou silně korelovány. Vztah je v tomto případě kauzální (příčinný). Velký nárůst v počtu napadlých (a tedy i vyřízených) věcí v roce 2009 je způsoben zavedením elektronického platebního rozkazu a změnami ve vedení statistik. Na rozdíl od dat ze SL nelze v tomto případě data o tyto věci očistit (tj. odstranit z dat příslušná pozorování). Nárůst v roce 2013 pravděpodobně způsobilo snížení soudních poplatků za podání EPR. Část věcí z EPR, které neskončí pravomocným elektronickým platebním rozkazem, je následně převedena do rejstříku C. Rejstříku EPR se více věnuje následující kapitola. Od roku 2014 převyšuje počet vyřízených věcí počet věcí příchozích, třebaže v letech 2017 a 2018 jen velmi mírně. V roce 2019 opět došlo k navýšení rozdílu mezi příchozími a vyřízenými věcmi. Díky tomu se v posledních </w:t>
      </w:r>
      <w:r w:rsidRPr="005D7674">
        <w:lastRenderedPageBreak/>
        <w:t>letech dařilo snižovat počet nevyřízených věcí. Tento výsledek plně koresponduje se snižováním délek řízení. Důvody pro snižování počtu nevyřízených věcí jsou logicky stejné jako u délky řízení.</w:t>
      </w:r>
    </w:p>
    <w:p w14:paraId="3654D9BA" w14:textId="77777777" w:rsidR="00D5538C" w:rsidRPr="005D7674" w:rsidRDefault="00D5538C" w:rsidP="00D5538C">
      <w:pPr>
        <w:pStyle w:val="OdstavecASR"/>
      </w:pPr>
      <w:r w:rsidRPr="005D7674">
        <w:t>V roce 2020 došlo stejně jako u délek řízení po 6 letech k mírnému nárůstu počtu nevyřízených věcí. Všechny kraje měly míru vyřizování pod 100 %. Ve všech krajích klesl počet vyřízených věcí a ve všech krajích s výjimkou kraje Západočeského klesl počet příchozích věcí. Většina těchto okolností (pokles příchozích věcí, pokles vyřízených věcí, nárůst nevyřízených věcí) ukazuje na to, že soudy byly ovlivněny nemocí COVID</w:t>
      </w:r>
      <w:r w:rsidRPr="005D7674">
        <w:noBreakHyphen/>
        <w:t>19 a vládními restrikcemi ke zbrzdění jeho šíření. Onemocnění COVID</w:t>
      </w:r>
      <w:r w:rsidRPr="005D7674">
        <w:noBreakHyphen/>
        <w:t>19 zřejmě způsobilo pokles v nápadu a rovněž byla omezena funkčnost soudů, z čehož plyne pokles v počtu vyřízených věcí.</w:t>
      </w:r>
    </w:p>
    <w:p w14:paraId="70318E2F" w14:textId="009F021B" w:rsidR="00D5538C" w:rsidRPr="005D7674" w:rsidRDefault="00D5538C" w:rsidP="00D5538C">
      <w:pPr>
        <w:pStyle w:val="Podnadpis"/>
        <w:numPr>
          <w:ilvl w:val="0"/>
          <w:numId w:val="0"/>
        </w:numPr>
        <w:rPr>
          <w:color w:val="auto"/>
        </w:rPr>
      </w:pPr>
      <w:bookmarkStart w:id="134" w:name="_Ref509225924"/>
      <w:bookmarkStart w:id="135" w:name="_Toc515871335"/>
      <w:bookmarkStart w:id="136" w:name="_Toc11135071"/>
      <w:bookmarkStart w:id="137" w:name="_Toc43841390"/>
      <w:bookmarkStart w:id="138" w:name="_Toc75952190"/>
      <w:bookmarkStart w:id="139" w:name="_Toc106106644"/>
      <w:bookmarkStart w:id="140" w:name="_Toc144104122"/>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10</w:t>
      </w:r>
      <w:r w:rsidR="009A10E2" w:rsidRPr="005D7674">
        <w:rPr>
          <w:color w:val="auto"/>
        </w:rPr>
        <w:fldChar w:fldCharType="end"/>
      </w:r>
      <w:bookmarkEnd w:id="134"/>
      <w:r w:rsidRPr="005D7674">
        <w:rPr>
          <w:color w:val="auto"/>
        </w:rPr>
        <w:t>: OS – vyřizování civilních věcí v letech 2008–20</w:t>
      </w:r>
      <w:bookmarkEnd w:id="135"/>
      <w:bookmarkEnd w:id="136"/>
      <w:bookmarkEnd w:id="137"/>
      <w:r w:rsidRPr="005D7674">
        <w:rPr>
          <w:color w:val="auto"/>
        </w:rPr>
        <w:t>2</w:t>
      </w:r>
      <w:bookmarkEnd w:id="138"/>
      <w:bookmarkEnd w:id="139"/>
      <w:r w:rsidRPr="005D7674">
        <w:rPr>
          <w:color w:val="auto"/>
        </w:rPr>
        <w:t>2</w:t>
      </w:r>
      <w:bookmarkEnd w:id="140"/>
    </w:p>
    <w:p w14:paraId="4E2CDC65" w14:textId="192B884B" w:rsidR="00D5538C" w:rsidRPr="005D7674" w:rsidRDefault="00F811F0" w:rsidP="00917F3F">
      <w:pPr>
        <w:pStyle w:val="OdstavecASR"/>
      </w:pPr>
      <w:r w:rsidRPr="005D7674">
        <w:rPr>
          <w:noProof/>
          <w:lang w:eastAsia="cs-CZ"/>
        </w:rPr>
        <w:drawing>
          <wp:inline distT="0" distB="0" distL="0" distR="0" wp14:anchorId="2AB35EA0" wp14:editId="19F83A15">
            <wp:extent cx="5029200" cy="365760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6185594" w14:textId="5B491F58" w:rsidR="00F811F0" w:rsidRPr="005D7674" w:rsidRDefault="00F811F0" w:rsidP="00D5538C">
      <w:r w:rsidRPr="005D7674">
        <w:t>V roce 2021 zůstal počet příchozích věcí v zásadě na úrovni roku 2020. Nápad byl zřejmě rovněž ovlivněn pandemií COVID-19. Počet vyřízených věcí ale výrazně narostl, což ukazuje, že počet vyřízených věcí v tomto roce pandemií příliš ovlivněn nebyl. V roce 2022 se počet příchozích věcí držel stále na stejné úrovni, počet vyřízených věcí velmi mírně klesl. Stále se ale bez problémů udržel nad počtem příchozích věcí. Výsledkem je další snížení v počtu nevyřízených věcí a v roce 2022 soudy vykázaly nejnižší počet nevyřízených věcí za sledované období.</w:t>
      </w:r>
    </w:p>
    <w:p w14:paraId="1E2B6A7A" w14:textId="572C586D" w:rsidR="00FA44FF" w:rsidRPr="005D7674" w:rsidRDefault="00FA44FF" w:rsidP="00FA44FF">
      <w:bookmarkStart w:id="141" w:name="_Ref509226700"/>
      <w:bookmarkStart w:id="142" w:name="_Toc515871441"/>
      <w:bookmarkStart w:id="143" w:name="_Toc11133210"/>
      <w:bookmarkStart w:id="144" w:name="_Toc43931183"/>
      <w:bookmarkStart w:id="145" w:name="_Toc75952313"/>
      <w:bookmarkStart w:id="146" w:name="_Toc106106772"/>
      <w:r w:rsidRPr="005D7674">
        <w:t>V tabulce níže vidíme, že většina sledovaného poklesu lze přisoudit soudům v Praze, když vykázaly míru vyřizování 110,9 %. Ostatní soudy mají míru vyřizován přibližně 100 %. Nejnižší míru vyřizování vykázaly soudy ve Východočeském kraji (97 %). I tato data ukazují, že situace v civilní agendě je nyní stabilní s tím, že může docházet k mírným vylepšení</w:t>
      </w:r>
      <w:r w:rsidR="0082781F" w:rsidRPr="005D7674">
        <w:t>m</w:t>
      </w:r>
      <w:r w:rsidRPr="005D7674">
        <w:t xml:space="preserve"> ve vybraných regionech.</w:t>
      </w:r>
    </w:p>
    <w:p w14:paraId="2FB758C5" w14:textId="77777777" w:rsidR="00FA44FF" w:rsidRPr="005D7674" w:rsidRDefault="00FA44FF">
      <w:pPr>
        <w:spacing w:after="160" w:line="259" w:lineRule="auto"/>
        <w:jc w:val="left"/>
      </w:pPr>
      <w:r w:rsidRPr="005D7674">
        <w:br w:type="page"/>
      </w:r>
    </w:p>
    <w:p w14:paraId="27D55B14" w14:textId="58755035" w:rsidR="00FA44FF" w:rsidRPr="005D7674" w:rsidRDefault="00FA44FF" w:rsidP="00FA44FF">
      <w:pPr>
        <w:pStyle w:val="Podnadpis"/>
        <w:rPr>
          <w:color w:val="auto"/>
        </w:rPr>
      </w:pPr>
      <w:bookmarkStart w:id="147" w:name="_Toc144104249"/>
      <w:r w:rsidRPr="005D7674">
        <w:rPr>
          <w:color w:val="auto"/>
        </w:rPr>
        <w:lastRenderedPageBreak/>
        <w:t xml:space="preserve">Tabulka </w:t>
      </w:r>
      <w:r w:rsidRPr="005D7674">
        <w:rPr>
          <w:color w:val="auto"/>
        </w:rPr>
        <w:fldChar w:fldCharType="begin"/>
      </w:r>
      <w:r w:rsidRPr="005D7674">
        <w:rPr>
          <w:color w:val="auto"/>
        </w:rPr>
        <w:instrText xml:space="preserve"> SEQ Tabulka \* ARABIC </w:instrText>
      </w:r>
      <w:r w:rsidRPr="005D7674">
        <w:rPr>
          <w:color w:val="auto"/>
        </w:rPr>
        <w:fldChar w:fldCharType="separate"/>
      </w:r>
      <w:r w:rsidR="001E1A67">
        <w:rPr>
          <w:noProof/>
          <w:color w:val="auto"/>
        </w:rPr>
        <w:t>10</w:t>
      </w:r>
      <w:r w:rsidRPr="005D7674">
        <w:rPr>
          <w:noProof/>
          <w:color w:val="auto"/>
        </w:rPr>
        <w:fldChar w:fldCharType="end"/>
      </w:r>
      <w:r w:rsidRPr="005D7674">
        <w:rPr>
          <w:color w:val="auto"/>
        </w:rPr>
        <w:t>: OS – vyřizování civilních věcí dle krajů</w:t>
      </w:r>
      <w:bookmarkEnd w:id="147"/>
    </w:p>
    <w:tbl>
      <w:tblPr>
        <w:tblW w:w="9072" w:type="dxa"/>
        <w:tblCellMar>
          <w:left w:w="70" w:type="dxa"/>
          <w:right w:w="70" w:type="dxa"/>
        </w:tblCellMar>
        <w:tblLook w:val="04A0" w:firstRow="1" w:lastRow="0" w:firstColumn="1" w:lastColumn="0" w:noHBand="0" w:noVBand="1"/>
      </w:tblPr>
      <w:tblGrid>
        <w:gridCol w:w="2020"/>
        <w:gridCol w:w="1050"/>
        <w:gridCol w:w="774"/>
        <w:gridCol w:w="1076"/>
        <w:gridCol w:w="892"/>
        <w:gridCol w:w="1021"/>
        <w:gridCol w:w="822"/>
        <w:gridCol w:w="1417"/>
      </w:tblGrid>
      <w:tr w:rsidR="00F15667" w:rsidRPr="005D7674" w14:paraId="2174BBC3" w14:textId="77777777" w:rsidTr="00663D5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F13DC1E" w14:textId="77777777"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5635" w:type="dxa"/>
            <w:gridSpan w:val="6"/>
            <w:tcBorders>
              <w:top w:val="double" w:sz="6" w:space="0" w:color="auto"/>
              <w:left w:val="nil"/>
              <w:bottom w:val="nil"/>
              <w:right w:val="single" w:sz="4" w:space="0" w:color="000000"/>
            </w:tcBorders>
            <w:shd w:val="clear" w:color="auto" w:fill="auto"/>
            <w:noWrap/>
            <w:vAlign w:val="center"/>
            <w:hideMark/>
          </w:tcPr>
          <w:p w14:paraId="77F03A2B" w14:textId="77777777"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Počet věcí</w:t>
            </w:r>
          </w:p>
        </w:tc>
        <w:tc>
          <w:tcPr>
            <w:tcW w:w="1417" w:type="dxa"/>
            <w:vMerge w:val="restart"/>
            <w:tcBorders>
              <w:top w:val="double" w:sz="6" w:space="0" w:color="auto"/>
              <w:left w:val="nil"/>
              <w:bottom w:val="double" w:sz="6" w:space="0" w:color="000000"/>
              <w:right w:val="nil"/>
            </w:tcBorders>
            <w:shd w:val="clear" w:color="auto" w:fill="auto"/>
            <w:vAlign w:val="center"/>
            <w:hideMark/>
          </w:tcPr>
          <w:p w14:paraId="55F48A91" w14:textId="77777777"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Míra vyřizování</w:t>
            </w:r>
          </w:p>
        </w:tc>
      </w:tr>
      <w:tr w:rsidR="00F15667" w:rsidRPr="005D7674" w14:paraId="6EC4A5F2" w14:textId="77777777" w:rsidTr="00663D51">
        <w:trPr>
          <w:trHeight w:val="330"/>
        </w:trPr>
        <w:tc>
          <w:tcPr>
            <w:tcW w:w="2020" w:type="dxa"/>
            <w:vMerge/>
            <w:tcBorders>
              <w:top w:val="double" w:sz="6" w:space="0" w:color="auto"/>
              <w:left w:val="nil"/>
              <w:bottom w:val="double" w:sz="6" w:space="0" w:color="000000"/>
              <w:right w:val="nil"/>
            </w:tcBorders>
            <w:vAlign w:val="center"/>
            <w:hideMark/>
          </w:tcPr>
          <w:p w14:paraId="1653EE93" w14:textId="77777777" w:rsidR="00FA44FF" w:rsidRPr="005D7674" w:rsidRDefault="00FA44FF" w:rsidP="00663D51">
            <w:pPr>
              <w:spacing w:line="240" w:lineRule="auto"/>
              <w:jc w:val="center"/>
              <w:rPr>
                <w:rFonts w:eastAsia="Times New Roman"/>
                <w:b/>
                <w:bCs/>
                <w:szCs w:val="24"/>
                <w:lang w:eastAsia="cs-CZ"/>
              </w:rPr>
            </w:pPr>
          </w:p>
        </w:tc>
        <w:tc>
          <w:tcPr>
            <w:tcW w:w="1824" w:type="dxa"/>
            <w:gridSpan w:val="2"/>
            <w:tcBorders>
              <w:top w:val="nil"/>
              <w:left w:val="nil"/>
              <w:bottom w:val="double" w:sz="6" w:space="0" w:color="auto"/>
              <w:right w:val="nil"/>
            </w:tcBorders>
            <w:shd w:val="clear" w:color="auto" w:fill="auto"/>
            <w:noWrap/>
            <w:vAlign w:val="center"/>
            <w:hideMark/>
          </w:tcPr>
          <w:p w14:paraId="2CF442DD" w14:textId="77777777"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Nápad + obživa</w:t>
            </w:r>
          </w:p>
        </w:tc>
        <w:tc>
          <w:tcPr>
            <w:tcW w:w="196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1B5DA60" w14:textId="77777777"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noWrap/>
            <w:vAlign w:val="center"/>
            <w:hideMark/>
          </w:tcPr>
          <w:p w14:paraId="2887504B" w14:textId="77777777"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Nevyřízeno</w:t>
            </w:r>
          </w:p>
        </w:tc>
        <w:tc>
          <w:tcPr>
            <w:tcW w:w="1417" w:type="dxa"/>
            <w:vMerge/>
            <w:tcBorders>
              <w:top w:val="double" w:sz="6" w:space="0" w:color="auto"/>
              <w:left w:val="nil"/>
              <w:bottom w:val="double" w:sz="6" w:space="0" w:color="000000"/>
              <w:right w:val="nil"/>
            </w:tcBorders>
            <w:vAlign w:val="center"/>
            <w:hideMark/>
          </w:tcPr>
          <w:p w14:paraId="6A2028A8" w14:textId="77777777" w:rsidR="00FA44FF" w:rsidRPr="005D7674" w:rsidRDefault="00FA44FF" w:rsidP="00663D51">
            <w:pPr>
              <w:spacing w:line="240" w:lineRule="auto"/>
              <w:jc w:val="center"/>
              <w:rPr>
                <w:rFonts w:eastAsia="Times New Roman"/>
                <w:b/>
                <w:bCs/>
                <w:szCs w:val="24"/>
                <w:lang w:eastAsia="cs-CZ"/>
              </w:rPr>
            </w:pPr>
          </w:p>
        </w:tc>
      </w:tr>
      <w:tr w:rsidR="00F15667" w:rsidRPr="005D7674" w14:paraId="2552DBD6" w14:textId="77777777" w:rsidTr="00663D51">
        <w:trPr>
          <w:trHeight w:val="330"/>
        </w:trPr>
        <w:tc>
          <w:tcPr>
            <w:tcW w:w="2020" w:type="dxa"/>
            <w:tcBorders>
              <w:top w:val="single" w:sz="4" w:space="0" w:color="auto"/>
              <w:left w:val="nil"/>
              <w:bottom w:val="single" w:sz="4" w:space="0" w:color="auto"/>
              <w:right w:val="nil"/>
            </w:tcBorders>
            <w:shd w:val="clear" w:color="auto" w:fill="auto"/>
            <w:noWrap/>
            <w:vAlign w:val="center"/>
            <w:hideMark/>
          </w:tcPr>
          <w:p w14:paraId="091F2ADB" w14:textId="77777777" w:rsidR="00FA44FF" w:rsidRPr="005D7674" w:rsidRDefault="00FA44FF" w:rsidP="00663D51">
            <w:pPr>
              <w:spacing w:line="240" w:lineRule="auto"/>
              <w:jc w:val="left"/>
              <w:rPr>
                <w:rFonts w:eastAsia="Times New Roman"/>
                <w:szCs w:val="24"/>
                <w:lang w:eastAsia="cs-CZ"/>
              </w:rPr>
            </w:pPr>
            <w:r w:rsidRPr="005D7674">
              <w:rPr>
                <w:rFonts w:eastAsia="Times New Roman"/>
                <w:szCs w:val="24"/>
                <w:lang w:eastAsia="cs-CZ"/>
              </w:rPr>
              <w:t>MS Praha</w:t>
            </w:r>
          </w:p>
        </w:tc>
        <w:tc>
          <w:tcPr>
            <w:tcW w:w="1050" w:type="dxa"/>
            <w:tcBorders>
              <w:top w:val="single" w:sz="4" w:space="0" w:color="auto"/>
              <w:left w:val="nil"/>
              <w:bottom w:val="single" w:sz="4" w:space="0" w:color="auto"/>
              <w:right w:val="nil"/>
            </w:tcBorders>
            <w:shd w:val="clear" w:color="auto" w:fill="auto"/>
            <w:noWrap/>
            <w:vAlign w:val="center"/>
            <w:hideMark/>
          </w:tcPr>
          <w:p w14:paraId="0BBBC371" w14:textId="1D60A8C5"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58</w:t>
            </w:r>
            <w:r w:rsidR="00594B79" w:rsidRPr="005D7674">
              <w:rPr>
                <w:rFonts w:eastAsia="Times New Roman"/>
                <w:szCs w:val="24"/>
                <w:lang w:eastAsia="cs-CZ"/>
              </w:rPr>
              <w:t xml:space="preserve"> </w:t>
            </w:r>
            <w:r w:rsidRPr="005D7674">
              <w:rPr>
                <w:rFonts w:eastAsia="Times New Roman"/>
                <w:szCs w:val="24"/>
                <w:lang w:eastAsia="cs-CZ"/>
              </w:rPr>
              <w:t>456</w:t>
            </w:r>
          </w:p>
        </w:tc>
        <w:tc>
          <w:tcPr>
            <w:tcW w:w="774" w:type="dxa"/>
            <w:tcBorders>
              <w:top w:val="single" w:sz="4" w:space="0" w:color="auto"/>
              <w:left w:val="nil"/>
              <w:bottom w:val="single" w:sz="4" w:space="0" w:color="auto"/>
              <w:right w:val="nil"/>
            </w:tcBorders>
            <w:shd w:val="clear" w:color="auto" w:fill="auto"/>
            <w:noWrap/>
            <w:vAlign w:val="center"/>
            <w:hideMark/>
          </w:tcPr>
          <w:p w14:paraId="3D457C26" w14:textId="3C321B3B"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-10 %</w:t>
            </w:r>
          </w:p>
        </w:tc>
        <w:tc>
          <w:tcPr>
            <w:tcW w:w="1076" w:type="dxa"/>
            <w:tcBorders>
              <w:top w:val="single" w:sz="4" w:space="0" w:color="auto"/>
              <w:left w:val="single" w:sz="4" w:space="0" w:color="auto"/>
              <w:bottom w:val="single" w:sz="4" w:space="0" w:color="auto"/>
              <w:right w:val="nil"/>
            </w:tcBorders>
            <w:shd w:val="clear" w:color="auto" w:fill="auto"/>
            <w:noWrap/>
            <w:vAlign w:val="center"/>
            <w:hideMark/>
          </w:tcPr>
          <w:p w14:paraId="2DB89D31" w14:textId="7706B948"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64</w:t>
            </w:r>
            <w:r w:rsidR="00594B79" w:rsidRPr="005D7674">
              <w:rPr>
                <w:rFonts w:eastAsia="Times New Roman"/>
                <w:szCs w:val="24"/>
                <w:lang w:eastAsia="cs-CZ"/>
              </w:rPr>
              <w:t xml:space="preserve"> </w:t>
            </w:r>
            <w:r w:rsidRPr="005D7674">
              <w:rPr>
                <w:rFonts w:eastAsia="Times New Roman"/>
                <w:szCs w:val="24"/>
                <w:lang w:eastAsia="cs-CZ"/>
              </w:rPr>
              <w:t>814</w:t>
            </w:r>
          </w:p>
        </w:tc>
        <w:tc>
          <w:tcPr>
            <w:tcW w:w="892" w:type="dxa"/>
            <w:tcBorders>
              <w:top w:val="single" w:sz="4" w:space="0" w:color="auto"/>
              <w:left w:val="nil"/>
              <w:bottom w:val="single" w:sz="4" w:space="0" w:color="auto"/>
              <w:right w:val="single" w:sz="4" w:space="0" w:color="auto"/>
            </w:tcBorders>
            <w:shd w:val="clear" w:color="auto" w:fill="auto"/>
            <w:noWrap/>
            <w:vAlign w:val="center"/>
            <w:hideMark/>
          </w:tcPr>
          <w:p w14:paraId="1E731D0C" w14:textId="694B807F"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-10 %</w:t>
            </w:r>
          </w:p>
        </w:tc>
        <w:tc>
          <w:tcPr>
            <w:tcW w:w="1021" w:type="dxa"/>
            <w:tcBorders>
              <w:top w:val="single" w:sz="4" w:space="0" w:color="auto"/>
              <w:left w:val="nil"/>
              <w:bottom w:val="single" w:sz="4" w:space="0" w:color="auto"/>
              <w:right w:val="nil"/>
            </w:tcBorders>
            <w:shd w:val="clear" w:color="auto" w:fill="auto"/>
            <w:noWrap/>
            <w:vAlign w:val="center"/>
            <w:hideMark/>
          </w:tcPr>
          <w:p w14:paraId="412E0A55" w14:textId="67A540D1"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25</w:t>
            </w:r>
            <w:r w:rsidR="00594B79" w:rsidRPr="005D7674">
              <w:rPr>
                <w:rFonts w:eastAsia="Times New Roman"/>
                <w:szCs w:val="24"/>
                <w:lang w:eastAsia="cs-CZ"/>
              </w:rPr>
              <w:t xml:space="preserve"> </w:t>
            </w:r>
            <w:r w:rsidRPr="005D7674">
              <w:rPr>
                <w:rFonts w:eastAsia="Times New Roman"/>
                <w:szCs w:val="24"/>
                <w:lang w:eastAsia="cs-CZ"/>
              </w:rPr>
              <w:t>742</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1E4F48D4" w14:textId="108D6EB7"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-20 %</w:t>
            </w:r>
          </w:p>
        </w:tc>
        <w:tc>
          <w:tcPr>
            <w:tcW w:w="1417" w:type="dxa"/>
            <w:tcBorders>
              <w:top w:val="nil"/>
              <w:left w:val="nil"/>
              <w:bottom w:val="single" w:sz="4" w:space="0" w:color="auto"/>
              <w:right w:val="nil"/>
            </w:tcBorders>
            <w:shd w:val="clear" w:color="auto" w:fill="auto"/>
            <w:noWrap/>
            <w:vAlign w:val="center"/>
            <w:hideMark/>
          </w:tcPr>
          <w:p w14:paraId="62A9C0B5" w14:textId="0F6D53F3"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110</w:t>
            </w:r>
            <w:r w:rsidR="00594B79" w:rsidRPr="005D7674">
              <w:rPr>
                <w:rFonts w:eastAsia="Times New Roman"/>
                <w:szCs w:val="24"/>
                <w:lang w:eastAsia="cs-CZ"/>
              </w:rPr>
              <w:t>,</w:t>
            </w:r>
            <w:r w:rsidRPr="005D7674">
              <w:rPr>
                <w:rFonts w:eastAsia="Times New Roman"/>
                <w:szCs w:val="24"/>
                <w:lang w:eastAsia="cs-CZ"/>
              </w:rPr>
              <w:t>9 %</w:t>
            </w:r>
          </w:p>
        </w:tc>
      </w:tr>
      <w:tr w:rsidR="00F15667" w:rsidRPr="005D7674" w14:paraId="75A8FFBF" w14:textId="77777777" w:rsidTr="00663D51">
        <w:trPr>
          <w:trHeight w:val="315"/>
        </w:trPr>
        <w:tc>
          <w:tcPr>
            <w:tcW w:w="2020" w:type="dxa"/>
            <w:tcBorders>
              <w:top w:val="nil"/>
              <w:left w:val="nil"/>
              <w:bottom w:val="single" w:sz="4" w:space="0" w:color="auto"/>
              <w:right w:val="nil"/>
            </w:tcBorders>
            <w:shd w:val="clear" w:color="auto" w:fill="auto"/>
            <w:noWrap/>
            <w:vAlign w:val="center"/>
            <w:hideMark/>
          </w:tcPr>
          <w:p w14:paraId="76C872C9" w14:textId="77777777" w:rsidR="00FA44FF" w:rsidRPr="005D7674" w:rsidRDefault="00FA44FF" w:rsidP="00663D51">
            <w:pPr>
              <w:spacing w:line="240" w:lineRule="auto"/>
              <w:jc w:val="left"/>
              <w:rPr>
                <w:rFonts w:eastAsia="Times New Roman"/>
                <w:szCs w:val="24"/>
                <w:lang w:eastAsia="cs-CZ"/>
              </w:rPr>
            </w:pPr>
            <w:r w:rsidRPr="005D7674">
              <w:rPr>
                <w:rFonts w:eastAsia="Times New Roman"/>
                <w:szCs w:val="24"/>
                <w:lang w:eastAsia="cs-CZ"/>
              </w:rPr>
              <w:t>KS Praha</w:t>
            </w:r>
          </w:p>
        </w:tc>
        <w:tc>
          <w:tcPr>
            <w:tcW w:w="1050" w:type="dxa"/>
            <w:tcBorders>
              <w:top w:val="nil"/>
              <w:left w:val="nil"/>
              <w:bottom w:val="single" w:sz="4" w:space="0" w:color="auto"/>
              <w:right w:val="nil"/>
            </w:tcBorders>
            <w:shd w:val="clear" w:color="auto" w:fill="auto"/>
            <w:noWrap/>
            <w:vAlign w:val="center"/>
            <w:hideMark/>
          </w:tcPr>
          <w:p w14:paraId="02E88541" w14:textId="1E0C5664"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37</w:t>
            </w:r>
            <w:r w:rsidR="00594B79" w:rsidRPr="005D7674">
              <w:rPr>
                <w:rFonts w:eastAsia="Times New Roman"/>
                <w:szCs w:val="24"/>
                <w:lang w:eastAsia="cs-CZ"/>
              </w:rPr>
              <w:t xml:space="preserve"> </w:t>
            </w:r>
            <w:r w:rsidRPr="005D7674">
              <w:rPr>
                <w:rFonts w:eastAsia="Times New Roman"/>
                <w:szCs w:val="24"/>
                <w:lang w:eastAsia="cs-CZ"/>
              </w:rPr>
              <w:t>573</w:t>
            </w:r>
          </w:p>
        </w:tc>
        <w:tc>
          <w:tcPr>
            <w:tcW w:w="774" w:type="dxa"/>
            <w:tcBorders>
              <w:top w:val="nil"/>
              <w:left w:val="nil"/>
              <w:bottom w:val="single" w:sz="4" w:space="0" w:color="auto"/>
              <w:right w:val="nil"/>
            </w:tcBorders>
            <w:shd w:val="clear" w:color="auto" w:fill="auto"/>
            <w:noWrap/>
            <w:vAlign w:val="center"/>
            <w:hideMark/>
          </w:tcPr>
          <w:p w14:paraId="2D4CC862" w14:textId="1CDD2F82"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+3 %</w:t>
            </w:r>
          </w:p>
        </w:tc>
        <w:tc>
          <w:tcPr>
            <w:tcW w:w="1076" w:type="dxa"/>
            <w:tcBorders>
              <w:top w:val="nil"/>
              <w:left w:val="single" w:sz="4" w:space="0" w:color="auto"/>
              <w:bottom w:val="single" w:sz="4" w:space="0" w:color="auto"/>
              <w:right w:val="nil"/>
            </w:tcBorders>
            <w:shd w:val="clear" w:color="auto" w:fill="auto"/>
            <w:noWrap/>
            <w:vAlign w:val="center"/>
            <w:hideMark/>
          </w:tcPr>
          <w:p w14:paraId="75B0332A" w14:textId="48FA7800"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37</w:t>
            </w:r>
            <w:r w:rsidR="00594B79" w:rsidRPr="005D7674">
              <w:rPr>
                <w:rFonts w:eastAsia="Times New Roman"/>
                <w:szCs w:val="24"/>
                <w:lang w:eastAsia="cs-CZ"/>
              </w:rPr>
              <w:t xml:space="preserve"> </w:t>
            </w:r>
            <w:r w:rsidRPr="005D7674">
              <w:rPr>
                <w:rFonts w:eastAsia="Times New Roman"/>
                <w:szCs w:val="24"/>
                <w:lang w:eastAsia="cs-CZ"/>
              </w:rPr>
              <w:t>511</w:t>
            </w:r>
          </w:p>
        </w:tc>
        <w:tc>
          <w:tcPr>
            <w:tcW w:w="892" w:type="dxa"/>
            <w:tcBorders>
              <w:top w:val="nil"/>
              <w:left w:val="nil"/>
              <w:bottom w:val="single" w:sz="4" w:space="0" w:color="auto"/>
              <w:right w:val="single" w:sz="4" w:space="0" w:color="auto"/>
            </w:tcBorders>
            <w:shd w:val="clear" w:color="auto" w:fill="auto"/>
            <w:noWrap/>
            <w:vAlign w:val="center"/>
            <w:hideMark/>
          </w:tcPr>
          <w:p w14:paraId="03A7C1C1" w14:textId="6C745D93"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-0 %</w:t>
            </w:r>
          </w:p>
        </w:tc>
        <w:tc>
          <w:tcPr>
            <w:tcW w:w="1021" w:type="dxa"/>
            <w:tcBorders>
              <w:top w:val="nil"/>
              <w:left w:val="nil"/>
              <w:bottom w:val="single" w:sz="4" w:space="0" w:color="auto"/>
              <w:right w:val="nil"/>
            </w:tcBorders>
            <w:shd w:val="clear" w:color="auto" w:fill="auto"/>
            <w:noWrap/>
            <w:vAlign w:val="center"/>
            <w:hideMark/>
          </w:tcPr>
          <w:p w14:paraId="55C0C761" w14:textId="18495176"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9</w:t>
            </w:r>
            <w:r w:rsidR="00594B79" w:rsidRPr="005D7674">
              <w:rPr>
                <w:rFonts w:eastAsia="Times New Roman"/>
                <w:szCs w:val="24"/>
                <w:lang w:eastAsia="cs-CZ"/>
              </w:rPr>
              <w:t xml:space="preserve"> </w:t>
            </w:r>
            <w:r w:rsidRPr="005D7674">
              <w:rPr>
                <w:rFonts w:eastAsia="Times New Roman"/>
                <w:szCs w:val="24"/>
                <w:lang w:eastAsia="cs-CZ"/>
              </w:rPr>
              <w:t>277</w:t>
            </w:r>
          </w:p>
        </w:tc>
        <w:tc>
          <w:tcPr>
            <w:tcW w:w="822" w:type="dxa"/>
            <w:tcBorders>
              <w:top w:val="nil"/>
              <w:left w:val="nil"/>
              <w:bottom w:val="single" w:sz="4" w:space="0" w:color="auto"/>
              <w:right w:val="single" w:sz="4" w:space="0" w:color="auto"/>
            </w:tcBorders>
            <w:shd w:val="clear" w:color="auto" w:fill="auto"/>
            <w:noWrap/>
            <w:vAlign w:val="center"/>
            <w:hideMark/>
          </w:tcPr>
          <w:p w14:paraId="5FADABE7" w14:textId="4736B7F4"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1417" w:type="dxa"/>
            <w:tcBorders>
              <w:top w:val="nil"/>
              <w:left w:val="nil"/>
              <w:bottom w:val="single" w:sz="4" w:space="0" w:color="auto"/>
              <w:right w:val="nil"/>
            </w:tcBorders>
            <w:shd w:val="clear" w:color="auto" w:fill="auto"/>
            <w:noWrap/>
            <w:vAlign w:val="center"/>
            <w:hideMark/>
          </w:tcPr>
          <w:p w14:paraId="24A8AAB1" w14:textId="30BC313F"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99</w:t>
            </w:r>
            <w:r w:rsidR="00594B79" w:rsidRPr="005D7674">
              <w:rPr>
                <w:rFonts w:eastAsia="Times New Roman"/>
                <w:szCs w:val="24"/>
                <w:lang w:eastAsia="cs-CZ"/>
              </w:rPr>
              <w:t>,</w:t>
            </w:r>
            <w:r w:rsidRPr="005D7674">
              <w:rPr>
                <w:rFonts w:eastAsia="Times New Roman"/>
                <w:szCs w:val="24"/>
                <w:lang w:eastAsia="cs-CZ"/>
              </w:rPr>
              <w:t>8 %</w:t>
            </w:r>
          </w:p>
        </w:tc>
      </w:tr>
      <w:tr w:rsidR="00F15667" w:rsidRPr="005D7674" w14:paraId="1124E937" w14:textId="77777777" w:rsidTr="00663D51">
        <w:trPr>
          <w:trHeight w:val="315"/>
        </w:trPr>
        <w:tc>
          <w:tcPr>
            <w:tcW w:w="2020" w:type="dxa"/>
            <w:tcBorders>
              <w:top w:val="nil"/>
              <w:left w:val="nil"/>
              <w:bottom w:val="single" w:sz="4" w:space="0" w:color="auto"/>
              <w:right w:val="nil"/>
            </w:tcBorders>
            <w:shd w:val="clear" w:color="auto" w:fill="auto"/>
            <w:noWrap/>
            <w:vAlign w:val="center"/>
            <w:hideMark/>
          </w:tcPr>
          <w:p w14:paraId="6F682C1C" w14:textId="77777777" w:rsidR="00FA44FF" w:rsidRPr="005D7674" w:rsidRDefault="00FA44FF" w:rsidP="00663D51">
            <w:pPr>
              <w:spacing w:line="240" w:lineRule="auto"/>
              <w:jc w:val="left"/>
              <w:rPr>
                <w:rFonts w:eastAsia="Times New Roman"/>
                <w:szCs w:val="24"/>
                <w:lang w:eastAsia="cs-CZ"/>
              </w:rPr>
            </w:pPr>
            <w:r w:rsidRPr="005D7674">
              <w:rPr>
                <w:rFonts w:eastAsia="Times New Roman"/>
                <w:szCs w:val="24"/>
                <w:lang w:eastAsia="cs-CZ"/>
              </w:rPr>
              <w:t>KS Č. Budějovice</w:t>
            </w:r>
          </w:p>
        </w:tc>
        <w:tc>
          <w:tcPr>
            <w:tcW w:w="1050" w:type="dxa"/>
            <w:tcBorders>
              <w:top w:val="nil"/>
              <w:left w:val="nil"/>
              <w:bottom w:val="single" w:sz="4" w:space="0" w:color="auto"/>
              <w:right w:val="nil"/>
            </w:tcBorders>
            <w:shd w:val="clear" w:color="auto" w:fill="auto"/>
            <w:noWrap/>
            <w:vAlign w:val="center"/>
            <w:hideMark/>
          </w:tcPr>
          <w:p w14:paraId="0A711367" w14:textId="4F5792F8"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17</w:t>
            </w:r>
            <w:r w:rsidR="00594B79" w:rsidRPr="005D7674">
              <w:rPr>
                <w:rFonts w:eastAsia="Times New Roman"/>
                <w:szCs w:val="24"/>
                <w:lang w:eastAsia="cs-CZ"/>
              </w:rPr>
              <w:t xml:space="preserve"> </w:t>
            </w:r>
            <w:r w:rsidRPr="005D7674">
              <w:rPr>
                <w:rFonts w:eastAsia="Times New Roman"/>
                <w:szCs w:val="24"/>
                <w:lang w:eastAsia="cs-CZ"/>
              </w:rPr>
              <w:t>080</w:t>
            </w:r>
          </w:p>
        </w:tc>
        <w:tc>
          <w:tcPr>
            <w:tcW w:w="774" w:type="dxa"/>
            <w:tcBorders>
              <w:top w:val="nil"/>
              <w:left w:val="nil"/>
              <w:bottom w:val="single" w:sz="4" w:space="0" w:color="auto"/>
              <w:right w:val="nil"/>
            </w:tcBorders>
            <w:shd w:val="clear" w:color="auto" w:fill="auto"/>
            <w:noWrap/>
            <w:vAlign w:val="center"/>
            <w:hideMark/>
          </w:tcPr>
          <w:p w14:paraId="2F02192E" w14:textId="193BE6AE"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+9 %</w:t>
            </w:r>
          </w:p>
        </w:tc>
        <w:tc>
          <w:tcPr>
            <w:tcW w:w="1076" w:type="dxa"/>
            <w:tcBorders>
              <w:top w:val="nil"/>
              <w:left w:val="single" w:sz="4" w:space="0" w:color="auto"/>
              <w:bottom w:val="single" w:sz="4" w:space="0" w:color="auto"/>
              <w:right w:val="nil"/>
            </w:tcBorders>
            <w:shd w:val="clear" w:color="auto" w:fill="auto"/>
            <w:noWrap/>
            <w:vAlign w:val="center"/>
            <w:hideMark/>
          </w:tcPr>
          <w:p w14:paraId="7E8CCD7A" w14:textId="5A4B441C"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16</w:t>
            </w:r>
            <w:r w:rsidR="00594B79" w:rsidRPr="005D7674">
              <w:rPr>
                <w:rFonts w:eastAsia="Times New Roman"/>
                <w:szCs w:val="24"/>
                <w:lang w:eastAsia="cs-CZ"/>
              </w:rPr>
              <w:t xml:space="preserve"> </w:t>
            </w:r>
            <w:r w:rsidRPr="005D7674">
              <w:rPr>
                <w:rFonts w:eastAsia="Times New Roman"/>
                <w:szCs w:val="24"/>
                <w:lang w:eastAsia="cs-CZ"/>
              </w:rPr>
              <w:t>946</w:t>
            </w:r>
          </w:p>
        </w:tc>
        <w:tc>
          <w:tcPr>
            <w:tcW w:w="892" w:type="dxa"/>
            <w:tcBorders>
              <w:top w:val="nil"/>
              <w:left w:val="nil"/>
              <w:bottom w:val="single" w:sz="4" w:space="0" w:color="auto"/>
              <w:right w:val="single" w:sz="4" w:space="0" w:color="auto"/>
            </w:tcBorders>
            <w:shd w:val="clear" w:color="auto" w:fill="auto"/>
            <w:noWrap/>
            <w:vAlign w:val="center"/>
            <w:hideMark/>
          </w:tcPr>
          <w:p w14:paraId="7AB3C45E" w14:textId="2A0D6F4A"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+6 %</w:t>
            </w:r>
          </w:p>
        </w:tc>
        <w:tc>
          <w:tcPr>
            <w:tcW w:w="1021" w:type="dxa"/>
            <w:tcBorders>
              <w:top w:val="nil"/>
              <w:left w:val="nil"/>
              <w:bottom w:val="single" w:sz="4" w:space="0" w:color="auto"/>
              <w:right w:val="nil"/>
            </w:tcBorders>
            <w:shd w:val="clear" w:color="auto" w:fill="auto"/>
            <w:noWrap/>
            <w:vAlign w:val="center"/>
            <w:hideMark/>
          </w:tcPr>
          <w:p w14:paraId="5D813E83" w14:textId="3CF9B74B"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3</w:t>
            </w:r>
            <w:r w:rsidR="00594B79" w:rsidRPr="005D7674">
              <w:rPr>
                <w:rFonts w:eastAsia="Times New Roman"/>
                <w:szCs w:val="24"/>
                <w:lang w:eastAsia="cs-CZ"/>
              </w:rPr>
              <w:t xml:space="preserve"> </w:t>
            </w:r>
            <w:r w:rsidRPr="005D7674">
              <w:rPr>
                <w:rFonts w:eastAsia="Times New Roman"/>
                <w:szCs w:val="24"/>
                <w:lang w:eastAsia="cs-CZ"/>
              </w:rPr>
              <w:t>390</w:t>
            </w:r>
          </w:p>
        </w:tc>
        <w:tc>
          <w:tcPr>
            <w:tcW w:w="822" w:type="dxa"/>
            <w:tcBorders>
              <w:top w:val="nil"/>
              <w:left w:val="nil"/>
              <w:bottom w:val="single" w:sz="4" w:space="0" w:color="auto"/>
              <w:right w:val="single" w:sz="4" w:space="0" w:color="auto"/>
            </w:tcBorders>
            <w:shd w:val="clear" w:color="auto" w:fill="auto"/>
            <w:noWrap/>
            <w:vAlign w:val="center"/>
            <w:hideMark/>
          </w:tcPr>
          <w:p w14:paraId="424804E0" w14:textId="607327B2"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+4 %</w:t>
            </w:r>
          </w:p>
        </w:tc>
        <w:tc>
          <w:tcPr>
            <w:tcW w:w="1417" w:type="dxa"/>
            <w:tcBorders>
              <w:top w:val="nil"/>
              <w:left w:val="nil"/>
              <w:bottom w:val="single" w:sz="4" w:space="0" w:color="auto"/>
              <w:right w:val="nil"/>
            </w:tcBorders>
            <w:shd w:val="clear" w:color="auto" w:fill="auto"/>
            <w:noWrap/>
            <w:vAlign w:val="center"/>
            <w:hideMark/>
          </w:tcPr>
          <w:p w14:paraId="5FEFE4AF" w14:textId="1BBC062F"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99</w:t>
            </w:r>
            <w:r w:rsidR="00594B79" w:rsidRPr="005D7674">
              <w:rPr>
                <w:rFonts w:eastAsia="Times New Roman"/>
                <w:szCs w:val="24"/>
                <w:lang w:eastAsia="cs-CZ"/>
              </w:rPr>
              <w:t>,</w:t>
            </w:r>
            <w:r w:rsidRPr="005D7674">
              <w:rPr>
                <w:rFonts w:eastAsia="Times New Roman"/>
                <w:szCs w:val="24"/>
                <w:lang w:eastAsia="cs-CZ"/>
              </w:rPr>
              <w:t>2 %</w:t>
            </w:r>
          </w:p>
        </w:tc>
      </w:tr>
      <w:tr w:rsidR="00F15667" w:rsidRPr="005D7674" w14:paraId="6E336ED7" w14:textId="77777777" w:rsidTr="00663D51">
        <w:trPr>
          <w:trHeight w:val="315"/>
        </w:trPr>
        <w:tc>
          <w:tcPr>
            <w:tcW w:w="2020" w:type="dxa"/>
            <w:tcBorders>
              <w:top w:val="nil"/>
              <w:left w:val="nil"/>
              <w:bottom w:val="single" w:sz="4" w:space="0" w:color="auto"/>
              <w:right w:val="nil"/>
            </w:tcBorders>
            <w:shd w:val="clear" w:color="auto" w:fill="auto"/>
            <w:noWrap/>
            <w:vAlign w:val="center"/>
            <w:hideMark/>
          </w:tcPr>
          <w:p w14:paraId="50139C13" w14:textId="77777777" w:rsidR="00FA44FF" w:rsidRPr="005D7674" w:rsidRDefault="00FA44FF" w:rsidP="00663D51">
            <w:pPr>
              <w:spacing w:line="240" w:lineRule="auto"/>
              <w:jc w:val="left"/>
              <w:rPr>
                <w:rFonts w:eastAsia="Times New Roman"/>
                <w:szCs w:val="24"/>
                <w:lang w:eastAsia="cs-CZ"/>
              </w:rPr>
            </w:pPr>
            <w:r w:rsidRPr="005D7674">
              <w:rPr>
                <w:rFonts w:eastAsia="Times New Roman"/>
                <w:szCs w:val="24"/>
                <w:lang w:eastAsia="cs-CZ"/>
              </w:rPr>
              <w:t>KS Plzeň</w:t>
            </w:r>
          </w:p>
        </w:tc>
        <w:tc>
          <w:tcPr>
            <w:tcW w:w="1050" w:type="dxa"/>
            <w:tcBorders>
              <w:top w:val="nil"/>
              <w:left w:val="nil"/>
              <w:bottom w:val="single" w:sz="4" w:space="0" w:color="auto"/>
              <w:right w:val="nil"/>
            </w:tcBorders>
            <w:shd w:val="clear" w:color="auto" w:fill="auto"/>
            <w:noWrap/>
            <w:vAlign w:val="center"/>
            <w:hideMark/>
          </w:tcPr>
          <w:p w14:paraId="1B576E7B" w14:textId="3E094B58"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30</w:t>
            </w:r>
            <w:r w:rsidR="00594B79" w:rsidRPr="005D7674">
              <w:rPr>
                <w:rFonts w:eastAsia="Times New Roman"/>
                <w:szCs w:val="24"/>
                <w:lang w:eastAsia="cs-CZ"/>
              </w:rPr>
              <w:t xml:space="preserve"> </w:t>
            </w:r>
            <w:r w:rsidRPr="005D7674">
              <w:rPr>
                <w:rFonts w:eastAsia="Times New Roman"/>
                <w:szCs w:val="24"/>
                <w:lang w:eastAsia="cs-CZ"/>
              </w:rPr>
              <w:t>541</w:t>
            </w:r>
          </w:p>
        </w:tc>
        <w:tc>
          <w:tcPr>
            <w:tcW w:w="774" w:type="dxa"/>
            <w:tcBorders>
              <w:top w:val="nil"/>
              <w:left w:val="nil"/>
              <w:bottom w:val="single" w:sz="4" w:space="0" w:color="auto"/>
              <w:right w:val="nil"/>
            </w:tcBorders>
            <w:shd w:val="clear" w:color="auto" w:fill="auto"/>
            <w:noWrap/>
            <w:vAlign w:val="center"/>
            <w:hideMark/>
          </w:tcPr>
          <w:p w14:paraId="0436158A" w14:textId="3CC6D23F"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+9 %</w:t>
            </w:r>
          </w:p>
        </w:tc>
        <w:tc>
          <w:tcPr>
            <w:tcW w:w="1076" w:type="dxa"/>
            <w:tcBorders>
              <w:top w:val="nil"/>
              <w:left w:val="single" w:sz="4" w:space="0" w:color="auto"/>
              <w:bottom w:val="single" w:sz="4" w:space="0" w:color="auto"/>
              <w:right w:val="nil"/>
            </w:tcBorders>
            <w:shd w:val="clear" w:color="auto" w:fill="auto"/>
            <w:noWrap/>
            <w:vAlign w:val="center"/>
            <w:hideMark/>
          </w:tcPr>
          <w:p w14:paraId="29E51318" w14:textId="1ABAE7E7"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30</w:t>
            </w:r>
            <w:r w:rsidR="00594B79" w:rsidRPr="005D7674">
              <w:rPr>
                <w:rFonts w:eastAsia="Times New Roman"/>
                <w:szCs w:val="24"/>
                <w:lang w:eastAsia="cs-CZ"/>
              </w:rPr>
              <w:t xml:space="preserve"> </w:t>
            </w:r>
            <w:r w:rsidRPr="005D7674">
              <w:rPr>
                <w:rFonts w:eastAsia="Times New Roman"/>
                <w:szCs w:val="24"/>
                <w:lang w:eastAsia="cs-CZ"/>
              </w:rPr>
              <w:t>389</w:t>
            </w:r>
          </w:p>
        </w:tc>
        <w:tc>
          <w:tcPr>
            <w:tcW w:w="892" w:type="dxa"/>
            <w:tcBorders>
              <w:top w:val="nil"/>
              <w:left w:val="nil"/>
              <w:bottom w:val="single" w:sz="4" w:space="0" w:color="auto"/>
              <w:right w:val="single" w:sz="4" w:space="0" w:color="auto"/>
            </w:tcBorders>
            <w:shd w:val="clear" w:color="auto" w:fill="auto"/>
            <w:noWrap/>
            <w:vAlign w:val="center"/>
            <w:hideMark/>
          </w:tcPr>
          <w:p w14:paraId="541A4FE4" w14:textId="327C9B05"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+7 %</w:t>
            </w:r>
          </w:p>
        </w:tc>
        <w:tc>
          <w:tcPr>
            <w:tcW w:w="1021" w:type="dxa"/>
            <w:tcBorders>
              <w:top w:val="nil"/>
              <w:left w:val="nil"/>
              <w:bottom w:val="single" w:sz="4" w:space="0" w:color="auto"/>
              <w:right w:val="nil"/>
            </w:tcBorders>
            <w:shd w:val="clear" w:color="auto" w:fill="auto"/>
            <w:noWrap/>
            <w:vAlign w:val="center"/>
            <w:hideMark/>
          </w:tcPr>
          <w:p w14:paraId="1077C54F" w14:textId="069F89C1"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8</w:t>
            </w:r>
            <w:r w:rsidR="00594B79" w:rsidRPr="005D7674">
              <w:rPr>
                <w:rFonts w:eastAsia="Times New Roman"/>
                <w:szCs w:val="24"/>
                <w:lang w:eastAsia="cs-CZ"/>
              </w:rPr>
              <w:t xml:space="preserve"> </w:t>
            </w:r>
            <w:r w:rsidRPr="005D7674">
              <w:rPr>
                <w:rFonts w:eastAsia="Times New Roman"/>
                <w:szCs w:val="24"/>
                <w:lang w:eastAsia="cs-CZ"/>
              </w:rPr>
              <w:t>841</w:t>
            </w:r>
          </w:p>
        </w:tc>
        <w:tc>
          <w:tcPr>
            <w:tcW w:w="822" w:type="dxa"/>
            <w:tcBorders>
              <w:top w:val="nil"/>
              <w:left w:val="nil"/>
              <w:bottom w:val="single" w:sz="4" w:space="0" w:color="auto"/>
              <w:right w:val="single" w:sz="4" w:space="0" w:color="auto"/>
            </w:tcBorders>
            <w:shd w:val="clear" w:color="auto" w:fill="auto"/>
            <w:noWrap/>
            <w:vAlign w:val="center"/>
            <w:hideMark/>
          </w:tcPr>
          <w:p w14:paraId="5DD91541" w14:textId="7153EA60"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+2 %</w:t>
            </w:r>
          </w:p>
        </w:tc>
        <w:tc>
          <w:tcPr>
            <w:tcW w:w="1417" w:type="dxa"/>
            <w:tcBorders>
              <w:top w:val="nil"/>
              <w:left w:val="nil"/>
              <w:bottom w:val="single" w:sz="4" w:space="0" w:color="auto"/>
              <w:right w:val="nil"/>
            </w:tcBorders>
            <w:shd w:val="clear" w:color="auto" w:fill="auto"/>
            <w:noWrap/>
            <w:vAlign w:val="center"/>
            <w:hideMark/>
          </w:tcPr>
          <w:p w14:paraId="6C11493C" w14:textId="37C8DC93"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99</w:t>
            </w:r>
            <w:r w:rsidR="00594B79" w:rsidRPr="005D7674">
              <w:rPr>
                <w:rFonts w:eastAsia="Times New Roman"/>
                <w:szCs w:val="24"/>
                <w:lang w:eastAsia="cs-CZ"/>
              </w:rPr>
              <w:t>,</w:t>
            </w:r>
            <w:r w:rsidRPr="005D7674">
              <w:rPr>
                <w:rFonts w:eastAsia="Times New Roman"/>
                <w:szCs w:val="24"/>
                <w:lang w:eastAsia="cs-CZ"/>
              </w:rPr>
              <w:t>5 %</w:t>
            </w:r>
          </w:p>
        </w:tc>
      </w:tr>
      <w:tr w:rsidR="00F15667" w:rsidRPr="005D7674" w14:paraId="41E0E84F" w14:textId="77777777" w:rsidTr="00663D51">
        <w:trPr>
          <w:trHeight w:val="315"/>
        </w:trPr>
        <w:tc>
          <w:tcPr>
            <w:tcW w:w="2020" w:type="dxa"/>
            <w:tcBorders>
              <w:top w:val="nil"/>
              <w:left w:val="nil"/>
              <w:bottom w:val="single" w:sz="4" w:space="0" w:color="auto"/>
              <w:right w:val="nil"/>
            </w:tcBorders>
            <w:shd w:val="clear" w:color="auto" w:fill="auto"/>
            <w:noWrap/>
            <w:vAlign w:val="center"/>
            <w:hideMark/>
          </w:tcPr>
          <w:p w14:paraId="46302B9C" w14:textId="77777777" w:rsidR="00FA44FF" w:rsidRPr="005D7674" w:rsidRDefault="00FA44FF" w:rsidP="00663D51">
            <w:pPr>
              <w:spacing w:line="240" w:lineRule="auto"/>
              <w:jc w:val="left"/>
              <w:rPr>
                <w:rFonts w:eastAsia="Times New Roman"/>
                <w:szCs w:val="24"/>
                <w:lang w:eastAsia="cs-CZ"/>
              </w:rPr>
            </w:pPr>
            <w:r w:rsidRPr="005D7674">
              <w:rPr>
                <w:rFonts w:eastAsia="Times New Roman"/>
                <w:szCs w:val="24"/>
                <w:lang w:eastAsia="cs-CZ"/>
              </w:rPr>
              <w:t>KS Ústí n. Labem</w:t>
            </w:r>
          </w:p>
        </w:tc>
        <w:tc>
          <w:tcPr>
            <w:tcW w:w="1050" w:type="dxa"/>
            <w:tcBorders>
              <w:top w:val="nil"/>
              <w:left w:val="nil"/>
              <w:bottom w:val="single" w:sz="4" w:space="0" w:color="auto"/>
              <w:right w:val="nil"/>
            </w:tcBorders>
            <w:shd w:val="clear" w:color="auto" w:fill="auto"/>
            <w:noWrap/>
            <w:vAlign w:val="center"/>
            <w:hideMark/>
          </w:tcPr>
          <w:p w14:paraId="4105E31A" w14:textId="70A3725F"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49</w:t>
            </w:r>
            <w:r w:rsidR="00594B79" w:rsidRPr="005D7674">
              <w:rPr>
                <w:rFonts w:eastAsia="Times New Roman"/>
                <w:szCs w:val="24"/>
                <w:lang w:eastAsia="cs-CZ"/>
              </w:rPr>
              <w:t xml:space="preserve"> </w:t>
            </w:r>
            <w:r w:rsidRPr="005D7674">
              <w:rPr>
                <w:rFonts w:eastAsia="Times New Roman"/>
                <w:szCs w:val="24"/>
                <w:lang w:eastAsia="cs-CZ"/>
              </w:rPr>
              <w:t>359</w:t>
            </w:r>
          </w:p>
        </w:tc>
        <w:tc>
          <w:tcPr>
            <w:tcW w:w="774" w:type="dxa"/>
            <w:tcBorders>
              <w:top w:val="nil"/>
              <w:left w:val="nil"/>
              <w:bottom w:val="single" w:sz="4" w:space="0" w:color="auto"/>
              <w:right w:val="nil"/>
            </w:tcBorders>
            <w:shd w:val="clear" w:color="auto" w:fill="auto"/>
            <w:noWrap/>
            <w:vAlign w:val="center"/>
            <w:hideMark/>
          </w:tcPr>
          <w:p w14:paraId="19E637B6" w14:textId="3B5363BB"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+3 %</w:t>
            </w:r>
          </w:p>
        </w:tc>
        <w:tc>
          <w:tcPr>
            <w:tcW w:w="1076" w:type="dxa"/>
            <w:tcBorders>
              <w:top w:val="nil"/>
              <w:left w:val="single" w:sz="4" w:space="0" w:color="auto"/>
              <w:bottom w:val="single" w:sz="4" w:space="0" w:color="auto"/>
              <w:right w:val="nil"/>
            </w:tcBorders>
            <w:shd w:val="clear" w:color="auto" w:fill="auto"/>
            <w:noWrap/>
            <w:vAlign w:val="center"/>
            <w:hideMark/>
          </w:tcPr>
          <w:p w14:paraId="2FF3FDBC" w14:textId="1355D15A"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49</w:t>
            </w:r>
            <w:r w:rsidR="00594B79" w:rsidRPr="005D7674">
              <w:rPr>
                <w:rFonts w:eastAsia="Times New Roman"/>
                <w:szCs w:val="24"/>
                <w:lang w:eastAsia="cs-CZ"/>
              </w:rPr>
              <w:t xml:space="preserve"> </w:t>
            </w:r>
            <w:r w:rsidRPr="005D7674">
              <w:rPr>
                <w:rFonts w:eastAsia="Times New Roman"/>
                <w:szCs w:val="24"/>
                <w:lang w:eastAsia="cs-CZ"/>
              </w:rPr>
              <w:t>934</w:t>
            </w:r>
          </w:p>
        </w:tc>
        <w:tc>
          <w:tcPr>
            <w:tcW w:w="892" w:type="dxa"/>
            <w:tcBorders>
              <w:top w:val="nil"/>
              <w:left w:val="nil"/>
              <w:bottom w:val="single" w:sz="4" w:space="0" w:color="auto"/>
              <w:right w:val="single" w:sz="4" w:space="0" w:color="auto"/>
            </w:tcBorders>
            <w:shd w:val="clear" w:color="auto" w:fill="auto"/>
            <w:noWrap/>
            <w:vAlign w:val="center"/>
            <w:hideMark/>
          </w:tcPr>
          <w:p w14:paraId="3E59ED1D" w14:textId="0925C458"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-2 %</w:t>
            </w:r>
          </w:p>
        </w:tc>
        <w:tc>
          <w:tcPr>
            <w:tcW w:w="1021" w:type="dxa"/>
            <w:tcBorders>
              <w:top w:val="nil"/>
              <w:left w:val="nil"/>
              <w:bottom w:val="single" w:sz="4" w:space="0" w:color="auto"/>
              <w:right w:val="nil"/>
            </w:tcBorders>
            <w:shd w:val="clear" w:color="auto" w:fill="auto"/>
            <w:noWrap/>
            <w:vAlign w:val="center"/>
            <w:hideMark/>
          </w:tcPr>
          <w:p w14:paraId="1AEA46E2" w14:textId="41CA19AD"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17</w:t>
            </w:r>
            <w:r w:rsidR="00594B79" w:rsidRPr="005D7674">
              <w:rPr>
                <w:rFonts w:eastAsia="Times New Roman"/>
                <w:szCs w:val="24"/>
                <w:lang w:eastAsia="cs-CZ"/>
              </w:rPr>
              <w:t xml:space="preserve"> </w:t>
            </w:r>
            <w:r w:rsidRPr="005D7674">
              <w:rPr>
                <w:rFonts w:eastAsia="Times New Roman"/>
                <w:szCs w:val="24"/>
                <w:lang w:eastAsia="cs-CZ"/>
              </w:rPr>
              <w:t>693</w:t>
            </w:r>
          </w:p>
        </w:tc>
        <w:tc>
          <w:tcPr>
            <w:tcW w:w="822" w:type="dxa"/>
            <w:tcBorders>
              <w:top w:val="nil"/>
              <w:left w:val="nil"/>
              <w:bottom w:val="single" w:sz="4" w:space="0" w:color="auto"/>
              <w:right w:val="single" w:sz="4" w:space="0" w:color="auto"/>
            </w:tcBorders>
            <w:shd w:val="clear" w:color="auto" w:fill="auto"/>
            <w:noWrap/>
            <w:vAlign w:val="center"/>
            <w:hideMark/>
          </w:tcPr>
          <w:p w14:paraId="28ADFB4F" w14:textId="08EA1B6B"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-3 %</w:t>
            </w:r>
          </w:p>
        </w:tc>
        <w:tc>
          <w:tcPr>
            <w:tcW w:w="1417" w:type="dxa"/>
            <w:tcBorders>
              <w:top w:val="nil"/>
              <w:left w:val="nil"/>
              <w:bottom w:val="single" w:sz="4" w:space="0" w:color="auto"/>
              <w:right w:val="nil"/>
            </w:tcBorders>
            <w:shd w:val="clear" w:color="auto" w:fill="auto"/>
            <w:noWrap/>
            <w:vAlign w:val="center"/>
            <w:hideMark/>
          </w:tcPr>
          <w:p w14:paraId="358EC9CF" w14:textId="235FABBF"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101</w:t>
            </w:r>
            <w:r w:rsidR="00594B79" w:rsidRPr="005D7674">
              <w:rPr>
                <w:rFonts w:eastAsia="Times New Roman"/>
                <w:szCs w:val="24"/>
                <w:lang w:eastAsia="cs-CZ"/>
              </w:rPr>
              <w:t>,</w:t>
            </w:r>
            <w:r w:rsidRPr="005D7674">
              <w:rPr>
                <w:rFonts w:eastAsia="Times New Roman"/>
                <w:szCs w:val="24"/>
                <w:lang w:eastAsia="cs-CZ"/>
              </w:rPr>
              <w:t>2 %</w:t>
            </w:r>
          </w:p>
        </w:tc>
      </w:tr>
      <w:tr w:rsidR="00F15667" w:rsidRPr="005D7674" w14:paraId="2F62BF3E" w14:textId="77777777" w:rsidTr="00663D51">
        <w:trPr>
          <w:trHeight w:val="315"/>
        </w:trPr>
        <w:tc>
          <w:tcPr>
            <w:tcW w:w="2020" w:type="dxa"/>
            <w:tcBorders>
              <w:top w:val="nil"/>
              <w:left w:val="nil"/>
              <w:bottom w:val="single" w:sz="4" w:space="0" w:color="auto"/>
              <w:right w:val="nil"/>
            </w:tcBorders>
            <w:shd w:val="clear" w:color="auto" w:fill="auto"/>
            <w:noWrap/>
            <w:vAlign w:val="center"/>
            <w:hideMark/>
          </w:tcPr>
          <w:p w14:paraId="6C3CFDEE" w14:textId="77777777" w:rsidR="00FA44FF" w:rsidRPr="005D7674" w:rsidRDefault="00FA44FF" w:rsidP="00663D51">
            <w:pPr>
              <w:spacing w:line="240" w:lineRule="auto"/>
              <w:jc w:val="left"/>
              <w:rPr>
                <w:rFonts w:eastAsia="Times New Roman"/>
                <w:szCs w:val="24"/>
                <w:lang w:eastAsia="cs-CZ"/>
              </w:rPr>
            </w:pPr>
            <w:r w:rsidRPr="005D7674">
              <w:rPr>
                <w:rFonts w:eastAsia="Times New Roman"/>
                <w:szCs w:val="24"/>
                <w:lang w:eastAsia="cs-CZ"/>
              </w:rPr>
              <w:t>KS Hr. Králové</w:t>
            </w:r>
          </w:p>
        </w:tc>
        <w:tc>
          <w:tcPr>
            <w:tcW w:w="1050" w:type="dxa"/>
            <w:tcBorders>
              <w:top w:val="nil"/>
              <w:left w:val="nil"/>
              <w:bottom w:val="single" w:sz="4" w:space="0" w:color="auto"/>
              <w:right w:val="nil"/>
            </w:tcBorders>
            <w:shd w:val="clear" w:color="auto" w:fill="auto"/>
            <w:noWrap/>
            <w:vAlign w:val="center"/>
            <w:hideMark/>
          </w:tcPr>
          <w:p w14:paraId="7AE68E7D" w14:textId="13BD345E"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27</w:t>
            </w:r>
            <w:r w:rsidR="00594B79" w:rsidRPr="005D7674">
              <w:rPr>
                <w:rFonts w:eastAsia="Times New Roman"/>
                <w:szCs w:val="24"/>
                <w:lang w:eastAsia="cs-CZ"/>
              </w:rPr>
              <w:t xml:space="preserve"> </w:t>
            </w:r>
            <w:r w:rsidRPr="005D7674">
              <w:rPr>
                <w:rFonts w:eastAsia="Times New Roman"/>
                <w:szCs w:val="24"/>
                <w:lang w:eastAsia="cs-CZ"/>
              </w:rPr>
              <w:t>751</w:t>
            </w:r>
          </w:p>
        </w:tc>
        <w:tc>
          <w:tcPr>
            <w:tcW w:w="774" w:type="dxa"/>
            <w:tcBorders>
              <w:top w:val="nil"/>
              <w:left w:val="nil"/>
              <w:bottom w:val="single" w:sz="4" w:space="0" w:color="auto"/>
              <w:right w:val="nil"/>
            </w:tcBorders>
            <w:shd w:val="clear" w:color="auto" w:fill="auto"/>
            <w:noWrap/>
            <w:vAlign w:val="center"/>
            <w:hideMark/>
          </w:tcPr>
          <w:p w14:paraId="79F55B80" w14:textId="182A9B3C"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+8 %</w:t>
            </w:r>
          </w:p>
        </w:tc>
        <w:tc>
          <w:tcPr>
            <w:tcW w:w="1076" w:type="dxa"/>
            <w:tcBorders>
              <w:top w:val="nil"/>
              <w:left w:val="single" w:sz="4" w:space="0" w:color="auto"/>
              <w:bottom w:val="single" w:sz="4" w:space="0" w:color="auto"/>
              <w:right w:val="nil"/>
            </w:tcBorders>
            <w:shd w:val="clear" w:color="auto" w:fill="auto"/>
            <w:noWrap/>
            <w:vAlign w:val="center"/>
            <w:hideMark/>
          </w:tcPr>
          <w:p w14:paraId="54C434B6" w14:textId="6F8E9FBF"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26</w:t>
            </w:r>
            <w:r w:rsidR="00594B79" w:rsidRPr="005D7674">
              <w:rPr>
                <w:rFonts w:eastAsia="Times New Roman"/>
                <w:szCs w:val="24"/>
                <w:lang w:eastAsia="cs-CZ"/>
              </w:rPr>
              <w:t xml:space="preserve"> </w:t>
            </w:r>
            <w:r w:rsidRPr="005D7674">
              <w:rPr>
                <w:rFonts w:eastAsia="Times New Roman"/>
                <w:szCs w:val="24"/>
                <w:lang w:eastAsia="cs-CZ"/>
              </w:rPr>
              <w:t>924</w:t>
            </w:r>
          </w:p>
        </w:tc>
        <w:tc>
          <w:tcPr>
            <w:tcW w:w="892" w:type="dxa"/>
            <w:tcBorders>
              <w:top w:val="nil"/>
              <w:left w:val="nil"/>
              <w:bottom w:val="single" w:sz="4" w:space="0" w:color="auto"/>
              <w:right w:val="single" w:sz="4" w:space="0" w:color="auto"/>
            </w:tcBorders>
            <w:shd w:val="clear" w:color="auto" w:fill="auto"/>
            <w:noWrap/>
            <w:vAlign w:val="center"/>
            <w:hideMark/>
          </w:tcPr>
          <w:p w14:paraId="062703A9" w14:textId="35920B96"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+2 %</w:t>
            </w:r>
          </w:p>
        </w:tc>
        <w:tc>
          <w:tcPr>
            <w:tcW w:w="1021" w:type="dxa"/>
            <w:tcBorders>
              <w:top w:val="nil"/>
              <w:left w:val="nil"/>
              <w:bottom w:val="single" w:sz="4" w:space="0" w:color="auto"/>
              <w:right w:val="nil"/>
            </w:tcBorders>
            <w:shd w:val="clear" w:color="auto" w:fill="auto"/>
            <w:noWrap/>
            <w:vAlign w:val="center"/>
            <w:hideMark/>
          </w:tcPr>
          <w:p w14:paraId="21C42032" w14:textId="2ED053E8"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8</w:t>
            </w:r>
            <w:r w:rsidR="00594B79" w:rsidRPr="005D7674">
              <w:rPr>
                <w:rFonts w:eastAsia="Times New Roman"/>
                <w:szCs w:val="24"/>
                <w:lang w:eastAsia="cs-CZ"/>
              </w:rPr>
              <w:t xml:space="preserve"> </w:t>
            </w:r>
            <w:r w:rsidRPr="005D7674">
              <w:rPr>
                <w:rFonts w:eastAsia="Times New Roman"/>
                <w:szCs w:val="24"/>
                <w:lang w:eastAsia="cs-CZ"/>
              </w:rPr>
              <w:t>838</w:t>
            </w:r>
          </w:p>
        </w:tc>
        <w:tc>
          <w:tcPr>
            <w:tcW w:w="822" w:type="dxa"/>
            <w:tcBorders>
              <w:top w:val="nil"/>
              <w:left w:val="nil"/>
              <w:bottom w:val="single" w:sz="4" w:space="0" w:color="auto"/>
              <w:right w:val="single" w:sz="4" w:space="0" w:color="auto"/>
            </w:tcBorders>
            <w:shd w:val="clear" w:color="auto" w:fill="auto"/>
            <w:noWrap/>
            <w:vAlign w:val="center"/>
            <w:hideMark/>
          </w:tcPr>
          <w:p w14:paraId="7C13E1AC" w14:textId="3ED35B93"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+10 %</w:t>
            </w:r>
          </w:p>
        </w:tc>
        <w:tc>
          <w:tcPr>
            <w:tcW w:w="1417" w:type="dxa"/>
            <w:tcBorders>
              <w:top w:val="nil"/>
              <w:left w:val="nil"/>
              <w:bottom w:val="single" w:sz="4" w:space="0" w:color="auto"/>
              <w:right w:val="nil"/>
            </w:tcBorders>
            <w:shd w:val="clear" w:color="auto" w:fill="auto"/>
            <w:noWrap/>
            <w:vAlign w:val="center"/>
            <w:hideMark/>
          </w:tcPr>
          <w:p w14:paraId="21C57694" w14:textId="62AA501E"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97</w:t>
            </w:r>
            <w:r w:rsidR="00594B79" w:rsidRPr="005D7674">
              <w:rPr>
                <w:rFonts w:eastAsia="Times New Roman"/>
                <w:szCs w:val="24"/>
                <w:lang w:eastAsia="cs-CZ"/>
              </w:rPr>
              <w:t>,</w:t>
            </w:r>
            <w:r w:rsidRPr="005D7674">
              <w:rPr>
                <w:rFonts w:eastAsia="Times New Roman"/>
                <w:szCs w:val="24"/>
                <w:lang w:eastAsia="cs-CZ"/>
              </w:rPr>
              <w:t>0 %</w:t>
            </w:r>
          </w:p>
        </w:tc>
      </w:tr>
      <w:tr w:rsidR="00F15667" w:rsidRPr="005D7674" w14:paraId="6221461A" w14:textId="77777777" w:rsidTr="00663D51">
        <w:trPr>
          <w:trHeight w:val="315"/>
        </w:trPr>
        <w:tc>
          <w:tcPr>
            <w:tcW w:w="2020" w:type="dxa"/>
            <w:tcBorders>
              <w:top w:val="nil"/>
              <w:left w:val="nil"/>
              <w:bottom w:val="single" w:sz="4" w:space="0" w:color="auto"/>
              <w:right w:val="nil"/>
            </w:tcBorders>
            <w:shd w:val="clear" w:color="auto" w:fill="auto"/>
            <w:noWrap/>
            <w:vAlign w:val="center"/>
            <w:hideMark/>
          </w:tcPr>
          <w:p w14:paraId="7A4F7F31" w14:textId="77777777" w:rsidR="00FA44FF" w:rsidRPr="005D7674" w:rsidRDefault="00FA44FF" w:rsidP="00663D51">
            <w:pPr>
              <w:spacing w:line="240" w:lineRule="auto"/>
              <w:jc w:val="left"/>
              <w:rPr>
                <w:rFonts w:eastAsia="Times New Roman"/>
                <w:szCs w:val="24"/>
                <w:lang w:eastAsia="cs-CZ"/>
              </w:rPr>
            </w:pPr>
            <w:r w:rsidRPr="005D7674">
              <w:rPr>
                <w:rFonts w:eastAsia="Times New Roman"/>
                <w:szCs w:val="24"/>
                <w:lang w:eastAsia="cs-CZ"/>
              </w:rPr>
              <w:t>KS Brno</w:t>
            </w:r>
          </w:p>
        </w:tc>
        <w:tc>
          <w:tcPr>
            <w:tcW w:w="1050" w:type="dxa"/>
            <w:tcBorders>
              <w:top w:val="nil"/>
              <w:left w:val="nil"/>
              <w:bottom w:val="single" w:sz="4" w:space="0" w:color="auto"/>
              <w:right w:val="nil"/>
            </w:tcBorders>
            <w:shd w:val="clear" w:color="auto" w:fill="auto"/>
            <w:noWrap/>
            <w:vAlign w:val="center"/>
            <w:hideMark/>
          </w:tcPr>
          <w:p w14:paraId="56CF7A8D" w14:textId="419F5DB3"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42</w:t>
            </w:r>
            <w:r w:rsidR="00594B79" w:rsidRPr="005D7674">
              <w:rPr>
                <w:rFonts w:eastAsia="Times New Roman"/>
                <w:szCs w:val="24"/>
                <w:lang w:eastAsia="cs-CZ"/>
              </w:rPr>
              <w:t xml:space="preserve"> </w:t>
            </w:r>
            <w:r w:rsidRPr="005D7674">
              <w:rPr>
                <w:rFonts w:eastAsia="Times New Roman"/>
                <w:szCs w:val="24"/>
                <w:lang w:eastAsia="cs-CZ"/>
              </w:rPr>
              <w:t>706</w:t>
            </w:r>
          </w:p>
        </w:tc>
        <w:tc>
          <w:tcPr>
            <w:tcW w:w="774" w:type="dxa"/>
            <w:tcBorders>
              <w:top w:val="nil"/>
              <w:left w:val="nil"/>
              <w:bottom w:val="single" w:sz="4" w:space="0" w:color="auto"/>
              <w:right w:val="nil"/>
            </w:tcBorders>
            <w:shd w:val="clear" w:color="auto" w:fill="auto"/>
            <w:noWrap/>
            <w:vAlign w:val="center"/>
            <w:hideMark/>
          </w:tcPr>
          <w:p w14:paraId="709D67E2" w14:textId="4D6CE753"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1076" w:type="dxa"/>
            <w:tcBorders>
              <w:top w:val="nil"/>
              <w:left w:val="single" w:sz="4" w:space="0" w:color="auto"/>
              <w:bottom w:val="single" w:sz="4" w:space="0" w:color="auto"/>
              <w:right w:val="nil"/>
            </w:tcBorders>
            <w:shd w:val="clear" w:color="auto" w:fill="auto"/>
            <w:noWrap/>
            <w:vAlign w:val="center"/>
            <w:hideMark/>
          </w:tcPr>
          <w:p w14:paraId="61A7422F" w14:textId="235801DE"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43</w:t>
            </w:r>
            <w:r w:rsidR="00594B79" w:rsidRPr="005D7674">
              <w:rPr>
                <w:rFonts w:eastAsia="Times New Roman"/>
                <w:szCs w:val="24"/>
                <w:lang w:eastAsia="cs-CZ"/>
              </w:rPr>
              <w:t xml:space="preserve"> </w:t>
            </w:r>
            <w:r w:rsidRPr="005D7674">
              <w:rPr>
                <w:rFonts w:eastAsia="Times New Roman"/>
                <w:szCs w:val="24"/>
                <w:lang w:eastAsia="cs-CZ"/>
              </w:rPr>
              <w:t>651</w:t>
            </w:r>
          </w:p>
        </w:tc>
        <w:tc>
          <w:tcPr>
            <w:tcW w:w="892" w:type="dxa"/>
            <w:tcBorders>
              <w:top w:val="nil"/>
              <w:left w:val="nil"/>
              <w:bottom w:val="single" w:sz="4" w:space="0" w:color="auto"/>
              <w:right w:val="single" w:sz="4" w:space="0" w:color="auto"/>
            </w:tcBorders>
            <w:shd w:val="clear" w:color="auto" w:fill="auto"/>
            <w:noWrap/>
            <w:vAlign w:val="center"/>
            <w:hideMark/>
          </w:tcPr>
          <w:p w14:paraId="68A2F34B" w14:textId="65F33B95"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1021" w:type="dxa"/>
            <w:tcBorders>
              <w:top w:val="nil"/>
              <w:left w:val="nil"/>
              <w:bottom w:val="single" w:sz="4" w:space="0" w:color="auto"/>
              <w:right w:val="nil"/>
            </w:tcBorders>
            <w:shd w:val="clear" w:color="auto" w:fill="auto"/>
            <w:noWrap/>
            <w:vAlign w:val="center"/>
            <w:hideMark/>
          </w:tcPr>
          <w:p w14:paraId="4E5C6581" w14:textId="6D86A646"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19</w:t>
            </w:r>
            <w:r w:rsidR="00594B79" w:rsidRPr="005D7674">
              <w:rPr>
                <w:rFonts w:eastAsia="Times New Roman"/>
                <w:szCs w:val="24"/>
                <w:lang w:eastAsia="cs-CZ"/>
              </w:rPr>
              <w:t xml:space="preserve"> </w:t>
            </w:r>
            <w:r w:rsidRPr="005D7674">
              <w:rPr>
                <w:rFonts w:eastAsia="Times New Roman"/>
                <w:szCs w:val="24"/>
                <w:lang w:eastAsia="cs-CZ"/>
              </w:rPr>
              <w:t>534</w:t>
            </w:r>
          </w:p>
        </w:tc>
        <w:tc>
          <w:tcPr>
            <w:tcW w:w="822" w:type="dxa"/>
            <w:tcBorders>
              <w:top w:val="nil"/>
              <w:left w:val="nil"/>
              <w:bottom w:val="single" w:sz="4" w:space="0" w:color="auto"/>
              <w:right w:val="single" w:sz="4" w:space="0" w:color="auto"/>
            </w:tcBorders>
            <w:shd w:val="clear" w:color="auto" w:fill="auto"/>
            <w:noWrap/>
            <w:vAlign w:val="center"/>
            <w:hideMark/>
          </w:tcPr>
          <w:p w14:paraId="49AED6DC" w14:textId="3F41BA91"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-5 %</w:t>
            </w:r>
          </w:p>
        </w:tc>
        <w:tc>
          <w:tcPr>
            <w:tcW w:w="1417" w:type="dxa"/>
            <w:tcBorders>
              <w:top w:val="nil"/>
              <w:left w:val="nil"/>
              <w:bottom w:val="single" w:sz="4" w:space="0" w:color="auto"/>
              <w:right w:val="nil"/>
            </w:tcBorders>
            <w:shd w:val="clear" w:color="auto" w:fill="auto"/>
            <w:noWrap/>
            <w:vAlign w:val="center"/>
            <w:hideMark/>
          </w:tcPr>
          <w:p w14:paraId="53759D52" w14:textId="3FC5A4AD"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102</w:t>
            </w:r>
            <w:r w:rsidR="00594B79" w:rsidRPr="005D7674">
              <w:rPr>
                <w:rFonts w:eastAsia="Times New Roman"/>
                <w:szCs w:val="24"/>
                <w:lang w:eastAsia="cs-CZ"/>
              </w:rPr>
              <w:t>,</w:t>
            </w:r>
            <w:r w:rsidRPr="005D7674">
              <w:rPr>
                <w:rFonts w:eastAsia="Times New Roman"/>
                <w:szCs w:val="24"/>
                <w:lang w:eastAsia="cs-CZ"/>
              </w:rPr>
              <w:t>2 %</w:t>
            </w:r>
          </w:p>
        </w:tc>
      </w:tr>
      <w:tr w:rsidR="00F15667" w:rsidRPr="005D7674" w14:paraId="15ADB2D2" w14:textId="77777777" w:rsidTr="00663D51">
        <w:trPr>
          <w:trHeight w:val="330"/>
        </w:trPr>
        <w:tc>
          <w:tcPr>
            <w:tcW w:w="2020" w:type="dxa"/>
            <w:tcBorders>
              <w:top w:val="nil"/>
              <w:left w:val="nil"/>
              <w:bottom w:val="double" w:sz="6" w:space="0" w:color="auto"/>
              <w:right w:val="nil"/>
            </w:tcBorders>
            <w:shd w:val="clear" w:color="auto" w:fill="auto"/>
            <w:noWrap/>
            <w:vAlign w:val="center"/>
            <w:hideMark/>
          </w:tcPr>
          <w:p w14:paraId="318B4231" w14:textId="77777777" w:rsidR="00FA44FF" w:rsidRPr="005D7674" w:rsidRDefault="00FA44FF" w:rsidP="00663D51">
            <w:pPr>
              <w:spacing w:line="240" w:lineRule="auto"/>
              <w:jc w:val="left"/>
              <w:rPr>
                <w:rFonts w:eastAsia="Times New Roman"/>
                <w:szCs w:val="24"/>
                <w:lang w:eastAsia="cs-CZ"/>
              </w:rPr>
            </w:pPr>
            <w:r w:rsidRPr="005D7674">
              <w:rPr>
                <w:rFonts w:eastAsia="Times New Roman"/>
                <w:szCs w:val="24"/>
                <w:lang w:eastAsia="cs-CZ"/>
              </w:rPr>
              <w:t>KS Ostrava</w:t>
            </w:r>
          </w:p>
        </w:tc>
        <w:tc>
          <w:tcPr>
            <w:tcW w:w="1050" w:type="dxa"/>
            <w:tcBorders>
              <w:top w:val="nil"/>
              <w:left w:val="nil"/>
              <w:bottom w:val="double" w:sz="6" w:space="0" w:color="auto"/>
              <w:right w:val="nil"/>
            </w:tcBorders>
            <w:shd w:val="clear" w:color="auto" w:fill="auto"/>
            <w:noWrap/>
            <w:vAlign w:val="center"/>
            <w:hideMark/>
          </w:tcPr>
          <w:p w14:paraId="4677171C" w14:textId="36E9CD19"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48</w:t>
            </w:r>
            <w:r w:rsidR="00594B79" w:rsidRPr="005D7674">
              <w:rPr>
                <w:rFonts w:eastAsia="Times New Roman"/>
                <w:szCs w:val="24"/>
                <w:lang w:eastAsia="cs-CZ"/>
              </w:rPr>
              <w:t xml:space="preserve"> </w:t>
            </w:r>
            <w:r w:rsidRPr="005D7674">
              <w:rPr>
                <w:rFonts w:eastAsia="Times New Roman"/>
                <w:szCs w:val="24"/>
                <w:lang w:eastAsia="cs-CZ"/>
              </w:rPr>
              <w:t>707</w:t>
            </w:r>
          </w:p>
        </w:tc>
        <w:tc>
          <w:tcPr>
            <w:tcW w:w="774" w:type="dxa"/>
            <w:tcBorders>
              <w:top w:val="nil"/>
              <w:left w:val="nil"/>
              <w:bottom w:val="double" w:sz="6" w:space="0" w:color="auto"/>
              <w:right w:val="nil"/>
            </w:tcBorders>
            <w:shd w:val="clear" w:color="auto" w:fill="auto"/>
            <w:noWrap/>
            <w:vAlign w:val="center"/>
            <w:hideMark/>
          </w:tcPr>
          <w:p w14:paraId="61BE67AF" w14:textId="579F14AE"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1076" w:type="dxa"/>
            <w:tcBorders>
              <w:top w:val="nil"/>
              <w:left w:val="single" w:sz="4" w:space="0" w:color="auto"/>
              <w:bottom w:val="double" w:sz="6" w:space="0" w:color="auto"/>
              <w:right w:val="nil"/>
            </w:tcBorders>
            <w:shd w:val="clear" w:color="auto" w:fill="auto"/>
            <w:noWrap/>
            <w:vAlign w:val="center"/>
            <w:hideMark/>
          </w:tcPr>
          <w:p w14:paraId="609C8E99" w14:textId="00DBF524"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48</w:t>
            </w:r>
            <w:r w:rsidR="00594B79" w:rsidRPr="005D7674">
              <w:rPr>
                <w:rFonts w:eastAsia="Times New Roman"/>
                <w:szCs w:val="24"/>
                <w:lang w:eastAsia="cs-CZ"/>
              </w:rPr>
              <w:t xml:space="preserve"> </w:t>
            </w:r>
            <w:r w:rsidRPr="005D7674">
              <w:rPr>
                <w:rFonts w:eastAsia="Times New Roman"/>
                <w:szCs w:val="24"/>
                <w:lang w:eastAsia="cs-CZ"/>
              </w:rPr>
              <w:t>881</w:t>
            </w:r>
          </w:p>
        </w:tc>
        <w:tc>
          <w:tcPr>
            <w:tcW w:w="892" w:type="dxa"/>
            <w:tcBorders>
              <w:top w:val="nil"/>
              <w:left w:val="nil"/>
              <w:bottom w:val="double" w:sz="6" w:space="0" w:color="auto"/>
              <w:right w:val="single" w:sz="4" w:space="0" w:color="auto"/>
            </w:tcBorders>
            <w:shd w:val="clear" w:color="auto" w:fill="auto"/>
            <w:noWrap/>
            <w:vAlign w:val="center"/>
            <w:hideMark/>
          </w:tcPr>
          <w:p w14:paraId="71175E3E" w14:textId="0CE94668"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+2 %</w:t>
            </w:r>
          </w:p>
        </w:tc>
        <w:tc>
          <w:tcPr>
            <w:tcW w:w="1021" w:type="dxa"/>
            <w:tcBorders>
              <w:top w:val="nil"/>
              <w:left w:val="nil"/>
              <w:bottom w:val="double" w:sz="6" w:space="0" w:color="auto"/>
              <w:right w:val="nil"/>
            </w:tcBorders>
            <w:shd w:val="clear" w:color="auto" w:fill="auto"/>
            <w:noWrap/>
            <w:vAlign w:val="center"/>
            <w:hideMark/>
          </w:tcPr>
          <w:p w14:paraId="2887687C" w14:textId="18CA635E"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18</w:t>
            </w:r>
            <w:r w:rsidR="00594B79" w:rsidRPr="005D7674">
              <w:rPr>
                <w:rFonts w:eastAsia="Times New Roman"/>
                <w:szCs w:val="24"/>
                <w:lang w:eastAsia="cs-CZ"/>
              </w:rPr>
              <w:t xml:space="preserve"> </w:t>
            </w:r>
            <w:r w:rsidRPr="005D7674">
              <w:rPr>
                <w:rFonts w:eastAsia="Times New Roman"/>
                <w:szCs w:val="24"/>
                <w:lang w:eastAsia="cs-CZ"/>
              </w:rPr>
              <w:t>273</w:t>
            </w:r>
          </w:p>
        </w:tc>
        <w:tc>
          <w:tcPr>
            <w:tcW w:w="822" w:type="dxa"/>
            <w:tcBorders>
              <w:top w:val="nil"/>
              <w:left w:val="nil"/>
              <w:bottom w:val="double" w:sz="6" w:space="0" w:color="auto"/>
              <w:right w:val="single" w:sz="4" w:space="0" w:color="auto"/>
            </w:tcBorders>
            <w:shd w:val="clear" w:color="auto" w:fill="auto"/>
            <w:noWrap/>
            <w:vAlign w:val="center"/>
            <w:hideMark/>
          </w:tcPr>
          <w:p w14:paraId="6DC02F8A" w14:textId="6C3ECC89" w:rsidR="00FA44FF" w:rsidRPr="005D7674" w:rsidRDefault="00FA44FF" w:rsidP="00663D51">
            <w:pPr>
              <w:spacing w:line="240" w:lineRule="auto"/>
              <w:jc w:val="center"/>
              <w:rPr>
                <w:rFonts w:eastAsia="Times New Roman"/>
                <w:sz w:val="20"/>
                <w:szCs w:val="20"/>
                <w:lang w:eastAsia="cs-CZ"/>
              </w:rPr>
            </w:pPr>
            <w:r w:rsidRPr="005D7674">
              <w:rPr>
                <w:rFonts w:eastAsia="Times New Roman"/>
                <w:sz w:val="20"/>
                <w:szCs w:val="20"/>
                <w:lang w:eastAsia="cs-CZ"/>
              </w:rPr>
              <w:t>-1 %</w:t>
            </w:r>
          </w:p>
        </w:tc>
        <w:tc>
          <w:tcPr>
            <w:tcW w:w="1417" w:type="dxa"/>
            <w:tcBorders>
              <w:top w:val="nil"/>
              <w:left w:val="nil"/>
              <w:bottom w:val="nil"/>
              <w:right w:val="nil"/>
            </w:tcBorders>
            <w:shd w:val="clear" w:color="auto" w:fill="auto"/>
            <w:noWrap/>
            <w:vAlign w:val="center"/>
            <w:hideMark/>
          </w:tcPr>
          <w:p w14:paraId="00ECC0D1" w14:textId="3E5D0D3D" w:rsidR="00FA44FF" w:rsidRPr="005D7674" w:rsidRDefault="00FA44FF" w:rsidP="00663D51">
            <w:pPr>
              <w:spacing w:line="240" w:lineRule="auto"/>
              <w:jc w:val="center"/>
              <w:rPr>
                <w:rFonts w:eastAsia="Times New Roman"/>
                <w:szCs w:val="24"/>
                <w:lang w:eastAsia="cs-CZ"/>
              </w:rPr>
            </w:pPr>
            <w:r w:rsidRPr="005D7674">
              <w:rPr>
                <w:rFonts w:eastAsia="Times New Roman"/>
                <w:szCs w:val="24"/>
                <w:lang w:eastAsia="cs-CZ"/>
              </w:rPr>
              <w:t>100</w:t>
            </w:r>
            <w:r w:rsidR="00594B79" w:rsidRPr="005D7674">
              <w:rPr>
                <w:rFonts w:eastAsia="Times New Roman"/>
                <w:szCs w:val="24"/>
                <w:lang w:eastAsia="cs-CZ"/>
              </w:rPr>
              <w:t>,</w:t>
            </w:r>
            <w:r w:rsidRPr="005D7674">
              <w:rPr>
                <w:rFonts w:eastAsia="Times New Roman"/>
                <w:szCs w:val="24"/>
                <w:lang w:eastAsia="cs-CZ"/>
              </w:rPr>
              <w:t>4 %</w:t>
            </w:r>
          </w:p>
        </w:tc>
      </w:tr>
      <w:tr w:rsidR="00F15667" w:rsidRPr="005D7674" w14:paraId="31F4FA3F" w14:textId="77777777" w:rsidTr="00663D51">
        <w:trPr>
          <w:trHeight w:val="345"/>
        </w:trPr>
        <w:tc>
          <w:tcPr>
            <w:tcW w:w="2020" w:type="dxa"/>
            <w:tcBorders>
              <w:top w:val="nil"/>
              <w:left w:val="nil"/>
              <w:bottom w:val="double" w:sz="6" w:space="0" w:color="auto"/>
              <w:right w:val="nil"/>
            </w:tcBorders>
            <w:shd w:val="clear" w:color="auto" w:fill="auto"/>
            <w:noWrap/>
            <w:vAlign w:val="center"/>
            <w:hideMark/>
          </w:tcPr>
          <w:p w14:paraId="43B1F22A" w14:textId="77777777" w:rsidR="00FA44FF" w:rsidRPr="005D7674" w:rsidRDefault="00FA44FF" w:rsidP="00663D51">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050" w:type="dxa"/>
            <w:tcBorders>
              <w:top w:val="nil"/>
              <w:left w:val="nil"/>
              <w:bottom w:val="double" w:sz="6" w:space="0" w:color="auto"/>
              <w:right w:val="nil"/>
            </w:tcBorders>
            <w:shd w:val="clear" w:color="auto" w:fill="auto"/>
            <w:noWrap/>
            <w:vAlign w:val="center"/>
            <w:hideMark/>
          </w:tcPr>
          <w:p w14:paraId="1CA40C5D" w14:textId="14F67EF4"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312</w:t>
            </w:r>
            <w:r w:rsidR="00594B79" w:rsidRPr="005D7674">
              <w:rPr>
                <w:rFonts w:eastAsia="Times New Roman"/>
                <w:b/>
                <w:bCs/>
                <w:szCs w:val="24"/>
                <w:lang w:eastAsia="cs-CZ"/>
              </w:rPr>
              <w:t xml:space="preserve"> </w:t>
            </w:r>
            <w:r w:rsidRPr="005D7674">
              <w:rPr>
                <w:rFonts w:eastAsia="Times New Roman"/>
                <w:b/>
                <w:bCs/>
                <w:szCs w:val="24"/>
                <w:lang w:eastAsia="cs-CZ"/>
              </w:rPr>
              <w:t>173</w:t>
            </w:r>
          </w:p>
        </w:tc>
        <w:tc>
          <w:tcPr>
            <w:tcW w:w="774" w:type="dxa"/>
            <w:tcBorders>
              <w:top w:val="nil"/>
              <w:left w:val="nil"/>
              <w:bottom w:val="double" w:sz="6" w:space="0" w:color="auto"/>
              <w:right w:val="nil"/>
            </w:tcBorders>
            <w:shd w:val="clear" w:color="auto" w:fill="auto"/>
            <w:noWrap/>
            <w:vAlign w:val="center"/>
            <w:hideMark/>
          </w:tcPr>
          <w:p w14:paraId="5C7B1883" w14:textId="40398BEC" w:rsidR="00FA44FF" w:rsidRPr="005D7674" w:rsidRDefault="00FA44FF" w:rsidP="00663D51">
            <w:pPr>
              <w:spacing w:line="240" w:lineRule="auto"/>
              <w:jc w:val="center"/>
              <w:rPr>
                <w:rFonts w:eastAsia="Times New Roman"/>
                <w:b/>
                <w:bCs/>
                <w:sz w:val="20"/>
                <w:szCs w:val="20"/>
                <w:lang w:eastAsia="cs-CZ"/>
              </w:rPr>
            </w:pPr>
            <w:r w:rsidRPr="005D7674">
              <w:rPr>
                <w:rFonts w:eastAsia="Times New Roman"/>
                <w:b/>
                <w:bCs/>
                <w:sz w:val="20"/>
                <w:szCs w:val="20"/>
                <w:lang w:eastAsia="cs-CZ"/>
              </w:rPr>
              <w:t>+1 %</w:t>
            </w:r>
          </w:p>
        </w:tc>
        <w:tc>
          <w:tcPr>
            <w:tcW w:w="1076" w:type="dxa"/>
            <w:tcBorders>
              <w:top w:val="nil"/>
              <w:left w:val="single" w:sz="4" w:space="0" w:color="auto"/>
              <w:bottom w:val="double" w:sz="6" w:space="0" w:color="auto"/>
              <w:right w:val="nil"/>
            </w:tcBorders>
            <w:shd w:val="clear" w:color="auto" w:fill="auto"/>
            <w:noWrap/>
            <w:vAlign w:val="center"/>
            <w:hideMark/>
          </w:tcPr>
          <w:p w14:paraId="7968336D" w14:textId="0640DBFA"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319</w:t>
            </w:r>
            <w:r w:rsidR="00594B79" w:rsidRPr="005D7674">
              <w:rPr>
                <w:rFonts w:eastAsia="Times New Roman"/>
                <w:b/>
                <w:bCs/>
                <w:szCs w:val="24"/>
                <w:lang w:eastAsia="cs-CZ"/>
              </w:rPr>
              <w:t xml:space="preserve"> </w:t>
            </w:r>
            <w:r w:rsidRPr="005D7674">
              <w:rPr>
                <w:rFonts w:eastAsia="Times New Roman"/>
                <w:b/>
                <w:bCs/>
                <w:szCs w:val="24"/>
                <w:lang w:eastAsia="cs-CZ"/>
              </w:rPr>
              <w:t>050</w:t>
            </w:r>
          </w:p>
        </w:tc>
        <w:tc>
          <w:tcPr>
            <w:tcW w:w="892" w:type="dxa"/>
            <w:tcBorders>
              <w:top w:val="nil"/>
              <w:left w:val="nil"/>
              <w:bottom w:val="double" w:sz="6" w:space="0" w:color="auto"/>
              <w:right w:val="single" w:sz="4" w:space="0" w:color="auto"/>
            </w:tcBorders>
            <w:shd w:val="clear" w:color="auto" w:fill="auto"/>
            <w:noWrap/>
            <w:vAlign w:val="center"/>
            <w:hideMark/>
          </w:tcPr>
          <w:p w14:paraId="2D89D4A2" w14:textId="7AB9A2CA" w:rsidR="00FA44FF" w:rsidRPr="005D7674" w:rsidRDefault="00FA44FF" w:rsidP="00663D51">
            <w:pPr>
              <w:spacing w:line="240" w:lineRule="auto"/>
              <w:jc w:val="center"/>
              <w:rPr>
                <w:rFonts w:eastAsia="Times New Roman"/>
                <w:b/>
                <w:bCs/>
                <w:sz w:val="20"/>
                <w:szCs w:val="20"/>
                <w:lang w:eastAsia="cs-CZ"/>
              </w:rPr>
            </w:pPr>
            <w:r w:rsidRPr="005D7674">
              <w:rPr>
                <w:rFonts w:eastAsia="Times New Roman"/>
                <w:b/>
                <w:bCs/>
                <w:sz w:val="20"/>
                <w:szCs w:val="20"/>
                <w:lang w:eastAsia="cs-CZ"/>
              </w:rPr>
              <w:t>-1 %</w:t>
            </w:r>
          </w:p>
        </w:tc>
        <w:tc>
          <w:tcPr>
            <w:tcW w:w="1021" w:type="dxa"/>
            <w:tcBorders>
              <w:top w:val="nil"/>
              <w:left w:val="nil"/>
              <w:bottom w:val="double" w:sz="6" w:space="0" w:color="auto"/>
              <w:right w:val="nil"/>
            </w:tcBorders>
            <w:shd w:val="clear" w:color="auto" w:fill="auto"/>
            <w:noWrap/>
            <w:vAlign w:val="center"/>
            <w:hideMark/>
          </w:tcPr>
          <w:p w14:paraId="1BAF2465" w14:textId="429F66AC"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111</w:t>
            </w:r>
            <w:r w:rsidR="00594B79" w:rsidRPr="005D7674">
              <w:rPr>
                <w:rFonts w:eastAsia="Times New Roman"/>
                <w:b/>
                <w:bCs/>
                <w:szCs w:val="24"/>
                <w:lang w:eastAsia="cs-CZ"/>
              </w:rPr>
              <w:t xml:space="preserve"> </w:t>
            </w:r>
            <w:r w:rsidRPr="005D7674">
              <w:rPr>
                <w:rFonts w:eastAsia="Times New Roman"/>
                <w:b/>
                <w:bCs/>
                <w:szCs w:val="24"/>
                <w:lang w:eastAsia="cs-CZ"/>
              </w:rPr>
              <w:t>588</w:t>
            </w:r>
          </w:p>
        </w:tc>
        <w:tc>
          <w:tcPr>
            <w:tcW w:w="822" w:type="dxa"/>
            <w:tcBorders>
              <w:top w:val="nil"/>
              <w:left w:val="nil"/>
              <w:bottom w:val="double" w:sz="6" w:space="0" w:color="auto"/>
              <w:right w:val="single" w:sz="4" w:space="0" w:color="auto"/>
            </w:tcBorders>
            <w:shd w:val="clear" w:color="auto" w:fill="auto"/>
            <w:noWrap/>
            <w:vAlign w:val="center"/>
            <w:hideMark/>
          </w:tcPr>
          <w:p w14:paraId="2913EC7E" w14:textId="3EA71937" w:rsidR="00FA44FF" w:rsidRPr="005D7674" w:rsidRDefault="00FA44FF" w:rsidP="00663D51">
            <w:pPr>
              <w:spacing w:line="240" w:lineRule="auto"/>
              <w:jc w:val="center"/>
              <w:rPr>
                <w:rFonts w:eastAsia="Times New Roman"/>
                <w:b/>
                <w:bCs/>
                <w:sz w:val="20"/>
                <w:szCs w:val="20"/>
                <w:lang w:eastAsia="cs-CZ"/>
              </w:rPr>
            </w:pPr>
            <w:r w:rsidRPr="005D7674">
              <w:rPr>
                <w:rFonts w:eastAsia="Times New Roman"/>
                <w:b/>
                <w:bCs/>
                <w:sz w:val="20"/>
                <w:szCs w:val="20"/>
                <w:lang w:eastAsia="cs-CZ"/>
              </w:rPr>
              <w:t>-6 %</w:t>
            </w:r>
          </w:p>
        </w:tc>
        <w:tc>
          <w:tcPr>
            <w:tcW w:w="1417" w:type="dxa"/>
            <w:tcBorders>
              <w:top w:val="double" w:sz="6" w:space="0" w:color="auto"/>
              <w:left w:val="nil"/>
              <w:bottom w:val="double" w:sz="6" w:space="0" w:color="auto"/>
              <w:right w:val="nil"/>
            </w:tcBorders>
            <w:shd w:val="clear" w:color="auto" w:fill="auto"/>
            <w:noWrap/>
            <w:vAlign w:val="center"/>
            <w:hideMark/>
          </w:tcPr>
          <w:p w14:paraId="7C646148" w14:textId="61D52519" w:rsidR="00FA44FF" w:rsidRPr="005D7674" w:rsidRDefault="00FA44FF" w:rsidP="00663D51">
            <w:pPr>
              <w:spacing w:line="240" w:lineRule="auto"/>
              <w:jc w:val="center"/>
              <w:rPr>
                <w:rFonts w:eastAsia="Times New Roman"/>
                <w:b/>
                <w:bCs/>
                <w:szCs w:val="24"/>
                <w:lang w:eastAsia="cs-CZ"/>
              </w:rPr>
            </w:pPr>
            <w:r w:rsidRPr="005D7674">
              <w:rPr>
                <w:rFonts w:eastAsia="Times New Roman"/>
                <w:b/>
                <w:bCs/>
                <w:szCs w:val="24"/>
                <w:lang w:eastAsia="cs-CZ"/>
              </w:rPr>
              <w:t>102</w:t>
            </w:r>
            <w:r w:rsidR="00594B79" w:rsidRPr="005D7674">
              <w:rPr>
                <w:rFonts w:eastAsia="Times New Roman"/>
                <w:b/>
                <w:bCs/>
                <w:szCs w:val="24"/>
                <w:lang w:eastAsia="cs-CZ"/>
              </w:rPr>
              <w:t>,</w:t>
            </w:r>
            <w:r w:rsidRPr="005D7674">
              <w:rPr>
                <w:rFonts w:eastAsia="Times New Roman"/>
                <w:b/>
                <w:bCs/>
                <w:szCs w:val="24"/>
                <w:lang w:eastAsia="cs-CZ"/>
              </w:rPr>
              <w:t>2 %</w:t>
            </w:r>
          </w:p>
        </w:tc>
      </w:tr>
      <w:tr w:rsidR="00F15667" w:rsidRPr="005D7674" w14:paraId="3A61992F" w14:textId="77777777" w:rsidTr="00663D51">
        <w:trPr>
          <w:trHeight w:val="330"/>
        </w:trPr>
        <w:tc>
          <w:tcPr>
            <w:tcW w:w="2020" w:type="dxa"/>
            <w:tcBorders>
              <w:top w:val="nil"/>
              <w:left w:val="nil"/>
              <w:bottom w:val="nil"/>
              <w:right w:val="nil"/>
            </w:tcBorders>
            <w:shd w:val="clear" w:color="auto" w:fill="auto"/>
            <w:noWrap/>
            <w:vAlign w:val="center"/>
            <w:hideMark/>
          </w:tcPr>
          <w:p w14:paraId="1E311CBA" w14:textId="77777777" w:rsidR="00FA44FF" w:rsidRPr="005D7674" w:rsidRDefault="00FA44FF" w:rsidP="00663D51">
            <w:pPr>
              <w:spacing w:line="240" w:lineRule="auto"/>
              <w:jc w:val="center"/>
              <w:rPr>
                <w:rFonts w:eastAsia="Times New Roman"/>
                <w:b/>
                <w:bCs/>
                <w:szCs w:val="24"/>
                <w:lang w:eastAsia="cs-CZ"/>
              </w:rPr>
            </w:pPr>
          </w:p>
        </w:tc>
        <w:tc>
          <w:tcPr>
            <w:tcW w:w="1050" w:type="dxa"/>
            <w:tcBorders>
              <w:top w:val="nil"/>
              <w:left w:val="nil"/>
              <w:bottom w:val="nil"/>
              <w:right w:val="nil"/>
            </w:tcBorders>
            <w:shd w:val="clear" w:color="auto" w:fill="auto"/>
            <w:noWrap/>
            <w:vAlign w:val="center"/>
            <w:hideMark/>
          </w:tcPr>
          <w:p w14:paraId="5D27DD3E" w14:textId="77777777" w:rsidR="00FA44FF" w:rsidRPr="005D7674" w:rsidRDefault="00FA44FF" w:rsidP="00663D51">
            <w:pPr>
              <w:spacing w:line="240" w:lineRule="auto"/>
              <w:jc w:val="center"/>
              <w:rPr>
                <w:rFonts w:eastAsia="Times New Roman"/>
                <w:sz w:val="20"/>
                <w:szCs w:val="20"/>
                <w:lang w:eastAsia="cs-CZ"/>
              </w:rPr>
            </w:pPr>
          </w:p>
        </w:tc>
        <w:tc>
          <w:tcPr>
            <w:tcW w:w="774" w:type="dxa"/>
            <w:tcBorders>
              <w:top w:val="nil"/>
              <w:left w:val="nil"/>
              <w:bottom w:val="nil"/>
              <w:right w:val="nil"/>
            </w:tcBorders>
            <w:shd w:val="clear" w:color="auto" w:fill="auto"/>
            <w:noWrap/>
            <w:vAlign w:val="center"/>
            <w:hideMark/>
          </w:tcPr>
          <w:p w14:paraId="5D5F6CE9" w14:textId="77777777" w:rsidR="00FA44FF" w:rsidRPr="005D7674" w:rsidRDefault="00FA44FF" w:rsidP="00663D51">
            <w:pPr>
              <w:spacing w:line="240" w:lineRule="auto"/>
              <w:jc w:val="center"/>
              <w:rPr>
                <w:rFonts w:eastAsia="Times New Roman"/>
                <w:sz w:val="20"/>
                <w:szCs w:val="20"/>
                <w:lang w:eastAsia="cs-CZ"/>
              </w:rPr>
            </w:pPr>
          </w:p>
        </w:tc>
        <w:tc>
          <w:tcPr>
            <w:tcW w:w="1076" w:type="dxa"/>
            <w:tcBorders>
              <w:top w:val="nil"/>
              <w:left w:val="nil"/>
              <w:bottom w:val="nil"/>
              <w:right w:val="nil"/>
            </w:tcBorders>
            <w:shd w:val="clear" w:color="auto" w:fill="auto"/>
            <w:noWrap/>
            <w:vAlign w:val="center"/>
            <w:hideMark/>
          </w:tcPr>
          <w:p w14:paraId="30E21B3C" w14:textId="77777777" w:rsidR="00FA44FF" w:rsidRPr="005D7674" w:rsidRDefault="00FA44FF" w:rsidP="00663D51">
            <w:pPr>
              <w:spacing w:line="240" w:lineRule="auto"/>
              <w:jc w:val="center"/>
              <w:rPr>
                <w:rFonts w:eastAsia="Times New Roman"/>
                <w:sz w:val="20"/>
                <w:szCs w:val="20"/>
                <w:lang w:eastAsia="cs-CZ"/>
              </w:rPr>
            </w:pPr>
          </w:p>
        </w:tc>
        <w:tc>
          <w:tcPr>
            <w:tcW w:w="892" w:type="dxa"/>
            <w:tcBorders>
              <w:top w:val="nil"/>
              <w:left w:val="nil"/>
              <w:bottom w:val="nil"/>
              <w:right w:val="nil"/>
            </w:tcBorders>
            <w:shd w:val="clear" w:color="auto" w:fill="auto"/>
            <w:noWrap/>
            <w:vAlign w:val="center"/>
            <w:hideMark/>
          </w:tcPr>
          <w:p w14:paraId="6D3B988C" w14:textId="77777777" w:rsidR="00FA44FF" w:rsidRPr="005D7674" w:rsidRDefault="00FA44FF" w:rsidP="00663D51">
            <w:pPr>
              <w:spacing w:line="240" w:lineRule="auto"/>
              <w:jc w:val="center"/>
              <w:rPr>
                <w:rFonts w:eastAsia="Times New Roman"/>
                <w:sz w:val="20"/>
                <w:szCs w:val="20"/>
                <w:lang w:eastAsia="cs-CZ"/>
              </w:rPr>
            </w:pPr>
          </w:p>
        </w:tc>
        <w:tc>
          <w:tcPr>
            <w:tcW w:w="1021" w:type="dxa"/>
            <w:tcBorders>
              <w:top w:val="nil"/>
              <w:left w:val="nil"/>
              <w:bottom w:val="nil"/>
              <w:right w:val="nil"/>
            </w:tcBorders>
            <w:shd w:val="clear" w:color="auto" w:fill="auto"/>
            <w:noWrap/>
            <w:vAlign w:val="center"/>
            <w:hideMark/>
          </w:tcPr>
          <w:p w14:paraId="22582534" w14:textId="77777777" w:rsidR="00FA44FF" w:rsidRPr="005D7674" w:rsidRDefault="00FA44FF" w:rsidP="00663D51">
            <w:pPr>
              <w:spacing w:line="240" w:lineRule="auto"/>
              <w:jc w:val="center"/>
              <w:rPr>
                <w:rFonts w:eastAsia="Times New Roman"/>
                <w:sz w:val="20"/>
                <w:szCs w:val="20"/>
                <w:lang w:eastAsia="cs-CZ"/>
              </w:rPr>
            </w:pPr>
          </w:p>
        </w:tc>
        <w:tc>
          <w:tcPr>
            <w:tcW w:w="822" w:type="dxa"/>
            <w:tcBorders>
              <w:top w:val="nil"/>
              <w:left w:val="nil"/>
              <w:bottom w:val="nil"/>
              <w:right w:val="nil"/>
            </w:tcBorders>
            <w:shd w:val="clear" w:color="auto" w:fill="auto"/>
            <w:noWrap/>
            <w:vAlign w:val="center"/>
            <w:hideMark/>
          </w:tcPr>
          <w:p w14:paraId="2A97F690" w14:textId="77777777" w:rsidR="00FA44FF" w:rsidRPr="005D7674" w:rsidRDefault="00FA44FF" w:rsidP="00663D51">
            <w:pPr>
              <w:spacing w:line="240" w:lineRule="auto"/>
              <w:jc w:val="center"/>
              <w:rPr>
                <w:rFonts w:eastAsia="Times New Roman"/>
                <w:sz w:val="20"/>
                <w:szCs w:val="20"/>
                <w:lang w:eastAsia="cs-CZ"/>
              </w:rPr>
            </w:pPr>
          </w:p>
        </w:tc>
        <w:tc>
          <w:tcPr>
            <w:tcW w:w="1417" w:type="dxa"/>
            <w:tcBorders>
              <w:top w:val="nil"/>
              <w:left w:val="nil"/>
              <w:bottom w:val="nil"/>
              <w:right w:val="nil"/>
            </w:tcBorders>
            <w:shd w:val="clear" w:color="auto" w:fill="auto"/>
            <w:noWrap/>
            <w:vAlign w:val="center"/>
            <w:hideMark/>
          </w:tcPr>
          <w:p w14:paraId="22DAAE68" w14:textId="77777777" w:rsidR="00FA44FF" w:rsidRPr="005D7674" w:rsidRDefault="00FA44FF" w:rsidP="00663D51">
            <w:pPr>
              <w:spacing w:line="240" w:lineRule="auto"/>
              <w:jc w:val="center"/>
              <w:rPr>
                <w:rFonts w:eastAsia="Times New Roman"/>
                <w:sz w:val="20"/>
                <w:szCs w:val="20"/>
                <w:lang w:eastAsia="cs-CZ"/>
              </w:rPr>
            </w:pPr>
          </w:p>
        </w:tc>
      </w:tr>
    </w:tbl>
    <w:p w14:paraId="160AAE0D" w14:textId="466801EA" w:rsidR="00FA44FF" w:rsidRPr="005D7674" w:rsidRDefault="00FA44FF" w:rsidP="007E0C04">
      <w:pPr>
        <w:spacing w:after="160" w:line="259" w:lineRule="auto"/>
      </w:pPr>
      <w:r w:rsidRPr="005D7674">
        <w:t xml:space="preserve">Počet napadlých, vyřízených a částečně i nevyřízených věci se odvíjí od velikosti soudu. Nelze </w:t>
      </w:r>
      <w:r w:rsidR="008C7B57" w:rsidRPr="005D7674">
        <w:t xml:space="preserve">proto </w:t>
      </w:r>
      <w:r w:rsidRPr="005D7674">
        <w:t>nijak porovnávat zatížení a výkonnost soudů bez toho, že budou data normalizována, tedy dokud nebude zohledněna velikost soudů. K tomu slouží dvě následující části této kapitoly. Z tohoto důvodu dále nezkoumáme jednotlivé okresní soudy pomocí kartogramu a krabicového grafu.</w:t>
      </w:r>
    </w:p>
    <w:p w14:paraId="36143133" w14:textId="77777777" w:rsidR="00E62233" w:rsidRPr="005D7674" w:rsidRDefault="00E62233" w:rsidP="00E62233">
      <w:pPr>
        <w:pStyle w:val="Nadpis3"/>
        <w:numPr>
          <w:ilvl w:val="2"/>
          <w:numId w:val="1"/>
        </w:numPr>
        <w:rPr>
          <w:color w:val="auto"/>
        </w:rPr>
      </w:pPr>
      <w:bookmarkStart w:id="148" w:name="_Toc515871223"/>
      <w:bookmarkStart w:id="149" w:name="_Toc106092720"/>
      <w:bookmarkStart w:id="150" w:name="_Toc144104341"/>
      <w:r w:rsidRPr="005D7674">
        <w:rPr>
          <w:color w:val="auto"/>
        </w:rPr>
        <w:t>Vyřizování věcí v přepočtu na soudce</w:t>
      </w:r>
      <w:bookmarkEnd w:id="148"/>
      <w:bookmarkEnd w:id="149"/>
      <w:bookmarkEnd w:id="150"/>
    </w:p>
    <w:p w14:paraId="3FB034E3" w14:textId="2E9BFF42" w:rsidR="00E62233" w:rsidRPr="005D7674" w:rsidRDefault="00E62233" w:rsidP="00E62233">
      <w:r w:rsidRPr="005D7674">
        <w:t xml:space="preserve">Ministerstvo spravedlnosti má </w:t>
      </w:r>
      <w:r w:rsidR="008C7B57" w:rsidRPr="005D7674">
        <w:t xml:space="preserve">od roku 2020 </w:t>
      </w:r>
      <w:r w:rsidRPr="005D7674">
        <w:t xml:space="preserve">k dispozici přesnější data o počtu soudců, konkrétně data o skutečném počtu úvazků, která budou využita pro přepočet. Skutečný počet úvazků je získáván dotazníkovým šetřením u soudů a zahrnuje pouze soudce, kteří danou agendu v příslušném roce reálně vyřizovali. Na rozdíl od evidenčního počtu soudců nejsou zahrnuti dlouhodobě nepřítomní soudci </w:t>
      </w:r>
      <w:r w:rsidRPr="005D7674">
        <w:rPr>
          <w:sz w:val="26"/>
          <w:szCs w:val="24"/>
        </w:rPr>
        <w:t>[</w:t>
      </w:r>
      <w:r w:rsidRPr="005D7674">
        <w:t xml:space="preserve">na MD/RD, dlouhodobě nemocní, dočasně zproštěni výkonu funkce soudce (§ 99, 100 a 100a zák. č. 6/2002 Sb.) nebo </w:t>
      </w:r>
      <w:r w:rsidR="008C7B57" w:rsidRPr="005D7674">
        <w:t xml:space="preserve">soudci </w:t>
      </w:r>
      <w:r w:rsidRPr="005D7674">
        <w:t xml:space="preserve">dočasně </w:t>
      </w:r>
      <w:r w:rsidR="008C7B57" w:rsidRPr="005D7674">
        <w:t xml:space="preserve">přeložení </w:t>
      </w:r>
      <w:r w:rsidRPr="005D7674">
        <w:t>k jinému soudu (stáž)]. Údaje jsou s přesností na desetinu soudce a jsou podrobněji členěny dle úseků a agendy, které se věnují.</w:t>
      </w:r>
    </w:p>
    <w:p w14:paraId="65E9CD9E" w14:textId="77777777" w:rsidR="00E62233" w:rsidRPr="005D7674" w:rsidRDefault="00E62233" w:rsidP="00E62233">
      <w:r w:rsidRPr="005D7674">
        <w:t>Tato data byla poprvé sbírána k lednu 2020 a nejsou tedy k dispozici v dlouhých časových řadách. Jejich výrazným přínosem je jejich podstatně vyšší přesnost, protože:</w:t>
      </w:r>
    </w:p>
    <w:p w14:paraId="5582087B" w14:textId="77777777" w:rsidR="00E62233" w:rsidRPr="005D7674" w:rsidRDefault="00E62233" w:rsidP="00E62233">
      <w:pPr>
        <w:pStyle w:val="Odstavecseseznamem"/>
        <w:numPr>
          <w:ilvl w:val="0"/>
          <w:numId w:val="16"/>
        </w:numPr>
      </w:pPr>
      <w:r w:rsidRPr="005D7674">
        <w:t>Umožňují srovnání nejen relativních údajů mezi jednotlivými soudy, ale výrazně přesnější jsou nyní i absolutní čísla, byť se stále jedná o aproximaci. Především rozlišení opatrovnických soudců výpočet výrazně zpřesnilo. Rovněž fakt, že v počtu nejsou započteni například dlouhodobě nemocní soudci, částečně předsedové a místopředsedové soudů, a především soudkyně či soudci na rodičovské/mateřské dovolené, údaje dále zpřesňuje.</w:t>
      </w:r>
    </w:p>
    <w:p w14:paraId="788C279A" w14:textId="1F7DC1B9" w:rsidR="00FA44FF" w:rsidRPr="005D7674" w:rsidRDefault="00E62233" w:rsidP="00E62233">
      <w:pPr>
        <w:pStyle w:val="Odstavecseseznamem"/>
        <w:numPr>
          <w:ilvl w:val="0"/>
          <w:numId w:val="16"/>
        </w:numPr>
      </w:pPr>
      <w:r w:rsidRPr="005D7674">
        <w:t>I samotné relativní srovnání mezi soudy a kraji je přesnější. Především na úrovni soudců se v datech lépe promítnou například dlouhodobé absence.</w:t>
      </w:r>
    </w:p>
    <w:p w14:paraId="66FD539E" w14:textId="0FF2E027" w:rsidR="00E62233" w:rsidRPr="005D7674" w:rsidRDefault="00FA44FF" w:rsidP="00FA44FF">
      <w:pPr>
        <w:spacing w:after="160" w:line="259" w:lineRule="auto"/>
        <w:jc w:val="left"/>
      </w:pPr>
      <w:r w:rsidRPr="005D7674">
        <w:br w:type="page"/>
      </w:r>
    </w:p>
    <w:p w14:paraId="33D845BE" w14:textId="66EB6044" w:rsidR="00E62233" w:rsidRPr="005D7674" w:rsidRDefault="00E62233" w:rsidP="00E62233">
      <w:pPr>
        <w:pStyle w:val="Podnadpis"/>
        <w:rPr>
          <w:color w:val="auto"/>
        </w:rPr>
      </w:pPr>
      <w:bookmarkStart w:id="151" w:name="_Toc75952314"/>
      <w:bookmarkStart w:id="152" w:name="_Toc106106773"/>
      <w:bookmarkStart w:id="153" w:name="_Toc144104250"/>
      <w:r w:rsidRPr="005D7674">
        <w:rPr>
          <w:color w:val="auto"/>
        </w:rPr>
        <w:lastRenderedPageBreak/>
        <w:t xml:space="preserve">Tabulka </w:t>
      </w:r>
      <w:r w:rsidRPr="005D7674">
        <w:rPr>
          <w:color w:val="auto"/>
        </w:rPr>
        <w:fldChar w:fldCharType="begin"/>
      </w:r>
      <w:r w:rsidRPr="005D7674">
        <w:rPr>
          <w:color w:val="auto"/>
        </w:rPr>
        <w:instrText xml:space="preserve"> SEQ Tabulka \* ARABIC </w:instrText>
      </w:r>
      <w:r w:rsidRPr="005D7674">
        <w:rPr>
          <w:color w:val="auto"/>
        </w:rPr>
        <w:fldChar w:fldCharType="separate"/>
      </w:r>
      <w:r w:rsidR="001E1A67">
        <w:rPr>
          <w:noProof/>
          <w:color w:val="auto"/>
        </w:rPr>
        <w:t>11</w:t>
      </w:r>
      <w:r w:rsidRPr="005D7674">
        <w:rPr>
          <w:noProof/>
          <w:color w:val="auto"/>
        </w:rPr>
        <w:fldChar w:fldCharType="end"/>
      </w:r>
      <w:r w:rsidRPr="005D7674">
        <w:rPr>
          <w:color w:val="auto"/>
        </w:rPr>
        <w:t>: OS – vyřizování civilních věcí na skutečný úvazek dle krajů</w:t>
      </w:r>
      <w:bookmarkEnd w:id="151"/>
      <w:bookmarkEnd w:id="152"/>
      <w:bookmarkEnd w:id="153"/>
      <w:r w:rsidRPr="005D7674">
        <w:rPr>
          <w:color w:val="auto"/>
        </w:rPr>
        <w:t xml:space="preserve"> </w:t>
      </w:r>
    </w:p>
    <w:tbl>
      <w:tblPr>
        <w:tblW w:w="9072" w:type="dxa"/>
        <w:tblLayout w:type="fixed"/>
        <w:tblCellMar>
          <w:left w:w="70" w:type="dxa"/>
          <w:right w:w="70" w:type="dxa"/>
        </w:tblCellMar>
        <w:tblLook w:val="04A0" w:firstRow="1" w:lastRow="0" w:firstColumn="1" w:lastColumn="0" w:noHBand="0" w:noVBand="1"/>
      </w:tblPr>
      <w:tblGrid>
        <w:gridCol w:w="2410"/>
        <w:gridCol w:w="1276"/>
        <w:gridCol w:w="1795"/>
        <w:gridCol w:w="1795"/>
        <w:gridCol w:w="1796"/>
      </w:tblGrid>
      <w:tr w:rsidR="00F15667" w:rsidRPr="005D7674" w14:paraId="6EFDD91C" w14:textId="77777777" w:rsidTr="00663D51">
        <w:trPr>
          <w:trHeight w:val="330"/>
        </w:trPr>
        <w:tc>
          <w:tcPr>
            <w:tcW w:w="2410" w:type="dxa"/>
            <w:vMerge w:val="restart"/>
            <w:tcBorders>
              <w:top w:val="double" w:sz="6" w:space="0" w:color="auto"/>
              <w:left w:val="nil"/>
              <w:bottom w:val="double" w:sz="6" w:space="0" w:color="000000"/>
              <w:right w:val="nil"/>
            </w:tcBorders>
            <w:shd w:val="clear" w:color="auto" w:fill="auto"/>
            <w:noWrap/>
            <w:vAlign w:val="center"/>
            <w:hideMark/>
          </w:tcPr>
          <w:p w14:paraId="7AA84B71" w14:textId="77777777"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1276" w:type="dxa"/>
            <w:vMerge w:val="restart"/>
            <w:tcBorders>
              <w:top w:val="double" w:sz="6" w:space="0" w:color="auto"/>
              <w:left w:val="nil"/>
              <w:bottom w:val="double" w:sz="6" w:space="0" w:color="000000"/>
              <w:right w:val="nil"/>
            </w:tcBorders>
            <w:shd w:val="clear" w:color="auto" w:fill="auto"/>
            <w:noWrap/>
            <w:vAlign w:val="center"/>
            <w:hideMark/>
          </w:tcPr>
          <w:p w14:paraId="256316BA" w14:textId="77777777"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Počet úvazků</w:t>
            </w:r>
          </w:p>
        </w:tc>
        <w:tc>
          <w:tcPr>
            <w:tcW w:w="5386" w:type="dxa"/>
            <w:gridSpan w:val="3"/>
            <w:tcBorders>
              <w:top w:val="double" w:sz="6" w:space="0" w:color="auto"/>
              <w:left w:val="nil"/>
              <w:bottom w:val="nil"/>
              <w:right w:val="nil"/>
            </w:tcBorders>
            <w:shd w:val="clear" w:color="auto" w:fill="auto"/>
            <w:noWrap/>
            <w:vAlign w:val="center"/>
            <w:hideMark/>
          </w:tcPr>
          <w:p w14:paraId="656BADF7" w14:textId="77777777"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Počet věcí na úvazek</w:t>
            </w:r>
          </w:p>
        </w:tc>
      </w:tr>
      <w:tr w:rsidR="00F15667" w:rsidRPr="005D7674" w14:paraId="60590ECD" w14:textId="77777777" w:rsidTr="00663D51">
        <w:trPr>
          <w:trHeight w:val="330"/>
        </w:trPr>
        <w:tc>
          <w:tcPr>
            <w:tcW w:w="2410" w:type="dxa"/>
            <w:vMerge/>
            <w:tcBorders>
              <w:top w:val="double" w:sz="6" w:space="0" w:color="auto"/>
              <w:left w:val="nil"/>
              <w:bottom w:val="double" w:sz="6" w:space="0" w:color="000000"/>
              <w:right w:val="nil"/>
            </w:tcBorders>
            <w:vAlign w:val="center"/>
            <w:hideMark/>
          </w:tcPr>
          <w:p w14:paraId="1B7EF518" w14:textId="77777777" w:rsidR="00C2227B" w:rsidRPr="005D7674" w:rsidRDefault="00C2227B" w:rsidP="00663D51">
            <w:pPr>
              <w:spacing w:line="240" w:lineRule="auto"/>
              <w:jc w:val="center"/>
              <w:rPr>
                <w:rFonts w:eastAsia="Times New Roman"/>
                <w:b/>
                <w:bCs/>
                <w:szCs w:val="24"/>
                <w:lang w:eastAsia="cs-CZ"/>
              </w:rPr>
            </w:pPr>
          </w:p>
        </w:tc>
        <w:tc>
          <w:tcPr>
            <w:tcW w:w="1276" w:type="dxa"/>
            <w:vMerge/>
            <w:tcBorders>
              <w:top w:val="double" w:sz="6" w:space="0" w:color="auto"/>
              <w:left w:val="nil"/>
              <w:bottom w:val="double" w:sz="6" w:space="0" w:color="000000"/>
              <w:right w:val="nil"/>
            </w:tcBorders>
            <w:vAlign w:val="center"/>
            <w:hideMark/>
          </w:tcPr>
          <w:p w14:paraId="708D5F2D" w14:textId="77777777" w:rsidR="00C2227B" w:rsidRPr="005D7674" w:rsidRDefault="00C2227B" w:rsidP="00663D51">
            <w:pPr>
              <w:spacing w:line="240" w:lineRule="auto"/>
              <w:jc w:val="center"/>
              <w:rPr>
                <w:rFonts w:eastAsia="Times New Roman"/>
                <w:b/>
                <w:bCs/>
                <w:szCs w:val="24"/>
                <w:lang w:eastAsia="cs-CZ"/>
              </w:rPr>
            </w:pPr>
          </w:p>
        </w:tc>
        <w:tc>
          <w:tcPr>
            <w:tcW w:w="1795" w:type="dxa"/>
            <w:tcBorders>
              <w:top w:val="nil"/>
              <w:left w:val="nil"/>
              <w:bottom w:val="double" w:sz="6" w:space="0" w:color="auto"/>
              <w:right w:val="nil"/>
            </w:tcBorders>
            <w:shd w:val="clear" w:color="auto" w:fill="auto"/>
            <w:noWrap/>
            <w:vAlign w:val="center"/>
            <w:hideMark/>
          </w:tcPr>
          <w:p w14:paraId="7A8929CB" w14:textId="77777777"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Nápad + obživa</w:t>
            </w:r>
          </w:p>
        </w:tc>
        <w:tc>
          <w:tcPr>
            <w:tcW w:w="1795" w:type="dxa"/>
            <w:tcBorders>
              <w:top w:val="nil"/>
              <w:left w:val="nil"/>
              <w:bottom w:val="double" w:sz="6" w:space="0" w:color="auto"/>
              <w:right w:val="nil"/>
            </w:tcBorders>
            <w:shd w:val="clear" w:color="auto" w:fill="auto"/>
            <w:noWrap/>
            <w:vAlign w:val="center"/>
            <w:hideMark/>
          </w:tcPr>
          <w:p w14:paraId="7B15590A" w14:textId="77777777"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Vyřízeno</w:t>
            </w:r>
          </w:p>
        </w:tc>
        <w:tc>
          <w:tcPr>
            <w:tcW w:w="1796" w:type="dxa"/>
            <w:tcBorders>
              <w:top w:val="nil"/>
              <w:left w:val="nil"/>
              <w:bottom w:val="double" w:sz="6" w:space="0" w:color="auto"/>
              <w:right w:val="nil"/>
            </w:tcBorders>
            <w:shd w:val="clear" w:color="auto" w:fill="auto"/>
            <w:noWrap/>
            <w:vAlign w:val="center"/>
            <w:hideMark/>
          </w:tcPr>
          <w:p w14:paraId="7D05BE0E" w14:textId="77777777"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Nevyřízeno</w:t>
            </w:r>
          </w:p>
        </w:tc>
      </w:tr>
      <w:tr w:rsidR="00F15667" w:rsidRPr="005D7674" w14:paraId="39F65779" w14:textId="77777777" w:rsidTr="00663D51">
        <w:trPr>
          <w:trHeight w:val="330"/>
        </w:trPr>
        <w:tc>
          <w:tcPr>
            <w:tcW w:w="2410" w:type="dxa"/>
            <w:tcBorders>
              <w:top w:val="single" w:sz="4" w:space="0" w:color="auto"/>
              <w:left w:val="nil"/>
              <w:bottom w:val="single" w:sz="4" w:space="0" w:color="auto"/>
              <w:right w:val="nil"/>
            </w:tcBorders>
            <w:shd w:val="clear" w:color="auto" w:fill="auto"/>
            <w:noWrap/>
            <w:vAlign w:val="center"/>
            <w:hideMark/>
          </w:tcPr>
          <w:p w14:paraId="5399C815" w14:textId="77777777" w:rsidR="00C2227B" w:rsidRPr="005D7674" w:rsidRDefault="00C2227B" w:rsidP="00663D51">
            <w:pPr>
              <w:spacing w:line="240" w:lineRule="auto"/>
              <w:jc w:val="left"/>
              <w:rPr>
                <w:rFonts w:eastAsia="Times New Roman"/>
                <w:szCs w:val="24"/>
                <w:lang w:eastAsia="cs-CZ"/>
              </w:rPr>
            </w:pPr>
            <w:r w:rsidRPr="005D7674">
              <w:rPr>
                <w:rFonts w:eastAsia="Times New Roman"/>
                <w:szCs w:val="24"/>
                <w:lang w:eastAsia="cs-CZ"/>
              </w:rPr>
              <w:t>MS Praha</w:t>
            </w:r>
          </w:p>
        </w:tc>
        <w:tc>
          <w:tcPr>
            <w:tcW w:w="1276" w:type="dxa"/>
            <w:tcBorders>
              <w:top w:val="single" w:sz="4" w:space="0" w:color="auto"/>
              <w:left w:val="nil"/>
              <w:bottom w:val="single" w:sz="4" w:space="0" w:color="auto"/>
              <w:right w:val="nil"/>
            </w:tcBorders>
            <w:shd w:val="clear" w:color="auto" w:fill="auto"/>
            <w:noWrap/>
            <w:vAlign w:val="center"/>
            <w:hideMark/>
          </w:tcPr>
          <w:p w14:paraId="4D9D9FE6" w14:textId="0B4BEBBB"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175</w:t>
            </w:r>
            <w:r w:rsidR="00FA44FF" w:rsidRPr="005D7674">
              <w:rPr>
                <w:rFonts w:eastAsia="Times New Roman"/>
                <w:szCs w:val="24"/>
                <w:lang w:eastAsia="cs-CZ"/>
              </w:rPr>
              <w:t>,</w:t>
            </w:r>
            <w:r w:rsidRPr="005D7674">
              <w:rPr>
                <w:rFonts w:eastAsia="Times New Roman"/>
                <w:szCs w:val="24"/>
                <w:lang w:eastAsia="cs-CZ"/>
              </w:rPr>
              <w:t>2</w:t>
            </w:r>
          </w:p>
        </w:tc>
        <w:tc>
          <w:tcPr>
            <w:tcW w:w="1795" w:type="dxa"/>
            <w:tcBorders>
              <w:top w:val="single" w:sz="4" w:space="0" w:color="auto"/>
              <w:left w:val="nil"/>
              <w:bottom w:val="single" w:sz="4" w:space="0" w:color="auto"/>
              <w:right w:val="nil"/>
            </w:tcBorders>
            <w:shd w:val="clear" w:color="auto" w:fill="auto"/>
            <w:noWrap/>
            <w:vAlign w:val="center"/>
            <w:hideMark/>
          </w:tcPr>
          <w:p w14:paraId="330C2554" w14:textId="449AC444"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333</w:t>
            </w:r>
            <w:r w:rsidR="00FA44FF" w:rsidRPr="005D7674">
              <w:rPr>
                <w:rFonts w:eastAsia="Times New Roman"/>
                <w:szCs w:val="24"/>
                <w:lang w:eastAsia="cs-CZ"/>
              </w:rPr>
              <w:t>,</w:t>
            </w:r>
            <w:r w:rsidRPr="005D7674">
              <w:rPr>
                <w:rFonts w:eastAsia="Times New Roman"/>
                <w:szCs w:val="24"/>
                <w:lang w:eastAsia="cs-CZ"/>
              </w:rPr>
              <w:t>65</w:t>
            </w:r>
          </w:p>
        </w:tc>
        <w:tc>
          <w:tcPr>
            <w:tcW w:w="1795" w:type="dxa"/>
            <w:tcBorders>
              <w:top w:val="single" w:sz="4" w:space="0" w:color="auto"/>
              <w:left w:val="nil"/>
              <w:bottom w:val="single" w:sz="4" w:space="0" w:color="auto"/>
              <w:right w:val="nil"/>
            </w:tcBorders>
            <w:shd w:val="clear" w:color="auto" w:fill="auto"/>
            <w:noWrap/>
            <w:vAlign w:val="center"/>
            <w:hideMark/>
          </w:tcPr>
          <w:p w14:paraId="7400DB22" w14:textId="387F3FD4"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369</w:t>
            </w:r>
            <w:r w:rsidR="00FA44FF" w:rsidRPr="005D7674">
              <w:rPr>
                <w:rFonts w:eastAsia="Times New Roman"/>
                <w:szCs w:val="24"/>
                <w:lang w:eastAsia="cs-CZ"/>
              </w:rPr>
              <w:t>,</w:t>
            </w:r>
            <w:r w:rsidRPr="005D7674">
              <w:rPr>
                <w:rFonts w:eastAsia="Times New Roman"/>
                <w:szCs w:val="24"/>
                <w:lang w:eastAsia="cs-CZ"/>
              </w:rPr>
              <w:t>94</w:t>
            </w:r>
          </w:p>
        </w:tc>
        <w:tc>
          <w:tcPr>
            <w:tcW w:w="1796" w:type="dxa"/>
            <w:tcBorders>
              <w:top w:val="single" w:sz="4" w:space="0" w:color="auto"/>
              <w:left w:val="nil"/>
              <w:bottom w:val="single" w:sz="4" w:space="0" w:color="auto"/>
              <w:right w:val="nil"/>
            </w:tcBorders>
            <w:shd w:val="clear" w:color="auto" w:fill="auto"/>
            <w:noWrap/>
            <w:vAlign w:val="center"/>
            <w:hideMark/>
          </w:tcPr>
          <w:p w14:paraId="5FE39C76" w14:textId="64547BE1"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146</w:t>
            </w:r>
            <w:r w:rsidR="00FA44FF" w:rsidRPr="005D7674">
              <w:rPr>
                <w:rFonts w:eastAsia="Times New Roman"/>
                <w:szCs w:val="24"/>
                <w:lang w:eastAsia="cs-CZ"/>
              </w:rPr>
              <w:t>,</w:t>
            </w:r>
            <w:r w:rsidRPr="005D7674">
              <w:rPr>
                <w:rFonts w:eastAsia="Times New Roman"/>
                <w:szCs w:val="24"/>
                <w:lang w:eastAsia="cs-CZ"/>
              </w:rPr>
              <w:t>93</w:t>
            </w:r>
          </w:p>
        </w:tc>
      </w:tr>
      <w:tr w:rsidR="00F15667" w:rsidRPr="005D7674" w14:paraId="135685BE" w14:textId="77777777" w:rsidTr="00663D51">
        <w:trPr>
          <w:trHeight w:val="315"/>
        </w:trPr>
        <w:tc>
          <w:tcPr>
            <w:tcW w:w="2410" w:type="dxa"/>
            <w:tcBorders>
              <w:top w:val="nil"/>
              <w:left w:val="nil"/>
              <w:bottom w:val="single" w:sz="4" w:space="0" w:color="auto"/>
              <w:right w:val="nil"/>
            </w:tcBorders>
            <w:shd w:val="clear" w:color="auto" w:fill="auto"/>
            <w:noWrap/>
            <w:vAlign w:val="center"/>
            <w:hideMark/>
          </w:tcPr>
          <w:p w14:paraId="3A86996B" w14:textId="77777777" w:rsidR="00C2227B" w:rsidRPr="005D7674" w:rsidRDefault="00C2227B" w:rsidP="00663D51">
            <w:pPr>
              <w:spacing w:line="240" w:lineRule="auto"/>
              <w:jc w:val="left"/>
              <w:rPr>
                <w:rFonts w:eastAsia="Times New Roman"/>
                <w:szCs w:val="24"/>
                <w:lang w:eastAsia="cs-CZ"/>
              </w:rPr>
            </w:pPr>
            <w:r w:rsidRPr="005D7674">
              <w:rPr>
                <w:rFonts w:eastAsia="Times New Roman"/>
                <w:szCs w:val="24"/>
                <w:lang w:eastAsia="cs-CZ"/>
              </w:rPr>
              <w:t>KS Praha</w:t>
            </w:r>
          </w:p>
        </w:tc>
        <w:tc>
          <w:tcPr>
            <w:tcW w:w="1276" w:type="dxa"/>
            <w:tcBorders>
              <w:top w:val="nil"/>
              <w:left w:val="nil"/>
              <w:bottom w:val="single" w:sz="4" w:space="0" w:color="auto"/>
              <w:right w:val="nil"/>
            </w:tcBorders>
            <w:shd w:val="clear" w:color="auto" w:fill="auto"/>
            <w:noWrap/>
            <w:vAlign w:val="center"/>
            <w:hideMark/>
          </w:tcPr>
          <w:p w14:paraId="58B87D41" w14:textId="515DA0EA"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97</w:t>
            </w:r>
            <w:r w:rsidR="00FA44FF" w:rsidRPr="005D7674">
              <w:rPr>
                <w:rFonts w:eastAsia="Times New Roman"/>
                <w:szCs w:val="24"/>
                <w:lang w:eastAsia="cs-CZ"/>
              </w:rPr>
              <w:t>,</w:t>
            </w:r>
            <w:r w:rsidRPr="005D7674">
              <w:rPr>
                <w:rFonts w:eastAsia="Times New Roman"/>
                <w:szCs w:val="24"/>
                <w:lang w:eastAsia="cs-CZ"/>
              </w:rPr>
              <w:t>72</w:t>
            </w:r>
          </w:p>
        </w:tc>
        <w:tc>
          <w:tcPr>
            <w:tcW w:w="1795" w:type="dxa"/>
            <w:tcBorders>
              <w:top w:val="nil"/>
              <w:left w:val="nil"/>
              <w:bottom w:val="single" w:sz="4" w:space="0" w:color="auto"/>
              <w:right w:val="nil"/>
            </w:tcBorders>
            <w:shd w:val="clear" w:color="auto" w:fill="auto"/>
            <w:noWrap/>
            <w:vAlign w:val="center"/>
            <w:hideMark/>
          </w:tcPr>
          <w:p w14:paraId="38AA0938" w14:textId="7D9D0E57"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384</w:t>
            </w:r>
            <w:r w:rsidR="00FA44FF" w:rsidRPr="005D7674">
              <w:rPr>
                <w:rFonts w:eastAsia="Times New Roman"/>
                <w:szCs w:val="24"/>
                <w:lang w:eastAsia="cs-CZ"/>
              </w:rPr>
              <w:t>,</w:t>
            </w:r>
            <w:r w:rsidRPr="005D7674">
              <w:rPr>
                <w:rFonts w:eastAsia="Times New Roman"/>
                <w:szCs w:val="24"/>
                <w:lang w:eastAsia="cs-CZ"/>
              </w:rPr>
              <w:t>50</w:t>
            </w:r>
          </w:p>
        </w:tc>
        <w:tc>
          <w:tcPr>
            <w:tcW w:w="1795" w:type="dxa"/>
            <w:tcBorders>
              <w:top w:val="nil"/>
              <w:left w:val="nil"/>
              <w:bottom w:val="single" w:sz="4" w:space="0" w:color="auto"/>
              <w:right w:val="nil"/>
            </w:tcBorders>
            <w:shd w:val="clear" w:color="auto" w:fill="auto"/>
            <w:noWrap/>
            <w:vAlign w:val="center"/>
            <w:hideMark/>
          </w:tcPr>
          <w:p w14:paraId="6E3084AE" w14:textId="566F1C04"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383</w:t>
            </w:r>
            <w:r w:rsidR="00FA44FF" w:rsidRPr="005D7674">
              <w:rPr>
                <w:rFonts w:eastAsia="Times New Roman"/>
                <w:szCs w:val="24"/>
                <w:lang w:eastAsia="cs-CZ"/>
              </w:rPr>
              <w:t>,</w:t>
            </w:r>
            <w:r w:rsidRPr="005D7674">
              <w:rPr>
                <w:rFonts w:eastAsia="Times New Roman"/>
                <w:szCs w:val="24"/>
                <w:lang w:eastAsia="cs-CZ"/>
              </w:rPr>
              <w:t>86</w:t>
            </w:r>
          </w:p>
        </w:tc>
        <w:tc>
          <w:tcPr>
            <w:tcW w:w="1796" w:type="dxa"/>
            <w:tcBorders>
              <w:top w:val="nil"/>
              <w:left w:val="nil"/>
              <w:bottom w:val="single" w:sz="4" w:space="0" w:color="auto"/>
              <w:right w:val="nil"/>
            </w:tcBorders>
            <w:shd w:val="clear" w:color="auto" w:fill="auto"/>
            <w:noWrap/>
            <w:vAlign w:val="center"/>
            <w:hideMark/>
          </w:tcPr>
          <w:p w14:paraId="565EF129" w14:textId="3651F94A"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94</w:t>
            </w:r>
            <w:r w:rsidR="00FA44FF" w:rsidRPr="005D7674">
              <w:rPr>
                <w:rFonts w:eastAsia="Times New Roman"/>
                <w:szCs w:val="24"/>
                <w:lang w:eastAsia="cs-CZ"/>
              </w:rPr>
              <w:t>,</w:t>
            </w:r>
            <w:r w:rsidRPr="005D7674">
              <w:rPr>
                <w:rFonts w:eastAsia="Times New Roman"/>
                <w:szCs w:val="24"/>
                <w:lang w:eastAsia="cs-CZ"/>
              </w:rPr>
              <w:t>93</w:t>
            </w:r>
          </w:p>
        </w:tc>
      </w:tr>
      <w:tr w:rsidR="00F15667" w:rsidRPr="005D7674" w14:paraId="564BB173" w14:textId="77777777" w:rsidTr="00663D51">
        <w:trPr>
          <w:trHeight w:val="315"/>
        </w:trPr>
        <w:tc>
          <w:tcPr>
            <w:tcW w:w="2410" w:type="dxa"/>
            <w:tcBorders>
              <w:top w:val="nil"/>
              <w:left w:val="nil"/>
              <w:bottom w:val="single" w:sz="4" w:space="0" w:color="auto"/>
              <w:right w:val="nil"/>
            </w:tcBorders>
            <w:shd w:val="clear" w:color="auto" w:fill="auto"/>
            <w:noWrap/>
            <w:vAlign w:val="center"/>
            <w:hideMark/>
          </w:tcPr>
          <w:p w14:paraId="79558750" w14:textId="77777777" w:rsidR="00C2227B" w:rsidRPr="005D7674" w:rsidRDefault="00C2227B" w:rsidP="00663D51">
            <w:pPr>
              <w:spacing w:line="240" w:lineRule="auto"/>
              <w:jc w:val="left"/>
              <w:rPr>
                <w:rFonts w:eastAsia="Times New Roman"/>
                <w:szCs w:val="24"/>
                <w:lang w:eastAsia="cs-CZ"/>
              </w:rPr>
            </w:pPr>
            <w:r w:rsidRPr="005D7674">
              <w:rPr>
                <w:rFonts w:eastAsia="Times New Roman"/>
                <w:szCs w:val="24"/>
                <w:lang w:eastAsia="cs-CZ"/>
              </w:rPr>
              <w:t>KS Č. Budějovice</w:t>
            </w:r>
          </w:p>
        </w:tc>
        <w:tc>
          <w:tcPr>
            <w:tcW w:w="1276" w:type="dxa"/>
            <w:tcBorders>
              <w:top w:val="nil"/>
              <w:left w:val="nil"/>
              <w:bottom w:val="single" w:sz="4" w:space="0" w:color="auto"/>
              <w:right w:val="nil"/>
            </w:tcBorders>
            <w:shd w:val="clear" w:color="auto" w:fill="auto"/>
            <w:noWrap/>
            <w:vAlign w:val="center"/>
            <w:hideMark/>
          </w:tcPr>
          <w:p w14:paraId="6134F83A" w14:textId="7352F460"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43</w:t>
            </w:r>
            <w:r w:rsidR="00FA44FF" w:rsidRPr="005D7674">
              <w:rPr>
                <w:rFonts w:eastAsia="Times New Roman"/>
                <w:szCs w:val="24"/>
                <w:lang w:eastAsia="cs-CZ"/>
              </w:rPr>
              <w:t>,</w:t>
            </w:r>
            <w:r w:rsidRPr="005D7674">
              <w:rPr>
                <w:rFonts w:eastAsia="Times New Roman"/>
                <w:szCs w:val="24"/>
                <w:lang w:eastAsia="cs-CZ"/>
              </w:rPr>
              <w:t>61</w:t>
            </w:r>
          </w:p>
        </w:tc>
        <w:tc>
          <w:tcPr>
            <w:tcW w:w="1795" w:type="dxa"/>
            <w:tcBorders>
              <w:top w:val="nil"/>
              <w:left w:val="nil"/>
              <w:bottom w:val="single" w:sz="4" w:space="0" w:color="auto"/>
              <w:right w:val="nil"/>
            </w:tcBorders>
            <w:shd w:val="clear" w:color="auto" w:fill="auto"/>
            <w:noWrap/>
            <w:vAlign w:val="center"/>
            <w:hideMark/>
          </w:tcPr>
          <w:p w14:paraId="4823C620" w14:textId="599602FA"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391</w:t>
            </w:r>
            <w:r w:rsidR="00FA44FF" w:rsidRPr="005D7674">
              <w:rPr>
                <w:rFonts w:eastAsia="Times New Roman"/>
                <w:szCs w:val="24"/>
                <w:lang w:eastAsia="cs-CZ"/>
              </w:rPr>
              <w:t>,</w:t>
            </w:r>
            <w:r w:rsidRPr="005D7674">
              <w:rPr>
                <w:rFonts w:eastAsia="Times New Roman"/>
                <w:szCs w:val="24"/>
                <w:lang w:eastAsia="cs-CZ"/>
              </w:rPr>
              <w:t>65</w:t>
            </w:r>
          </w:p>
        </w:tc>
        <w:tc>
          <w:tcPr>
            <w:tcW w:w="1795" w:type="dxa"/>
            <w:tcBorders>
              <w:top w:val="nil"/>
              <w:left w:val="nil"/>
              <w:bottom w:val="single" w:sz="4" w:space="0" w:color="auto"/>
              <w:right w:val="nil"/>
            </w:tcBorders>
            <w:shd w:val="clear" w:color="auto" w:fill="auto"/>
            <w:noWrap/>
            <w:vAlign w:val="center"/>
            <w:hideMark/>
          </w:tcPr>
          <w:p w14:paraId="1F749989" w14:textId="08F92249"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388</w:t>
            </w:r>
            <w:r w:rsidR="00FA44FF" w:rsidRPr="005D7674">
              <w:rPr>
                <w:rFonts w:eastAsia="Times New Roman"/>
                <w:szCs w:val="24"/>
                <w:lang w:eastAsia="cs-CZ"/>
              </w:rPr>
              <w:t>,</w:t>
            </w:r>
            <w:r w:rsidRPr="005D7674">
              <w:rPr>
                <w:rFonts w:eastAsia="Times New Roman"/>
                <w:szCs w:val="24"/>
                <w:lang w:eastAsia="cs-CZ"/>
              </w:rPr>
              <w:t>58</w:t>
            </w:r>
          </w:p>
        </w:tc>
        <w:tc>
          <w:tcPr>
            <w:tcW w:w="1796" w:type="dxa"/>
            <w:tcBorders>
              <w:top w:val="nil"/>
              <w:left w:val="nil"/>
              <w:bottom w:val="single" w:sz="4" w:space="0" w:color="auto"/>
              <w:right w:val="nil"/>
            </w:tcBorders>
            <w:shd w:val="clear" w:color="auto" w:fill="auto"/>
            <w:noWrap/>
            <w:vAlign w:val="center"/>
            <w:hideMark/>
          </w:tcPr>
          <w:p w14:paraId="5732E36D" w14:textId="4CC7F046"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77</w:t>
            </w:r>
            <w:r w:rsidR="00FA44FF" w:rsidRPr="005D7674">
              <w:rPr>
                <w:rFonts w:eastAsia="Times New Roman"/>
                <w:szCs w:val="24"/>
                <w:lang w:eastAsia="cs-CZ"/>
              </w:rPr>
              <w:t>,</w:t>
            </w:r>
            <w:r w:rsidRPr="005D7674">
              <w:rPr>
                <w:rFonts w:eastAsia="Times New Roman"/>
                <w:szCs w:val="24"/>
                <w:lang w:eastAsia="cs-CZ"/>
              </w:rPr>
              <w:t>73</w:t>
            </w:r>
          </w:p>
        </w:tc>
      </w:tr>
      <w:tr w:rsidR="00F15667" w:rsidRPr="005D7674" w14:paraId="75915FA0" w14:textId="77777777" w:rsidTr="00663D51">
        <w:trPr>
          <w:trHeight w:val="315"/>
        </w:trPr>
        <w:tc>
          <w:tcPr>
            <w:tcW w:w="2410" w:type="dxa"/>
            <w:tcBorders>
              <w:top w:val="nil"/>
              <w:left w:val="nil"/>
              <w:bottom w:val="single" w:sz="4" w:space="0" w:color="auto"/>
              <w:right w:val="nil"/>
            </w:tcBorders>
            <w:shd w:val="clear" w:color="auto" w:fill="auto"/>
            <w:noWrap/>
            <w:vAlign w:val="center"/>
            <w:hideMark/>
          </w:tcPr>
          <w:p w14:paraId="30E3755A" w14:textId="46DFC27F" w:rsidR="00C2227B" w:rsidRPr="005D7674" w:rsidRDefault="00C2227B" w:rsidP="00663D51">
            <w:pPr>
              <w:spacing w:line="240" w:lineRule="auto"/>
              <w:jc w:val="left"/>
              <w:rPr>
                <w:rFonts w:eastAsia="Times New Roman"/>
                <w:szCs w:val="24"/>
                <w:lang w:eastAsia="cs-CZ"/>
              </w:rPr>
            </w:pPr>
            <w:r w:rsidRPr="005D7674">
              <w:rPr>
                <w:rFonts w:eastAsia="Times New Roman"/>
                <w:szCs w:val="24"/>
                <w:lang w:eastAsia="cs-CZ"/>
              </w:rPr>
              <w:t>KS Plzeň</w:t>
            </w:r>
          </w:p>
        </w:tc>
        <w:tc>
          <w:tcPr>
            <w:tcW w:w="1276" w:type="dxa"/>
            <w:tcBorders>
              <w:top w:val="nil"/>
              <w:left w:val="nil"/>
              <w:bottom w:val="single" w:sz="4" w:space="0" w:color="auto"/>
              <w:right w:val="nil"/>
            </w:tcBorders>
            <w:shd w:val="clear" w:color="auto" w:fill="auto"/>
            <w:noWrap/>
            <w:vAlign w:val="center"/>
            <w:hideMark/>
          </w:tcPr>
          <w:p w14:paraId="2119B8BE" w14:textId="5F64EB33"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78</w:t>
            </w:r>
            <w:r w:rsidR="00FA44FF" w:rsidRPr="005D7674">
              <w:rPr>
                <w:rFonts w:eastAsia="Times New Roman"/>
                <w:szCs w:val="24"/>
                <w:lang w:eastAsia="cs-CZ"/>
              </w:rPr>
              <w:t>,</w:t>
            </w:r>
            <w:r w:rsidRPr="005D7674">
              <w:rPr>
                <w:rFonts w:eastAsia="Times New Roman"/>
                <w:szCs w:val="24"/>
                <w:lang w:eastAsia="cs-CZ"/>
              </w:rPr>
              <w:t>5</w:t>
            </w:r>
          </w:p>
        </w:tc>
        <w:tc>
          <w:tcPr>
            <w:tcW w:w="1795" w:type="dxa"/>
            <w:tcBorders>
              <w:top w:val="nil"/>
              <w:left w:val="nil"/>
              <w:bottom w:val="single" w:sz="4" w:space="0" w:color="auto"/>
              <w:right w:val="nil"/>
            </w:tcBorders>
            <w:shd w:val="clear" w:color="auto" w:fill="auto"/>
            <w:noWrap/>
            <w:vAlign w:val="center"/>
            <w:hideMark/>
          </w:tcPr>
          <w:p w14:paraId="72D10997" w14:textId="3E267555"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389</w:t>
            </w:r>
            <w:r w:rsidR="00FA44FF" w:rsidRPr="005D7674">
              <w:rPr>
                <w:rFonts w:eastAsia="Times New Roman"/>
                <w:szCs w:val="24"/>
                <w:lang w:eastAsia="cs-CZ"/>
              </w:rPr>
              <w:t>,</w:t>
            </w:r>
            <w:r w:rsidRPr="005D7674">
              <w:rPr>
                <w:rFonts w:eastAsia="Times New Roman"/>
                <w:szCs w:val="24"/>
                <w:lang w:eastAsia="cs-CZ"/>
              </w:rPr>
              <w:t>06</w:t>
            </w:r>
          </w:p>
        </w:tc>
        <w:tc>
          <w:tcPr>
            <w:tcW w:w="1795" w:type="dxa"/>
            <w:tcBorders>
              <w:top w:val="nil"/>
              <w:left w:val="nil"/>
              <w:bottom w:val="single" w:sz="4" w:space="0" w:color="auto"/>
              <w:right w:val="nil"/>
            </w:tcBorders>
            <w:shd w:val="clear" w:color="auto" w:fill="auto"/>
            <w:noWrap/>
            <w:vAlign w:val="center"/>
            <w:hideMark/>
          </w:tcPr>
          <w:p w14:paraId="5869EB60" w14:textId="38D81BB6"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387</w:t>
            </w:r>
            <w:r w:rsidR="00FA44FF" w:rsidRPr="005D7674">
              <w:rPr>
                <w:rFonts w:eastAsia="Times New Roman"/>
                <w:szCs w:val="24"/>
                <w:lang w:eastAsia="cs-CZ"/>
              </w:rPr>
              <w:t>,</w:t>
            </w:r>
            <w:r w:rsidRPr="005D7674">
              <w:rPr>
                <w:rFonts w:eastAsia="Times New Roman"/>
                <w:szCs w:val="24"/>
                <w:lang w:eastAsia="cs-CZ"/>
              </w:rPr>
              <w:t>12</w:t>
            </w:r>
          </w:p>
        </w:tc>
        <w:tc>
          <w:tcPr>
            <w:tcW w:w="1796" w:type="dxa"/>
            <w:tcBorders>
              <w:top w:val="nil"/>
              <w:left w:val="nil"/>
              <w:bottom w:val="single" w:sz="4" w:space="0" w:color="auto"/>
              <w:right w:val="nil"/>
            </w:tcBorders>
            <w:shd w:val="clear" w:color="auto" w:fill="auto"/>
            <w:noWrap/>
            <w:vAlign w:val="center"/>
            <w:hideMark/>
          </w:tcPr>
          <w:p w14:paraId="7277B616" w14:textId="3C9125FE"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112</w:t>
            </w:r>
            <w:r w:rsidR="00FA44FF" w:rsidRPr="005D7674">
              <w:rPr>
                <w:rFonts w:eastAsia="Times New Roman"/>
                <w:szCs w:val="24"/>
                <w:lang w:eastAsia="cs-CZ"/>
              </w:rPr>
              <w:t>,</w:t>
            </w:r>
            <w:r w:rsidRPr="005D7674">
              <w:rPr>
                <w:rFonts w:eastAsia="Times New Roman"/>
                <w:szCs w:val="24"/>
                <w:lang w:eastAsia="cs-CZ"/>
              </w:rPr>
              <w:t>62</w:t>
            </w:r>
          </w:p>
        </w:tc>
      </w:tr>
      <w:tr w:rsidR="00F15667" w:rsidRPr="005D7674" w14:paraId="7AD56276" w14:textId="77777777" w:rsidTr="00663D51">
        <w:trPr>
          <w:trHeight w:val="315"/>
        </w:trPr>
        <w:tc>
          <w:tcPr>
            <w:tcW w:w="2410" w:type="dxa"/>
            <w:tcBorders>
              <w:top w:val="nil"/>
              <w:left w:val="nil"/>
              <w:bottom w:val="single" w:sz="4" w:space="0" w:color="auto"/>
              <w:right w:val="nil"/>
            </w:tcBorders>
            <w:shd w:val="clear" w:color="auto" w:fill="auto"/>
            <w:noWrap/>
            <w:vAlign w:val="center"/>
            <w:hideMark/>
          </w:tcPr>
          <w:p w14:paraId="650E8438" w14:textId="77777777" w:rsidR="00C2227B" w:rsidRPr="005D7674" w:rsidRDefault="00C2227B" w:rsidP="00663D51">
            <w:pPr>
              <w:spacing w:line="240" w:lineRule="auto"/>
              <w:jc w:val="left"/>
              <w:rPr>
                <w:rFonts w:eastAsia="Times New Roman"/>
                <w:szCs w:val="24"/>
                <w:lang w:eastAsia="cs-CZ"/>
              </w:rPr>
            </w:pPr>
            <w:r w:rsidRPr="005D7674">
              <w:rPr>
                <w:rFonts w:eastAsia="Times New Roman"/>
                <w:szCs w:val="24"/>
                <w:lang w:eastAsia="cs-CZ"/>
              </w:rPr>
              <w:t>KS Ústí n. Labem</w:t>
            </w:r>
          </w:p>
        </w:tc>
        <w:tc>
          <w:tcPr>
            <w:tcW w:w="1276" w:type="dxa"/>
            <w:tcBorders>
              <w:top w:val="nil"/>
              <w:left w:val="nil"/>
              <w:bottom w:val="single" w:sz="4" w:space="0" w:color="auto"/>
              <w:right w:val="nil"/>
            </w:tcBorders>
            <w:shd w:val="clear" w:color="auto" w:fill="auto"/>
            <w:noWrap/>
            <w:vAlign w:val="center"/>
            <w:hideMark/>
          </w:tcPr>
          <w:p w14:paraId="78F3455C" w14:textId="5A8810BE"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121</w:t>
            </w:r>
            <w:r w:rsidR="00FA44FF" w:rsidRPr="005D7674">
              <w:rPr>
                <w:rFonts w:eastAsia="Times New Roman"/>
                <w:szCs w:val="24"/>
                <w:lang w:eastAsia="cs-CZ"/>
              </w:rPr>
              <w:t>,</w:t>
            </w:r>
            <w:r w:rsidRPr="005D7674">
              <w:rPr>
                <w:rFonts w:eastAsia="Times New Roman"/>
                <w:szCs w:val="24"/>
                <w:lang w:eastAsia="cs-CZ"/>
              </w:rPr>
              <w:t>45</w:t>
            </w:r>
          </w:p>
        </w:tc>
        <w:tc>
          <w:tcPr>
            <w:tcW w:w="1795" w:type="dxa"/>
            <w:tcBorders>
              <w:top w:val="nil"/>
              <w:left w:val="nil"/>
              <w:bottom w:val="single" w:sz="4" w:space="0" w:color="auto"/>
              <w:right w:val="nil"/>
            </w:tcBorders>
            <w:shd w:val="clear" w:color="auto" w:fill="auto"/>
            <w:noWrap/>
            <w:vAlign w:val="center"/>
            <w:hideMark/>
          </w:tcPr>
          <w:p w14:paraId="27B8E5A4" w14:textId="171AA644"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406</w:t>
            </w:r>
            <w:r w:rsidR="00FA44FF" w:rsidRPr="005D7674">
              <w:rPr>
                <w:rFonts w:eastAsia="Times New Roman"/>
                <w:szCs w:val="24"/>
                <w:lang w:eastAsia="cs-CZ"/>
              </w:rPr>
              <w:t>,</w:t>
            </w:r>
            <w:r w:rsidRPr="005D7674">
              <w:rPr>
                <w:rFonts w:eastAsia="Times New Roman"/>
                <w:szCs w:val="24"/>
                <w:lang w:eastAsia="cs-CZ"/>
              </w:rPr>
              <w:t>41</w:t>
            </w:r>
          </w:p>
        </w:tc>
        <w:tc>
          <w:tcPr>
            <w:tcW w:w="1795" w:type="dxa"/>
            <w:tcBorders>
              <w:top w:val="nil"/>
              <w:left w:val="nil"/>
              <w:bottom w:val="single" w:sz="4" w:space="0" w:color="auto"/>
              <w:right w:val="nil"/>
            </w:tcBorders>
            <w:shd w:val="clear" w:color="auto" w:fill="auto"/>
            <w:noWrap/>
            <w:vAlign w:val="center"/>
            <w:hideMark/>
          </w:tcPr>
          <w:p w14:paraId="7B4E8AEF" w14:textId="04AB09E2"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411</w:t>
            </w:r>
            <w:r w:rsidR="00FA44FF" w:rsidRPr="005D7674">
              <w:rPr>
                <w:rFonts w:eastAsia="Times New Roman"/>
                <w:szCs w:val="24"/>
                <w:lang w:eastAsia="cs-CZ"/>
              </w:rPr>
              <w:t>,</w:t>
            </w:r>
            <w:r w:rsidRPr="005D7674">
              <w:rPr>
                <w:rFonts w:eastAsia="Times New Roman"/>
                <w:szCs w:val="24"/>
                <w:lang w:eastAsia="cs-CZ"/>
              </w:rPr>
              <w:t>15</w:t>
            </w:r>
          </w:p>
        </w:tc>
        <w:tc>
          <w:tcPr>
            <w:tcW w:w="1796" w:type="dxa"/>
            <w:tcBorders>
              <w:top w:val="nil"/>
              <w:left w:val="nil"/>
              <w:bottom w:val="single" w:sz="4" w:space="0" w:color="auto"/>
              <w:right w:val="nil"/>
            </w:tcBorders>
            <w:shd w:val="clear" w:color="auto" w:fill="auto"/>
            <w:noWrap/>
            <w:vAlign w:val="center"/>
            <w:hideMark/>
          </w:tcPr>
          <w:p w14:paraId="0F34E22C" w14:textId="0D37A9C9"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145</w:t>
            </w:r>
            <w:r w:rsidR="00FA44FF" w:rsidRPr="005D7674">
              <w:rPr>
                <w:rFonts w:eastAsia="Times New Roman"/>
                <w:szCs w:val="24"/>
                <w:lang w:eastAsia="cs-CZ"/>
              </w:rPr>
              <w:t>,</w:t>
            </w:r>
            <w:r w:rsidRPr="005D7674">
              <w:rPr>
                <w:rFonts w:eastAsia="Times New Roman"/>
                <w:szCs w:val="24"/>
                <w:lang w:eastAsia="cs-CZ"/>
              </w:rPr>
              <w:t>68</w:t>
            </w:r>
          </w:p>
        </w:tc>
      </w:tr>
      <w:tr w:rsidR="00F15667" w:rsidRPr="005D7674" w14:paraId="1D6B7955" w14:textId="77777777" w:rsidTr="00663D51">
        <w:trPr>
          <w:trHeight w:val="315"/>
        </w:trPr>
        <w:tc>
          <w:tcPr>
            <w:tcW w:w="2410" w:type="dxa"/>
            <w:tcBorders>
              <w:top w:val="nil"/>
              <w:left w:val="nil"/>
              <w:bottom w:val="single" w:sz="4" w:space="0" w:color="auto"/>
              <w:right w:val="nil"/>
            </w:tcBorders>
            <w:shd w:val="clear" w:color="auto" w:fill="auto"/>
            <w:noWrap/>
            <w:vAlign w:val="center"/>
            <w:hideMark/>
          </w:tcPr>
          <w:p w14:paraId="672F36B6" w14:textId="64D66FAF" w:rsidR="00C2227B" w:rsidRPr="005D7674" w:rsidRDefault="00C2227B" w:rsidP="00663D51">
            <w:pPr>
              <w:spacing w:line="240" w:lineRule="auto"/>
              <w:jc w:val="left"/>
              <w:rPr>
                <w:rFonts w:eastAsia="Times New Roman"/>
                <w:szCs w:val="24"/>
                <w:lang w:eastAsia="cs-CZ"/>
              </w:rPr>
            </w:pPr>
            <w:r w:rsidRPr="005D7674">
              <w:rPr>
                <w:rFonts w:eastAsia="Times New Roman"/>
                <w:szCs w:val="24"/>
                <w:lang w:eastAsia="cs-CZ"/>
              </w:rPr>
              <w:t>KS Hr. Králové</w:t>
            </w:r>
          </w:p>
        </w:tc>
        <w:tc>
          <w:tcPr>
            <w:tcW w:w="1276" w:type="dxa"/>
            <w:tcBorders>
              <w:top w:val="nil"/>
              <w:left w:val="nil"/>
              <w:bottom w:val="single" w:sz="4" w:space="0" w:color="auto"/>
              <w:right w:val="nil"/>
            </w:tcBorders>
            <w:shd w:val="clear" w:color="auto" w:fill="auto"/>
            <w:noWrap/>
            <w:vAlign w:val="center"/>
            <w:hideMark/>
          </w:tcPr>
          <w:p w14:paraId="1952C90C" w14:textId="625EAB4F"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77</w:t>
            </w:r>
            <w:r w:rsidR="00FA44FF" w:rsidRPr="005D7674">
              <w:rPr>
                <w:rFonts w:eastAsia="Times New Roman"/>
                <w:szCs w:val="24"/>
                <w:lang w:eastAsia="cs-CZ"/>
              </w:rPr>
              <w:t>,</w:t>
            </w:r>
            <w:r w:rsidRPr="005D7674">
              <w:rPr>
                <w:rFonts w:eastAsia="Times New Roman"/>
                <w:szCs w:val="24"/>
                <w:lang w:eastAsia="cs-CZ"/>
              </w:rPr>
              <w:t>6</w:t>
            </w:r>
          </w:p>
        </w:tc>
        <w:tc>
          <w:tcPr>
            <w:tcW w:w="1795" w:type="dxa"/>
            <w:tcBorders>
              <w:top w:val="nil"/>
              <w:left w:val="nil"/>
              <w:bottom w:val="single" w:sz="4" w:space="0" w:color="auto"/>
              <w:right w:val="nil"/>
            </w:tcBorders>
            <w:shd w:val="clear" w:color="auto" w:fill="auto"/>
            <w:noWrap/>
            <w:vAlign w:val="center"/>
            <w:hideMark/>
          </w:tcPr>
          <w:p w14:paraId="17F79E8A" w14:textId="56B505CC"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357</w:t>
            </w:r>
            <w:r w:rsidR="00FA44FF" w:rsidRPr="005D7674">
              <w:rPr>
                <w:rFonts w:eastAsia="Times New Roman"/>
                <w:szCs w:val="24"/>
                <w:lang w:eastAsia="cs-CZ"/>
              </w:rPr>
              <w:t>,</w:t>
            </w:r>
            <w:r w:rsidRPr="005D7674">
              <w:rPr>
                <w:rFonts w:eastAsia="Times New Roman"/>
                <w:szCs w:val="24"/>
                <w:lang w:eastAsia="cs-CZ"/>
              </w:rPr>
              <w:t>62</w:t>
            </w:r>
          </w:p>
        </w:tc>
        <w:tc>
          <w:tcPr>
            <w:tcW w:w="1795" w:type="dxa"/>
            <w:tcBorders>
              <w:top w:val="nil"/>
              <w:left w:val="nil"/>
              <w:bottom w:val="single" w:sz="4" w:space="0" w:color="auto"/>
              <w:right w:val="nil"/>
            </w:tcBorders>
            <w:shd w:val="clear" w:color="auto" w:fill="auto"/>
            <w:noWrap/>
            <w:vAlign w:val="center"/>
            <w:hideMark/>
          </w:tcPr>
          <w:p w14:paraId="1189CB0F" w14:textId="63261FDB"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346</w:t>
            </w:r>
            <w:r w:rsidR="00FA44FF" w:rsidRPr="005D7674">
              <w:rPr>
                <w:rFonts w:eastAsia="Times New Roman"/>
                <w:szCs w:val="24"/>
                <w:lang w:eastAsia="cs-CZ"/>
              </w:rPr>
              <w:t>,</w:t>
            </w:r>
            <w:r w:rsidRPr="005D7674">
              <w:rPr>
                <w:rFonts w:eastAsia="Times New Roman"/>
                <w:szCs w:val="24"/>
                <w:lang w:eastAsia="cs-CZ"/>
              </w:rPr>
              <w:t>96</w:t>
            </w:r>
          </w:p>
        </w:tc>
        <w:tc>
          <w:tcPr>
            <w:tcW w:w="1796" w:type="dxa"/>
            <w:tcBorders>
              <w:top w:val="nil"/>
              <w:left w:val="nil"/>
              <w:bottom w:val="single" w:sz="4" w:space="0" w:color="auto"/>
              <w:right w:val="nil"/>
            </w:tcBorders>
            <w:shd w:val="clear" w:color="auto" w:fill="auto"/>
            <w:noWrap/>
            <w:vAlign w:val="center"/>
            <w:hideMark/>
          </w:tcPr>
          <w:p w14:paraId="6E3FB764" w14:textId="64DA6334"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113</w:t>
            </w:r>
            <w:r w:rsidR="00FA44FF" w:rsidRPr="005D7674">
              <w:rPr>
                <w:rFonts w:eastAsia="Times New Roman"/>
                <w:szCs w:val="24"/>
                <w:lang w:eastAsia="cs-CZ"/>
              </w:rPr>
              <w:t>,</w:t>
            </w:r>
            <w:r w:rsidRPr="005D7674">
              <w:rPr>
                <w:rFonts w:eastAsia="Times New Roman"/>
                <w:szCs w:val="24"/>
                <w:lang w:eastAsia="cs-CZ"/>
              </w:rPr>
              <w:t>89</w:t>
            </w:r>
          </w:p>
        </w:tc>
      </w:tr>
      <w:tr w:rsidR="00F15667" w:rsidRPr="005D7674" w14:paraId="16B6F093" w14:textId="77777777" w:rsidTr="00663D51">
        <w:trPr>
          <w:trHeight w:val="315"/>
        </w:trPr>
        <w:tc>
          <w:tcPr>
            <w:tcW w:w="2410" w:type="dxa"/>
            <w:tcBorders>
              <w:top w:val="nil"/>
              <w:left w:val="nil"/>
              <w:bottom w:val="single" w:sz="4" w:space="0" w:color="auto"/>
              <w:right w:val="nil"/>
            </w:tcBorders>
            <w:shd w:val="clear" w:color="auto" w:fill="auto"/>
            <w:noWrap/>
            <w:vAlign w:val="center"/>
            <w:hideMark/>
          </w:tcPr>
          <w:p w14:paraId="3F1A6B0D" w14:textId="77777777" w:rsidR="00C2227B" w:rsidRPr="005D7674" w:rsidRDefault="00C2227B" w:rsidP="00663D51">
            <w:pPr>
              <w:spacing w:line="240" w:lineRule="auto"/>
              <w:jc w:val="left"/>
              <w:rPr>
                <w:rFonts w:eastAsia="Times New Roman"/>
                <w:szCs w:val="24"/>
                <w:lang w:eastAsia="cs-CZ"/>
              </w:rPr>
            </w:pPr>
            <w:r w:rsidRPr="005D7674">
              <w:rPr>
                <w:rFonts w:eastAsia="Times New Roman"/>
                <w:szCs w:val="24"/>
                <w:lang w:eastAsia="cs-CZ"/>
              </w:rPr>
              <w:t>KS Brno</w:t>
            </w:r>
          </w:p>
        </w:tc>
        <w:tc>
          <w:tcPr>
            <w:tcW w:w="1276" w:type="dxa"/>
            <w:tcBorders>
              <w:top w:val="nil"/>
              <w:left w:val="nil"/>
              <w:bottom w:val="single" w:sz="4" w:space="0" w:color="auto"/>
              <w:right w:val="nil"/>
            </w:tcBorders>
            <w:shd w:val="clear" w:color="auto" w:fill="auto"/>
            <w:noWrap/>
            <w:vAlign w:val="center"/>
            <w:hideMark/>
          </w:tcPr>
          <w:p w14:paraId="73899BE6" w14:textId="447C4B32"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138</w:t>
            </w:r>
            <w:r w:rsidR="00FA44FF" w:rsidRPr="005D7674">
              <w:rPr>
                <w:rFonts w:eastAsia="Times New Roman"/>
                <w:szCs w:val="24"/>
                <w:lang w:eastAsia="cs-CZ"/>
              </w:rPr>
              <w:t>,</w:t>
            </w:r>
            <w:r w:rsidRPr="005D7674">
              <w:rPr>
                <w:rFonts w:eastAsia="Times New Roman"/>
                <w:szCs w:val="24"/>
                <w:lang w:eastAsia="cs-CZ"/>
              </w:rPr>
              <w:t>1</w:t>
            </w:r>
          </w:p>
        </w:tc>
        <w:tc>
          <w:tcPr>
            <w:tcW w:w="1795" w:type="dxa"/>
            <w:tcBorders>
              <w:top w:val="nil"/>
              <w:left w:val="nil"/>
              <w:bottom w:val="single" w:sz="4" w:space="0" w:color="auto"/>
              <w:right w:val="nil"/>
            </w:tcBorders>
            <w:shd w:val="clear" w:color="auto" w:fill="auto"/>
            <w:noWrap/>
            <w:vAlign w:val="center"/>
            <w:hideMark/>
          </w:tcPr>
          <w:p w14:paraId="012EC005" w14:textId="455B9080"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309</w:t>
            </w:r>
            <w:r w:rsidR="00FA44FF" w:rsidRPr="005D7674">
              <w:rPr>
                <w:rFonts w:eastAsia="Times New Roman"/>
                <w:szCs w:val="24"/>
                <w:lang w:eastAsia="cs-CZ"/>
              </w:rPr>
              <w:t>,</w:t>
            </w:r>
            <w:r w:rsidRPr="005D7674">
              <w:rPr>
                <w:rFonts w:eastAsia="Times New Roman"/>
                <w:szCs w:val="24"/>
                <w:lang w:eastAsia="cs-CZ"/>
              </w:rPr>
              <w:t>24</w:t>
            </w:r>
          </w:p>
        </w:tc>
        <w:tc>
          <w:tcPr>
            <w:tcW w:w="1795" w:type="dxa"/>
            <w:tcBorders>
              <w:top w:val="nil"/>
              <w:left w:val="nil"/>
              <w:bottom w:val="single" w:sz="4" w:space="0" w:color="auto"/>
              <w:right w:val="nil"/>
            </w:tcBorders>
            <w:shd w:val="clear" w:color="auto" w:fill="auto"/>
            <w:noWrap/>
            <w:vAlign w:val="center"/>
            <w:hideMark/>
          </w:tcPr>
          <w:p w14:paraId="79891DDC" w14:textId="3742FAB5"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316</w:t>
            </w:r>
            <w:r w:rsidR="00FA44FF" w:rsidRPr="005D7674">
              <w:rPr>
                <w:rFonts w:eastAsia="Times New Roman"/>
                <w:szCs w:val="24"/>
                <w:lang w:eastAsia="cs-CZ"/>
              </w:rPr>
              <w:t>,</w:t>
            </w:r>
            <w:r w:rsidRPr="005D7674">
              <w:rPr>
                <w:rFonts w:eastAsia="Times New Roman"/>
                <w:szCs w:val="24"/>
                <w:lang w:eastAsia="cs-CZ"/>
              </w:rPr>
              <w:t>08</w:t>
            </w:r>
          </w:p>
        </w:tc>
        <w:tc>
          <w:tcPr>
            <w:tcW w:w="1796" w:type="dxa"/>
            <w:tcBorders>
              <w:top w:val="nil"/>
              <w:left w:val="nil"/>
              <w:bottom w:val="single" w:sz="4" w:space="0" w:color="auto"/>
              <w:right w:val="nil"/>
            </w:tcBorders>
            <w:shd w:val="clear" w:color="auto" w:fill="auto"/>
            <w:noWrap/>
            <w:vAlign w:val="center"/>
            <w:hideMark/>
          </w:tcPr>
          <w:p w14:paraId="1C4B7AE9" w14:textId="415A73D3"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141</w:t>
            </w:r>
            <w:r w:rsidR="00FA44FF" w:rsidRPr="005D7674">
              <w:rPr>
                <w:rFonts w:eastAsia="Times New Roman"/>
                <w:szCs w:val="24"/>
                <w:lang w:eastAsia="cs-CZ"/>
              </w:rPr>
              <w:t>,</w:t>
            </w:r>
            <w:r w:rsidRPr="005D7674">
              <w:rPr>
                <w:rFonts w:eastAsia="Times New Roman"/>
                <w:szCs w:val="24"/>
                <w:lang w:eastAsia="cs-CZ"/>
              </w:rPr>
              <w:t>45</w:t>
            </w:r>
          </w:p>
        </w:tc>
      </w:tr>
      <w:tr w:rsidR="00F15667" w:rsidRPr="005D7674" w14:paraId="1BD228A3" w14:textId="77777777" w:rsidTr="00663D51">
        <w:trPr>
          <w:trHeight w:val="330"/>
        </w:trPr>
        <w:tc>
          <w:tcPr>
            <w:tcW w:w="2410" w:type="dxa"/>
            <w:tcBorders>
              <w:top w:val="nil"/>
              <w:left w:val="nil"/>
              <w:bottom w:val="double" w:sz="6" w:space="0" w:color="auto"/>
              <w:right w:val="nil"/>
            </w:tcBorders>
            <w:shd w:val="clear" w:color="auto" w:fill="auto"/>
            <w:noWrap/>
            <w:vAlign w:val="center"/>
            <w:hideMark/>
          </w:tcPr>
          <w:p w14:paraId="0337E629" w14:textId="77777777" w:rsidR="00C2227B" w:rsidRPr="005D7674" w:rsidRDefault="00C2227B" w:rsidP="00663D51">
            <w:pPr>
              <w:spacing w:line="240" w:lineRule="auto"/>
              <w:jc w:val="left"/>
              <w:rPr>
                <w:rFonts w:eastAsia="Times New Roman"/>
                <w:szCs w:val="24"/>
                <w:lang w:eastAsia="cs-CZ"/>
              </w:rPr>
            </w:pPr>
            <w:r w:rsidRPr="005D7674">
              <w:rPr>
                <w:rFonts w:eastAsia="Times New Roman"/>
                <w:szCs w:val="24"/>
                <w:lang w:eastAsia="cs-CZ"/>
              </w:rPr>
              <w:t>KS Ostrava</w:t>
            </w:r>
          </w:p>
        </w:tc>
        <w:tc>
          <w:tcPr>
            <w:tcW w:w="1276" w:type="dxa"/>
            <w:tcBorders>
              <w:top w:val="nil"/>
              <w:left w:val="nil"/>
              <w:bottom w:val="double" w:sz="6" w:space="0" w:color="auto"/>
              <w:right w:val="nil"/>
            </w:tcBorders>
            <w:shd w:val="clear" w:color="auto" w:fill="auto"/>
            <w:noWrap/>
            <w:vAlign w:val="center"/>
            <w:hideMark/>
          </w:tcPr>
          <w:p w14:paraId="12857390" w14:textId="65264284"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149</w:t>
            </w:r>
            <w:r w:rsidR="00FA44FF" w:rsidRPr="005D7674">
              <w:rPr>
                <w:rFonts w:eastAsia="Times New Roman"/>
                <w:szCs w:val="24"/>
                <w:lang w:eastAsia="cs-CZ"/>
              </w:rPr>
              <w:t>,</w:t>
            </w:r>
            <w:r w:rsidRPr="005D7674">
              <w:rPr>
                <w:rFonts w:eastAsia="Times New Roman"/>
                <w:szCs w:val="24"/>
                <w:lang w:eastAsia="cs-CZ"/>
              </w:rPr>
              <w:t>65</w:t>
            </w:r>
          </w:p>
        </w:tc>
        <w:tc>
          <w:tcPr>
            <w:tcW w:w="1795" w:type="dxa"/>
            <w:tcBorders>
              <w:top w:val="nil"/>
              <w:left w:val="nil"/>
              <w:bottom w:val="double" w:sz="6" w:space="0" w:color="auto"/>
              <w:right w:val="nil"/>
            </w:tcBorders>
            <w:shd w:val="clear" w:color="auto" w:fill="auto"/>
            <w:noWrap/>
            <w:vAlign w:val="center"/>
            <w:hideMark/>
          </w:tcPr>
          <w:p w14:paraId="24AF056D" w14:textId="365B9D02"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325</w:t>
            </w:r>
            <w:r w:rsidR="00FA44FF" w:rsidRPr="005D7674">
              <w:rPr>
                <w:rFonts w:eastAsia="Times New Roman"/>
                <w:szCs w:val="24"/>
                <w:lang w:eastAsia="cs-CZ"/>
              </w:rPr>
              <w:t>,</w:t>
            </w:r>
            <w:r w:rsidRPr="005D7674">
              <w:rPr>
                <w:rFonts w:eastAsia="Times New Roman"/>
                <w:szCs w:val="24"/>
                <w:lang w:eastAsia="cs-CZ"/>
              </w:rPr>
              <w:t>47</w:t>
            </w:r>
          </w:p>
        </w:tc>
        <w:tc>
          <w:tcPr>
            <w:tcW w:w="1795" w:type="dxa"/>
            <w:tcBorders>
              <w:top w:val="nil"/>
              <w:left w:val="nil"/>
              <w:bottom w:val="double" w:sz="6" w:space="0" w:color="auto"/>
              <w:right w:val="nil"/>
            </w:tcBorders>
            <w:shd w:val="clear" w:color="auto" w:fill="auto"/>
            <w:noWrap/>
            <w:vAlign w:val="center"/>
            <w:hideMark/>
          </w:tcPr>
          <w:p w14:paraId="696FF439" w14:textId="55594B60"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326</w:t>
            </w:r>
            <w:r w:rsidR="00FA44FF" w:rsidRPr="005D7674">
              <w:rPr>
                <w:rFonts w:eastAsia="Times New Roman"/>
                <w:szCs w:val="24"/>
                <w:lang w:eastAsia="cs-CZ"/>
              </w:rPr>
              <w:t>,</w:t>
            </w:r>
            <w:r w:rsidRPr="005D7674">
              <w:rPr>
                <w:rFonts w:eastAsia="Times New Roman"/>
                <w:szCs w:val="24"/>
                <w:lang w:eastAsia="cs-CZ"/>
              </w:rPr>
              <w:t>64</w:t>
            </w:r>
          </w:p>
        </w:tc>
        <w:tc>
          <w:tcPr>
            <w:tcW w:w="1796" w:type="dxa"/>
            <w:tcBorders>
              <w:top w:val="nil"/>
              <w:left w:val="nil"/>
              <w:bottom w:val="double" w:sz="6" w:space="0" w:color="auto"/>
              <w:right w:val="nil"/>
            </w:tcBorders>
            <w:shd w:val="clear" w:color="auto" w:fill="auto"/>
            <w:noWrap/>
            <w:vAlign w:val="center"/>
            <w:hideMark/>
          </w:tcPr>
          <w:p w14:paraId="06F90F71" w14:textId="63532E72" w:rsidR="00C2227B" w:rsidRPr="005D7674" w:rsidRDefault="00C2227B" w:rsidP="00663D51">
            <w:pPr>
              <w:spacing w:line="240" w:lineRule="auto"/>
              <w:jc w:val="center"/>
              <w:rPr>
                <w:rFonts w:eastAsia="Times New Roman"/>
                <w:szCs w:val="24"/>
                <w:lang w:eastAsia="cs-CZ"/>
              </w:rPr>
            </w:pPr>
            <w:r w:rsidRPr="005D7674">
              <w:rPr>
                <w:rFonts w:eastAsia="Times New Roman"/>
                <w:szCs w:val="24"/>
                <w:lang w:eastAsia="cs-CZ"/>
              </w:rPr>
              <w:t>122</w:t>
            </w:r>
            <w:r w:rsidR="00FA44FF" w:rsidRPr="005D7674">
              <w:rPr>
                <w:rFonts w:eastAsia="Times New Roman"/>
                <w:szCs w:val="24"/>
                <w:lang w:eastAsia="cs-CZ"/>
              </w:rPr>
              <w:t>,</w:t>
            </w:r>
            <w:r w:rsidRPr="005D7674">
              <w:rPr>
                <w:rFonts w:eastAsia="Times New Roman"/>
                <w:szCs w:val="24"/>
                <w:lang w:eastAsia="cs-CZ"/>
              </w:rPr>
              <w:t>10</w:t>
            </w:r>
          </w:p>
        </w:tc>
      </w:tr>
      <w:tr w:rsidR="00F15667" w:rsidRPr="005D7674" w14:paraId="71A339D0" w14:textId="77777777" w:rsidTr="00663D51">
        <w:trPr>
          <w:trHeight w:val="345"/>
        </w:trPr>
        <w:tc>
          <w:tcPr>
            <w:tcW w:w="2410" w:type="dxa"/>
            <w:tcBorders>
              <w:top w:val="nil"/>
              <w:left w:val="nil"/>
              <w:bottom w:val="double" w:sz="6" w:space="0" w:color="auto"/>
              <w:right w:val="nil"/>
            </w:tcBorders>
            <w:shd w:val="clear" w:color="auto" w:fill="auto"/>
            <w:noWrap/>
            <w:vAlign w:val="center"/>
            <w:hideMark/>
          </w:tcPr>
          <w:p w14:paraId="686DACBC" w14:textId="77777777" w:rsidR="00C2227B" w:rsidRPr="005D7674" w:rsidRDefault="00C2227B" w:rsidP="00663D51">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276" w:type="dxa"/>
            <w:tcBorders>
              <w:top w:val="nil"/>
              <w:left w:val="nil"/>
              <w:bottom w:val="double" w:sz="6" w:space="0" w:color="auto"/>
              <w:right w:val="nil"/>
            </w:tcBorders>
            <w:shd w:val="clear" w:color="auto" w:fill="auto"/>
            <w:noWrap/>
            <w:vAlign w:val="center"/>
            <w:hideMark/>
          </w:tcPr>
          <w:p w14:paraId="528898FD" w14:textId="215DE9FD"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881</w:t>
            </w:r>
            <w:r w:rsidR="00FA44FF" w:rsidRPr="005D7674">
              <w:rPr>
                <w:rFonts w:eastAsia="Times New Roman"/>
                <w:b/>
                <w:bCs/>
                <w:szCs w:val="24"/>
                <w:lang w:eastAsia="cs-CZ"/>
              </w:rPr>
              <w:t>,</w:t>
            </w:r>
            <w:r w:rsidRPr="005D7674">
              <w:rPr>
                <w:rFonts w:eastAsia="Times New Roman"/>
                <w:b/>
                <w:bCs/>
                <w:szCs w:val="24"/>
                <w:lang w:eastAsia="cs-CZ"/>
              </w:rPr>
              <w:t>83</w:t>
            </w:r>
          </w:p>
        </w:tc>
        <w:tc>
          <w:tcPr>
            <w:tcW w:w="1795" w:type="dxa"/>
            <w:tcBorders>
              <w:top w:val="nil"/>
              <w:left w:val="nil"/>
              <w:bottom w:val="double" w:sz="6" w:space="0" w:color="auto"/>
              <w:right w:val="nil"/>
            </w:tcBorders>
            <w:shd w:val="clear" w:color="auto" w:fill="auto"/>
            <w:noWrap/>
            <w:vAlign w:val="center"/>
            <w:hideMark/>
          </w:tcPr>
          <w:p w14:paraId="5D6202F1" w14:textId="3735445C"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354</w:t>
            </w:r>
            <w:r w:rsidR="00FA44FF" w:rsidRPr="005D7674">
              <w:rPr>
                <w:rFonts w:eastAsia="Times New Roman"/>
                <w:b/>
                <w:bCs/>
                <w:szCs w:val="24"/>
                <w:lang w:eastAsia="cs-CZ"/>
              </w:rPr>
              <w:t>,</w:t>
            </w:r>
            <w:r w:rsidRPr="005D7674">
              <w:rPr>
                <w:rFonts w:eastAsia="Times New Roman"/>
                <w:b/>
                <w:bCs/>
                <w:szCs w:val="24"/>
                <w:lang w:eastAsia="cs-CZ"/>
              </w:rPr>
              <w:t>01</w:t>
            </w:r>
          </w:p>
        </w:tc>
        <w:tc>
          <w:tcPr>
            <w:tcW w:w="1795" w:type="dxa"/>
            <w:tcBorders>
              <w:top w:val="nil"/>
              <w:left w:val="nil"/>
              <w:bottom w:val="double" w:sz="6" w:space="0" w:color="auto"/>
              <w:right w:val="nil"/>
            </w:tcBorders>
            <w:shd w:val="clear" w:color="auto" w:fill="auto"/>
            <w:noWrap/>
            <w:vAlign w:val="center"/>
            <w:hideMark/>
          </w:tcPr>
          <w:p w14:paraId="1417BA02" w14:textId="4E3C0B30"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361</w:t>
            </w:r>
            <w:r w:rsidR="00FA44FF" w:rsidRPr="005D7674">
              <w:rPr>
                <w:rFonts w:eastAsia="Times New Roman"/>
                <w:b/>
                <w:bCs/>
                <w:szCs w:val="24"/>
                <w:lang w:eastAsia="cs-CZ"/>
              </w:rPr>
              <w:t>,</w:t>
            </w:r>
            <w:r w:rsidRPr="005D7674">
              <w:rPr>
                <w:rFonts w:eastAsia="Times New Roman"/>
                <w:b/>
                <w:bCs/>
                <w:szCs w:val="24"/>
                <w:lang w:eastAsia="cs-CZ"/>
              </w:rPr>
              <w:t>80</w:t>
            </w:r>
          </w:p>
        </w:tc>
        <w:tc>
          <w:tcPr>
            <w:tcW w:w="1796" w:type="dxa"/>
            <w:tcBorders>
              <w:top w:val="nil"/>
              <w:left w:val="nil"/>
              <w:bottom w:val="double" w:sz="6" w:space="0" w:color="auto"/>
              <w:right w:val="nil"/>
            </w:tcBorders>
            <w:shd w:val="clear" w:color="auto" w:fill="auto"/>
            <w:noWrap/>
            <w:vAlign w:val="center"/>
            <w:hideMark/>
          </w:tcPr>
          <w:p w14:paraId="6D47AC20" w14:textId="5FCF6847" w:rsidR="00C2227B" w:rsidRPr="005D7674" w:rsidRDefault="00C2227B" w:rsidP="00663D51">
            <w:pPr>
              <w:spacing w:line="240" w:lineRule="auto"/>
              <w:jc w:val="center"/>
              <w:rPr>
                <w:rFonts w:eastAsia="Times New Roman"/>
                <w:b/>
                <w:bCs/>
                <w:szCs w:val="24"/>
                <w:lang w:eastAsia="cs-CZ"/>
              </w:rPr>
            </w:pPr>
            <w:r w:rsidRPr="005D7674">
              <w:rPr>
                <w:rFonts w:eastAsia="Times New Roman"/>
                <w:b/>
                <w:bCs/>
                <w:szCs w:val="24"/>
                <w:lang w:eastAsia="cs-CZ"/>
              </w:rPr>
              <w:t>126</w:t>
            </w:r>
            <w:r w:rsidR="00FA44FF" w:rsidRPr="005D7674">
              <w:rPr>
                <w:rFonts w:eastAsia="Times New Roman"/>
                <w:b/>
                <w:bCs/>
                <w:szCs w:val="24"/>
                <w:lang w:eastAsia="cs-CZ"/>
              </w:rPr>
              <w:t>,</w:t>
            </w:r>
            <w:r w:rsidRPr="005D7674">
              <w:rPr>
                <w:rFonts w:eastAsia="Times New Roman"/>
                <w:b/>
                <w:bCs/>
                <w:szCs w:val="24"/>
                <w:lang w:eastAsia="cs-CZ"/>
              </w:rPr>
              <w:t>54</w:t>
            </w:r>
          </w:p>
        </w:tc>
      </w:tr>
      <w:tr w:rsidR="00F15667" w:rsidRPr="005D7674" w14:paraId="4EBDC66F" w14:textId="77777777" w:rsidTr="00663D51">
        <w:trPr>
          <w:trHeight w:val="330"/>
        </w:trPr>
        <w:tc>
          <w:tcPr>
            <w:tcW w:w="2410" w:type="dxa"/>
            <w:tcBorders>
              <w:top w:val="nil"/>
              <w:left w:val="nil"/>
              <w:bottom w:val="nil"/>
              <w:right w:val="nil"/>
            </w:tcBorders>
            <w:shd w:val="clear" w:color="auto" w:fill="auto"/>
            <w:noWrap/>
            <w:vAlign w:val="center"/>
            <w:hideMark/>
          </w:tcPr>
          <w:p w14:paraId="1DEDD9E0" w14:textId="77777777" w:rsidR="00C2227B" w:rsidRPr="005D7674" w:rsidRDefault="00C2227B" w:rsidP="00663D51">
            <w:pPr>
              <w:spacing w:line="240" w:lineRule="auto"/>
              <w:jc w:val="center"/>
              <w:rPr>
                <w:rFonts w:eastAsia="Times New Roman"/>
                <w:b/>
                <w:bCs/>
                <w:szCs w:val="24"/>
                <w:lang w:eastAsia="cs-CZ"/>
              </w:rPr>
            </w:pPr>
          </w:p>
        </w:tc>
        <w:tc>
          <w:tcPr>
            <w:tcW w:w="1276" w:type="dxa"/>
            <w:tcBorders>
              <w:top w:val="nil"/>
              <w:left w:val="nil"/>
              <w:bottom w:val="nil"/>
              <w:right w:val="nil"/>
            </w:tcBorders>
            <w:shd w:val="clear" w:color="auto" w:fill="auto"/>
            <w:noWrap/>
            <w:vAlign w:val="center"/>
            <w:hideMark/>
          </w:tcPr>
          <w:p w14:paraId="48CC1CD9" w14:textId="44F9C1C1" w:rsidR="00C2227B" w:rsidRPr="005D7674" w:rsidRDefault="00C2227B" w:rsidP="00663D51">
            <w:pPr>
              <w:spacing w:line="240" w:lineRule="auto"/>
              <w:jc w:val="center"/>
              <w:rPr>
                <w:rFonts w:eastAsia="Times New Roman"/>
                <w:sz w:val="20"/>
                <w:szCs w:val="20"/>
                <w:lang w:eastAsia="cs-CZ"/>
              </w:rPr>
            </w:pPr>
          </w:p>
        </w:tc>
        <w:tc>
          <w:tcPr>
            <w:tcW w:w="1795" w:type="dxa"/>
            <w:tcBorders>
              <w:top w:val="nil"/>
              <w:left w:val="nil"/>
              <w:bottom w:val="nil"/>
              <w:right w:val="nil"/>
            </w:tcBorders>
            <w:shd w:val="clear" w:color="auto" w:fill="auto"/>
            <w:noWrap/>
            <w:vAlign w:val="center"/>
            <w:hideMark/>
          </w:tcPr>
          <w:p w14:paraId="597B8CB1" w14:textId="77777777" w:rsidR="00C2227B" w:rsidRPr="005D7674" w:rsidRDefault="00C2227B" w:rsidP="00663D51">
            <w:pPr>
              <w:spacing w:line="240" w:lineRule="auto"/>
              <w:jc w:val="center"/>
              <w:rPr>
                <w:rFonts w:eastAsia="Times New Roman"/>
                <w:sz w:val="20"/>
                <w:szCs w:val="20"/>
                <w:lang w:eastAsia="cs-CZ"/>
              </w:rPr>
            </w:pPr>
          </w:p>
        </w:tc>
        <w:tc>
          <w:tcPr>
            <w:tcW w:w="1795" w:type="dxa"/>
            <w:tcBorders>
              <w:top w:val="nil"/>
              <w:left w:val="nil"/>
              <w:bottom w:val="nil"/>
              <w:right w:val="nil"/>
            </w:tcBorders>
            <w:shd w:val="clear" w:color="auto" w:fill="auto"/>
            <w:noWrap/>
            <w:vAlign w:val="center"/>
            <w:hideMark/>
          </w:tcPr>
          <w:p w14:paraId="73D156A9" w14:textId="77777777" w:rsidR="00C2227B" w:rsidRPr="005D7674" w:rsidRDefault="00C2227B" w:rsidP="00663D51">
            <w:pPr>
              <w:spacing w:line="240" w:lineRule="auto"/>
              <w:jc w:val="center"/>
              <w:rPr>
                <w:rFonts w:eastAsia="Times New Roman"/>
                <w:sz w:val="20"/>
                <w:szCs w:val="20"/>
                <w:lang w:eastAsia="cs-CZ"/>
              </w:rPr>
            </w:pPr>
          </w:p>
        </w:tc>
        <w:tc>
          <w:tcPr>
            <w:tcW w:w="1796" w:type="dxa"/>
            <w:tcBorders>
              <w:top w:val="nil"/>
              <w:left w:val="nil"/>
              <w:bottom w:val="nil"/>
              <w:right w:val="nil"/>
            </w:tcBorders>
            <w:shd w:val="clear" w:color="auto" w:fill="auto"/>
            <w:noWrap/>
            <w:vAlign w:val="center"/>
            <w:hideMark/>
          </w:tcPr>
          <w:p w14:paraId="40F694F8" w14:textId="77777777" w:rsidR="00C2227B" w:rsidRPr="005D7674" w:rsidRDefault="00C2227B" w:rsidP="00663D51">
            <w:pPr>
              <w:spacing w:line="240" w:lineRule="auto"/>
              <w:jc w:val="center"/>
              <w:rPr>
                <w:rFonts w:eastAsia="Times New Roman"/>
                <w:sz w:val="20"/>
                <w:szCs w:val="20"/>
                <w:lang w:eastAsia="cs-CZ"/>
              </w:rPr>
            </w:pPr>
          </w:p>
        </w:tc>
      </w:tr>
    </w:tbl>
    <w:p w14:paraId="3B3DB4FA" w14:textId="6244F878" w:rsidR="00C2227B" w:rsidRPr="005D7674" w:rsidRDefault="00C2227B" w:rsidP="00C2227B">
      <w:pPr>
        <w:pStyle w:val="OdstavecASR"/>
      </w:pPr>
      <w:r w:rsidRPr="005D7674">
        <w:t>Pokud srovnáme data s předchozím rokem, vidíme, že počet příchozích věcí, vyřízených i</w:t>
      </w:r>
      <w:r w:rsidR="00663D51" w:rsidRPr="005D7674">
        <w:t> </w:t>
      </w:r>
      <w:r w:rsidRPr="005D7674">
        <w:t>nevyřízených věcí na soudce (na skutečný počet úvazků) klesl</w:t>
      </w:r>
      <w:r w:rsidR="002F20E1" w:rsidRPr="005D7674">
        <w:t>,</w:t>
      </w:r>
      <w:r w:rsidRPr="005D7674">
        <w:t xml:space="preserve"> což plyne z mírného růstu v počtu skutečných úvazků. </w:t>
      </w:r>
      <w:r w:rsidR="00FA44FF" w:rsidRPr="005D7674">
        <w:t>U počtu nevyřízených věcí to také plyne z poklesu celkové</w:t>
      </w:r>
      <w:r w:rsidR="0082781F" w:rsidRPr="005D7674">
        <w:t xml:space="preserve">ho </w:t>
      </w:r>
      <w:r w:rsidR="00FA44FF" w:rsidRPr="005D7674">
        <w:t xml:space="preserve">počtu nevyřízených věcí. </w:t>
      </w:r>
    </w:p>
    <w:p w14:paraId="26D74013" w14:textId="076F930C" w:rsidR="00FA44FF" w:rsidRPr="005D7674" w:rsidRDefault="00FA44FF" w:rsidP="00FA44FF">
      <w:pPr>
        <w:pStyle w:val="Podnadpis"/>
        <w:rPr>
          <w:color w:val="auto"/>
        </w:rPr>
      </w:pPr>
      <w:bookmarkStart w:id="154" w:name="_Toc515871336"/>
      <w:bookmarkStart w:id="155" w:name="_Toc11135072"/>
      <w:bookmarkStart w:id="156" w:name="_Toc43841391"/>
      <w:bookmarkStart w:id="157" w:name="_Toc75952192"/>
      <w:bookmarkStart w:id="158" w:name="_Toc106106645"/>
      <w:bookmarkStart w:id="159" w:name="_Toc144104123"/>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11</w:t>
      </w:r>
      <w:r w:rsidR="009A10E2" w:rsidRPr="005D7674">
        <w:rPr>
          <w:color w:val="auto"/>
        </w:rPr>
        <w:fldChar w:fldCharType="end"/>
      </w:r>
      <w:r w:rsidRPr="005D7674">
        <w:rPr>
          <w:color w:val="auto"/>
        </w:rPr>
        <w:t>: OS – počet nevyříz. civilních věcí na úvazek u jednotlivých soudů</w:t>
      </w:r>
      <w:bookmarkEnd w:id="154"/>
      <w:bookmarkEnd w:id="155"/>
      <w:bookmarkEnd w:id="156"/>
      <w:bookmarkEnd w:id="157"/>
      <w:bookmarkEnd w:id="158"/>
      <w:bookmarkEnd w:id="159"/>
    </w:p>
    <w:p w14:paraId="32C504BC" w14:textId="77777777" w:rsidR="003C05D2" w:rsidRPr="005D7674" w:rsidRDefault="00CC5D3E" w:rsidP="00917F3F">
      <w:pPr>
        <w:pStyle w:val="OdstavecASR"/>
      </w:pPr>
      <w:r w:rsidRPr="005D7674">
        <w:rPr>
          <w:rFonts w:eastAsia="Times New Roman"/>
          <w:noProof/>
          <w:sz w:val="20"/>
          <w:szCs w:val="20"/>
          <w:lang w:eastAsia="cs-CZ"/>
        </w:rPr>
        <w:drawing>
          <wp:anchor distT="0" distB="0" distL="114300" distR="114300" simplePos="0" relativeHeight="251665408" behindDoc="0" locked="0" layoutInCell="1" allowOverlap="1" wp14:anchorId="52DA3722" wp14:editId="59D221D3">
            <wp:simplePos x="0" y="0"/>
            <wp:positionH relativeFrom="margin">
              <wp:posOffset>4451985</wp:posOffset>
            </wp:positionH>
            <wp:positionV relativeFrom="paragraph">
              <wp:posOffset>53975</wp:posOffset>
            </wp:positionV>
            <wp:extent cx="1285200" cy="932400"/>
            <wp:effectExtent l="0" t="0" r="0" b="1270"/>
            <wp:wrapNone/>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52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674">
        <w:rPr>
          <w:noProof/>
          <w:lang w:eastAsia="cs-CZ"/>
        </w:rPr>
        <w:drawing>
          <wp:inline distT="0" distB="0" distL="0" distR="0" wp14:anchorId="3548BC13" wp14:editId="609C759E">
            <wp:extent cx="5759450" cy="329628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4B535E56" w14:textId="257AFDFF" w:rsidR="003C05D2" w:rsidRPr="005D7674" w:rsidRDefault="003C05D2" w:rsidP="003C05D2">
      <w:pPr>
        <w:pStyle w:val="OdstavecASR"/>
      </w:pPr>
      <w:r w:rsidRPr="005D7674">
        <w:t>Nejvyšší počet nevyřízených věcí na soudce mají OS pro Prahu 1 (227 věcí), OS Semily (209 věcí) a OS Chomutov (202 věcí). Soudy s nejmenším počtem nevyřízených věcí na soudce jsou OS</w:t>
      </w:r>
      <w:r w:rsidR="00663D51" w:rsidRPr="005D7674">
        <w:t> </w:t>
      </w:r>
      <w:r w:rsidR="00F206DC" w:rsidRPr="005D7674">
        <w:t>Náchod</w:t>
      </w:r>
      <w:r w:rsidRPr="005D7674">
        <w:t xml:space="preserve"> (5</w:t>
      </w:r>
      <w:r w:rsidR="00F206DC" w:rsidRPr="005D7674">
        <w:t>0</w:t>
      </w:r>
      <w:r w:rsidRPr="005D7674">
        <w:t xml:space="preserve"> věcí), OS </w:t>
      </w:r>
      <w:r w:rsidR="00F206DC" w:rsidRPr="005D7674">
        <w:t>Příbram</w:t>
      </w:r>
      <w:r w:rsidRPr="005D7674">
        <w:t xml:space="preserve"> (</w:t>
      </w:r>
      <w:r w:rsidR="00F206DC" w:rsidRPr="005D7674">
        <w:t>55</w:t>
      </w:r>
      <w:r w:rsidRPr="005D7674">
        <w:t xml:space="preserve"> věcí) a OS </w:t>
      </w:r>
      <w:r w:rsidR="00F206DC" w:rsidRPr="005D7674">
        <w:t>Český Krumlov</w:t>
      </w:r>
      <w:r w:rsidRPr="005D7674">
        <w:t xml:space="preserve"> (</w:t>
      </w:r>
      <w:r w:rsidR="00F206DC" w:rsidRPr="005D7674">
        <w:t>56</w:t>
      </w:r>
      <w:r w:rsidRPr="005D7674">
        <w:t xml:space="preserve"> věcí).</w:t>
      </w:r>
    </w:p>
    <w:p w14:paraId="4E89CE31" w14:textId="09853DB7" w:rsidR="00027945" w:rsidRPr="005D7674" w:rsidRDefault="00027945" w:rsidP="00027945">
      <w:pPr>
        <w:pStyle w:val="OdstavecASR"/>
      </w:pPr>
      <w:r w:rsidRPr="005D7674">
        <w:t>V tabulce 12 je vidět srovnání evidenčního počtu soudců a skutečného počtů úvazků. S ohledem na srovnatelnost dat je připočten rovněž opatrovnický úsek (v evidenčním počtu soudců je totiž civilní a opatrovnický úsek uveden dohromady).</w:t>
      </w:r>
    </w:p>
    <w:p w14:paraId="3EFE76F9" w14:textId="24640965" w:rsidR="00027945" w:rsidRPr="005D7674" w:rsidRDefault="00027945" w:rsidP="00027945">
      <w:pPr>
        <w:pStyle w:val="Podnadpis"/>
        <w:rPr>
          <w:color w:val="auto"/>
        </w:rPr>
      </w:pPr>
      <w:bookmarkStart w:id="160" w:name="_Toc75952315"/>
      <w:bookmarkStart w:id="161" w:name="_Toc106106774"/>
      <w:bookmarkStart w:id="162" w:name="_Toc144104251"/>
      <w:r w:rsidRPr="005D7674">
        <w:rPr>
          <w:color w:val="auto"/>
        </w:rPr>
        <w:lastRenderedPageBreak/>
        <w:t xml:space="preserve">Tabulka </w:t>
      </w:r>
      <w:r w:rsidRPr="005D7674">
        <w:rPr>
          <w:color w:val="auto"/>
        </w:rPr>
        <w:fldChar w:fldCharType="begin"/>
      </w:r>
      <w:r w:rsidRPr="005D7674">
        <w:rPr>
          <w:color w:val="auto"/>
        </w:rPr>
        <w:instrText xml:space="preserve"> SEQ Tabulka \* ARABIC </w:instrText>
      </w:r>
      <w:r w:rsidRPr="005D7674">
        <w:rPr>
          <w:color w:val="auto"/>
        </w:rPr>
        <w:fldChar w:fldCharType="separate"/>
      </w:r>
      <w:r w:rsidR="001E1A67">
        <w:rPr>
          <w:noProof/>
          <w:color w:val="auto"/>
        </w:rPr>
        <w:t>12</w:t>
      </w:r>
      <w:r w:rsidRPr="005D7674">
        <w:rPr>
          <w:color w:val="auto"/>
        </w:rPr>
        <w:fldChar w:fldCharType="end"/>
      </w:r>
      <w:r w:rsidRPr="005D7674">
        <w:rPr>
          <w:color w:val="auto"/>
        </w:rPr>
        <w:t>: OS – srovnání evidenčního a skutečného počtu soudců</w:t>
      </w:r>
      <w:r w:rsidRPr="005D7674">
        <w:rPr>
          <w:rStyle w:val="Znakapoznpodarou"/>
          <w:color w:val="auto"/>
        </w:rPr>
        <w:footnoteReference w:id="5"/>
      </w:r>
      <w:bookmarkEnd w:id="160"/>
      <w:bookmarkEnd w:id="161"/>
      <w:bookmarkEnd w:id="162"/>
    </w:p>
    <w:tbl>
      <w:tblPr>
        <w:tblW w:w="8040" w:type="dxa"/>
        <w:tblCellMar>
          <w:left w:w="70" w:type="dxa"/>
          <w:right w:w="70" w:type="dxa"/>
        </w:tblCellMar>
        <w:tblLook w:val="04A0" w:firstRow="1" w:lastRow="0" w:firstColumn="1" w:lastColumn="0" w:noHBand="0" w:noVBand="1"/>
      </w:tblPr>
      <w:tblGrid>
        <w:gridCol w:w="2480"/>
        <w:gridCol w:w="1886"/>
        <w:gridCol w:w="1914"/>
        <w:gridCol w:w="1760"/>
      </w:tblGrid>
      <w:tr w:rsidR="00F15667" w:rsidRPr="005D7674" w14:paraId="4233BC58" w14:textId="77777777" w:rsidTr="00663D51">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099CF6D" w14:textId="77777777" w:rsidR="00027945" w:rsidRPr="005D7674" w:rsidRDefault="00027945" w:rsidP="00663D51">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3800" w:type="dxa"/>
            <w:gridSpan w:val="2"/>
            <w:tcBorders>
              <w:top w:val="double" w:sz="6" w:space="0" w:color="auto"/>
              <w:left w:val="nil"/>
              <w:bottom w:val="nil"/>
              <w:right w:val="nil"/>
            </w:tcBorders>
            <w:shd w:val="clear" w:color="auto" w:fill="auto"/>
            <w:noWrap/>
            <w:vAlign w:val="center"/>
            <w:hideMark/>
          </w:tcPr>
          <w:p w14:paraId="67B76163" w14:textId="77777777" w:rsidR="00027945" w:rsidRPr="005D7674" w:rsidRDefault="00027945" w:rsidP="00663D51">
            <w:pPr>
              <w:spacing w:line="240" w:lineRule="auto"/>
              <w:jc w:val="center"/>
              <w:rPr>
                <w:rFonts w:eastAsia="Times New Roman"/>
                <w:b/>
                <w:bCs/>
                <w:szCs w:val="24"/>
                <w:lang w:eastAsia="cs-CZ"/>
              </w:rPr>
            </w:pPr>
            <w:r w:rsidRPr="005D7674">
              <w:rPr>
                <w:rFonts w:eastAsia="Times New Roman"/>
                <w:b/>
                <w:bCs/>
                <w:szCs w:val="24"/>
                <w:lang w:eastAsia="cs-CZ"/>
              </w:rPr>
              <w:t>Soudci</w:t>
            </w:r>
          </w:p>
        </w:tc>
        <w:tc>
          <w:tcPr>
            <w:tcW w:w="1760" w:type="dxa"/>
            <w:vMerge w:val="restart"/>
            <w:tcBorders>
              <w:top w:val="double" w:sz="6" w:space="0" w:color="auto"/>
              <w:left w:val="nil"/>
              <w:bottom w:val="double" w:sz="6" w:space="0" w:color="000000"/>
              <w:right w:val="nil"/>
            </w:tcBorders>
            <w:shd w:val="clear" w:color="auto" w:fill="auto"/>
            <w:vAlign w:val="center"/>
            <w:hideMark/>
          </w:tcPr>
          <w:p w14:paraId="011FF62D" w14:textId="26A999EA" w:rsidR="00027945" w:rsidRPr="005D7674" w:rsidRDefault="00027945" w:rsidP="00663D51">
            <w:pPr>
              <w:spacing w:line="240" w:lineRule="auto"/>
              <w:jc w:val="center"/>
              <w:rPr>
                <w:rFonts w:eastAsia="Times New Roman"/>
                <w:b/>
                <w:bCs/>
                <w:szCs w:val="24"/>
                <w:lang w:eastAsia="cs-CZ"/>
              </w:rPr>
            </w:pPr>
            <w:r w:rsidRPr="005D7674">
              <w:rPr>
                <w:rFonts w:eastAsia="Times New Roman"/>
                <w:b/>
                <w:bCs/>
                <w:szCs w:val="24"/>
                <w:lang w:eastAsia="cs-CZ"/>
              </w:rPr>
              <w:t>Podíl evid. a</w:t>
            </w:r>
            <w:r w:rsidR="00663D51" w:rsidRPr="005D7674">
              <w:rPr>
                <w:rFonts w:eastAsia="Times New Roman"/>
                <w:b/>
                <w:bCs/>
                <w:szCs w:val="24"/>
                <w:lang w:eastAsia="cs-CZ"/>
              </w:rPr>
              <w:t> </w:t>
            </w:r>
            <w:r w:rsidRPr="005D7674">
              <w:rPr>
                <w:rFonts w:eastAsia="Times New Roman"/>
                <w:b/>
                <w:bCs/>
                <w:szCs w:val="24"/>
                <w:lang w:eastAsia="cs-CZ"/>
              </w:rPr>
              <w:t xml:space="preserve">skut. počtu soudců </w:t>
            </w:r>
            <w:r w:rsidR="00787BFA" w:rsidRPr="005D7674">
              <w:rPr>
                <w:rFonts w:eastAsia="Times New Roman"/>
                <w:b/>
                <w:bCs/>
                <w:szCs w:val="24"/>
                <w:lang w:eastAsia="cs-CZ"/>
              </w:rPr>
              <w:t>×</w:t>
            </w:r>
            <w:r w:rsidRPr="005D7674">
              <w:rPr>
                <w:rFonts w:eastAsia="Times New Roman"/>
                <w:b/>
                <w:bCs/>
                <w:szCs w:val="24"/>
                <w:lang w:eastAsia="cs-CZ"/>
              </w:rPr>
              <w:t xml:space="preserve"> 100 %</w:t>
            </w:r>
          </w:p>
        </w:tc>
      </w:tr>
      <w:tr w:rsidR="00F15667" w:rsidRPr="005D7674" w14:paraId="791C4AB1" w14:textId="77777777" w:rsidTr="00663D51">
        <w:trPr>
          <w:trHeight w:val="570"/>
        </w:trPr>
        <w:tc>
          <w:tcPr>
            <w:tcW w:w="2480" w:type="dxa"/>
            <w:vMerge/>
            <w:tcBorders>
              <w:top w:val="double" w:sz="6" w:space="0" w:color="auto"/>
              <w:left w:val="nil"/>
              <w:bottom w:val="double" w:sz="6" w:space="0" w:color="000000"/>
              <w:right w:val="nil"/>
            </w:tcBorders>
            <w:vAlign w:val="center"/>
            <w:hideMark/>
          </w:tcPr>
          <w:p w14:paraId="55CD44F3" w14:textId="77777777" w:rsidR="00027945" w:rsidRPr="005D7674" w:rsidRDefault="00027945" w:rsidP="00663D51">
            <w:pPr>
              <w:spacing w:line="240" w:lineRule="auto"/>
              <w:jc w:val="center"/>
              <w:rPr>
                <w:rFonts w:eastAsia="Times New Roman"/>
                <w:b/>
                <w:bCs/>
                <w:szCs w:val="24"/>
                <w:lang w:eastAsia="cs-CZ"/>
              </w:rPr>
            </w:pPr>
          </w:p>
        </w:tc>
        <w:tc>
          <w:tcPr>
            <w:tcW w:w="1886" w:type="dxa"/>
            <w:tcBorders>
              <w:top w:val="nil"/>
              <w:left w:val="nil"/>
              <w:bottom w:val="double" w:sz="6" w:space="0" w:color="auto"/>
              <w:right w:val="nil"/>
            </w:tcBorders>
            <w:shd w:val="clear" w:color="auto" w:fill="auto"/>
            <w:noWrap/>
            <w:vAlign w:val="center"/>
            <w:hideMark/>
          </w:tcPr>
          <w:p w14:paraId="3EDB006F" w14:textId="7DB3CD3F" w:rsidR="00027945" w:rsidRPr="005D7674" w:rsidRDefault="00027945" w:rsidP="00663D51">
            <w:pPr>
              <w:spacing w:line="240" w:lineRule="auto"/>
              <w:jc w:val="center"/>
              <w:rPr>
                <w:rFonts w:eastAsia="Times New Roman"/>
                <w:b/>
                <w:bCs/>
                <w:szCs w:val="24"/>
                <w:lang w:eastAsia="cs-CZ"/>
              </w:rPr>
            </w:pPr>
            <w:r w:rsidRPr="005D7674">
              <w:rPr>
                <w:rFonts w:eastAsia="Times New Roman"/>
                <w:b/>
                <w:bCs/>
                <w:szCs w:val="24"/>
                <w:lang w:eastAsia="cs-CZ"/>
              </w:rPr>
              <w:t>Evidenční počet</w:t>
            </w:r>
          </w:p>
        </w:tc>
        <w:tc>
          <w:tcPr>
            <w:tcW w:w="1914" w:type="dxa"/>
            <w:tcBorders>
              <w:top w:val="nil"/>
              <w:left w:val="nil"/>
              <w:bottom w:val="double" w:sz="6" w:space="0" w:color="auto"/>
              <w:right w:val="nil"/>
            </w:tcBorders>
            <w:shd w:val="clear" w:color="auto" w:fill="auto"/>
            <w:noWrap/>
            <w:vAlign w:val="center"/>
            <w:hideMark/>
          </w:tcPr>
          <w:p w14:paraId="72AC7A36" w14:textId="77777777" w:rsidR="00027945" w:rsidRPr="005D7674" w:rsidRDefault="00027945" w:rsidP="00663D51">
            <w:pPr>
              <w:spacing w:line="240" w:lineRule="auto"/>
              <w:jc w:val="center"/>
              <w:rPr>
                <w:rFonts w:eastAsia="Times New Roman"/>
                <w:b/>
                <w:bCs/>
                <w:szCs w:val="24"/>
                <w:lang w:eastAsia="cs-CZ"/>
              </w:rPr>
            </w:pPr>
            <w:r w:rsidRPr="005D7674">
              <w:rPr>
                <w:rFonts w:eastAsia="Times New Roman"/>
                <w:b/>
                <w:bCs/>
                <w:szCs w:val="24"/>
                <w:lang w:eastAsia="cs-CZ"/>
              </w:rPr>
              <w:t>Skutečný počet</w:t>
            </w:r>
          </w:p>
        </w:tc>
        <w:tc>
          <w:tcPr>
            <w:tcW w:w="1760" w:type="dxa"/>
            <w:vMerge/>
            <w:tcBorders>
              <w:top w:val="double" w:sz="6" w:space="0" w:color="auto"/>
              <w:left w:val="nil"/>
              <w:bottom w:val="double" w:sz="6" w:space="0" w:color="000000"/>
              <w:right w:val="nil"/>
            </w:tcBorders>
            <w:vAlign w:val="center"/>
            <w:hideMark/>
          </w:tcPr>
          <w:p w14:paraId="5DD96C4A" w14:textId="77777777" w:rsidR="00027945" w:rsidRPr="005D7674" w:rsidRDefault="00027945" w:rsidP="00663D51">
            <w:pPr>
              <w:spacing w:line="240" w:lineRule="auto"/>
              <w:jc w:val="center"/>
              <w:rPr>
                <w:rFonts w:eastAsia="Times New Roman"/>
                <w:b/>
                <w:bCs/>
                <w:szCs w:val="24"/>
                <w:lang w:eastAsia="cs-CZ"/>
              </w:rPr>
            </w:pPr>
          </w:p>
        </w:tc>
      </w:tr>
      <w:tr w:rsidR="00F15667" w:rsidRPr="005D7674" w14:paraId="32687A43" w14:textId="77777777" w:rsidTr="00663D51">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4D6A5326" w14:textId="77777777" w:rsidR="00027945" w:rsidRPr="005D7674" w:rsidRDefault="00027945" w:rsidP="00663D51">
            <w:pPr>
              <w:spacing w:line="240" w:lineRule="auto"/>
              <w:jc w:val="left"/>
              <w:rPr>
                <w:rFonts w:eastAsia="Times New Roman"/>
                <w:szCs w:val="24"/>
                <w:lang w:eastAsia="cs-CZ"/>
              </w:rPr>
            </w:pPr>
            <w:r w:rsidRPr="005D7674">
              <w:rPr>
                <w:rFonts w:eastAsia="Times New Roman"/>
                <w:szCs w:val="24"/>
                <w:lang w:eastAsia="cs-CZ"/>
              </w:rPr>
              <w:t>MS Praha</w:t>
            </w:r>
          </w:p>
        </w:tc>
        <w:tc>
          <w:tcPr>
            <w:tcW w:w="1886" w:type="dxa"/>
            <w:tcBorders>
              <w:top w:val="single" w:sz="4" w:space="0" w:color="auto"/>
              <w:left w:val="nil"/>
              <w:bottom w:val="single" w:sz="4" w:space="0" w:color="auto"/>
              <w:right w:val="nil"/>
            </w:tcBorders>
            <w:shd w:val="clear" w:color="auto" w:fill="auto"/>
            <w:noWrap/>
            <w:vAlign w:val="center"/>
            <w:hideMark/>
          </w:tcPr>
          <w:p w14:paraId="0304B38C" w14:textId="7777777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242</w:t>
            </w:r>
          </w:p>
        </w:tc>
        <w:tc>
          <w:tcPr>
            <w:tcW w:w="1914" w:type="dxa"/>
            <w:tcBorders>
              <w:top w:val="single" w:sz="4" w:space="0" w:color="auto"/>
              <w:left w:val="nil"/>
              <w:bottom w:val="single" w:sz="4" w:space="0" w:color="auto"/>
              <w:right w:val="nil"/>
            </w:tcBorders>
            <w:shd w:val="clear" w:color="auto" w:fill="auto"/>
            <w:noWrap/>
            <w:vAlign w:val="center"/>
            <w:hideMark/>
          </w:tcPr>
          <w:p w14:paraId="6668B40F" w14:textId="249D0E4E"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218,7</w:t>
            </w:r>
          </w:p>
        </w:tc>
        <w:tc>
          <w:tcPr>
            <w:tcW w:w="1760" w:type="dxa"/>
            <w:tcBorders>
              <w:top w:val="single" w:sz="4" w:space="0" w:color="auto"/>
              <w:left w:val="nil"/>
              <w:bottom w:val="single" w:sz="4" w:space="0" w:color="auto"/>
              <w:right w:val="nil"/>
            </w:tcBorders>
            <w:shd w:val="clear" w:color="auto" w:fill="auto"/>
            <w:noWrap/>
            <w:vAlign w:val="center"/>
            <w:hideMark/>
          </w:tcPr>
          <w:p w14:paraId="59D0981D" w14:textId="36E9EC0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90,37</w:t>
            </w:r>
          </w:p>
        </w:tc>
      </w:tr>
      <w:tr w:rsidR="00F15667" w:rsidRPr="005D7674" w14:paraId="465AC1F0" w14:textId="77777777" w:rsidTr="00663D51">
        <w:trPr>
          <w:trHeight w:val="315"/>
        </w:trPr>
        <w:tc>
          <w:tcPr>
            <w:tcW w:w="2480" w:type="dxa"/>
            <w:tcBorders>
              <w:top w:val="nil"/>
              <w:left w:val="nil"/>
              <w:bottom w:val="single" w:sz="4" w:space="0" w:color="auto"/>
              <w:right w:val="nil"/>
            </w:tcBorders>
            <w:shd w:val="clear" w:color="auto" w:fill="auto"/>
            <w:noWrap/>
            <w:vAlign w:val="center"/>
            <w:hideMark/>
          </w:tcPr>
          <w:p w14:paraId="6D271B21" w14:textId="77777777" w:rsidR="00027945" w:rsidRPr="005D7674" w:rsidRDefault="00027945" w:rsidP="00663D51">
            <w:pPr>
              <w:spacing w:line="240" w:lineRule="auto"/>
              <w:jc w:val="left"/>
              <w:rPr>
                <w:rFonts w:eastAsia="Times New Roman"/>
                <w:szCs w:val="24"/>
                <w:lang w:eastAsia="cs-CZ"/>
              </w:rPr>
            </w:pPr>
            <w:r w:rsidRPr="005D7674">
              <w:rPr>
                <w:rFonts w:eastAsia="Times New Roman"/>
                <w:szCs w:val="24"/>
                <w:lang w:eastAsia="cs-CZ"/>
              </w:rPr>
              <w:t>KS Praha</w:t>
            </w:r>
          </w:p>
        </w:tc>
        <w:tc>
          <w:tcPr>
            <w:tcW w:w="1886" w:type="dxa"/>
            <w:tcBorders>
              <w:top w:val="nil"/>
              <w:left w:val="nil"/>
              <w:bottom w:val="single" w:sz="4" w:space="0" w:color="auto"/>
              <w:right w:val="nil"/>
            </w:tcBorders>
            <w:shd w:val="clear" w:color="auto" w:fill="auto"/>
            <w:noWrap/>
            <w:vAlign w:val="center"/>
            <w:hideMark/>
          </w:tcPr>
          <w:p w14:paraId="1048A313" w14:textId="7777777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172</w:t>
            </w:r>
          </w:p>
        </w:tc>
        <w:tc>
          <w:tcPr>
            <w:tcW w:w="1914" w:type="dxa"/>
            <w:tcBorders>
              <w:top w:val="nil"/>
              <w:left w:val="nil"/>
              <w:bottom w:val="single" w:sz="4" w:space="0" w:color="auto"/>
              <w:right w:val="nil"/>
            </w:tcBorders>
            <w:shd w:val="clear" w:color="auto" w:fill="auto"/>
            <w:noWrap/>
            <w:vAlign w:val="center"/>
            <w:hideMark/>
          </w:tcPr>
          <w:p w14:paraId="4DA4BA89" w14:textId="633B2665"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147,6</w:t>
            </w:r>
          </w:p>
        </w:tc>
        <w:tc>
          <w:tcPr>
            <w:tcW w:w="1760" w:type="dxa"/>
            <w:tcBorders>
              <w:top w:val="nil"/>
              <w:left w:val="nil"/>
              <w:bottom w:val="single" w:sz="4" w:space="0" w:color="auto"/>
              <w:right w:val="nil"/>
            </w:tcBorders>
            <w:shd w:val="clear" w:color="auto" w:fill="auto"/>
            <w:noWrap/>
            <w:vAlign w:val="center"/>
            <w:hideMark/>
          </w:tcPr>
          <w:p w14:paraId="4395012C" w14:textId="0B800614"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85,81</w:t>
            </w:r>
          </w:p>
        </w:tc>
      </w:tr>
      <w:tr w:rsidR="00F15667" w:rsidRPr="005D7674" w14:paraId="31056E70" w14:textId="77777777" w:rsidTr="00663D51">
        <w:trPr>
          <w:trHeight w:val="315"/>
        </w:trPr>
        <w:tc>
          <w:tcPr>
            <w:tcW w:w="2480" w:type="dxa"/>
            <w:tcBorders>
              <w:top w:val="nil"/>
              <w:left w:val="nil"/>
              <w:bottom w:val="single" w:sz="4" w:space="0" w:color="auto"/>
              <w:right w:val="nil"/>
            </w:tcBorders>
            <w:shd w:val="clear" w:color="auto" w:fill="auto"/>
            <w:noWrap/>
            <w:vAlign w:val="center"/>
            <w:hideMark/>
          </w:tcPr>
          <w:p w14:paraId="22CEDC92" w14:textId="77777777" w:rsidR="00027945" w:rsidRPr="005D7674" w:rsidRDefault="00027945" w:rsidP="00663D51">
            <w:pPr>
              <w:spacing w:line="240" w:lineRule="auto"/>
              <w:jc w:val="left"/>
              <w:rPr>
                <w:rFonts w:eastAsia="Times New Roman"/>
                <w:szCs w:val="24"/>
                <w:lang w:eastAsia="cs-CZ"/>
              </w:rPr>
            </w:pPr>
            <w:r w:rsidRPr="005D7674">
              <w:rPr>
                <w:rFonts w:eastAsia="Times New Roman"/>
                <w:szCs w:val="24"/>
                <w:lang w:eastAsia="cs-CZ"/>
              </w:rPr>
              <w:t>KS Č. Budějovice</w:t>
            </w:r>
          </w:p>
        </w:tc>
        <w:tc>
          <w:tcPr>
            <w:tcW w:w="1886" w:type="dxa"/>
            <w:tcBorders>
              <w:top w:val="nil"/>
              <w:left w:val="nil"/>
              <w:bottom w:val="single" w:sz="4" w:space="0" w:color="auto"/>
              <w:right w:val="nil"/>
            </w:tcBorders>
            <w:shd w:val="clear" w:color="auto" w:fill="auto"/>
            <w:noWrap/>
            <w:vAlign w:val="center"/>
            <w:hideMark/>
          </w:tcPr>
          <w:p w14:paraId="74F09258" w14:textId="7777777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76</w:t>
            </w:r>
          </w:p>
        </w:tc>
        <w:tc>
          <w:tcPr>
            <w:tcW w:w="1914" w:type="dxa"/>
            <w:tcBorders>
              <w:top w:val="nil"/>
              <w:left w:val="nil"/>
              <w:bottom w:val="single" w:sz="4" w:space="0" w:color="auto"/>
              <w:right w:val="nil"/>
            </w:tcBorders>
            <w:shd w:val="clear" w:color="auto" w:fill="auto"/>
            <w:noWrap/>
            <w:vAlign w:val="center"/>
            <w:hideMark/>
          </w:tcPr>
          <w:p w14:paraId="4C2B3AD8" w14:textId="4D498785"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66,61</w:t>
            </w:r>
          </w:p>
        </w:tc>
        <w:tc>
          <w:tcPr>
            <w:tcW w:w="1760" w:type="dxa"/>
            <w:tcBorders>
              <w:top w:val="nil"/>
              <w:left w:val="nil"/>
              <w:bottom w:val="single" w:sz="4" w:space="0" w:color="auto"/>
              <w:right w:val="nil"/>
            </w:tcBorders>
            <w:shd w:val="clear" w:color="auto" w:fill="auto"/>
            <w:noWrap/>
            <w:vAlign w:val="center"/>
            <w:hideMark/>
          </w:tcPr>
          <w:p w14:paraId="317D5A7E" w14:textId="02BE4678"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87,64</w:t>
            </w:r>
          </w:p>
        </w:tc>
      </w:tr>
      <w:tr w:rsidR="00F15667" w:rsidRPr="005D7674" w14:paraId="35FF7B32" w14:textId="77777777" w:rsidTr="00663D51">
        <w:trPr>
          <w:trHeight w:val="315"/>
        </w:trPr>
        <w:tc>
          <w:tcPr>
            <w:tcW w:w="2480" w:type="dxa"/>
            <w:tcBorders>
              <w:top w:val="nil"/>
              <w:left w:val="nil"/>
              <w:bottom w:val="single" w:sz="4" w:space="0" w:color="auto"/>
              <w:right w:val="nil"/>
            </w:tcBorders>
            <w:shd w:val="clear" w:color="auto" w:fill="auto"/>
            <w:noWrap/>
            <w:vAlign w:val="center"/>
            <w:hideMark/>
          </w:tcPr>
          <w:p w14:paraId="386A9049" w14:textId="77777777" w:rsidR="00027945" w:rsidRPr="005D7674" w:rsidRDefault="00027945" w:rsidP="00663D51">
            <w:pPr>
              <w:spacing w:line="240" w:lineRule="auto"/>
              <w:jc w:val="left"/>
              <w:rPr>
                <w:rFonts w:eastAsia="Times New Roman"/>
                <w:szCs w:val="24"/>
                <w:lang w:eastAsia="cs-CZ"/>
              </w:rPr>
            </w:pPr>
            <w:r w:rsidRPr="005D7674">
              <w:rPr>
                <w:rFonts w:eastAsia="Times New Roman"/>
                <w:szCs w:val="24"/>
                <w:lang w:eastAsia="cs-CZ"/>
              </w:rPr>
              <w:t>KS Plzeň</w:t>
            </w:r>
          </w:p>
        </w:tc>
        <w:tc>
          <w:tcPr>
            <w:tcW w:w="1886" w:type="dxa"/>
            <w:tcBorders>
              <w:top w:val="nil"/>
              <w:left w:val="nil"/>
              <w:bottom w:val="single" w:sz="4" w:space="0" w:color="auto"/>
              <w:right w:val="nil"/>
            </w:tcBorders>
            <w:shd w:val="clear" w:color="auto" w:fill="auto"/>
            <w:noWrap/>
            <w:vAlign w:val="center"/>
            <w:hideMark/>
          </w:tcPr>
          <w:p w14:paraId="6B2E12F0" w14:textId="7777777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112</w:t>
            </w:r>
          </w:p>
        </w:tc>
        <w:tc>
          <w:tcPr>
            <w:tcW w:w="1914" w:type="dxa"/>
            <w:tcBorders>
              <w:top w:val="nil"/>
              <w:left w:val="nil"/>
              <w:bottom w:val="single" w:sz="4" w:space="0" w:color="auto"/>
              <w:right w:val="nil"/>
            </w:tcBorders>
            <w:shd w:val="clear" w:color="auto" w:fill="auto"/>
            <w:noWrap/>
            <w:vAlign w:val="center"/>
            <w:hideMark/>
          </w:tcPr>
          <w:p w14:paraId="619979E5" w14:textId="5C53A375"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109,1</w:t>
            </w:r>
          </w:p>
        </w:tc>
        <w:tc>
          <w:tcPr>
            <w:tcW w:w="1760" w:type="dxa"/>
            <w:tcBorders>
              <w:top w:val="nil"/>
              <w:left w:val="nil"/>
              <w:bottom w:val="single" w:sz="4" w:space="0" w:color="auto"/>
              <w:right w:val="nil"/>
            </w:tcBorders>
            <w:shd w:val="clear" w:color="auto" w:fill="auto"/>
            <w:noWrap/>
            <w:vAlign w:val="center"/>
            <w:hideMark/>
          </w:tcPr>
          <w:p w14:paraId="57E63802" w14:textId="5210725F"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97,41</w:t>
            </w:r>
          </w:p>
        </w:tc>
      </w:tr>
      <w:tr w:rsidR="00F15667" w:rsidRPr="005D7674" w14:paraId="196ADA75" w14:textId="77777777" w:rsidTr="00663D51">
        <w:trPr>
          <w:trHeight w:val="315"/>
        </w:trPr>
        <w:tc>
          <w:tcPr>
            <w:tcW w:w="2480" w:type="dxa"/>
            <w:tcBorders>
              <w:top w:val="nil"/>
              <w:left w:val="nil"/>
              <w:bottom w:val="single" w:sz="4" w:space="0" w:color="auto"/>
              <w:right w:val="nil"/>
            </w:tcBorders>
            <w:shd w:val="clear" w:color="auto" w:fill="auto"/>
            <w:noWrap/>
            <w:vAlign w:val="center"/>
            <w:hideMark/>
          </w:tcPr>
          <w:p w14:paraId="2525F82B" w14:textId="77777777" w:rsidR="00027945" w:rsidRPr="005D7674" w:rsidRDefault="00027945" w:rsidP="00663D51">
            <w:pPr>
              <w:spacing w:line="240" w:lineRule="auto"/>
              <w:jc w:val="left"/>
              <w:rPr>
                <w:rFonts w:eastAsia="Times New Roman"/>
                <w:szCs w:val="24"/>
                <w:lang w:eastAsia="cs-CZ"/>
              </w:rPr>
            </w:pPr>
            <w:r w:rsidRPr="005D7674">
              <w:rPr>
                <w:rFonts w:eastAsia="Times New Roman"/>
                <w:szCs w:val="24"/>
                <w:lang w:eastAsia="cs-CZ"/>
              </w:rPr>
              <w:t>KS Ústí n. Labem</w:t>
            </w:r>
          </w:p>
        </w:tc>
        <w:tc>
          <w:tcPr>
            <w:tcW w:w="1886" w:type="dxa"/>
            <w:tcBorders>
              <w:top w:val="nil"/>
              <w:left w:val="nil"/>
              <w:bottom w:val="single" w:sz="4" w:space="0" w:color="auto"/>
              <w:right w:val="nil"/>
            </w:tcBorders>
            <w:shd w:val="clear" w:color="auto" w:fill="auto"/>
            <w:noWrap/>
            <w:vAlign w:val="center"/>
            <w:hideMark/>
          </w:tcPr>
          <w:p w14:paraId="3CAE5CA4" w14:textId="7777777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200</w:t>
            </w:r>
          </w:p>
        </w:tc>
        <w:tc>
          <w:tcPr>
            <w:tcW w:w="1914" w:type="dxa"/>
            <w:tcBorders>
              <w:top w:val="nil"/>
              <w:left w:val="nil"/>
              <w:bottom w:val="single" w:sz="4" w:space="0" w:color="auto"/>
              <w:right w:val="nil"/>
            </w:tcBorders>
            <w:shd w:val="clear" w:color="auto" w:fill="auto"/>
            <w:noWrap/>
            <w:vAlign w:val="center"/>
            <w:hideMark/>
          </w:tcPr>
          <w:p w14:paraId="0824E350" w14:textId="1CD55103"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170,32</w:t>
            </w:r>
          </w:p>
        </w:tc>
        <w:tc>
          <w:tcPr>
            <w:tcW w:w="1760" w:type="dxa"/>
            <w:tcBorders>
              <w:top w:val="nil"/>
              <w:left w:val="nil"/>
              <w:bottom w:val="single" w:sz="4" w:space="0" w:color="auto"/>
              <w:right w:val="nil"/>
            </w:tcBorders>
            <w:shd w:val="clear" w:color="auto" w:fill="auto"/>
            <w:noWrap/>
            <w:vAlign w:val="center"/>
            <w:hideMark/>
          </w:tcPr>
          <w:p w14:paraId="0A311E7A" w14:textId="754F2B62"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85,16</w:t>
            </w:r>
          </w:p>
        </w:tc>
      </w:tr>
      <w:tr w:rsidR="00F15667" w:rsidRPr="005D7674" w14:paraId="70A8F1C6" w14:textId="77777777" w:rsidTr="00663D51">
        <w:trPr>
          <w:trHeight w:val="315"/>
        </w:trPr>
        <w:tc>
          <w:tcPr>
            <w:tcW w:w="2480" w:type="dxa"/>
            <w:tcBorders>
              <w:top w:val="nil"/>
              <w:left w:val="nil"/>
              <w:bottom w:val="single" w:sz="4" w:space="0" w:color="auto"/>
              <w:right w:val="nil"/>
            </w:tcBorders>
            <w:shd w:val="clear" w:color="auto" w:fill="auto"/>
            <w:noWrap/>
            <w:vAlign w:val="center"/>
            <w:hideMark/>
          </w:tcPr>
          <w:p w14:paraId="334B6D75" w14:textId="77777777" w:rsidR="00027945" w:rsidRPr="005D7674" w:rsidRDefault="00027945" w:rsidP="00663D51">
            <w:pPr>
              <w:spacing w:line="240" w:lineRule="auto"/>
              <w:jc w:val="left"/>
              <w:rPr>
                <w:rFonts w:eastAsia="Times New Roman"/>
                <w:szCs w:val="24"/>
                <w:lang w:eastAsia="cs-CZ"/>
              </w:rPr>
            </w:pPr>
            <w:r w:rsidRPr="005D7674">
              <w:rPr>
                <w:rFonts w:eastAsia="Times New Roman"/>
                <w:szCs w:val="24"/>
                <w:lang w:eastAsia="cs-CZ"/>
              </w:rPr>
              <w:t>KS Hr. Králové</w:t>
            </w:r>
          </w:p>
        </w:tc>
        <w:tc>
          <w:tcPr>
            <w:tcW w:w="1886" w:type="dxa"/>
            <w:tcBorders>
              <w:top w:val="nil"/>
              <w:left w:val="nil"/>
              <w:bottom w:val="single" w:sz="4" w:space="0" w:color="auto"/>
              <w:right w:val="nil"/>
            </w:tcBorders>
            <w:shd w:val="clear" w:color="auto" w:fill="auto"/>
            <w:noWrap/>
            <w:vAlign w:val="center"/>
            <w:hideMark/>
          </w:tcPr>
          <w:p w14:paraId="6FB2E8C2" w14:textId="7777777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132</w:t>
            </w:r>
          </w:p>
        </w:tc>
        <w:tc>
          <w:tcPr>
            <w:tcW w:w="1914" w:type="dxa"/>
            <w:tcBorders>
              <w:top w:val="nil"/>
              <w:left w:val="nil"/>
              <w:bottom w:val="single" w:sz="4" w:space="0" w:color="auto"/>
              <w:right w:val="nil"/>
            </w:tcBorders>
            <w:shd w:val="clear" w:color="auto" w:fill="auto"/>
            <w:noWrap/>
            <w:vAlign w:val="center"/>
            <w:hideMark/>
          </w:tcPr>
          <w:p w14:paraId="3D9850B7" w14:textId="31EE343D"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120,95</w:t>
            </w:r>
          </w:p>
        </w:tc>
        <w:tc>
          <w:tcPr>
            <w:tcW w:w="1760" w:type="dxa"/>
            <w:tcBorders>
              <w:top w:val="nil"/>
              <w:left w:val="nil"/>
              <w:bottom w:val="single" w:sz="4" w:space="0" w:color="auto"/>
              <w:right w:val="nil"/>
            </w:tcBorders>
            <w:shd w:val="clear" w:color="auto" w:fill="auto"/>
            <w:noWrap/>
            <w:vAlign w:val="center"/>
            <w:hideMark/>
          </w:tcPr>
          <w:p w14:paraId="175D483C" w14:textId="100C83FD"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91,63</w:t>
            </w:r>
          </w:p>
        </w:tc>
      </w:tr>
      <w:tr w:rsidR="00F15667" w:rsidRPr="005D7674" w14:paraId="1ABC496C" w14:textId="77777777" w:rsidTr="00663D51">
        <w:trPr>
          <w:trHeight w:val="315"/>
        </w:trPr>
        <w:tc>
          <w:tcPr>
            <w:tcW w:w="2480" w:type="dxa"/>
            <w:tcBorders>
              <w:top w:val="nil"/>
              <w:left w:val="nil"/>
              <w:bottom w:val="single" w:sz="4" w:space="0" w:color="auto"/>
              <w:right w:val="nil"/>
            </w:tcBorders>
            <w:shd w:val="clear" w:color="auto" w:fill="auto"/>
            <w:noWrap/>
            <w:vAlign w:val="center"/>
            <w:hideMark/>
          </w:tcPr>
          <w:p w14:paraId="1C5019D1" w14:textId="77777777" w:rsidR="00027945" w:rsidRPr="005D7674" w:rsidRDefault="00027945" w:rsidP="00663D51">
            <w:pPr>
              <w:spacing w:line="240" w:lineRule="auto"/>
              <w:jc w:val="left"/>
              <w:rPr>
                <w:rFonts w:eastAsia="Times New Roman"/>
                <w:szCs w:val="24"/>
                <w:lang w:eastAsia="cs-CZ"/>
              </w:rPr>
            </w:pPr>
            <w:r w:rsidRPr="005D7674">
              <w:rPr>
                <w:rFonts w:eastAsia="Times New Roman"/>
                <w:szCs w:val="24"/>
                <w:lang w:eastAsia="cs-CZ"/>
              </w:rPr>
              <w:t>KS Brno</w:t>
            </w:r>
          </w:p>
        </w:tc>
        <w:tc>
          <w:tcPr>
            <w:tcW w:w="1886" w:type="dxa"/>
            <w:tcBorders>
              <w:top w:val="nil"/>
              <w:left w:val="nil"/>
              <w:bottom w:val="single" w:sz="4" w:space="0" w:color="auto"/>
              <w:right w:val="nil"/>
            </w:tcBorders>
            <w:shd w:val="clear" w:color="auto" w:fill="auto"/>
            <w:noWrap/>
            <w:vAlign w:val="center"/>
            <w:hideMark/>
          </w:tcPr>
          <w:p w14:paraId="47FB1528" w14:textId="7777777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223</w:t>
            </w:r>
          </w:p>
        </w:tc>
        <w:tc>
          <w:tcPr>
            <w:tcW w:w="1914" w:type="dxa"/>
            <w:tcBorders>
              <w:top w:val="nil"/>
              <w:left w:val="nil"/>
              <w:bottom w:val="single" w:sz="4" w:space="0" w:color="auto"/>
              <w:right w:val="nil"/>
            </w:tcBorders>
            <w:shd w:val="clear" w:color="auto" w:fill="auto"/>
            <w:noWrap/>
            <w:vAlign w:val="center"/>
            <w:hideMark/>
          </w:tcPr>
          <w:p w14:paraId="06677C25" w14:textId="1464BF7C"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194,95</w:t>
            </w:r>
          </w:p>
        </w:tc>
        <w:tc>
          <w:tcPr>
            <w:tcW w:w="1760" w:type="dxa"/>
            <w:tcBorders>
              <w:top w:val="nil"/>
              <w:left w:val="nil"/>
              <w:bottom w:val="single" w:sz="4" w:space="0" w:color="auto"/>
              <w:right w:val="nil"/>
            </w:tcBorders>
            <w:shd w:val="clear" w:color="auto" w:fill="auto"/>
            <w:noWrap/>
            <w:vAlign w:val="center"/>
            <w:hideMark/>
          </w:tcPr>
          <w:p w14:paraId="4B125E66" w14:textId="7EAA0C9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87,42</w:t>
            </w:r>
          </w:p>
        </w:tc>
      </w:tr>
      <w:tr w:rsidR="00F15667" w:rsidRPr="005D7674" w14:paraId="0EA5715B" w14:textId="77777777" w:rsidTr="00663D51">
        <w:trPr>
          <w:trHeight w:val="330"/>
        </w:trPr>
        <w:tc>
          <w:tcPr>
            <w:tcW w:w="2480" w:type="dxa"/>
            <w:tcBorders>
              <w:top w:val="nil"/>
              <w:left w:val="nil"/>
              <w:bottom w:val="double" w:sz="6" w:space="0" w:color="auto"/>
              <w:right w:val="nil"/>
            </w:tcBorders>
            <w:shd w:val="clear" w:color="auto" w:fill="auto"/>
            <w:noWrap/>
            <w:vAlign w:val="center"/>
            <w:hideMark/>
          </w:tcPr>
          <w:p w14:paraId="445969F5" w14:textId="77777777" w:rsidR="00027945" w:rsidRPr="005D7674" w:rsidRDefault="00027945" w:rsidP="00663D51">
            <w:pPr>
              <w:spacing w:line="240" w:lineRule="auto"/>
              <w:jc w:val="left"/>
              <w:rPr>
                <w:rFonts w:eastAsia="Times New Roman"/>
                <w:szCs w:val="24"/>
                <w:lang w:eastAsia="cs-CZ"/>
              </w:rPr>
            </w:pPr>
            <w:r w:rsidRPr="005D7674">
              <w:rPr>
                <w:rFonts w:eastAsia="Times New Roman"/>
                <w:szCs w:val="24"/>
                <w:lang w:eastAsia="cs-CZ"/>
              </w:rPr>
              <w:t>KS Ostrava</w:t>
            </w:r>
          </w:p>
        </w:tc>
        <w:tc>
          <w:tcPr>
            <w:tcW w:w="1886" w:type="dxa"/>
            <w:tcBorders>
              <w:top w:val="nil"/>
              <w:left w:val="nil"/>
              <w:bottom w:val="double" w:sz="6" w:space="0" w:color="auto"/>
              <w:right w:val="nil"/>
            </w:tcBorders>
            <w:shd w:val="clear" w:color="auto" w:fill="auto"/>
            <w:noWrap/>
            <w:vAlign w:val="center"/>
            <w:hideMark/>
          </w:tcPr>
          <w:p w14:paraId="3542BEE9" w14:textId="77777777"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230</w:t>
            </w:r>
          </w:p>
        </w:tc>
        <w:tc>
          <w:tcPr>
            <w:tcW w:w="1914" w:type="dxa"/>
            <w:tcBorders>
              <w:top w:val="nil"/>
              <w:left w:val="nil"/>
              <w:bottom w:val="double" w:sz="6" w:space="0" w:color="auto"/>
              <w:right w:val="nil"/>
            </w:tcBorders>
            <w:shd w:val="clear" w:color="auto" w:fill="auto"/>
            <w:noWrap/>
            <w:vAlign w:val="center"/>
            <w:hideMark/>
          </w:tcPr>
          <w:p w14:paraId="5CA2C17E" w14:textId="335179AE"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222,25</w:t>
            </w:r>
          </w:p>
        </w:tc>
        <w:tc>
          <w:tcPr>
            <w:tcW w:w="1760" w:type="dxa"/>
            <w:tcBorders>
              <w:top w:val="nil"/>
              <w:left w:val="nil"/>
              <w:bottom w:val="nil"/>
              <w:right w:val="nil"/>
            </w:tcBorders>
            <w:shd w:val="clear" w:color="auto" w:fill="auto"/>
            <w:noWrap/>
            <w:vAlign w:val="center"/>
            <w:hideMark/>
          </w:tcPr>
          <w:p w14:paraId="6AE5D83C" w14:textId="762F8F98" w:rsidR="00027945" w:rsidRPr="005D7674" w:rsidRDefault="00027945" w:rsidP="00663D51">
            <w:pPr>
              <w:spacing w:line="240" w:lineRule="auto"/>
              <w:jc w:val="center"/>
              <w:rPr>
                <w:rFonts w:eastAsia="Times New Roman"/>
                <w:szCs w:val="24"/>
                <w:lang w:eastAsia="cs-CZ"/>
              </w:rPr>
            </w:pPr>
            <w:r w:rsidRPr="005D7674">
              <w:rPr>
                <w:rFonts w:eastAsia="Times New Roman"/>
                <w:szCs w:val="24"/>
                <w:lang w:eastAsia="cs-CZ"/>
              </w:rPr>
              <w:t>96,63</w:t>
            </w:r>
          </w:p>
        </w:tc>
      </w:tr>
      <w:tr w:rsidR="00F15667" w:rsidRPr="005D7674" w14:paraId="210ED62D" w14:textId="77777777" w:rsidTr="00663D51">
        <w:trPr>
          <w:trHeight w:val="345"/>
        </w:trPr>
        <w:tc>
          <w:tcPr>
            <w:tcW w:w="2480" w:type="dxa"/>
            <w:tcBorders>
              <w:top w:val="nil"/>
              <w:left w:val="nil"/>
              <w:bottom w:val="double" w:sz="6" w:space="0" w:color="auto"/>
              <w:right w:val="nil"/>
            </w:tcBorders>
            <w:shd w:val="clear" w:color="auto" w:fill="auto"/>
            <w:noWrap/>
            <w:vAlign w:val="center"/>
            <w:hideMark/>
          </w:tcPr>
          <w:p w14:paraId="7BFA77C3" w14:textId="77777777" w:rsidR="00027945" w:rsidRPr="005D7674" w:rsidRDefault="00027945" w:rsidP="00663D51">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886" w:type="dxa"/>
            <w:tcBorders>
              <w:top w:val="nil"/>
              <w:left w:val="nil"/>
              <w:bottom w:val="double" w:sz="6" w:space="0" w:color="auto"/>
              <w:right w:val="nil"/>
            </w:tcBorders>
            <w:shd w:val="clear" w:color="auto" w:fill="auto"/>
            <w:noWrap/>
            <w:vAlign w:val="center"/>
            <w:hideMark/>
          </w:tcPr>
          <w:p w14:paraId="52D16D86" w14:textId="7039CDBE" w:rsidR="00027945" w:rsidRPr="005D7674" w:rsidRDefault="00027945" w:rsidP="00663D51">
            <w:pPr>
              <w:spacing w:line="240" w:lineRule="auto"/>
              <w:jc w:val="center"/>
              <w:rPr>
                <w:rFonts w:eastAsia="Times New Roman"/>
                <w:b/>
                <w:bCs/>
                <w:szCs w:val="24"/>
                <w:lang w:eastAsia="cs-CZ"/>
              </w:rPr>
            </w:pPr>
            <w:r w:rsidRPr="005D7674">
              <w:rPr>
                <w:rFonts w:eastAsia="Times New Roman"/>
                <w:b/>
                <w:bCs/>
                <w:szCs w:val="24"/>
                <w:lang w:eastAsia="cs-CZ"/>
              </w:rPr>
              <w:t>1</w:t>
            </w:r>
            <w:r w:rsidR="00787BFA" w:rsidRPr="005D7674">
              <w:rPr>
                <w:rFonts w:eastAsia="Times New Roman"/>
                <w:b/>
                <w:bCs/>
                <w:szCs w:val="24"/>
                <w:lang w:eastAsia="cs-CZ"/>
              </w:rPr>
              <w:t xml:space="preserve"> </w:t>
            </w:r>
            <w:r w:rsidRPr="005D7674">
              <w:rPr>
                <w:rFonts w:eastAsia="Times New Roman"/>
                <w:b/>
                <w:bCs/>
                <w:szCs w:val="24"/>
                <w:lang w:eastAsia="cs-CZ"/>
              </w:rPr>
              <w:t>387</w:t>
            </w:r>
          </w:p>
        </w:tc>
        <w:tc>
          <w:tcPr>
            <w:tcW w:w="1914" w:type="dxa"/>
            <w:tcBorders>
              <w:top w:val="nil"/>
              <w:left w:val="nil"/>
              <w:bottom w:val="double" w:sz="6" w:space="0" w:color="auto"/>
              <w:right w:val="nil"/>
            </w:tcBorders>
            <w:shd w:val="clear" w:color="auto" w:fill="auto"/>
            <w:noWrap/>
            <w:vAlign w:val="center"/>
            <w:hideMark/>
          </w:tcPr>
          <w:p w14:paraId="476386EB" w14:textId="38CF9743" w:rsidR="00027945" w:rsidRPr="005D7674" w:rsidRDefault="00027945" w:rsidP="00663D51">
            <w:pPr>
              <w:spacing w:line="240" w:lineRule="auto"/>
              <w:jc w:val="center"/>
              <w:rPr>
                <w:rFonts w:eastAsia="Times New Roman"/>
                <w:b/>
                <w:bCs/>
                <w:szCs w:val="24"/>
                <w:lang w:eastAsia="cs-CZ"/>
              </w:rPr>
            </w:pPr>
            <w:r w:rsidRPr="005D7674">
              <w:rPr>
                <w:rFonts w:eastAsia="Times New Roman"/>
                <w:b/>
                <w:bCs/>
                <w:szCs w:val="24"/>
                <w:lang w:eastAsia="cs-CZ"/>
              </w:rPr>
              <w:t>1</w:t>
            </w:r>
            <w:r w:rsidR="00787BFA" w:rsidRPr="005D7674">
              <w:rPr>
                <w:rFonts w:eastAsia="Times New Roman"/>
                <w:b/>
                <w:bCs/>
                <w:szCs w:val="24"/>
                <w:lang w:eastAsia="cs-CZ"/>
              </w:rPr>
              <w:t xml:space="preserve"> </w:t>
            </w:r>
            <w:r w:rsidRPr="005D7674">
              <w:rPr>
                <w:rFonts w:eastAsia="Times New Roman"/>
                <w:b/>
                <w:bCs/>
                <w:szCs w:val="24"/>
                <w:lang w:eastAsia="cs-CZ"/>
              </w:rPr>
              <w:t>250,48</w:t>
            </w:r>
          </w:p>
        </w:tc>
        <w:tc>
          <w:tcPr>
            <w:tcW w:w="1760" w:type="dxa"/>
            <w:tcBorders>
              <w:top w:val="double" w:sz="6" w:space="0" w:color="auto"/>
              <w:left w:val="nil"/>
              <w:bottom w:val="double" w:sz="6" w:space="0" w:color="auto"/>
              <w:right w:val="nil"/>
            </w:tcBorders>
            <w:shd w:val="clear" w:color="auto" w:fill="auto"/>
            <w:noWrap/>
            <w:vAlign w:val="center"/>
            <w:hideMark/>
          </w:tcPr>
          <w:p w14:paraId="503BCC06" w14:textId="7775047B" w:rsidR="00027945" w:rsidRPr="005D7674" w:rsidRDefault="00027945" w:rsidP="00663D51">
            <w:pPr>
              <w:spacing w:line="240" w:lineRule="auto"/>
              <w:jc w:val="center"/>
              <w:rPr>
                <w:rFonts w:eastAsia="Times New Roman"/>
                <w:b/>
                <w:bCs/>
                <w:szCs w:val="24"/>
                <w:lang w:eastAsia="cs-CZ"/>
              </w:rPr>
            </w:pPr>
            <w:r w:rsidRPr="005D7674">
              <w:rPr>
                <w:rFonts w:eastAsia="Times New Roman"/>
                <w:b/>
                <w:bCs/>
                <w:szCs w:val="24"/>
                <w:lang w:eastAsia="cs-CZ"/>
              </w:rPr>
              <w:t>90,16</w:t>
            </w:r>
          </w:p>
        </w:tc>
      </w:tr>
      <w:tr w:rsidR="00F15667" w:rsidRPr="005D7674" w14:paraId="22EEEEEF" w14:textId="77777777" w:rsidTr="00663D51">
        <w:trPr>
          <w:trHeight w:val="330"/>
        </w:trPr>
        <w:tc>
          <w:tcPr>
            <w:tcW w:w="2480" w:type="dxa"/>
            <w:tcBorders>
              <w:top w:val="nil"/>
              <w:left w:val="nil"/>
              <w:bottom w:val="nil"/>
              <w:right w:val="nil"/>
            </w:tcBorders>
            <w:shd w:val="clear" w:color="auto" w:fill="auto"/>
            <w:noWrap/>
            <w:vAlign w:val="center"/>
            <w:hideMark/>
          </w:tcPr>
          <w:p w14:paraId="513B4793" w14:textId="77777777" w:rsidR="00027945" w:rsidRPr="005D7674" w:rsidRDefault="00027945" w:rsidP="00663D51">
            <w:pPr>
              <w:spacing w:line="240" w:lineRule="auto"/>
              <w:jc w:val="center"/>
              <w:rPr>
                <w:rFonts w:eastAsia="Times New Roman"/>
                <w:b/>
                <w:bCs/>
                <w:szCs w:val="24"/>
                <w:lang w:eastAsia="cs-CZ"/>
              </w:rPr>
            </w:pPr>
          </w:p>
        </w:tc>
        <w:tc>
          <w:tcPr>
            <w:tcW w:w="1886" w:type="dxa"/>
            <w:tcBorders>
              <w:top w:val="nil"/>
              <w:left w:val="nil"/>
              <w:bottom w:val="nil"/>
              <w:right w:val="nil"/>
            </w:tcBorders>
            <w:shd w:val="clear" w:color="auto" w:fill="auto"/>
            <w:noWrap/>
            <w:vAlign w:val="center"/>
            <w:hideMark/>
          </w:tcPr>
          <w:p w14:paraId="6A35BA53" w14:textId="77777777" w:rsidR="00027945" w:rsidRPr="005D7674" w:rsidRDefault="00027945" w:rsidP="00663D51">
            <w:pPr>
              <w:spacing w:line="240" w:lineRule="auto"/>
              <w:jc w:val="center"/>
              <w:rPr>
                <w:rFonts w:eastAsia="Times New Roman"/>
                <w:sz w:val="20"/>
                <w:szCs w:val="20"/>
                <w:lang w:eastAsia="cs-CZ"/>
              </w:rPr>
            </w:pPr>
          </w:p>
        </w:tc>
        <w:tc>
          <w:tcPr>
            <w:tcW w:w="1914" w:type="dxa"/>
            <w:tcBorders>
              <w:top w:val="nil"/>
              <w:left w:val="nil"/>
              <w:bottom w:val="nil"/>
              <w:right w:val="nil"/>
            </w:tcBorders>
            <w:shd w:val="clear" w:color="auto" w:fill="auto"/>
            <w:noWrap/>
            <w:vAlign w:val="center"/>
            <w:hideMark/>
          </w:tcPr>
          <w:p w14:paraId="2A39FFE2" w14:textId="77777777" w:rsidR="00027945" w:rsidRPr="005D7674" w:rsidRDefault="00027945" w:rsidP="00663D51">
            <w:pPr>
              <w:spacing w:line="240" w:lineRule="auto"/>
              <w:jc w:val="center"/>
              <w:rPr>
                <w:rFonts w:eastAsia="Times New Roman"/>
                <w:sz w:val="20"/>
                <w:szCs w:val="20"/>
                <w:lang w:eastAsia="cs-CZ"/>
              </w:rPr>
            </w:pPr>
          </w:p>
        </w:tc>
        <w:tc>
          <w:tcPr>
            <w:tcW w:w="1760" w:type="dxa"/>
            <w:tcBorders>
              <w:top w:val="nil"/>
              <w:left w:val="nil"/>
              <w:bottom w:val="nil"/>
              <w:right w:val="nil"/>
            </w:tcBorders>
            <w:shd w:val="clear" w:color="auto" w:fill="auto"/>
            <w:noWrap/>
            <w:vAlign w:val="center"/>
            <w:hideMark/>
          </w:tcPr>
          <w:p w14:paraId="0E1A5300" w14:textId="77777777" w:rsidR="00027945" w:rsidRPr="005D7674" w:rsidRDefault="00027945" w:rsidP="00663D51">
            <w:pPr>
              <w:spacing w:line="240" w:lineRule="auto"/>
              <w:jc w:val="center"/>
              <w:rPr>
                <w:rFonts w:eastAsia="Times New Roman"/>
                <w:sz w:val="20"/>
                <w:szCs w:val="20"/>
                <w:lang w:eastAsia="cs-CZ"/>
              </w:rPr>
            </w:pPr>
          </w:p>
        </w:tc>
      </w:tr>
    </w:tbl>
    <w:p w14:paraId="170154CB" w14:textId="5AA06CFD" w:rsidR="00027945" w:rsidRPr="005D7674" w:rsidRDefault="00027945" w:rsidP="00027945">
      <w:pPr>
        <w:pStyle w:val="OdstavecASR"/>
      </w:pPr>
      <w:r w:rsidRPr="005D7674">
        <w:t xml:space="preserve">Vidíme, že skutečný počet soudců (úvazků) je asi o 10 % </w:t>
      </w:r>
      <w:r w:rsidR="00834672" w:rsidRPr="005D7674">
        <w:t>nižší,</w:t>
      </w:r>
      <w:r w:rsidRPr="005D7674">
        <w:t xml:space="preserve"> než počet evidenční. V roce 2021 </w:t>
      </w:r>
      <w:r w:rsidR="007C3714" w:rsidRPr="005D7674">
        <w:t>t</w:t>
      </w:r>
      <w:r w:rsidRPr="005D7674">
        <w:t>o byl rozdíl 12 %. „Naplněnost“ soudů je tedy vyšší než loni.</w:t>
      </w:r>
    </w:p>
    <w:p w14:paraId="2AC74300" w14:textId="42C002B6" w:rsidR="00027945" w:rsidRPr="005D7674" w:rsidRDefault="00027945" w:rsidP="00027945">
      <w:pPr>
        <w:pStyle w:val="OdstavecASR"/>
      </w:pPr>
      <w:r w:rsidRPr="005D7674">
        <w:t xml:space="preserve">Přesto data ukazují, že počet soudců, kteří skutečně pracují, je výrazně </w:t>
      </w:r>
      <w:r w:rsidR="00834672" w:rsidRPr="005D7674">
        <w:t>nižší,</w:t>
      </w:r>
      <w:r w:rsidRPr="005D7674">
        <w:t xml:space="preserve"> než počet soudců v evidenci. V Ústí nad Labem je tento rozdíl 15 %, v Ostravě jen necelá 4 % (což je značná změna oproti loňským datům). Rozdíl je daný tím, že soudci a soudkyně jsou na mateřské/rodičovské dovolené,</w:t>
      </w:r>
      <w:r w:rsidR="00834672" w:rsidRPr="005D7674">
        <w:t xml:space="preserve"> nebo</w:t>
      </w:r>
      <w:r w:rsidRPr="005D7674">
        <w:t xml:space="preserve"> jsou dlouhodobě nemocní, či se nachází na stáži u soudů vyšších instancí.</w:t>
      </w:r>
    </w:p>
    <w:p w14:paraId="20051D67" w14:textId="77777777" w:rsidR="008F025D" w:rsidRPr="005D7674" w:rsidRDefault="008F025D" w:rsidP="008F025D">
      <w:pPr>
        <w:pStyle w:val="OdstavecASR"/>
      </w:pPr>
      <w:r w:rsidRPr="005D7674">
        <w:t>Kromě objektivních důvodů mohou být data ohledně skutečného počtu úvazků ovlivněna i tím, jak soud datové tabulky vyplnil.</w:t>
      </w:r>
    </w:p>
    <w:p w14:paraId="7F45CEF5" w14:textId="77777777" w:rsidR="008F025D" w:rsidRPr="005D7674" w:rsidRDefault="008F025D" w:rsidP="008F025D">
      <w:pPr>
        <w:pStyle w:val="OdstavecASR"/>
      </w:pPr>
      <w:r w:rsidRPr="005D7674">
        <w:t>Meziročně se podíl evidenčního a skutečného počtu soudců okresních soudů téměř nemění. Na úrovni krajů již ale lze nalézt rozdíly.</w:t>
      </w:r>
    </w:p>
    <w:p w14:paraId="496D60D4" w14:textId="28275684" w:rsidR="00D5538C" w:rsidRPr="005D7674" w:rsidRDefault="00D5538C" w:rsidP="00D5538C">
      <w:pPr>
        <w:pStyle w:val="Nadpis3"/>
        <w:numPr>
          <w:ilvl w:val="2"/>
          <w:numId w:val="1"/>
        </w:numPr>
        <w:rPr>
          <w:color w:val="auto"/>
        </w:rPr>
      </w:pPr>
      <w:bookmarkStart w:id="163" w:name="_Toc43903027"/>
      <w:bookmarkStart w:id="164" w:name="_Toc106092721"/>
      <w:bookmarkStart w:id="165" w:name="_Toc144104342"/>
      <w:bookmarkEnd w:id="141"/>
      <w:bookmarkEnd w:id="142"/>
      <w:bookmarkEnd w:id="143"/>
      <w:bookmarkEnd w:id="144"/>
      <w:bookmarkEnd w:id="145"/>
      <w:bookmarkEnd w:id="146"/>
      <w:r w:rsidRPr="005D7674">
        <w:rPr>
          <w:color w:val="auto"/>
        </w:rPr>
        <w:t>Disposition time</w:t>
      </w:r>
      <w:bookmarkEnd w:id="163"/>
      <w:r w:rsidRPr="005D7674">
        <w:rPr>
          <w:color w:val="auto"/>
        </w:rPr>
        <w:t xml:space="preserve"> (dispoziční čas)</w:t>
      </w:r>
      <w:bookmarkEnd w:id="164"/>
      <w:bookmarkEnd w:id="165"/>
    </w:p>
    <w:p w14:paraId="10A86D01" w14:textId="77777777" w:rsidR="008F025D" w:rsidRPr="005D7674" w:rsidRDefault="008F025D" w:rsidP="008F025D">
      <w:pPr>
        <w:pStyle w:val="OdstavecASR"/>
      </w:pPr>
      <w:r w:rsidRPr="005D7674">
        <w:t>Disposition time je vypočítán podle metodiky CEPEJ</w:t>
      </w:r>
      <w:r w:rsidRPr="005D7674">
        <w:rPr>
          <w:rStyle w:val="Znakapoznpodarou"/>
        </w:rPr>
        <w:footnoteReference w:id="6"/>
      </w:r>
      <w:r w:rsidRPr="005D7674">
        <w:t xml:space="preserve"> jako (počet nevyřízených věcí na konci daného období) / (počet vyřízených věcí v daném období) × 365. Tento údaj tedy v podstatě ukazuje, za kolik dní by při stejném tempu soud vyřídil všechny nevyřízené věci, které u něj dnes „leží“, kdyby k němu již žádné další nenapadaly. Nejedná se o délku řízení, jak by se mohlo podle názvu zdát. Délka řízení je vypočtena z jiného zdroje dat a jedná se o jiný ukazatel. Disposition time (DT) se od délky řízení tedy může výrazně lišit. V případě DT je však spíše než absolutní hodnota důležité relativní srovnání mezi roky a soudy.</w:t>
      </w:r>
    </w:p>
    <w:p w14:paraId="3311007D" w14:textId="77777777" w:rsidR="008F025D" w:rsidRPr="005D7674" w:rsidRDefault="008F025D" w:rsidP="008F025D">
      <w:pPr>
        <w:pStyle w:val="OdstavecASR"/>
      </w:pPr>
      <w:r w:rsidRPr="005D7674">
        <w:t>Účel DT je podobný jako u přepočtu věcí na jednoho soudce – tedy zohlednit velikost soudů. Mezi ukazateli je ale jeden podstatný rozdíl. Počet nevyřízených věcí na soudce se zaměřuje čistě na to, jak je daný soud zatížený, a u méně zatížených soudů tedy bude vždy vykazovat příznivé hodnoty. Na druhou stranu DT zohledňuje i počet vyřízených věcí, a může tedy teoreticky vyjít vysoký i u soudů s malým počtem nevyřízených věcí, byť tomu tak většinou není.</w:t>
      </w:r>
    </w:p>
    <w:p w14:paraId="2E4C8165" w14:textId="4D8252C8" w:rsidR="008F025D" w:rsidRPr="005D7674" w:rsidRDefault="008F025D" w:rsidP="008F025D">
      <w:pPr>
        <w:pStyle w:val="OdstavecASR"/>
      </w:pPr>
      <w:r w:rsidRPr="005D7674">
        <w:lastRenderedPageBreak/>
        <w:t>Způsob interpretace dat v grafu níže je takový, že jestliže v roce 2022 dosahuje DT hodnoty 128, znamená to, že pokud by nebyl nový nápad a obživa a soudy by pracovaly stejným tempem, trvalo by 128 kal. dní vyřídit všechny nevyřízené věci z minulého období – soudy by tedy pracovaly více než třetinu roku 2022 pouze na vyřizování nedodělků. S ohledem na definici ukazatele a konstrukci výpočetního vzorce, je také možná interpretace, že v roce 2022 Česká republika vykazuje 3</w:t>
      </w:r>
      <w:r w:rsidR="00F543E5" w:rsidRPr="005D7674">
        <w:t>5</w:t>
      </w:r>
      <w:r w:rsidRPr="005D7674">
        <w:t>,</w:t>
      </w:r>
      <w:r w:rsidR="00F543E5" w:rsidRPr="005D7674">
        <w:t>1</w:t>
      </w:r>
      <w:r w:rsidRPr="005D7674">
        <w:t xml:space="preserve"> nevyřízených věcí na 100 vyřízených ([134 × 100]/365). Pokud by hodnota</w:t>
      </w:r>
      <w:r w:rsidR="00F543E5" w:rsidRPr="005D7674">
        <w:t xml:space="preserve"> DT </w:t>
      </w:r>
      <w:r w:rsidRPr="005D7674">
        <w:t>byla vyšší než 365, soud by měl více nevyřízených než vyřízených věcí.</w:t>
      </w:r>
    </w:p>
    <w:p w14:paraId="480CCC31" w14:textId="77777777" w:rsidR="008F025D" w:rsidRPr="005D7674" w:rsidRDefault="008F025D" w:rsidP="008F025D">
      <w:pPr>
        <w:pStyle w:val="OdstavecASR"/>
      </w:pPr>
      <w:r w:rsidRPr="005D7674">
        <w:t>Oba ukazatele tak mají poměrně dobrou vypovídající hodnotu o vyřizování věcí u soudů, ale každý vypovídá o jiném aspektu takového porovnání. Srovnání grafů 10 a 12 ukazuje, že výsledky jednotlivých soudů v obou ukazatelích se mírně liší.</w:t>
      </w:r>
    </w:p>
    <w:p w14:paraId="2E025F19" w14:textId="629CC458" w:rsidR="008F025D" w:rsidRPr="005D7674" w:rsidRDefault="008F025D" w:rsidP="008F025D">
      <w:pPr>
        <w:pStyle w:val="Podnadpis"/>
        <w:rPr>
          <w:color w:val="auto"/>
        </w:rPr>
      </w:pPr>
      <w:bookmarkStart w:id="166" w:name="_Toc515871340"/>
      <w:bookmarkStart w:id="167" w:name="_Toc11135075"/>
      <w:bookmarkStart w:id="168" w:name="_Toc43841392"/>
      <w:bookmarkStart w:id="169" w:name="_Toc75952193"/>
      <w:bookmarkStart w:id="170" w:name="_Toc106106646"/>
      <w:bookmarkStart w:id="171" w:name="_Toc144104124"/>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12</w:t>
      </w:r>
      <w:r w:rsidR="009A10E2" w:rsidRPr="005D7674">
        <w:rPr>
          <w:color w:val="auto"/>
        </w:rPr>
        <w:fldChar w:fldCharType="end"/>
      </w:r>
      <w:r w:rsidRPr="005D7674">
        <w:rPr>
          <w:color w:val="auto"/>
        </w:rPr>
        <w:t>: OS – disposition time civilního řízení v letech 2008–20</w:t>
      </w:r>
      <w:bookmarkEnd w:id="166"/>
      <w:bookmarkEnd w:id="167"/>
      <w:bookmarkEnd w:id="168"/>
      <w:r w:rsidRPr="005D7674">
        <w:rPr>
          <w:color w:val="auto"/>
        </w:rPr>
        <w:t>2</w:t>
      </w:r>
      <w:bookmarkEnd w:id="169"/>
      <w:bookmarkEnd w:id="170"/>
      <w:r w:rsidR="00F543E5" w:rsidRPr="005D7674">
        <w:rPr>
          <w:color w:val="auto"/>
        </w:rPr>
        <w:t>2</w:t>
      </w:r>
      <w:bookmarkEnd w:id="171"/>
    </w:p>
    <w:p w14:paraId="0D3FB36F" w14:textId="0197FA4C" w:rsidR="0090527C" w:rsidRPr="005D7674" w:rsidRDefault="002B608F" w:rsidP="00917F3F">
      <w:pPr>
        <w:pStyle w:val="OdstavecASR"/>
      </w:pPr>
      <w:r w:rsidRPr="005D7674">
        <w:rPr>
          <w:noProof/>
          <w:lang w:eastAsia="cs-CZ"/>
        </w:rPr>
        <w:drawing>
          <wp:inline distT="0" distB="0" distL="0" distR="0" wp14:anchorId="662F3036" wp14:editId="348C3347">
            <wp:extent cx="5029200" cy="365760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426B23F" w14:textId="778C3142" w:rsidR="002B608F" w:rsidRPr="005D7674" w:rsidRDefault="002B608F" w:rsidP="002B608F">
      <w:pPr>
        <w:pStyle w:val="OdstavecASR"/>
        <w:rPr>
          <w:szCs w:val="24"/>
        </w:rPr>
      </w:pPr>
      <w:r w:rsidRPr="005D7674">
        <w:rPr>
          <w:szCs w:val="24"/>
        </w:rPr>
        <w:t xml:space="preserve">Disposition time je samozřejmě silně ovlivněn změnami v nápadu a v počtu vyřízených věcí. Tyto změny jsou okomentovány v podkapitole 2.2.2. Celkově </w:t>
      </w:r>
      <w:r w:rsidRPr="005D7674">
        <w:t>se dá</w:t>
      </w:r>
      <w:r w:rsidRPr="005D7674">
        <w:rPr>
          <w:szCs w:val="24"/>
        </w:rPr>
        <w:t xml:space="preserve"> konstatovat, že v letech 2009 až 2013 DT prudce rostl a v letech 2014 až 2019 pozvolna klesal. V roce 2020 ale došlo k prudkému nárůstu DT o 25 (+19 %). To plyne z toho, že klesl počet vyřízených věcí a zároveň vzrostl počet věcí nevyřízených. Při detailnějším pohledu je důležitý </w:t>
      </w:r>
      <w:r w:rsidR="008C7B57" w:rsidRPr="005D7674">
        <w:rPr>
          <w:szCs w:val="24"/>
        </w:rPr>
        <w:t xml:space="preserve">klesající trend </w:t>
      </w:r>
      <w:r w:rsidRPr="005D7674">
        <w:rPr>
          <w:szCs w:val="24"/>
        </w:rPr>
        <w:t xml:space="preserve">DT v letech 2014–2016, a to i přes klesající nápad a počet vyřízených věcí. V roce 2021 DT opět klesl na 134, tedy stejnou hodnotu, jaké dosáhl v roce 2019, což je zapříčiněno nárůstem v počtu vyřízených věcí za stejného nápadu – </w:t>
      </w:r>
      <w:r w:rsidRPr="005D7674">
        <w:t xml:space="preserve">tato kombinace faktorů vedla </w:t>
      </w:r>
      <w:r w:rsidRPr="005D7674">
        <w:rPr>
          <w:szCs w:val="24"/>
        </w:rPr>
        <w:t>k poklesu v počtu nevyřízených věcí. V roce 2022 DT dále klesal, protože dále klesal počet nevyřízených věcí.</w:t>
      </w:r>
    </w:p>
    <w:p w14:paraId="22971920" w14:textId="3CD982CB" w:rsidR="002B608F" w:rsidRPr="005D7674" w:rsidRDefault="002B608F" w:rsidP="002B608F">
      <w:pPr>
        <w:pStyle w:val="OdstavecASR"/>
      </w:pPr>
      <w:r w:rsidRPr="005D7674">
        <w:t xml:space="preserve">Následující tabulka a graf opět ukazují srovnání mezi kraji a jednotlivými soudy v roce 2022. DT klesl v 6 z 8 krajů, většinou se jedná o malé změny. Větší změny zaznamenaly soudy v Praze, kde DT klesl o </w:t>
      </w:r>
      <w:r w:rsidR="00834672" w:rsidRPr="005D7674">
        <w:t>více</w:t>
      </w:r>
      <w:r w:rsidRPr="005D7674">
        <w:t xml:space="preserve"> než jednu desetinu. </w:t>
      </w:r>
    </w:p>
    <w:p w14:paraId="3AF10F07" w14:textId="32E4F77B" w:rsidR="002B608F" w:rsidRPr="005D7674" w:rsidRDefault="002B608F" w:rsidP="002B608F">
      <w:pPr>
        <w:pStyle w:val="Podnadpis"/>
        <w:rPr>
          <w:color w:val="auto"/>
        </w:rPr>
      </w:pPr>
      <w:bookmarkStart w:id="172" w:name="_Toc75952316"/>
      <w:bookmarkStart w:id="173" w:name="_Toc106106775"/>
      <w:bookmarkStart w:id="174" w:name="_Toc144104252"/>
      <w:r w:rsidRPr="005D7674">
        <w:rPr>
          <w:color w:val="auto"/>
        </w:rPr>
        <w:lastRenderedPageBreak/>
        <w:t xml:space="preserve">Tabulka </w:t>
      </w:r>
      <w:r w:rsidRPr="005D7674">
        <w:rPr>
          <w:color w:val="auto"/>
        </w:rPr>
        <w:fldChar w:fldCharType="begin"/>
      </w:r>
      <w:r w:rsidRPr="005D7674">
        <w:rPr>
          <w:noProof/>
          <w:color w:val="auto"/>
        </w:rPr>
        <w:instrText xml:space="preserve"> SEQ Tabulka \* ARABIC </w:instrText>
      </w:r>
      <w:r w:rsidRPr="005D7674">
        <w:rPr>
          <w:color w:val="auto"/>
        </w:rPr>
        <w:fldChar w:fldCharType="separate"/>
      </w:r>
      <w:r w:rsidR="001E1A67">
        <w:rPr>
          <w:noProof/>
          <w:color w:val="auto"/>
        </w:rPr>
        <w:t>13</w:t>
      </w:r>
      <w:r w:rsidRPr="005D7674">
        <w:rPr>
          <w:color w:val="auto"/>
        </w:rPr>
        <w:fldChar w:fldCharType="end"/>
      </w:r>
      <w:r w:rsidRPr="005D7674">
        <w:rPr>
          <w:color w:val="auto"/>
        </w:rPr>
        <w:t>: OS – disposition time v civilním řízení dle krajů</w:t>
      </w:r>
      <w:bookmarkEnd w:id="172"/>
      <w:bookmarkEnd w:id="173"/>
      <w:bookmarkEnd w:id="174"/>
    </w:p>
    <w:tbl>
      <w:tblPr>
        <w:tblW w:w="5103" w:type="dxa"/>
        <w:tblLayout w:type="fixed"/>
        <w:tblCellMar>
          <w:left w:w="70" w:type="dxa"/>
          <w:right w:w="70" w:type="dxa"/>
        </w:tblCellMar>
        <w:tblLook w:val="04A0" w:firstRow="1" w:lastRow="0" w:firstColumn="1" w:lastColumn="0" w:noHBand="0" w:noVBand="1"/>
      </w:tblPr>
      <w:tblGrid>
        <w:gridCol w:w="2780"/>
        <w:gridCol w:w="1331"/>
        <w:gridCol w:w="992"/>
      </w:tblGrid>
      <w:tr w:rsidR="00F15667" w:rsidRPr="005D7674" w14:paraId="7F46034E" w14:textId="77777777" w:rsidTr="005C09EE">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56A5ACE" w14:textId="77777777" w:rsidR="002B608F" w:rsidRPr="005D7674" w:rsidRDefault="002B608F" w:rsidP="005C09EE">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2323" w:type="dxa"/>
            <w:gridSpan w:val="2"/>
            <w:tcBorders>
              <w:top w:val="double" w:sz="6" w:space="0" w:color="auto"/>
              <w:left w:val="nil"/>
              <w:bottom w:val="double" w:sz="6" w:space="0" w:color="auto"/>
              <w:right w:val="nil"/>
            </w:tcBorders>
            <w:shd w:val="clear" w:color="auto" w:fill="auto"/>
            <w:noWrap/>
            <w:vAlign w:val="center"/>
            <w:hideMark/>
          </w:tcPr>
          <w:p w14:paraId="7C2A5684" w14:textId="77777777" w:rsidR="002B608F" w:rsidRPr="005D7674" w:rsidRDefault="002B608F" w:rsidP="005C09EE">
            <w:pPr>
              <w:spacing w:line="240" w:lineRule="auto"/>
              <w:jc w:val="center"/>
              <w:rPr>
                <w:rFonts w:eastAsia="Times New Roman"/>
                <w:b/>
                <w:bCs/>
                <w:szCs w:val="24"/>
                <w:lang w:eastAsia="cs-CZ"/>
              </w:rPr>
            </w:pPr>
            <w:r w:rsidRPr="005D7674">
              <w:rPr>
                <w:rFonts w:eastAsia="Times New Roman"/>
                <w:b/>
                <w:bCs/>
                <w:szCs w:val="24"/>
                <w:lang w:eastAsia="cs-CZ"/>
              </w:rPr>
              <w:t>Disposition time</w:t>
            </w:r>
          </w:p>
        </w:tc>
      </w:tr>
      <w:tr w:rsidR="00F15667" w:rsidRPr="005D7674" w14:paraId="43AC2F6D" w14:textId="77777777" w:rsidTr="005C09EE">
        <w:trPr>
          <w:trHeight w:val="330"/>
        </w:trPr>
        <w:tc>
          <w:tcPr>
            <w:tcW w:w="2780" w:type="dxa"/>
            <w:tcBorders>
              <w:top w:val="nil"/>
              <w:left w:val="nil"/>
              <w:bottom w:val="single" w:sz="4" w:space="0" w:color="auto"/>
              <w:right w:val="nil"/>
            </w:tcBorders>
            <w:shd w:val="clear" w:color="auto" w:fill="auto"/>
            <w:noWrap/>
            <w:vAlign w:val="center"/>
            <w:hideMark/>
          </w:tcPr>
          <w:p w14:paraId="3BF9C331" w14:textId="77777777" w:rsidR="002B608F" w:rsidRPr="005D7674" w:rsidRDefault="002B608F" w:rsidP="005C09EE">
            <w:pPr>
              <w:spacing w:line="240" w:lineRule="auto"/>
              <w:jc w:val="left"/>
              <w:rPr>
                <w:rFonts w:eastAsia="Times New Roman"/>
                <w:szCs w:val="24"/>
                <w:lang w:eastAsia="cs-CZ"/>
              </w:rPr>
            </w:pPr>
            <w:r w:rsidRPr="005D7674">
              <w:rPr>
                <w:rFonts w:eastAsia="Times New Roman"/>
                <w:szCs w:val="24"/>
                <w:lang w:eastAsia="cs-CZ"/>
              </w:rPr>
              <w:t>MS Praha</w:t>
            </w:r>
          </w:p>
        </w:tc>
        <w:tc>
          <w:tcPr>
            <w:tcW w:w="1331" w:type="dxa"/>
            <w:tcBorders>
              <w:top w:val="nil"/>
              <w:left w:val="nil"/>
              <w:bottom w:val="single" w:sz="4" w:space="0" w:color="auto"/>
              <w:right w:val="nil"/>
            </w:tcBorders>
            <w:shd w:val="clear" w:color="auto" w:fill="auto"/>
            <w:noWrap/>
            <w:vAlign w:val="center"/>
            <w:hideMark/>
          </w:tcPr>
          <w:p w14:paraId="77C21261" w14:textId="77777777" w:rsidR="002B608F" w:rsidRPr="005D7674" w:rsidRDefault="002B608F" w:rsidP="005C09EE">
            <w:pPr>
              <w:spacing w:line="240" w:lineRule="auto"/>
              <w:jc w:val="center"/>
              <w:rPr>
                <w:rFonts w:eastAsia="Times New Roman"/>
                <w:szCs w:val="24"/>
                <w:lang w:eastAsia="cs-CZ"/>
              </w:rPr>
            </w:pPr>
            <w:r w:rsidRPr="005D7674">
              <w:rPr>
                <w:rFonts w:eastAsia="Times New Roman"/>
                <w:szCs w:val="24"/>
                <w:lang w:eastAsia="cs-CZ"/>
              </w:rPr>
              <w:t>145</w:t>
            </w:r>
          </w:p>
        </w:tc>
        <w:tc>
          <w:tcPr>
            <w:tcW w:w="992" w:type="dxa"/>
            <w:tcBorders>
              <w:top w:val="single" w:sz="4" w:space="0" w:color="auto"/>
              <w:left w:val="nil"/>
              <w:bottom w:val="single" w:sz="4" w:space="0" w:color="auto"/>
              <w:right w:val="nil"/>
            </w:tcBorders>
            <w:shd w:val="clear" w:color="auto" w:fill="auto"/>
            <w:noWrap/>
            <w:vAlign w:val="center"/>
            <w:hideMark/>
          </w:tcPr>
          <w:p w14:paraId="6B47FC6F" w14:textId="2999DFFB" w:rsidR="002B608F" w:rsidRPr="005D7674" w:rsidRDefault="002B608F" w:rsidP="005C09EE">
            <w:pPr>
              <w:spacing w:line="240" w:lineRule="auto"/>
              <w:jc w:val="center"/>
              <w:rPr>
                <w:rFonts w:eastAsia="Times New Roman"/>
                <w:sz w:val="20"/>
                <w:szCs w:val="20"/>
                <w:lang w:eastAsia="cs-CZ"/>
              </w:rPr>
            </w:pPr>
            <w:r w:rsidRPr="005D7674">
              <w:rPr>
                <w:rFonts w:eastAsia="Times New Roman"/>
                <w:sz w:val="20"/>
                <w:szCs w:val="20"/>
                <w:lang w:eastAsia="cs-CZ"/>
              </w:rPr>
              <w:t>-11 %</w:t>
            </w:r>
          </w:p>
        </w:tc>
      </w:tr>
      <w:tr w:rsidR="00F15667" w:rsidRPr="005D7674" w14:paraId="35D5048B"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3FA4413D" w14:textId="77777777" w:rsidR="002B608F" w:rsidRPr="005D7674" w:rsidRDefault="002B608F" w:rsidP="005C09EE">
            <w:pPr>
              <w:spacing w:line="240" w:lineRule="auto"/>
              <w:jc w:val="left"/>
              <w:rPr>
                <w:rFonts w:eastAsia="Times New Roman"/>
                <w:szCs w:val="24"/>
                <w:lang w:eastAsia="cs-CZ"/>
              </w:rPr>
            </w:pPr>
            <w:r w:rsidRPr="005D7674">
              <w:rPr>
                <w:rFonts w:eastAsia="Times New Roman"/>
                <w:szCs w:val="24"/>
                <w:lang w:eastAsia="cs-CZ"/>
              </w:rPr>
              <w:t>KS Praha</w:t>
            </w:r>
          </w:p>
        </w:tc>
        <w:tc>
          <w:tcPr>
            <w:tcW w:w="1331" w:type="dxa"/>
            <w:tcBorders>
              <w:top w:val="nil"/>
              <w:left w:val="nil"/>
              <w:bottom w:val="single" w:sz="4" w:space="0" w:color="auto"/>
              <w:right w:val="nil"/>
            </w:tcBorders>
            <w:shd w:val="clear" w:color="auto" w:fill="auto"/>
            <w:noWrap/>
            <w:vAlign w:val="center"/>
            <w:hideMark/>
          </w:tcPr>
          <w:p w14:paraId="1B67966E" w14:textId="77777777" w:rsidR="002B608F" w:rsidRPr="005D7674" w:rsidRDefault="002B608F" w:rsidP="005C09EE">
            <w:pPr>
              <w:spacing w:line="240" w:lineRule="auto"/>
              <w:jc w:val="center"/>
              <w:rPr>
                <w:rFonts w:eastAsia="Times New Roman"/>
                <w:szCs w:val="24"/>
                <w:lang w:eastAsia="cs-CZ"/>
              </w:rPr>
            </w:pPr>
            <w:r w:rsidRPr="005D7674">
              <w:rPr>
                <w:rFonts w:eastAsia="Times New Roman"/>
                <w:szCs w:val="24"/>
                <w:lang w:eastAsia="cs-CZ"/>
              </w:rPr>
              <w:t>90</w:t>
            </w:r>
          </w:p>
        </w:tc>
        <w:tc>
          <w:tcPr>
            <w:tcW w:w="992" w:type="dxa"/>
            <w:tcBorders>
              <w:top w:val="nil"/>
              <w:left w:val="nil"/>
              <w:bottom w:val="single" w:sz="4" w:space="0" w:color="auto"/>
              <w:right w:val="nil"/>
            </w:tcBorders>
            <w:shd w:val="clear" w:color="auto" w:fill="auto"/>
            <w:noWrap/>
            <w:vAlign w:val="center"/>
            <w:hideMark/>
          </w:tcPr>
          <w:p w14:paraId="7002C88F" w14:textId="0F3257DC" w:rsidR="002B608F" w:rsidRPr="005D7674" w:rsidRDefault="002B608F" w:rsidP="005C09EE">
            <w:pPr>
              <w:spacing w:line="240" w:lineRule="auto"/>
              <w:jc w:val="center"/>
              <w:rPr>
                <w:rFonts w:eastAsia="Times New Roman"/>
                <w:sz w:val="20"/>
                <w:szCs w:val="20"/>
                <w:lang w:eastAsia="cs-CZ"/>
              </w:rPr>
            </w:pPr>
            <w:r w:rsidRPr="005D7674">
              <w:rPr>
                <w:rFonts w:eastAsia="Times New Roman"/>
                <w:sz w:val="20"/>
                <w:szCs w:val="20"/>
                <w:lang w:eastAsia="cs-CZ"/>
              </w:rPr>
              <w:t>+1 %</w:t>
            </w:r>
          </w:p>
        </w:tc>
      </w:tr>
      <w:tr w:rsidR="00F15667" w:rsidRPr="005D7674" w14:paraId="39EF61E6"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481C263B" w14:textId="77777777" w:rsidR="002B608F" w:rsidRPr="005D7674" w:rsidRDefault="002B608F" w:rsidP="005C09EE">
            <w:pPr>
              <w:spacing w:line="240" w:lineRule="auto"/>
              <w:jc w:val="left"/>
              <w:rPr>
                <w:rFonts w:eastAsia="Times New Roman"/>
                <w:szCs w:val="24"/>
                <w:lang w:eastAsia="cs-CZ"/>
              </w:rPr>
            </w:pPr>
            <w:r w:rsidRPr="005D7674">
              <w:rPr>
                <w:rFonts w:eastAsia="Times New Roman"/>
                <w:szCs w:val="24"/>
                <w:lang w:eastAsia="cs-CZ"/>
              </w:rPr>
              <w:t>KS Č. Budějovice</w:t>
            </w:r>
          </w:p>
        </w:tc>
        <w:tc>
          <w:tcPr>
            <w:tcW w:w="1331" w:type="dxa"/>
            <w:tcBorders>
              <w:top w:val="nil"/>
              <w:left w:val="nil"/>
              <w:bottom w:val="single" w:sz="4" w:space="0" w:color="auto"/>
              <w:right w:val="nil"/>
            </w:tcBorders>
            <w:shd w:val="clear" w:color="auto" w:fill="auto"/>
            <w:noWrap/>
            <w:vAlign w:val="center"/>
            <w:hideMark/>
          </w:tcPr>
          <w:p w14:paraId="7AF38830" w14:textId="77777777" w:rsidR="002B608F" w:rsidRPr="005D7674" w:rsidRDefault="002B608F" w:rsidP="005C09EE">
            <w:pPr>
              <w:spacing w:line="240" w:lineRule="auto"/>
              <w:jc w:val="center"/>
              <w:rPr>
                <w:rFonts w:eastAsia="Times New Roman"/>
                <w:szCs w:val="24"/>
                <w:lang w:eastAsia="cs-CZ"/>
              </w:rPr>
            </w:pPr>
            <w:r w:rsidRPr="005D7674">
              <w:rPr>
                <w:rFonts w:eastAsia="Times New Roman"/>
                <w:szCs w:val="24"/>
                <w:lang w:eastAsia="cs-CZ"/>
              </w:rPr>
              <w:t>73</w:t>
            </w:r>
          </w:p>
        </w:tc>
        <w:tc>
          <w:tcPr>
            <w:tcW w:w="992" w:type="dxa"/>
            <w:tcBorders>
              <w:top w:val="nil"/>
              <w:left w:val="nil"/>
              <w:bottom w:val="single" w:sz="4" w:space="0" w:color="auto"/>
              <w:right w:val="nil"/>
            </w:tcBorders>
            <w:shd w:val="clear" w:color="auto" w:fill="auto"/>
            <w:noWrap/>
            <w:vAlign w:val="center"/>
            <w:hideMark/>
          </w:tcPr>
          <w:p w14:paraId="6BBC82B6" w14:textId="196144D4" w:rsidR="002B608F" w:rsidRPr="005D7674" w:rsidRDefault="002B608F" w:rsidP="005C09EE">
            <w:pPr>
              <w:spacing w:line="240" w:lineRule="auto"/>
              <w:jc w:val="center"/>
              <w:rPr>
                <w:rFonts w:eastAsia="Times New Roman"/>
                <w:sz w:val="20"/>
                <w:szCs w:val="20"/>
                <w:lang w:eastAsia="cs-CZ"/>
              </w:rPr>
            </w:pPr>
            <w:r w:rsidRPr="005D7674">
              <w:rPr>
                <w:rFonts w:eastAsia="Times New Roman"/>
                <w:sz w:val="20"/>
                <w:szCs w:val="20"/>
                <w:lang w:eastAsia="cs-CZ"/>
              </w:rPr>
              <w:t>-1 %</w:t>
            </w:r>
          </w:p>
        </w:tc>
      </w:tr>
      <w:tr w:rsidR="00F15667" w:rsidRPr="005D7674" w14:paraId="2CF3D009"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2F8B900B" w14:textId="77777777" w:rsidR="002B608F" w:rsidRPr="005D7674" w:rsidRDefault="002B608F" w:rsidP="005C09EE">
            <w:pPr>
              <w:spacing w:line="240" w:lineRule="auto"/>
              <w:jc w:val="left"/>
              <w:rPr>
                <w:rFonts w:eastAsia="Times New Roman"/>
                <w:szCs w:val="24"/>
                <w:lang w:eastAsia="cs-CZ"/>
              </w:rPr>
            </w:pPr>
            <w:r w:rsidRPr="005D7674">
              <w:rPr>
                <w:rFonts w:eastAsia="Times New Roman"/>
                <w:szCs w:val="24"/>
                <w:lang w:eastAsia="cs-CZ"/>
              </w:rPr>
              <w:t>KS Plzeň</w:t>
            </w:r>
          </w:p>
        </w:tc>
        <w:tc>
          <w:tcPr>
            <w:tcW w:w="1331" w:type="dxa"/>
            <w:tcBorders>
              <w:top w:val="nil"/>
              <w:left w:val="nil"/>
              <w:bottom w:val="single" w:sz="4" w:space="0" w:color="auto"/>
              <w:right w:val="nil"/>
            </w:tcBorders>
            <w:shd w:val="clear" w:color="auto" w:fill="auto"/>
            <w:noWrap/>
            <w:vAlign w:val="center"/>
            <w:hideMark/>
          </w:tcPr>
          <w:p w14:paraId="1821C785" w14:textId="77777777" w:rsidR="002B608F" w:rsidRPr="005D7674" w:rsidRDefault="002B608F" w:rsidP="005C09EE">
            <w:pPr>
              <w:spacing w:line="240" w:lineRule="auto"/>
              <w:jc w:val="center"/>
              <w:rPr>
                <w:rFonts w:eastAsia="Times New Roman"/>
                <w:szCs w:val="24"/>
                <w:lang w:eastAsia="cs-CZ"/>
              </w:rPr>
            </w:pPr>
            <w:r w:rsidRPr="005D7674">
              <w:rPr>
                <w:rFonts w:eastAsia="Times New Roman"/>
                <w:szCs w:val="24"/>
                <w:lang w:eastAsia="cs-CZ"/>
              </w:rPr>
              <w:t>106</w:t>
            </w:r>
          </w:p>
        </w:tc>
        <w:tc>
          <w:tcPr>
            <w:tcW w:w="992" w:type="dxa"/>
            <w:tcBorders>
              <w:top w:val="nil"/>
              <w:left w:val="nil"/>
              <w:bottom w:val="single" w:sz="4" w:space="0" w:color="auto"/>
              <w:right w:val="nil"/>
            </w:tcBorders>
            <w:shd w:val="clear" w:color="auto" w:fill="auto"/>
            <w:noWrap/>
            <w:vAlign w:val="center"/>
            <w:hideMark/>
          </w:tcPr>
          <w:p w14:paraId="62F004C4" w14:textId="439A2B71" w:rsidR="002B608F" w:rsidRPr="005D7674" w:rsidRDefault="002B608F" w:rsidP="005C09EE">
            <w:pPr>
              <w:spacing w:line="240" w:lineRule="auto"/>
              <w:jc w:val="center"/>
              <w:rPr>
                <w:rFonts w:eastAsia="Times New Roman"/>
                <w:sz w:val="20"/>
                <w:szCs w:val="20"/>
                <w:lang w:eastAsia="cs-CZ"/>
              </w:rPr>
            </w:pPr>
            <w:r w:rsidRPr="005D7674">
              <w:rPr>
                <w:rFonts w:eastAsia="Times New Roman"/>
                <w:sz w:val="20"/>
                <w:szCs w:val="20"/>
                <w:lang w:eastAsia="cs-CZ"/>
              </w:rPr>
              <w:t>-5 %</w:t>
            </w:r>
          </w:p>
        </w:tc>
      </w:tr>
      <w:tr w:rsidR="00F15667" w:rsidRPr="005D7674" w14:paraId="242CE300"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2080B446" w14:textId="77777777" w:rsidR="002B608F" w:rsidRPr="005D7674" w:rsidRDefault="002B608F" w:rsidP="005C09EE">
            <w:pPr>
              <w:spacing w:line="240" w:lineRule="auto"/>
              <w:jc w:val="left"/>
              <w:rPr>
                <w:rFonts w:eastAsia="Times New Roman"/>
                <w:szCs w:val="24"/>
                <w:lang w:eastAsia="cs-CZ"/>
              </w:rPr>
            </w:pPr>
            <w:r w:rsidRPr="005D7674">
              <w:rPr>
                <w:rFonts w:eastAsia="Times New Roman"/>
                <w:szCs w:val="24"/>
                <w:lang w:eastAsia="cs-CZ"/>
              </w:rPr>
              <w:t>KS Ústí n. Labem</w:t>
            </w:r>
          </w:p>
        </w:tc>
        <w:tc>
          <w:tcPr>
            <w:tcW w:w="1331" w:type="dxa"/>
            <w:tcBorders>
              <w:top w:val="nil"/>
              <w:left w:val="nil"/>
              <w:bottom w:val="single" w:sz="4" w:space="0" w:color="auto"/>
              <w:right w:val="nil"/>
            </w:tcBorders>
            <w:shd w:val="clear" w:color="auto" w:fill="auto"/>
            <w:noWrap/>
            <w:vAlign w:val="center"/>
            <w:hideMark/>
          </w:tcPr>
          <w:p w14:paraId="0490B474" w14:textId="77777777" w:rsidR="002B608F" w:rsidRPr="005D7674" w:rsidRDefault="002B608F" w:rsidP="005C09EE">
            <w:pPr>
              <w:spacing w:line="240" w:lineRule="auto"/>
              <w:jc w:val="center"/>
              <w:rPr>
                <w:rFonts w:eastAsia="Times New Roman"/>
                <w:szCs w:val="24"/>
                <w:lang w:eastAsia="cs-CZ"/>
              </w:rPr>
            </w:pPr>
            <w:r w:rsidRPr="005D7674">
              <w:rPr>
                <w:rFonts w:eastAsia="Times New Roman"/>
                <w:szCs w:val="24"/>
                <w:lang w:eastAsia="cs-CZ"/>
              </w:rPr>
              <w:t>129</w:t>
            </w:r>
          </w:p>
        </w:tc>
        <w:tc>
          <w:tcPr>
            <w:tcW w:w="992" w:type="dxa"/>
            <w:tcBorders>
              <w:top w:val="nil"/>
              <w:left w:val="nil"/>
              <w:bottom w:val="single" w:sz="4" w:space="0" w:color="auto"/>
              <w:right w:val="nil"/>
            </w:tcBorders>
            <w:shd w:val="clear" w:color="auto" w:fill="auto"/>
            <w:noWrap/>
            <w:vAlign w:val="center"/>
            <w:hideMark/>
          </w:tcPr>
          <w:p w14:paraId="3E678382" w14:textId="0C817142" w:rsidR="002B608F" w:rsidRPr="005D7674" w:rsidRDefault="002B608F" w:rsidP="005C09EE">
            <w:pPr>
              <w:spacing w:line="240" w:lineRule="auto"/>
              <w:jc w:val="center"/>
              <w:rPr>
                <w:rFonts w:eastAsia="Times New Roman"/>
                <w:sz w:val="20"/>
                <w:szCs w:val="20"/>
                <w:lang w:eastAsia="cs-CZ"/>
              </w:rPr>
            </w:pPr>
            <w:r w:rsidRPr="005D7674">
              <w:rPr>
                <w:rFonts w:eastAsia="Times New Roman"/>
                <w:sz w:val="20"/>
                <w:szCs w:val="20"/>
                <w:lang w:eastAsia="cs-CZ"/>
              </w:rPr>
              <w:t>-1 %</w:t>
            </w:r>
          </w:p>
        </w:tc>
      </w:tr>
      <w:tr w:rsidR="00F15667" w:rsidRPr="005D7674" w14:paraId="3C9613EE"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690D497E" w14:textId="77777777" w:rsidR="002B608F" w:rsidRPr="005D7674" w:rsidRDefault="002B608F" w:rsidP="005C09EE">
            <w:pPr>
              <w:spacing w:line="240" w:lineRule="auto"/>
              <w:jc w:val="left"/>
              <w:rPr>
                <w:rFonts w:eastAsia="Times New Roman"/>
                <w:szCs w:val="24"/>
                <w:lang w:eastAsia="cs-CZ"/>
              </w:rPr>
            </w:pPr>
            <w:r w:rsidRPr="005D7674">
              <w:rPr>
                <w:rFonts w:eastAsia="Times New Roman"/>
                <w:szCs w:val="24"/>
                <w:lang w:eastAsia="cs-CZ"/>
              </w:rPr>
              <w:t>KS Hr. Králové</w:t>
            </w:r>
          </w:p>
        </w:tc>
        <w:tc>
          <w:tcPr>
            <w:tcW w:w="1331" w:type="dxa"/>
            <w:tcBorders>
              <w:top w:val="nil"/>
              <w:left w:val="nil"/>
              <w:bottom w:val="single" w:sz="4" w:space="0" w:color="auto"/>
              <w:right w:val="nil"/>
            </w:tcBorders>
            <w:shd w:val="clear" w:color="auto" w:fill="auto"/>
            <w:noWrap/>
            <w:vAlign w:val="center"/>
            <w:hideMark/>
          </w:tcPr>
          <w:p w14:paraId="3DC96674" w14:textId="77777777" w:rsidR="002B608F" w:rsidRPr="005D7674" w:rsidRDefault="002B608F" w:rsidP="005C09EE">
            <w:pPr>
              <w:spacing w:line="240" w:lineRule="auto"/>
              <w:jc w:val="center"/>
              <w:rPr>
                <w:rFonts w:eastAsia="Times New Roman"/>
                <w:szCs w:val="24"/>
                <w:lang w:eastAsia="cs-CZ"/>
              </w:rPr>
            </w:pPr>
            <w:r w:rsidRPr="005D7674">
              <w:rPr>
                <w:rFonts w:eastAsia="Times New Roman"/>
                <w:szCs w:val="24"/>
                <w:lang w:eastAsia="cs-CZ"/>
              </w:rPr>
              <w:t>120</w:t>
            </w:r>
          </w:p>
        </w:tc>
        <w:tc>
          <w:tcPr>
            <w:tcW w:w="992" w:type="dxa"/>
            <w:tcBorders>
              <w:top w:val="nil"/>
              <w:left w:val="nil"/>
              <w:bottom w:val="single" w:sz="4" w:space="0" w:color="auto"/>
              <w:right w:val="nil"/>
            </w:tcBorders>
            <w:shd w:val="clear" w:color="auto" w:fill="auto"/>
            <w:noWrap/>
            <w:vAlign w:val="center"/>
            <w:hideMark/>
          </w:tcPr>
          <w:p w14:paraId="726C3765" w14:textId="5CE2B755" w:rsidR="002B608F" w:rsidRPr="005D7674" w:rsidRDefault="002B608F" w:rsidP="005C09EE">
            <w:pPr>
              <w:spacing w:line="240" w:lineRule="auto"/>
              <w:jc w:val="center"/>
              <w:rPr>
                <w:rFonts w:eastAsia="Times New Roman"/>
                <w:sz w:val="20"/>
                <w:szCs w:val="20"/>
                <w:lang w:eastAsia="cs-CZ"/>
              </w:rPr>
            </w:pPr>
            <w:r w:rsidRPr="005D7674">
              <w:rPr>
                <w:rFonts w:eastAsia="Times New Roman"/>
                <w:sz w:val="20"/>
                <w:szCs w:val="20"/>
                <w:lang w:eastAsia="cs-CZ"/>
              </w:rPr>
              <w:t>+8 %</w:t>
            </w:r>
          </w:p>
        </w:tc>
      </w:tr>
      <w:tr w:rsidR="00F15667" w:rsidRPr="005D7674" w14:paraId="391295FC"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64875D36" w14:textId="77777777" w:rsidR="002B608F" w:rsidRPr="005D7674" w:rsidRDefault="002B608F" w:rsidP="005C09EE">
            <w:pPr>
              <w:spacing w:line="240" w:lineRule="auto"/>
              <w:jc w:val="left"/>
              <w:rPr>
                <w:rFonts w:eastAsia="Times New Roman"/>
                <w:szCs w:val="24"/>
                <w:lang w:eastAsia="cs-CZ"/>
              </w:rPr>
            </w:pPr>
            <w:r w:rsidRPr="005D7674">
              <w:rPr>
                <w:rFonts w:eastAsia="Times New Roman"/>
                <w:szCs w:val="24"/>
                <w:lang w:eastAsia="cs-CZ"/>
              </w:rPr>
              <w:t>KS Brno</w:t>
            </w:r>
          </w:p>
        </w:tc>
        <w:tc>
          <w:tcPr>
            <w:tcW w:w="1331" w:type="dxa"/>
            <w:tcBorders>
              <w:top w:val="nil"/>
              <w:left w:val="nil"/>
              <w:bottom w:val="single" w:sz="4" w:space="0" w:color="auto"/>
              <w:right w:val="nil"/>
            </w:tcBorders>
            <w:shd w:val="clear" w:color="auto" w:fill="auto"/>
            <w:noWrap/>
            <w:vAlign w:val="center"/>
            <w:hideMark/>
          </w:tcPr>
          <w:p w14:paraId="380FD2F5" w14:textId="77777777" w:rsidR="002B608F" w:rsidRPr="005D7674" w:rsidRDefault="002B608F" w:rsidP="005C09EE">
            <w:pPr>
              <w:spacing w:line="240" w:lineRule="auto"/>
              <w:jc w:val="center"/>
              <w:rPr>
                <w:rFonts w:eastAsia="Times New Roman"/>
                <w:szCs w:val="24"/>
                <w:lang w:eastAsia="cs-CZ"/>
              </w:rPr>
            </w:pPr>
            <w:r w:rsidRPr="005D7674">
              <w:rPr>
                <w:rFonts w:eastAsia="Times New Roman"/>
                <w:szCs w:val="24"/>
                <w:lang w:eastAsia="cs-CZ"/>
              </w:rPr>
              <w:t>163</w:t>
            </w:r>
          </w:p>
        </w:tc>
        <w:tc>
          <w:tcPr>
            <w:tcW w:w="992" w:type="dxa"/>
            <w:tcBorders>
              <w:top w:val="nil"/>
              <w:left w:val="nil"/>
              <w:bottom w:val="single" w:sz="4" w:space="0" w:color="auto"/>
              <w:right w:val="nil"/>
            </w:tcBorders>
            <w:shd w:val="clear" w:color="auto" w:fill="auto"/>
            <w:noWrap/>
            <w:vAlign w:val="center"/>
            <w:hideMark/>
          </w:tcPr>
          <w:p w14:paraId="521CE1E3" w14:textId="00A0273A" w:rsidR="002B608F" w:rsidRPr="005D7674" w:rsidRDefault="002B608F" w:rsidP="005C09EE">
            <w:pPr>
              <w:spacing w:line="240" w:lineRule="auto"/>
              <w:jc w:val="center"/>
              <w:rPr>
                <w:rFonts w:eastAsia="Times New Roman"/>
                <w:sz w:val="20"/>
                <w:szCs w:val="20"/>
                <w:lang w:eastAsia="cs-CZ"/>
              </w:rPr>
            </w:pPr>
            <w:r w:rsidRPr="005D7674">
              <w:rPr>
                <w:rFonts w:eastAsia="Times New Roman"/>
                <w:sz w:val="20"/>
                <w:szCs w:val="20"/>
                <w:lang w:eastAsia="cs-CZ"/>
              </w:rPr>
              <w:t>-5 %</w:t>
            </w:r>
          </w:p>
        </w:tc>
      </w:tr>
      <w:tr w:rsidR="00F15667" w:rsidRPr="005D7674" w14:paraId="3F25C02E" w14:textId="77777777" w:rsidTr="005C09EE">
        <w:trPr>
          <w:trHeight w:val="330"/>
        </w:trPr>
        <w:tc>
          <w:tcPr>
            <w:tcW w:w="2780" w:type="dxa"/>
            <w:tcBorders>
              <w:top w:val="nil"/>
              <w:left w:val="nil"/>
              <w:bottom w:val="double" w:sz="6" w:space="0" w:color="auto"/>
              <w:right w:val="nil"/>
            </w:tcBorders>
            <w:shd w:val="clear" w:color="auto" w:fill="auto"/>
            <w:noWrap/>
            <w:vAlign w:val="center"/>
            <w:hideMark/>
          </w:tcPr>
          <w:p w14:paraId="1910BA31" w14:textId="77777777" w:rsidR="002B608F" w:rsidRPr="005D7674" w:rsidRDefault="002B608F" w:rsidP="005C09EE">
            <w:pPr>
              <w:spacing w:line="240" w:lineRule="auto"/>
              <w:jc w:val="left"/>
              <w:rPr>
                <w:rFonts w:eastAsia="Times New Roman"/>
                <w:szCs w:val="24"/>
                <w:lang w:eastAsia="cs-CZ"/>
              </w:rPr>
            </w:pPr>
            <w:r w:rsidRPr="005D7674">
              <w:rPr>
                <w:rFonts w:eastAsia="Times New Roman"/>
                <w:szCs w:val="24"/>
                <w:lang w:eastAsia="cs-CZ"/>
              </w:rPr>
              <w:t>KS Ostrava</w:t>
            </w:r>
          </w:p>
        </w:tc>
        <w:tc>
          <w:tcPr>
            <w:tcW w:w="1331" w:type="dxa"/>
            <w:tcBorders>
              <w:top w:val="nil"/>
              <w:left w:val="nil"/>
              <w:bottom w:val="double" w:sz="6" w:space="0" w:color="auto"/>
              <w:right w:val="nil"/>
            </w:tcBorders>
            <w:shd w:val="clear" w:color="auto" w:fill="auto"/>
            <w:noWrap/>
            <w:vAlign w:val="center"/>
            <w:hideMark/>
          </w:tcPr>
          <w:p w14:paraId="31C3B4E1" w14:textId="77777777" w:rsidR="002B608F" w:rsidRPr="005D7674" w:rsidRDefault="002B608F" w:rsidP="005C09EE">
            <w:pPr>
              <w:spacing w:line="240" w:lineRule="auto"/>
              <w:jc w:val="center"/>
              <w:rPr>
                <w:rFonts w:eastAsia="Times New Roman"/>
                <w:szCs w:val="24"/>
                <w:lang w:eastAsia="cs-CZ"/>
              </w:rPr>
            </w:pPr>
            <w:r w:rsidRPr="005D7674">
              <w:rPr>
                <w:rFonts w:eastAsia="Times New Roman"/>
                <w:szCs w:val="24"/>
                <w:lang w:eastAsia="cs-CZ"/>
              </w:rPr>
              <w:t>136</w:t>
            </w:r>
          </w:p>
        </w:tc>
        <w:tc>
          <w:tcPr>
            <w:tcW w:w="992" w:type="dxa"/>
            <w:tcBorders>
              <w:top w:val="nil"/>
              <w:left w:val="nil"/>
              <w:bottom w:val="double" w:sz="6" w:space="0" w:color="auto"/>
              <w:right w:val="nil"/>
            </w:tcBorders>
            <w:shd w:val="clear" w:color="auto" w:fill="auto"/>
            <w:noWrap/>
            <w:vAlign w:val="center"/>
            <w:hideMark/>
          </w:tcPr>
          <w:p w14:paraId="3BFEF5BA" w14:textId="1B0D8C67" w:rsidR="002B608F" w:rsidRPr="005D7674" w:rsidRDefault="002B608F" w:rsidP="005C09EE">
            <w:pPr>
              <w:spacing w:line="240" w:lineRule="auto"/>
              <w:jc w:val="center"/>
              <w:rPr>
                <w:rFonts w:eastAsia="Times New Roman"/>
                <w:sz w:val="20"/>
                <w:szCs w:val="20"/>
                <w:lang w:eastAsia="cs-CZ"/>
              </w:rPr>
            </w:pPr>
            <w:r w:rsidRPr="005D7674">
              <w:rPr>
                <w:rFonts w:eastAsia="Times New Roman"/>
                <w:sz w:val="20"/>
                <w:szCs w:val="20"/>
                <w:lang w:eastAsia="cs-CZ"/>
              </w:rPr>
              <w:t>-3 %</w:t>
            </w:r>
          </w:p>
        </w:tc>
      </w:tr>
      <w:tr w:rsidR="00F15667" w:rsidRPr="005D7674" w14:paraId="342284D6" w14:textId="77777777" w:rsidTr="005C09EE">
        <w:trPr>
          <w:trHeight w:val="345"/>
        </w:trPr>
        <w:tc>
          <w:tcPr>
            <w:tcW w:w="2780" w:type="dxa"/>
            <w:tcBorders>
              <w:top w:val="nil"/>
              <w:left w:val="nil"/>
              <w:bottom w:val="double" w:sz="6" w:space="0" w:color="auto"/>
              <w:right w:val="nil"/>
            </w:tcBorders>
            <w:shd w:val="clear" w:color="auto" w:fill="auto"/>
            <w:noWrap/>
            <w:vAlign w:val="center"/>
            <w:hideMark/>
          </w:tcPr>
          <w:p w14:paraId="264A75DC" w14:textId="77777777" w:rsidR="002B608F" w:rsidRPr="005D7674" w:rsidRDefault="002B608F" w:rsidP="005C09EE">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331" w:type="dxa"/>
            <w:tcBorders>
              <w:top w:val="nil"/>
              <w:left w:val="nil"/>
              <w:bottom w:val="double" w:sz="6" w:space="0" w:color="auto"/>
              <w:right w:val="nil"/>
            </w:tcBorders>
            <w:shd w:val="clear" w:color="auto" w:fill="auto"/>
            <w:noWrap/>
            <w:vAlign w:val="center"/>
            <w:hideMark/>
          </w:tcPr>
          <w:p w14:paraId="119847E6" w14:textId="77777777" w:rsidR="002B608F" w:rsidRPr="005D7674" w:rsidRDefault="002B608F" w:rsidP="005C09EE">
            <w:pPr>
              <w:spacing w:line="240" w:lineRule="auto"/>
              <w:jc w:val="center"/>
              <w:rPr>
                <w:rFonts w:eastAsia="Times New Roman"/>
                <w:b/>
                <w:bCs/>
                <w:szCs w:val="24"/>
                <w:lang w:eastAsia="cs-CZ"/>
              </w:rPr>
            </w:pPr>
            <w:r w:rsidRPr="005D7674">
              <w:rPr>
                <w:rFonts w:eastAsia="Times New Roman"/>
                <w:b/>
                <w:bCs/>
                <w:szCs w:val="24"/>
                <w:lang w:eastAsia="cs-CZ"/>
              </w:rPr>
              <w:t>128</w:t>
            </w:r>
          </w:p>
        </w:tc>
        <w:tc>
          <w:tcPr>
            <w:tcW w:w="992" w:type="dxa"/>
            <w:tcBorders>
              <w:top w:val="nil"/>
              <w:left w:val="nil"/>
              <w:bottom w:val="double" w:sz="6" w:space="0" w:color="auto"/>
              <w:right w:val="nil"/>
            </w:tcBorders>
            <w:shd w:val="clear" w:color="auto" w:fill="auto"/>
            <w:noWrap/>
            <w:vAlign w:val="center"/>
            <w:hideMark/>
          </w:tcPr>
          <w:p w14:paraId="1A0B0744" w14:textId="71D004F6" w:rsidR="002B608F" w:rsidRPr="005D7674" w:rsidRDefault="002B608F" w:rsidP="005C09EE">
            <w:pPr>
              <w:spacing w:line="240" w:lineRule="auto"/>
              <w:jc w:val="center"/>
              <w:rPr>
                <w:rFonts w:eastAsia="Times New Roman"/>
                <w:b/>
                <w:bCs/>
                <w:sz w:val="20"/>
                <w:szCs w:val="20"/>
                <w:lang w:eastAsia="cs-CZ"/>
              </w:rPr>
            </w:pPr>
            <w:r w:rsidRPr="005D7674">
              <w:rPr>
                <w:rFonts w:eastAsia="Times New Roman"/>
                <w:b/>
                <w:bCs/>
                <w:sz w:val="20"/>
                <w:szCs w:val="20"/>
                <w:lang w:eastAsia="cs-CZ"/>
              </w:rPr>
              <w:t>-5 %</w:t>
            </w:r>
          </w:p>
        </w:tc>
      </w:tr>
      <w:tr w:rsidR="00F15667" w:rsidRPr="005D7674" w14:paraId="537FB6E4" w14:textId="77777777" w:rsidTr="005C09EE">
        <w:trPr>
          <w:trHeight w:val="330"/>
        </w:trPr>
        <w:tc>
          <w:tcPr>
            <w:tcW w:w="2780" w:type="dxa"/>
            <w:tcBorders>
              <w:top w:val="nil"/>
              <w:left w:val="nil"/>
              <w:bottom w:val="nil"/>
              <w:right w:val="nil"/>
            </w:tcBorders>
            <w:shd w:val="clear" w:color="auto" w:fill="auto"/>
            <w:noWrap/>
            <w:vAlign w:val="center"/>
            <w:hideMark/>
          </w:tcPr>
          <w:p w14:paraId="2B4EC402" w14:textId="77777777" w:rsidR="002B608F" w:rsidRPr="005D7674" w:rsidRDefault="002B608F" w:rsidP="005C09EE">
            <w:pPr>
              <w:spacing w:line="240" w:lineRule="auto"/>
              <w:jc w:val="center"/>
              <w:rPr>
                <w:rFonts w:eastAsia="Times New Roman"/>
                <w:b/>
                <w:bCs/>
                <w:sz w:val="20"/>
                <w:szCs w:val="20"/>
                <w:lang w:eastAsia="cs-CZ"/>
              </w:rPr>
            </w:pPr>
          </w:p>
        </w:tc>
        <w:tc>
          <w:tcPr>
            <w:tcW w:w="1331" w:type="dxa"/>
            <w:tcBorders>
              <w:top w:val="nil"/>
              <w:left w:val="nil"/>
              <w:bottom w:val="nil"/>
              <w:right w:val="nil"/>
            </w:tcBorders>
            <w:shd w:val="clear" w:color="auto" w:fill="auto"/>
            <w:noWrap/>
            <w:vAlign w:val="center"/>
            <w:hideMark/>
          </w:tcPr>
          <w:p w14:paraId="07C25865" w14:textId="77777777" w:rsidR="002B608F" w:rsidRPr="005D7674" w:rsidRDefault="002B608F" w:rsidP="005C09EE">
            <w:pPr>
              <w:spacing w:line="240" w:lineRule="auto"/>
              <w:jc w:val="center"/>
              <w:rPr>
                <w:rFonts w:eastAsia="Times New Roman"/>
                <w:sz w:val="20"/>
                <w:szCs w:val="20"/>
                <w:lang w:eastAsia="cs-CZ"/>
              </w:rPr>
            </w:pPr>
          </w:p>
        </w:tc>
        <w:tc>
          <w:tcPr>
            <w:tcW w:w="992" w:type="dxa"/>
            <w:tcBorders>
              <w:top w:val="nil"/>
              <w:left w:val="nil"/>
              <w:bottom w:val="nil"/>
              <w:right w:val="nil"/>
            </w:tcBorders>
            <w:shd w:val="clear" w:color="auto" w:fill="auto"/>
            <w:noWrap/>
            <w:vAlign w:val="center"/>
            <w:hideMark/>
          </w:tcPr>
          <w:p w14:paraId="45C5E219" w14:textId="77777777" w:rsidR="002B608F" w:rsidRPr="005D7674" w:rsidRDefault="002B608F" w:rsidP="005C09EE">
            <w:pPr>
              <w:spacing w:line="240" w:lineRule="auto"/>
              <w:jc w:val="center"/>
              <w:rPr>
                <w:rFonts w:eastAsia="Times New Roman"/>
                <w:sz w:val="20"/>
                <w:szCs w:val="20"/>
                <w:lang w:eastAsia="cs-CZ"/>
              </w:rPr>
            </w:pPr>
          </w:p>
        </w:tc>
      </w:tr>
    </w:tbl>
    <w:p w14:paraId="3D438799" w14:textId="570D98DD" w:rsidR="002B608F" w:rsidRPr="005D7674" w:rsidRDefault="002B608F" w:rsidP="002B608F">
      <w:pPr>
        <w:pStyle w:val="Podnadpis"/>
        <w:rPr>
          <w:color w:val="auto"/>
        </w:rPr>
      </w:pPr>
      <w:bookmarkStart w:id="175" w:name="_Toc515871341"/>
      <w:bookmarkStart w:id="176" w:name="_Toc11135076"/>
      <w:bookmarkStart w:id="177" w:name="_Toc43841393"/>
      <w:bookmarkStart w:id="178" w:name="_Toc75952194"/>
      <w:bookmarkStart w:id="179" w:name="_Toc106106647"/>
      <w:bookmarkStart w:id="180" w:name="_Toc144104125"/>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13</w:t>
      </w:r>
      <w:r w:rsidR="009A10E2" w:rsidRPr="005D7674">
        <w:rPr>
          <w:color w:val="auto"/>
        </w:rPr>
        <w:fldChar w:fldCharType="end"/>
      </w:r>
      <w:r w:rsidRPr="005D7674">
        <w:rPr>
          <w:color w:val="auto"/>
        </w:rPr>
        <w:t>: OS – disposition time civilního řízení u jednotlivých soudů</w:t>
      </w:r>
      <w:bookmarkEnd w:id="175"/>
      <w:bookmarkEnd w:id="176"/>
      <w:bookmarkEnd w:id="177"/>
      <w:bookmarkEnd w:id="178"/>
      <w:bookmarkEnd w:id="179"/>
      <w:bookmarkEnd w:id="180"/>
    </w:p>
    <w:p w14:paraId="1B08C90C" w14:textId="578EFA97" w:rsidR="002B608F" w:rsidRPr="00917F3F" w:rsidRDefault="00220369" w:rsidP="002B608F">
      <w:pPr>
        <w:pStyle w:val="OdstavecASR"/>
      </w:pPr>
      <w:r w:rsidRPr="005D7674">
        <w:rPr>
          <w:noProof/>
          <w:szCs w:val="24"/>
          <w:lang w:eastAsia="cs-CZ"/>
        </w:rPr>
        <w:drawing>
          <wp:anchor distT="0" distB="0" distL="114300" distR="114300" simplePos="0" relativeHeight="251666432" behindDoc="0" locked="0" layoutInCell="1" allowOverlap="1" wp14:anchorId="57F75372" wp14:editId="7F2BCB95">
            <wp:simplePos x="0" y="0"/>
            <wp:positionH relativeFrom="margin">
              <wp:posOffset>4469765</wp:posOffset>
            </wp:positionH>
            <wp:positionV relativeFrom="paragraph">
              <wp:posOffset>45720</wp:posOffset>
            </wp:positionV>
            <wp:extent cx="1266667" cy="921212"/>
            <wp:effectExtent l="0" t="0" r="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6667" cy="9212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674">
        <w:rPr>
          <w:noProof/>
          <w:szCs w:val="24"/>
          <w:lang w:eastAsia="cs-CZ"/>
        </w:rPr>
        <w:drawing>
          <wp:inline distT="0" distB="0" distL="0" distR="0" wp14:anchorId="11CDDE39" wp14:editId="6907C427">
            <wp:extent cx="5759450" cy="329628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4852126A" w14:textId="0B59E2F5" w:rsidR="002B608F" w:rsidRPr="005D7674" w:rsidRDefault="002B608F" w:rsidP="002B608F">
      <w:pPr>
        <w:pStyle w:val="Podnadpis"/>
        <w:rPr>
          <w:color w:val="auto"/>
        </w:rPr>
      </w:pPr>
      <w:bookmarkStart w:id="181" w:name="_Toc43841394"/>
      <w:bookmarkStart w:id="182" w:name="_Toc75952195"/>
      <w:bookmarkStart w:id="183" w:name="_Toc106106648"/>
      <w:bookmarkStart w:id="184" w:name="_Toc144104126"/>
      <w:r w:rsidRPr="005D7674">
        <w:rPr>
          <w:color w:val="auto"/>
        </w:rPr>
        <w:lastRenderedPageBreak/>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14</w:t>
      </w:r>
      <w:r w:rsidR="009A10E2" w:rsidRPr="005D7674">
        <w:rPr>
          <w:color w:val="auto"/>
        </w:rPr>
        <w:fldChar w:fldCharType="end"/>
      </w:r>
      <w:r w:rsidRPr="005D7674">
        <w:rPr>
          <w:color w:val="auto"/>
        </w:rPr>
        <w:t>: OS – krabicové grafy, DT civilního řízení</w:t>
      </w:r>
      <w:bookmarkEnd w:id="181"/>
      <w:bookmarkEnd w:id="182"/>
      <w:bookmarkEnd w:id="183"/>
      <w:bookmarkEnd w:id="184"/>
    </w:p>
    <w:p w14:paraId="4BBB6936" w14:textId="4234AC03" w:rsidR="0090527C" w:rsidRPr="005D7674" w:rsidRDefault="0090527C" w:rsidP="005C09EE">
      <w:pPr>
        <w:pStyle w:val="OdstavecASR"/>
      </w:pPr>
      <w:r w:rsidRPr="005D7674">
        <w:rPr>
          <w:noProof/>
          <w:lang w:eastAsia="cs-CZ"/>
        </w:rPr>
        <w:drawing>
          <wp:inline distT="0" distB="0" distL="0" distR="0" wp14:anchorId="352DADF6" wp14:editId="34D73C64">
            <wp:extent cx="5029200" cy="365760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9B7D4D7" w14:textId="23C6CA6F" w:rsidR="00220369" w:rsidRPr="005D7674" w:rsidRDefault="00220369" w:rsidP="0090527C">
      <w:r w:rsidRPr="005D7674">
        <w:t xml:space="preserve">Krabicový graf ukazuje to, co už víme z předchozích dat – situace se v roce 2020 celkově zhoršila, protože DT vzrostl. Nicméně variabilita mezi soudy se nezvýšila, neboť ke zhoršení došlo v rámci celé ČR. V roce 2021 vidíme opět zlepšení situace jako celku, protože celý box se přiblížil k ose </w:t>
      </w:r>
      <w:r w:rsidRPr="005D7674">
        <w:rPr>
          <w:i/>
        </w:rPr>
        <w:t>x</w:t>
      </w:r>
      <w:r w:rsidRPr="005D7674">
        <w:t xml:space="preserve">. V roce 2022 opět vidíme mírné zlepšení. Jako pozitivní rozhodně lze hodnotit fakt, že poprvé za celé sledované období není v krabicovém grafu jediná odlehlá hodnota. To znamená, že variabilita mezi soudy se zmenšila a není zde jediný soud, který by v DT nějak vyčníval. </w:t>
      </w:r>
    </w:p>
    <w:p w14:paraId="7BA28DA1" w14:textId="45796E04" w:rsidR="00220369" w:rsidRPr="005D7674" w:rsidRDefault="00220369" w:rsidP="00220369">
      <w:pPr>
        <w:pStyle w:val="OdstavecASR"/>
      </w:pPr>
      <w:r w:rsidRPr="005D7674">
        <w:t xml:space="preserve">Na základě přechozích ukazatelů můžeme shrnout, že celkově se situace v civilním řízení u okresních soudů za několik let (2014 až 2019) výrazně zlepšila – výrazně klesl počet nevyřízených věcí i délky řízení. To bylo dáno především zmenšováním rozdílů mezi soudy, tj. zlepšováním situace u nejpomalejších a nejzatíženějších soudů. Zlepšování situace ale postupně </w:t>
      </w:r>
      <w:r w:rsidR="00834672" w:rsidRPr="005D7674">
        <w:t>stagnovalo</w:t>
      </w:r>
      <w:r w:rsidRPr="005D7674">
        <w:t>. V roce 2020 došlo ve všech krajích ke zhoršení, nijak závratnému, ale rozhodně statisticky zachytitelnému. Důvodem byla zřejmě pandemie onemocnění COVID</w:t>
      </w:r>
      <w:r w:rsidRPr="005D7674">
        <w:noBreakHyphen/>
        <w:t xml:space="preserve">19 a s tím související vládní restrikce. </w:t>
      </w:r>
      <w:bookmarkStart w:id="185" w:name="_Hlk104290540"/>
      <w:r w:rsidRPr="005D7674">
        <w:t xml:space="preserve">V roce 2021 se i přes pokračování pandemie situace zlepšila – v zásadě se vrátila na úroveň roku 2019. Zdá se tedy, že soudy již byly civilní agendy schopny v plném rozsahu organizačně i personálně zvládnout své fungování během pandemie. Data za rok 2022 ukazují, že situace je víceméně stabilní s tím, že stále dochází </w:t>
      </w:r>
      <w:r w:rsidR="00D15EA8" w:rsidRPr="005D7674">
        <w:t xml:space="preserve">k </w:t>
      </w:r>
      <w:r w:rsidRPr="005D7674">
        <w:t xml:space="preserve">drobnému zlepšování spíše regionálního charakteru. </w:t>
      </w:r>
    </w:p>
    <w:p w14:paraId="141E1FA1" w14:textId="7AB02E2F" w:rsidR="00E02D12" w:rsidRPr="005D7674" w:rsidRDefault="00AA6138" w:rsidP="00AA6138">
      <w:pPr>
        <w:pStyle w:val="Nadpis3"/>
        <w:numPr>
          <w:ilvl w:val="2"/>
          <w:numId w:val="1"/>
        </w:numPr>
        <w:rPr>
          <w:color w:val="auto"/>
        </w:rPr>
      </w:pPr>
      <w:bookmarkStart w:id="186" w:name="_Ref509563330"/>
      <w:bookmarkStart w:id="187" w:name="_Toc515871225"/>
      <w:bookmarkStart w:id="188" w:name="_Toc41546302"/>
      <w:bookmarkStart w:id="189" w:name="_Toc106092722"/>
      <w:bookmarkStart w:id="190" w:name="_Toc144104343"/>
      <w:bookmarkStart w:id="191" w:name="_Toc43903029"/>
      <w:bookmarkEnd w:id="185"/>
      <w:r w:rsidRPr="005D7674">
        <w:rPr>
          <w:color w:val="auto"/>
        </w:rPr>
        <w:t>Další statistiky</w:t>
      </w:r>
      <w:bookmarkEnd w:id="186"/>
      <w:bookmarkEnd w:id="187"/>
      <w:bookmarkEnd w:id="188"/>
      <w:bookmarkEnd w:id="189"/>
      <w:bookmarkEnd w:id="190"/>
    </w:p>
    <w:p w14:paraId="72F57EAE" w14:textId="2C9E9C3A" w:rsidR="002624CC" w:rsidRPr="005D7674" w:rsidRDefault="002624CC" w:rsidP="007E0C04">
      <w:pPr>
        <w:shd w:val="clear" w:color="auto" w:fill="FFFFFF" w:themeFill="background1"/>
        <w:spacing w:after="160" w:line="259" w:lineRule="auto"/>
      </w:pPr>
      <w:r w:rsidRPr="005D7674">
        <w:t xml:space="preserve">Kromě výše uvedených ukazatelů výkonnosti soudů sleduje Ministerstvo spravedlnosti řadu dalších údajů. Tato podkapitola se věnuje čtyřem příkladům, a to míře odvolání, míře změny rozsudku, </w:t>
      </w:r>
      <w:r w:rsidR="00DC2970" w:rsidRPr="005D7674">
        <w:t>rozvodům</w:t>
      </w:r>
      <w:r w:rsidRPr="005D7674">
        <w:t xml:space="preserve">, </w:t>
      </w:r>
      <w:r w:rsidR="00DC2970" w:rsidRPr="005D7674">
        <w:t>a složení vyřizované agendy.</w:t>
      </w:r>
    </w:p>
    <w:p w14:paraId="05E714D8" w14:textId="6DF1429A" w:rsidR="002624CC" w:rsidRPr="005D7674" w:rsidRDefault="002624CC" w:rsidP="002624CC">
      <w:pPr>
        <w:pStyle w:val="OdstavecASR"/>
        <w:keepNext/>
        <w:outlineLvl w:val="3"/>
        <w:rPr>
          <w:b/>
          <w:bCs/>
        </w:rPr>
      </w:pPr>
      <w:r w:rsidRPr="005D7674">
        <w:rPr>
          <w:b/>
          <w:bCs/>
        </w:rPr>
        <w:lastRenderedPageBreak/>
        <w:t>Míra odvolání</w:t>
      </w:r>
    </w:p>
    <w:p w14:paraId="51C89D18" w14:textId="7DC48FBF" w:rsidR="002624CC" w:rsidRPr="005D7674" w:rsidRDefault="002624CC" w:rsidP="002624CC">
      <w:pPr>
        <w:pStyle w:val="OdstavecASR"/>
      </w:pPr>
      <w:r w:rsidRPr="005D7674">
        <w:t>Míra odvolání udává, jak často podávají účastníci sporu odvolání. Závisí na mnoha faktorech jako je například složení agendy soudu nebo charakteristika účastníků sporu. Do určité míry může vypovídat o složitosti sporů, neboť u velmi jednoduchých sporů (typicky s procesně pasivní žalovanou stranou) je podání odvolání méně pravděpodobné. Výpočty zahrnují i věci, ve kterých odvolací soud zrušil rozhodnutí soudu I. stupně, věc mu vrátil a následně již</w:t>
      </w:r>
      <w:r w:rsidR="00834672" w:rsidRPr="005D7674">
        <w:t xml:space="preserve"> bylo</w:t>
      </w:r>
      <w:r w:rsidRPr="005D7674">
        <w:t xml:space="preserve"> odvolání podáno.</w:t>
      </w:r>
    </w:p>
    <w:p w14:paraId="58203B5A" w14:textId="06F46E61" w:rsidR="002624CC" w:rsidRPr="005D7674" w:rsidRDefault="002624CC" w:rsidP="002624CC">
      <w:pPr>
        <w:pStyle w:val="Podnadpis"/>
        <w:rPr>
          <w:color w:val="auto"/>
        </w:rPr>
      </w:pPr>
      <w:bookmarkStart w:id="192" w:name="_Toc515871444"/>
      <w:bookmarkStart w:id="193" w:name="_Toc11133213"/>
      <w:bookmarkStart w:id="194" w:name="_Toc43931186"/>
      <w:bookmarkStart w:id="195" w:name="_Toc75952317"/>
      <w:bookmarkStart w:id="196" w:name="_Toc106106776"/>
      <w:bookmarkStart w:id="197" w:name="_Toc144104253"/>
      <w:r w:rsidRPr="005D7674">
        <w:rPr>
          <w:color w:val="auto"/>
        </w:rPr>
        <w:t xml:space="preserve">Tabulka </w:t>
      </w:r>
      <w:r w:rsidRPr="005D7674">
        <w:rPr>
          <w:color w:val="auto"/>
        </w:rPr>
        <w:fldChar w:fldCharType="begin"/>
      </w:r>
      <w:r w:rsidRPr="005D7674">
        <w:rPr>
          <w:color w:val="auto"/>
        </w:rPr>
        <w:instrText xml:space="preserve"> SEQ Tabulka \* ARABIC </w:instrText>
      </w:r>
      <w:r w:rsidRPr="005D7674">
        <w:rPr>
          <w:color w:val="auto"/>
        </w:rPr>
        <w:fldChar w:fldCharType="separate"/>
      </w:r>
      <w:r w:rsidR="001E1A67">
        <w:rPr>
          <w:noProof/>
          <w:color w:val="auto"/>
        </w:rPr>
        <w:t>14</w:t>
      </w:r>
      <w:r w:rsidRPr="005D7674">
        <w:rPr>
          <w:noProof/>
          <w:color w:val="auto"/>
        </w:rPr>
        <w:fldChar w:fldCharType="end"/>
      </w:r>
      <w:r w:rsidRPr="005D7674">
        <w:rPr>
          <w:color w:val="auto"/>
        </w:rPr>
        <w:t>: OS – míra odvolání dle krajů v civilním řízení</w:t>
      </w:r>
      <w:bookmarkEnd w:id="192"/>
      <w:bookmarkEnd w:id="193"/>
      <w:bookmarkEnd w:id="194"/>
      <w:bookmarkEnd w:id="195"/>
      <w:bookmarkEnd w:id="196"/>
      <w:bookmarkEnd w:id="197"/>
    </w:p>
    <w:tbl>
      <w:tblPr>
        <w:tblW w:w="5620" w:type="dxa"/>
        <w:tblCellMar>
          <w:left w:w="70" w:type="dxa"/>
          <w:right w:w="70" w:type="dxa"/>
        </w:tblCellMar>
        <w:tblLook w:val="04A0" w:firstRow="1" w:lastRow="0" w:firstColumn="1" w:lastColumn="0" w:noHBand="0" w:noVBand="1"/>
      </w:tblPr>
      <w:tblGrid>
        <w:gridCol w:w="2780"/>
        <w:gridCol w:w="1469"/>
        <w:gridCol w:w="1371"/>
      </w:tblGrid>
      <w:tr w:rsidR="00F15667" w:rsidRPr="005D7674" w14:paraId="59336E61" w14:textId="77777777" w:rsidTr="005C09EE">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AA975BE" w14:textId="77777777" w:rsidR="005A0AD3" w:rsidRPr="005D7674" w:rsidRDefault="005A0AD3" w:rsidP="005C09EE">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2840" w:type="dxa"/>
            <w:gridSpan w:val="2"/>
            <w:tcBorders>
              <w:top w:val="double" w:sz="6" w:space="0" w:color="auto"/>
              <w:left w:val="nil"/>
              <w:bottom w:val="double" w:sz="6" w:space="0" w:color="auto"/>
              <w:right w:val="nil"/>
            </w:tcBorders>
            <w:shd w:val="clear" w:color="auto" w:fill="auto"/>
            <w:noWrap/>
            <w:vAlign w:val="center"/>
            <w:hideMark/>
          </w:tcPr>
          <w:p w14:paraId="2216A137" w14:textId="77777777" w:rsidR="005A0AD3" w:rsidRPr="005D7674" w:rsidRDefault="005A0AD3" w:rsidP="005C09EE">
            <w:pPr>
              <w:spacing w:line="240" w:lineRule="auto"/>
              <w:jc w:val="center"/>
              <w:rPr>
                <w:rFonts w:eastAsia="Times New Roman"/>
                <w:b/>
                <w:bCs/>
                <w:szCs w:val="24"/>
                <w:lang w:eastAsia="cs-CZ"/>
              </w:rPr>
            </w:pPr>
            <w:r w:rsidRPr="005D7674">
              <w:rPr>
                <w:rFonts w:eastAsia="Times New Roman"/>
                <w:b/>
                <w:bCs/>
                <w:szCs w:val="24"/>
                <w:lang w:eastAsia="cs-CZ"/>
              </w:rPr>
              <w:t>Míra odvolání</w:t>
            </w:r>
          </w:p>
        </w:tc>
      </w:tr>
      <w:tr w:rsidR="00F15667" w:rsidRPr="005D7674" w14:paraId="1F41B7DA" w14:textId="77777777" w:rsidTr="005C09EE">
        <w:trPr>
          <w:trHeight w:val="330"/>
        </w:trPr>
        <w:tc>
          <w:tcPr>
            <w:tcW w:w="2780" w:type="dxa"/>
            <w:tcBorders>
              <w:top w:val="nil"/>
              <w:left w:val="nil"/>
              <w:bottom w:val="single" w:sz="4" w:space="0" w:color="auto"/>
              <w:right w:val="nil"/>
            </w:tcBorders>
            <w:shd w:val="clear" w:color="auto" w:fill="auto"/>
            <w:noWrap/>
            <w:vAlign w:val="center"/>
            <w:hideMark/>
          </w:tcPr>
          <w:p w14:paraId="251E704F" w14:textId="77777777" w:rsidR="005A0AD3" w:rsidRPr="005D7674" w:rsidRDefault="005A0AD3" w:rsidP="005C09EE">
            <w:pPr>
              <w:spacing w:line="240" w:lineRule="auto"/>
              <w:jc w:val="left"/>
              <w:rPr>
                <w:rFonts w:eastAsia="Times New Roman"/>
                <w:szCs w:val="24"/>
                <w:lang w:eastAsia="cs-CZ"/>
              </w:rPr>
            </w:pPr>
            <w:r w:rsidRPr="005D7674">
              <w:rPr>
                <w:rFonts w:eastAsia="Times New Roman"/>
                <w:szCs w:val="24"/>
                <w:lang w:eastAsia="cs-CZ"/>
              </w:rPr>
              <w:t>MS Praha</w:t>
            </w:r>
          </w:p>
        </w:tc>
        <w:tc>
          <w:tcPr>
            <w:tcW w:w="1469" w:type="dxa"/>
            <w:tcBorders>
              <w:top w:val="nil"/>
              <w:left w:val="nil"/>
              <w:bottom w:val="single" w:sz="4" w:space="0" w:color="auto"/>
              <w:right w:val="nil"/>
            </w:tcBorders>
            <w:shd w:val="clear" w:color="auto" w:fill="auto"/>
            <w:noWrap/>
            <w:vAlign w:val="center"/>
            <w:hideMark/>
          </w:tcPr>
          <w:p w14:paraId="1BC73DD9" w14:textId="5D5F764C" w:rsidR="005A0AD3" w:rsidRPr="005D7674" w:rsidRDefault="005A0AD3" w:rsidP="005C09EE">
            <w:pPr>
              <w:spacing w:line="240" w:lineRule="auto"/>
              <w:jc w:val="center"/>
              <w:rPr>
                <w:rFonts w:eastAsia="Times New Roman"/>
                <w:szCs w:val="24"/>
                <w:lang w:eastAsia="cs-CZ"/>
              </w:rPr>
            </w:pPr>
            <w:r w:rsidRPr="005D7674">
              <w:rPr>
                <w:rFonts w:eastAsia="Times New Roman"/>
                <w:szCs w:val="24"/>
                <w:lang w:eastAsia="cs-CZ"/>
              </w:rPr>
              <w:t>11,72 %</w:t>
            </w:r>
          </w:p>
        </w:tc>
        <w:tc>
          <w:tcPr>
            <w:tcW w:w="1371" w:type="dxa"/>
            <w:tcBorders>
              <w:top w:val="single" w:sz="4" w:space="0" w:color="auto"/>
              <w:left w:val="nil"/>
              <w:bottom w:val="single" w:sz="4" w:space="0" w:color="auto"/>
              <w:right w:val="nil"/>
            </w:tcBorders>
            <w:shd w:val="clear" w:color="auto" w:fill="auto"/>
            <w:noWrap/>
            <w:vAlign w:val="center"/>
            <w:hideMark/>
          </w:tcPr>
          <w:p w14:paraId="459C7BAF" w14:textId="26870D2D" w:rsidR="005A0AD3" w:rsidRPr="005D7674" w:rsidRDefault="005A0AD3" w:rsidP="005C09EE">
            <w:pPr>
              <w:spacing w:line="240" w:lineRule="auto"/>
              <w:jc w:val="center"/>
              <w:rPr>
                <w:rFonts w:eastAsia="Times New Roman"/>
                <w:sz w:val="20"/>
                <w:szCs w:val="20"/>
                <w:lang w:eastAsia="cs-CZ"/>
              </w:rPr>
            </w:pPr>
            <w:r w:rsidRPr="005D7674">
              <w:rPr>
                <w:rFonts w:eastAsia="Times New Roman"/>
                <w:sz w:val="20"/>
                <w:szCs w:val="20"/>
                <w:lang w:eastAsia="cs-CZ"/>
              </w:rPr>
              <w:t>+0,2 p.b.</w:t>
            </w:r>
          </w:p>
        </w:tc>
      </w:tr>
      <w:tr w:rsidR="00F15667" w:rsidRPr="005D7674" w14:paraId="65E60E35"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3736E06A" w14:textId="77777777" w:rsidR="005A0AD3" w:rsidRPr="005D7674" w:rsidRDefault="005A0AD3" w:rsidP="005C09EE">
            <w:pPr>
              <w:spacing w:line="240" w:lineRule="auto"/>
              <w:jc w:val="left"/>
              <w:rPr>
                <w:rFonts w:eastAsia="Times New Roman"/>
                <w:szCs w:val="24"/>
                <w:lang w:eastAsia="cs-CZ"/>
              </w:rPr>
            </w:pPr>
            <w:r w:rsidRPr="005D7674">
              <w:rPr>
                <w:rFonts w:eastAsia="Times New Roman"/>
                <w:szCs w:val="24"/>
                <w:lang w:eastAsia="cs-CZ"/>
              </w:rPr>
              <w:t>KS Praha</w:t>
            </w:r>
          </w:p>
        </w:tc>
        <w:tc>
          <w:tcPr>
            <w:tcW w:w="1469" w:type="dxa"/>
            <w:tcBorders>
              <w:top w:val="nil"/>
              <w:left w:val="nil"/>
              <w:bottom w:val="single" w:sz="4" w:space="0" w:color="auto"/>
              <w:right w:val="nil"/>
            </w:tcBorders>
            <w:shd w:val="clear" w:color="auto" w:fill="auto"/>
            <w:noWrap/>
            <w:vAlign w:val="center"/>
            <w:hideMark/>
          </w:tcPr>
          <w:p w14:paraId="4F4C2184" w14:textId="5F5F6435" w:rsidR="005A0AD3" w:rsidRPr="005D7674" w:rsidRDefault="005A0AD3" w:rsidP="005C09EE">
            <w:pPr>
              <w:spacing w:line="240" w:lineRule="auto"/>
              <w:jc w:val="center"/>
              <w:rPr>
                <w:rFonts w:eastAsia="Times New Roman"/>
                <w:szCs w:val="24"/>
                <w:lang w:eastAsia="cs-CZ"/>
              </w:rPr>
            </w:pPr>
            <w:r w:rsidRPr="005D7674">
              <w:rPr>
                <w:rFonts w:eastAsia="Times New Roman"/>
                <w:szCs w:val="24"/>
                <w:lang w:eastAsia="cs-CZ"/>
              </w:rPr>
              <w:t>5,53 %</w:t>
            </w:r>
          </w:p>
        </w:tc>
        <w:tc>
          <w:tcPr>
            <w:tcW w:w="1371" w:type="dxa"/>
            <w:tcBorders>
              <w:top w:val="nil"/>
              <w:left w:val="nil"/>
              <w:bottom w:val="single" w:sz="4" w:space="0" w:color="auto"/>
              <w:right w:val="nil"/>
            </w:tcBorders>
            <w:shd w:val="clear" w:color="auto" w:fill="auto"/>
            <w:noWrap/>
            <w:vAlign w:val="center"/>
            <w:hideMark/>
          </w:tcPr>
          <w:p w14:paraId="36AEAB15" w14:textId="26113A69" w:rsidR="005A0AD3" w:rsidRPr="005D7674" w:rsidRDefault="005A0AD3" w:rsidP="005C09EE">
            <w:pPr>
              <w:spacing w:line="240" w:lineRule="auto"/>
              <w:jc w:val="center"/>
              <w:rPr>
                <w:rFonts w:eastAsia="Times New Roman"/>
                <w:sz w:val="20"/>
                <w:szCs w:val="20"/>
                <w:lang w:eastAsia="cs-CZ"/>
              </w:rPr>
            </w:pPr>
            <w:r w:rsidRPr="005D7674">
              <w:rPr>
                <w:rFonts w:eastAsia="Times New Roman"/>
                <w:sz w:val="20"/>
                <w:szCs w:val="20"/>
                <w:lang w:eastAsia="cs-CZ"/>
              </w:rPr>
              <w:t>-0,6 p.b.</w:t>
            </w:r>
          </w:p>
        </w:tc>
      </w:tr>
      <w:tr w:rsidR="00F15667" w:rsidRPr="005D7674" w14:paraId="141EE799"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45BBEF54" w14:textId="77777777" w:rsidR="005A0AD3" w:rsidRPr="005D7674" w:rsidRDefault="005A0AD3" w:rsidP="005C09EE">
            <w:pPr>
              <w:spacing w:line="240" w:lineRule="auto"/>
              <w:jc w:val="left"/>
              <w:rPr>
                <w:rFonts w:eastAsia="Times New Roman"/>
                <w:szCs w:val="24"/>
                <w:lang w:eastAsia="cs-CZ"/>
              </w:rPr>
            </w:pPr>
            <w:r w:rsidRPr="005D7674">
              <w:rPr>
                <w:rFonts w:eastAsia="Times New Roman"/>
                <w:szCs w:val="24"/>
                <w:lang w:eastAsia="cs-CZ"/>
              </w:rPr>
              <w:t>KS Č. Budějovice</w:t>
            </w:r>
          </w:p>
        </w:tc>
        <w:tc>
          <w:tcPr>
            <w:tcW w:w="1469" w:type="dxa"/>
            <w:tcBorders>
              <w:top w:val="nil"/>
              <w:left w:val="nil"/>
              <w:bottom w:val="single" w:sz="4" w:space="0" w:color="auto"/>
              <w:right w:val="nil"/>
            </w:tcBorders>
            <w:shd w:val="clear" w:color="auto" w:fill="auto"/>
            <w:noWrap/>
            <w:vAlign w:val="center"/>
            <w:hideMark/>
          </w:tcPr>
          <w:p w14:paraId="55D94ED1" w14:textId="74F7D0AD" w:rsidR="005A0AD3" w:rsidRPr="005D7674" w:rsidRDefault="005A0AD3" w:rsidP="005C09EE">
            <w:pPr>
              <w:spacing w:line="240" w:lineRule="auto"/>
              <w:jc w:val="center"/>
              <w:rPr>
                <w:rFonts w:eastAsia="Times New Roman"/>
                <w:szCs w:val="24"/>
                <w:lang w:eastAsia="cs-CZ"/>
              </w:rPr>
            </w:pPr>
            <w:r w:rsidRPr="005D7674">
              <w:rPr>
                <w:rFonts w:eastAsia="Times New Roman"/>
                <w:szCs w:val="24"/>
                <w:lang w:eastAsia="cs-CZ"/>
              </w:rPr>
              <w:t>6,73 %</w:t>
            </w:r>
          </w:p>
        </w:tc>
        <w:tc>
          <w:tcPr>
            <w:tcW w:w="1371" w:type="dxa"/>
            <w:tcBorders>
              <w:top w:val="nil"/>
              <w:left w:val="nil"/>
              <w:bottom w:val="single" w:sz="4" w:space="0" w:color="auto"/>
              <w:right w:val="nil"/>
            </w:tcBorders>
            <w:shd w:val="clear" w:color="auto" w:fill="auto"/>
            <w:noWrap/>
            <w:vAlign w:val="center"/>
            <w:hideMark/>
          </w:tcPr>
          <w:p w14:paraId="0CB197F2" w14:textId="7DFA976C" w:rsidR="005A0AD3" w:rsidRPr="005D7674" w:rsidRDefault="005A0AD3" w:rsidP="005C09EE">
            <w:pPr>
              <w:spacing w:line="240" w:lineRule="auto"/>
              <w:jc w:val="center"/>
              <w:rPr>
                <w:rFonts w:eastAsia="Times New Roman"/>
                <w:sz w:val="20"/>
                <w:szCs w:val="20"/>
                <w:lang w:eastAsia="cs-CZ"/>
              </w:rPr>
            </w:pPr>
            <w:r w:rsidRPr="005D7674">
              <w:rPr>
                <w:rFonts w:eastAsia="Times New Roman"/>
                <w:sz w:val="20"/>
                <w:szCs w:val="20"/>
                <w:lang w:eastAsia="cs-CZ"/>
              </w:rPr>
              <w:t>+0,6 p.b.</w:t>
            </w:r>
          </w:p>
        </w:tc>
      </w:tr>
      <w:tr w:rsidR="00F15667" w:rsidRPr="005D7674" w14:paraId="26726F3B"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00A79368" w14:textId="77777777" w:rsidR="005A0AD3" w:rsidRPr="005D7674" w:rsidRDefault="005A0AD3" w:rsidP="005C09EE">
            <w:pPr>
              <w:spacing w:line="240" w:lineRule="auto"/>
              <w:jc w:val="left"/>
              <w:rPr>
                <w:rFonts w:eastAsia="Times New Roman"/>
                <w:szCs w:val="24"/>
                <w:lang w:eastAsia="cs-CZ"/>
              </w:rPr>
            </w:pPr>
            <w:r w:rsidRPr="005D7674">
              <w:rPr>
                <w:rFonts w:eastAsia="Times New Roman"/>
                <w:szCs w:val="24"/>
                <w:lang w:eastAsia="cs-CZ"/>
              </w:rPr>
              <w:t>KS Plzeň</w:t>
            </w:r>
          </w:p>
        </w:tc>
        <w:tc>
          <w:tcPr>
            <w:tcW w:w="1469" w:type="dxa"/>
            <w:tcBorders>
              <w:top w:val="nil"/>
              <w:left w:val="nil"/>
              <w:bottom w:val="single" w:sz="4" w:space="0" w:color="auto"/>
              <w:right w:val="nil"/>
            </w:tcBorders>
            <w:shd w:val="clear" w:color="auto" w:fill="auto"/>
            <w:noWrap/>
            <w:vAlign w:val="center"/>
            <w:hideMark/>
          </w:tcPr>
          <w:p w14:paraId="37CEA073" w14:textId="3B522429" w:rsidR="005A0AD3" w:rsidRPr="005D7674" w:rsidRDefault="005A0AD3" w:rsidP="005C09EE">
            <w:pPr>
              <w:spacing w:line="240" w:lineRule="auto"/>
              <w:jc w:val="center"/>
              <w:rPr>
                <w:rFonts w:eastAsia="Times New Roman"/>
                <w:szCs w:val="24"/>
                <w:lang w:eastAsia="cs-CZ"/>
              </w:rPr>
            </w:pPr>
            <w:r w:rsidRPr="005D7674">
              <w:rPr>
                <w:rFonts w:eastAsia="Times New Roman"/>
                <w:szCs w:val="24"/>
                <w:lang w:eastAsia="cs-CZ"/>
              </w:rPr>
              <w:t>5,37 %</w:t>
            </w:r>
          </w:p>
        </w:tc>
        <w:tc>
          <w:tcPr>
            <w:tcW w:w="1371" w:type="dxa"/>
            <w:tcBorders>
              <w:top w:val="nil"/>
              <w:left w:val="nil"/>
              <w:bottom w:val="single" w:sz="4" w:space="0" w:color="auto"/>
              <w:right w:val="nil"/>
            </w:tcBorders>
            <w:shd w:val="clear" w:color="auto" w:fill="auto"/>
            <w:noWrap/>
            <w:vAlign w:val="center"/>
            <w:hideMark/>
          </w:tcPr>
          <w:p w14:paraId="0CEE20F1" w14:textId="118FFCCE" w:rsidR="005A0AD3" w:rsidRPr="005D7674" w:rsidRDefault="005A0AD3" w:rsidP="005C09EE">
            <w:pPr>
              <w:spacing w:line="240" w:lineRule="auto"/>
              <w:jc w:val="center"/>
              <w:rPr>
                <w:rFonts w:eastAsia="Times New Roman"/>
                <w:sz w:val="20"/>
                <w:szCs w:val="20"/>
                <w:lang w:eastAsia="cs-CZ"/>
              </w:rPr>
            </w:pPr>
            <w:r w:rsidRPr="005D7674">
              <w:rPr>
                <w:rFonts w:eastAsia="Times New Roman"/>
                <w:sz w:val="20"/>
                <w:szCs w:val="20"/>
                <w:lang w:eastAsia="cs-CZ"/>
              </w:rPr>
              <w:t>-0,9 p.b.</w:t>
            </w:r>
          </w:p>
        </w:tc>
      </w:tr>
      <w:tr w:rsidR="00F15667" w:rsidRPr="005D7674" w14:paraId="3C88358F"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0F21EE52" w14:textId="77777777" w:rsidR="005A0AD3" w:rsidRPr="005D7674" w:rsidRDefault="005A0AD3" w:rsidP="005C09EE">
            <w:pPr>
              <w:spacing w:line="240" w:lineRule="auto"/>
              <w:jc w:val="left"/>
              <w:rPr>
                <w:rFonts w:eastAsia="Times New Roman"/>
                <w:szCs w:val="24"/>
                <w:lang w:eastAsia="cs-CZ"/>
              </w:rPr>
            </w:pPr>
            <w:r w:rsidRPr="005D7674">
              <w:rPr>
                <w:rFonts w:eastAsia="Times New Roman"/>
                <w:szCs w:val="24"/>
                <w:lang w:eastAsia="cs-CZ"/>
              </w:rPr>
              <w:t>KS Ústí n. Labem</w:t>
            </w:r>
          </w:p>
        </w:tc>
        <w:tc>
          <w:tcPr>
            <w:tcW w:w="1469" w:type="dxa"/>
            <w:tcBorders>
              <w:top w:val="nil"/>
              <w:left w:val="nil"/>
              <w:bottom w:val="single" w:sz="4" w:space="0" w:color="auto"/>
              <w:right w:val="nil"/>
            </w:tcBorders>
            <w:shd w:val="clear" w:color="auto" w:fill="auto"/>
            <w:noWrap/>
            <w:vAlign w:val="center"/>
            <w:hideMark/>
          </w:tcPr>
          <w:p w14:paraId="23C088FF" w14:textId="5396CD58" w:rsidR="005A0AD3" w:rsidRPr="005D7674" w:rsidRDefault="005A0AD3" w:rsidP="005C09EE">
            <w:pPr>
              <w:spacing w:line="240" w:lineRule="auto"/>
              <w:jc w:val="center"/>
              <w:rPr>
                <w:rFonts w:eastAsia="Times New Roman"/>
                <w:szCs w:val="24"/>
                <w:lang w:eastAsia="cs-CZ"/>
              </w:rPr>
            </w:pPr>
            <w:r w:rsidRPr="005D7674">
              <w:rPr>
                <w:rFonts w:eastAsia="Times New Roman"/>
                <w:szCs w:val="24"/>
                <w:lang w:eastAsia="cs-CZ"/>
              </w:rPr>
              <w:t>4,13 %</w:t>
            </w:r>
          </w:p>
        </w:tc>
        <w:tc>
          <w:tcPr>
            <w:tcW w:w="1371" w:type="dxa"/>
            <w:tcBorders>
              <w:top w:val="nil"/>
              <w:left w:val="nil"/>
              <w:bottom w:val="single" w:sz="4" w:space="0" w:color="auto"/>
              <w:right w:val="nil"/>
            </w:tcBorders>
            <w:shd w:val="clear" w:color="auto" w:fill="auto"/>
            <w:noWrap/>
            <w:vAlign w:val="center"/>
            <w:hideMark/>
          </w:tcPr>
          <w:p w14:paraId="2C5463DF" w14:textId="5BE213F8" w:rsidR="005A0AD3" w:rsidRPr="005D7674" w:rsidRDefault="005A0AD3" w:rsidP="005C09EE">
            <w:pPr>
              <w:spacing w:line="240" w:lineRule="auto"/>
              <w:jc w:val="center"/>
              <w:rPr>
                <w:rFonts w:eastAsia="Times New Roman"/>
                <w:sz w:val="20"/>
                <w:szCs w:val="20"/>
                <w:lang w:eastAsia="cs-CZ"/>
              </w:rPr>
            </w:pPr>
            <w:r w:rsidRPr="005D7674">
              <w:rPr>
                <w:rFonts w:eastAsia="Times New Roman"/>
                <w:sz w:val="20"/>
                <w:szCs w:val="20"/>
                <w:lang w:eastAsia="cs-CZ"/>
              </w:rPr>
              <w:t>-0,4 p.b.</w:t>
            </w:r>
          </w:p>
        </w:tc>
      </w:tr>
      <w:tr w:rsidR="00F15667" w:rsidRPr="005D7674" w14:paraId="071B36AF"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507B76BB" w14:textId="77777777" w:rsidR="005A0AD3" w:rsidRPr="005D7674" w:rsidRDefault="005A0AD3" w:rsidP="005C09EE">
            <w:pPr>
              <w:spacing w:line="240" w:lineRule="auto"/>
              <w:jc w:val="left"/>
              <w:rPr>
                <w:rFonts w:eastAsia="Times New Roman"/>
                <w:szCs w:val="24"/>
                <w:lang w:eastAsia="cs-CZ"/>
              </w:rPr>
            </w:pPr>
            <w:r w:rsidRPr="005D7674">
              <w:rPr>
                <w:rFonts w:eastAsia="Times New Roman"/>
                <w:szCs w:val="24"/>
                <w:lang w:eastAsia="cs-CZ"/>
              </w:rPr>
              <w:t>KS Hr. Králové</w:t>
            </w:r>
          </w:p>
        </w:tc>
        <w:tc>
          <w:tcPr>
            <w:tcW w:w="1469" w:type="dxa"/>
            <w:tcBorders>
              <w:top w:val="nil"/>
              <w:left w:val="nil"/>
              <w:bottom w:val="single" w:sz="4" w:space="0" w:color="auto"/>
              <w:right w:val="nil"/>
            </w:tcBorders>
            <w:shd w:val="clear" w:color="auto" w:fill="auto"/>
            <w:noWrap/>
            <w:vAlign w:val="center"/>
            <w:hideMark/>
          </w:tcPr>
          <w:p w14:paraId="2B86BE39" w14:textId="3AE7EEAC" w:rsidR="005A0AD3" w:rsidRPr="005D7674" w:rsidRDefault="005A0AD3" w:rsidP="005C09EE">
            <w:pPr>
              <w:spacing w:line="240" w:lineRule="auto"/>
              <w:jc w:val="center"/>
              <w:rPr>
                <w:rFonts w:eastAsia="Times New Roman"/>
                <w:szCs w:val="24"/>
                <w:lang w:eastAsia="cs-CZ"/>
              </w:rPr>
            </w:pPr>
            <w:r w:rsidRPr="005D7674">
              <w:rPr>
                <w:rFonts w:eastAsia="Times New Roman"/>
                <w:szCs w:val="24"/>
                <w:lang w:eastAsia="cs-CZ"/>
              </w:rPr>
              <w:t>6,56 %</w:t>
            </w:r>
          </w:p>
        </w:tc>
        <w:tc>
          <w:tcPr>
            <w:tcW w:w="1371" w:type="dxa"/>
            <w:tcBorders>
              <w:top w:val="nil"/>
              <w:left w:val="nil"/>
              <w:bottom w:val="single" w:sz="4" w:space="0" w:color="auto"/>
              <w:right w:val="nil"/>
            </w:tcBorders>
            <w:shd w:val="clear" w:color="auto" w:fill="auto"/>
            <w:noWrap/>
            <w:vAlign w:val="center"/>
            <w:hideMark/>
          </w:tcPr>
          <w:p w14:paraId="6B3C65D3" w14:textId="0B250696" w:rsidR="005A0AD3" w:rsidRPr="005D7674" w:rsidRDefault="005A0AD3" w:rsidP="005C09EE">
            <w:pPr>
              <w:spacing w:line="240" w:lineRule="auto"/>
              <w:jc w:val="center"/>
              <w:rPr>
                <w:rFonts w:eastAsia="Times New Roman"/>
                <w:sz w:val="20"/>
                <w:szCs w:val="20"/>
                <w:lang w:eastAsia="cs-CZ"/>
              </w:rPr>
            </w:pPr>
            <w:r w:rsidRPr="005D7674">
              <w:rPr>
                <w:rFonts w:eastAsia="Times New Roman"/>
                <w:sz w:val="20"/>
                <w:szCs w:val="20"/>
                <w:lang w:eastAsia="cs-CZ"/>
              </w:rPr>
              <w:t>-0,5 p.b.</w:t>
            </w:r>
          </w:p>
        </w:tc>
      </w:tr>
      <w:tr w:rsidR="00F15667" w:rsidRPr="005D7674" w14:paraId="2BD341B6" w14:textId="77777777" w:rsidTr="005C09EE">
        <w:trPr>
          <w:trHeight w:val="315"/>
        </w:trPr>
        <w:tc>
          <w:tcPr>
            <w:tcW w:w="2780" w:type="dxa"/>
            <w:tcBorders>
              <w:top w:val="nil"/>
              <w:left w:val="nil"/>
              <w:bottom w:val="single" w:sz="4" w:space="0" w:color="auto"/>
              <w:right w:val="nil"/>
            </w:tcBorders>
            <w:shd w:val="clear" w:color="auto" w:fill="auto"/>
            <w:noWrap/>
            <w:vAlign w:val="center"/>
            <w:hideMark/>
          </w:tcPr>
          <w:p w14:paraId="3A0D81C2" w14:textId="77777777" w:rsidR="005A0AD3" w:rsidRPr="005D7674" w:rsidRDefault="005A0AD3" w:rsidP="005C09EE">
            <w:pPr>
              <w:spacing w:line="240" w:lineRule="auto"/>
              <w:jc w:val="left"/>
              <w:rPr>
                <w:rFonts w:eastAsia="Times New Roman"/>
                <w:szCs w:val="24"/>
                <w:lang w:eastAsia="cs-CZ"/>
              </w:rPr>
            </w:pPr>
            <w:r w:rsidRPr="005D7674">
              <w:rPr>
                <w:rFonts w:eastAsia="Times New Roman"/>
                <w:szCs w:val="24"/>
                <w:lang w:eastAsia="cs-CZ"/>
              </w:rPr>
              <w:t>KS Brno</w:t>
            </w:r>
          </w:p>
        </w:tc>
        <w:tc>
          <w:tcPr>
            <w:tcW w:w="1469" w:type="dxa"/>
            <w:tcBorders>
              <w:top w:val="nil"/>
              <w:left w:val="nil"/>
              <w:bottom w:val="single" w:sz="4" w:space="0" w:color="auto"/>
              <w:right w:val="nil"/>
            </w:tcBorders>
            <w:shd w:val="clear" w:color="auto" w:fill="auto"/>
            <w:noWrap/>
            <w:vAlign w:val="center"/>
            <w:hideMark/>
          </w:tcPr>
          <w:p w14:paraId="3337D36F" w14:textId="419FD517" w:rsidR="005A0AD3" w:rsidRPr="005D7674" w:rsidRDefault="005A0AD3" w:rsidP="005C09EE">
            <w:pPr>
              <w:spacing w:line="240" w:lineRule="auto"/>
              <w:jc w:val="center"/>
              <w:rPr>
                <w:rFonts w:eastAsia="Times New Roman"/>
                <w:szCs w:val="24"/>
                <w:lang w:eastAsia="cs-CZ"/>
              </w:rPr>
            </w:pPr>
            <w:r w:rsidRPr="005D7674">
              <w:rPr>
                <w:rFonts w:eastAsia="Times New Roman"/>
                <w:szCs w:val="24"/>
                <w:lang w:eastAsia="cs-CZ"/>
              </w:rPr>
              <w:t>7,65 %</w:t>
            </w:r>
          </w:p>
        </w:tc>
        <w:tc>
          <w:tcPr>
            <w:tcW w:w="1371" w:type="dxa"/>
            <w:tcBorders>
              <w:top w:val="nil"/>
              <w:left w:val="nil"/>
              <w:bottom w:val="single" w:sz="4" w:space="0" w:color="auto"/>
              <w:right w:val="nil"/>
            </w:tcBorders>
            <w:shd w:val="clear" w:color="auto" w:fill="auto"/>
            <w:noWrap/>
            <w:vAlign w:val="center"/>
            <w:hideMark/>
          </w:tcPr>
          <w:p w14:paraId="7FB708A3" w14:textId="267A54C7" w:rsidR="005A0AD3" w:rsidRPr="005D7674" w:rsidRDefault="005A0AD3" w:rsidP="005C09EE">
            <w:pPr>
              <w:spacing w:line="240" w:lineRule="auto"/>
              <w:jc w:val="center"/>
              <w:rPr>
                <w:rFonts w:eastAsia="Times New Roman"/>
                <w:sz w:val="20"/>
                <w:szCs w:val="20"/>
                <w:lang w:eastAsia="cs-CZ"/>
              </w:rPr>
            </w:pPr>
            <w:r w:rsidRPr="005D7674">
              <w:rPr>
                <w:rFonts w:eastAsia="Times New Roman"/>
                <w:sz w:val="20"/>
                <w:szCs w:val="20"/>
                <w:lang w:eastAsia="cs-CZ"/>
              </w:rPr>
              <w:t>-0,6 p.b.</w:t>
            </w:r>
          </w:p>
        </w:tc>
      </w:tr>
      <w:tr w:rsidR="00F15667" w:rsidRPr="005D7674" w14:paraId="0ADDD603" w14:textId="77777777" w:rsidTr="005C09EE">
        <w:trPr>
          <w:trHeight w:val="330"/>
        </w:trPr>
        <w:tc>
          <w:tcPr>
            <w:tcW w:w="2780" w:type="dxa"/>
            <w:tcBorders>
              <w:top w:val="nil"/>
              <w:left w:val="nil"/>
              <w:bottom w:val="double" w:sz="6" w:space="0" w:color="auto"/>
              <w:right w:val="nil"/>
            </w:tcBorders>
            <w:shd w:val="clear" w:color="auto" w:fill="auto"/>
            <w:noWrap/>
            <w:vAlign w:val="center"/>
            <w:hideMark/>
          </w:tcPr>
          <w:p w14:paraId="628CBD8E" w14:textId="77777777" w:rsidR="005A0AD3" w:rsidRPr="005D7674" w:rsidRDefault="005A0AD3" w:rsidP="005C09EE">
            <w:pPr>
              <w:spacing w:line="240" w:lineRule="auto"/>
              <w:jc w:val="left"/>
              <w:rPr>
                <w:rFonts w:eastAsia="Times New Roman"/>
                <w:szCs w:val="24"/>
                <w:lang w:eastAsia="cs-CZ"/>
              </w:rPr>
            </w:pPr>
            <w:r w:rsidRPr="005D7674">
              <w:rPr>
                <w:rFonts w:eastAsia="Times New Roman"/>
                <w:szCs w:val="24"/>
                <w:lang w:eastAsia="cs-CZ"/>
              </w:rPr>
              <w:t>KS Ostrava</w:t>
            </w:r>
          </w:p>
        </w:tc>
        <w:tc>
          <w:tcPr>
            <w:tcW w:w="1469" w:type="dxa"/>
            <w:tcBorders>
              <w:top w:val="nil"/>
              <w:left w:val="nil"/>
              <w:bottom w:val="double" w:sz="6" w:space="0" w:color="auto"/>
              <w:right w:val="nil"/>
            </w:tcBorders>
            <w:shd w:val="clear" w:color="auto" w:fill="auto"/>
            <w:noWrap/>
            <w:vAlign w:val="center"/>
            <w:hideMark/>
          </w:tcPr>
          <w:p w14:paraId="4C50D3A4" w14:textId="4D7463EC" w:rsidR="005A0AD3" w:rsidRPr="005D7674" w:rsidRDefault="005A0AD3" w:rsidP="005C09EE">
            <w:pPr>
              <w:spacing w:line="240" w:lineRule="auto"/>
              <w:jc w:val="center"/>
              <w:rPr>
                <w:rFonts w:eastAsia="Times New Roman"/>
                <w:szCs w:val="24"/>
                <w:lang w:eastAsia="cs-CZ"/>
              </w:rPr>
            </w:pPr>
            <w:r w:rsidRPr="005D7674">
              <w:rPr>
                <w:rFonts w:eastAsia="Times New Roman"/>
                <w:szCs w:val="24"/>
                <w:lang w:eastAsia="cs-CZ"/>
              </w:rPr>
              <w:t>4,63 %</w:t>
            </w:r>
          </w:p>
        </w:tc>
        <w:tc>
          <w:tcPr>
            <w:tcW w:w="1371" w:type="dxa"/>
            <w:tcBorders>
              <w:top w:val="nil"/>
              <w:left w:val="nil"/>
              <w:bottom w:val="double" w:sz="6" w:space="0" w:color="auto"/>
              <w:right w:val="nil"/>
            </w:tcBorders>
            <w:shd w:val="clear" w:color="auto" w:fill="auto"/>
            <w:noWrap/>
            <w:vAlign w:val="center"/>
            <w:hideMark/>
          </w:tcPr>
          <w:p w14:paraId="53D4195D" w14:textId="3E13172E" w:rsidR="005A0AD3" w:rsidRPr="005D7674" w:rsidRDefault="005A0AD3" w:rsidP="005C09EE">
            <w:pPr>
              <w:spacing w:line="240" w:lineRule="auto"/>
              <w:jc w:val="center"/>
              <w:rPr>
                <w:rFonts w:eastAsia="Times New Roman"/>
                <w:sz w:val="20"/>
                <w:szCs w:val="20"/>
                <w:lang w:eastAsia="cs-CZ"/>
              </w:rPr>
            </w:pPr>
            <w:r w:rsidRPr="005D7674">
              <w:rPr>
                <w:rFonts w:eastAsia="Times New Roman"/>
                <w:sz w:val="20"/>
                <w:szCs w:val="20"/>
                <w:lang w:eastAsia="cs-CZ"/>
              </w:rPr>
              <w:t>-1,0 p.b.</w:t>
            </w:r>
          </w:p>
        </w:tc>
      </w:tr>
      <w:tr w:rsidR="00F15667" w:rsidRPr="005D7674" w14:paraId="6DCE6FA1" w14:textId="77777777" w:rsidTr="005C09EE">
        <w:trPr>
          <w:trHeight w:val="345"/>
        </w:trPr>
        <w:tc>
          <w:tcPr>
            <w:tcW w:w="2780" w:type="dxa"/>
            <w:tcBorders>
              <w:top w:val="nil"/>
              <w:left w:val="nil"/>
              <w:bottom w:val="double" w:sz="6" w:space="0" w:color="auto"/>
              <w:right w:val="nil"/>
            </w:tcBorders>
            <w:shd w:val="clear" w:color="auto" w:fill="auto"/>
            <w:noWrap/>
            <w:vAlign w:val="center"/>
            <w:hideMark/>
          </w:tcPr>
          <w:p w14:paraId="7B67E0AA" w14:textId="77777777" w:rsidR="005A0AD3" w:rsidRPr="005D7674" w:rsidRDefault="005A0AD3" w:rsidP="005C09EE">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469" w:type="dxa"/>
            <w:tcBorders>
              <w:top w:val="nil"/>
              <w:left w:val="nil"/>
              <w:bottom w:val="double" w:sz="6" w:space="0" w:color="auto"/>
              <w:right w:val="nil"/>
            </w:tcBorders>
            <w:shd w:val="clear" w:color="auto" w:fill="auto"/>
            <w:noWrap/>
            <w:vAlign w:val="center"/>
            <w:hideMark/>
          </w:tcPr>
          <w:p w14:paraId="5B22E712" w14:textId="3DBF9548" w:rsidR="005A0AD3" w:rsidRPr="005D7674" w:rsidRDefault="005A0AD3" w:rsidP="005C09EE">
            <w:pPr>
              <w:spacing w:line="240" w:lineRule="auto"/>
              <w:jc w:val="center"/>
              <w:rPr>
                <w:rFonts w:eastAsia="Times New Roman"/>
                <w:b/>
                <w:bCs/>
                <w:szCs w:val="24"/>
                <w:lang w:eastAsia="cs-CZ"/>
              </w:rPr>
            </w:pPr>
            <w:r w:rsidRPr="005D7674">
              <w:rPr>
                <w:rFonts w:eastAsia="Times New Roman"/>
                <w:b/>
                <w:bCs/>
                <w:szCs w:val="24"/>
                <w:lang w:eastAsia="cs-CZ"/>
              </w:rPr>
              <w:t>7,04 %</w:t>
            </w:r>
          </w:p>
        </w:tc>
        <w:tc>
          <w:tcPr>
            <w:tcW w:w="1371" w:type="dxa"/>
            <w:tcBorders>
              <w:top w:val="nil"/>
              <w:left w:val="nil"/>
              <w:bottom w:val="double" w:sz="6" w:space="0" w:color="auto"/>
              <w:right w:val="nil"/>
            </w:tcBorders>
            <w:shd w:val="clear" w:color="auto" w:fill="auto"/>
            <w:noWrap/>
            <w:vAlign w:val="center"/>
            <w:hideMark/>
          </w:tcPr>
          <w:p w14:paraId="65078D8E" w14:textId="7D6D2516" w:rsidR="005A0AD3" w:rsidRPr="005D7674" w:rsidRDefault="005A0AD3" w:rsidP="005C09EE">
            <w:pPr>
              <w:spacing w:line="240" w:lineRule="auto"/>
              <w:jc w:val="center"/>
              <w:rPr>
                <w:rFonts w:eastAsia="Times New Roman"/>
                <w:b/>
                <w:bCs/>
                <w:sz w:val="20"/>
                <w:szCs w:val="20"/>
                <w:lang w:eastAsia="cs-CZ"/>
              </w:rPr>
            </w:pPr>
            <w:r w:rsidRPr="005D7674">
              <w:rPr>
                <w:rFonts w:eastAsia="Times New Roman"/>
                <w:b/>
                <w:bCs/>
                <w:sz w:val="20"/>
                <w:szCs w:val="20"/>
                <w:lang w:eastAsia="cs-CZ"/>
              </w:rPr>
              <w:t>-0</w:t>
            </w:r>
            <w:r w:rsidR="00DC2970" w:rsidRPr="005D7674">
              <w:rPr>
                <w:rFonts w:eastAsia="Times New Roman"/>
                <w:b/>
                <w:bCs/>
                <w:sz w:val="20"/>
                <w:szCs w:val="20"/>
                <w:lang w:eastAsia="cs-CZ"/>
              </w:rPr>
              <w:t>,</w:t>
            </w:r>
            <w:r w:rsidRPr="005D7674">
              <w:rPr>
                <w:rFonts w:eastAsia="Times New Roman"/>
                <w:b/>
                <w:bCs/>
                <w:sz w:val="20"/>
                <w:szCs w:val="20"/>
                <w:lang w:eastAsia="cs-CZ"/>
              </w:rPr>
              <w:t>4 p.b.</w:t>
            </w:r>
          </w:p>
        </w:tc>
      </w:tr>
      <w:tr w:rsidR="00F15667" w:rsidRPr="005D7674" w14:paraId="4A627C01" w14:textId="77777777" w:rsidTr="005C09EE">
        <w:trPr>
          <w:trHeight w:val="330"/>
        </w:trPr>
        <w:tc>
          <w:tcPr>
            <w:tcW w:w="2780" w:type="dxa"/>
            <w:tcBorders>
              <w:top w:val="nil"/>
              <w:left w:val="nil"/>
              <w:bottom w:val="nil"/>
              <w:right w:val="nil"/>
            </w:tcBorders>
            <w:shd w:val="clear" w:color="auto" w:fill="auto"/>
            <w:noWrap/>
            <w:vAlign w:val="center"/>
            <w:hideMark/>
          </w:tcPr>
          <w:p w14:paraId="239D54AC" w14:textId="77777777" w:rsidR="005A0AD3" w:rsidRPr="005D7674" w:rsidRDefault="005A0AD3" w:rsidP="005C09EE">
            <w:pPr>
              <w:spacing w:line="240" w:lineRule="auto"/>
              <w:jc w:val="left"/>
              <w:rPr>
                <w:rFonts w:eastAsia="Times New Roman"/>
                <w:b/>
                <w:bCs/>
                <w:sz w:val="20"/>
                <w:szCs w:val="20"/>
                <w:lang w:eastAsia="cs-CZ"/>
              </w:rPr>
            </w:pPr>
          </w:p>
        </w:tc>
        <w:tc>
          <w:tcPr>
            <w:tcW w:w="1469" w:type="dxa"/>
            <w:tcBorders>
              <w:top w:val="nil"/>
              <w:left w:val="nil"/>
              <w:bottom w:val="nil"/>
              <w:right w:val="nil"/>
            </w:tcBorders>
            <w:shd w:val="clear" w:color="auto" w:fill="auto"/>
            <w:noWrap/>
            <w:vAlign w:val="center"/>
            <w:hideMark/>
          </w:tcPr>
          <w:p w14:paraId="65C61496" w14:textId="77777777" w:rsidR="005A0AD3" w:rsidRPr="005D7674" w:rsidRDefault="005A0AD3" w:rsidP="005C09EE">
            <w:pPr>
              <w:spacing w:line="240" w:lineRule="auto"/>
              <w:jc w:val="center"/>
              <w:rPr>
                <w:rFonts w:eastAsia="Times New Roman"/>
                <w:sz w:val="20"/>
                <w:szCs w:val="20"/>
                <w:lang w:eastAsia="cs-CZ"/>
              </w:rPr>
            </w:pPr>
          </w:p>
        </w:tc>
        <w:tc>
          <w:tcPr>
            <w:tcW w:w="1371" w:type="dxa"/>
            <w:tcBorders>
              <w:top w:val="nil"/>
              <w:left w:val="nil"/>
              <w:bottom w:val="nil"/>
              <w:right w:val="nil"/>
            </w:tcBorders>
            <w:shd w:val="clear" w:color="auto" w:fill="auto"/>
            <w:noWrap/>
            <w:vAlign w:val="center"/>
            <w:hideMark/>
          </w:tcPr>
          <w:p w14:paraId="7B10B0FB" w14:textId="77777777" w:rsidR="005A0AD3" w:rsidRPr="005D7674" w:rsidRDefault="005A0AD3" w:rsidP="005C09EE">
            <w:pPr>
              <w:spacing w:line="240" w:lineRule="auto"/>
              <w:jc w:val="center"/>
              <w:rPr>
                <w:rFonts w:eastAsia="Times New Roman"/>
                <w:sz w:val="20"/>
                <w:szCs w:val="20"/>
                <w:lang w:eastAsia="cs-CZ"/>
              </w:rPr>
            </w:pPr>
          </w:p>
        </w:tc>
      </w:tr>
    </w:tbl>
    <w:p w14:paraId="091016EE" w14:textId="5ECD17DC" w:rsidR="002624CC" w:rsidRPr="005D7674" w:rsidRDefault="002624CC" w:rsidP="002624CC">
      <w:pPr>
        <w:pStyle w:val="OdstavecASR"/>
      </w:pPr>
      <w:r w:rsidRPr="005D7674">
        <w:t>Míra odvolání byla v roce 202</w:t>
      </w:r>
      <w:r w:rsidR="005A0AD3" w:rsidRPr="005D7674">
        <w:t>2</w:t>
      </w:r>
      <w:r w:rsidRPr="005D7674">
        <w:t xml:space="preserve"> nejvyšší v </w:t>
      </w:r>
      <w:r w:rsidR="005A0AD3" w:rsidRPr="005D7674">
        <w:t>Jihočeském</w:t>
      </w:r>
      <w:r w:rsidRPr="005D7674">
        <w:t xml:space="preserve"> kraji a v Praze a nejnižší v Severočeském kraji. Z dat na úrovni okresů lze dále vyčíst, že míra odvolání není stabilní, nicméně celorepublikově osciluje kolem 8 %. Zde je třeba upozornit, že změny jsou v tabulce uvedeny v procentních bodech. Z jednotlivých okresních soudů byla v roce 202</w:t>
      </w:r>
      <w:r w:rsidR="005A0AD3" w:rsidRPr="005D7674">
        <w:t>2</w:t>
      </w:r>
      <w:r w:rsidRPr="005D7674">
        <w:t xml:space="preserve"> nejvyšší míra odvolání u OS Praha 2 (37,</w:t>
      </w:r>
      <w:r w:rsidR="005A0AD3" w:rsidRPr="005D7674">
        <w:t>40</w:t>
      </w:r>
      <w:r w:rsidRPr="005D7674">
        <w:t xml:space="preserve"> %), OS </w:t>
      </w:r>
      <w:r w:rsidR="005A0AD3" w:rsidRPr="005D7674">
        <w:t>Tachov</w:t>
      </w:r>
      <w:r w:rsidRPr="005D7674">
        <w:t xml:space="preserve"> (1</w:t>
      </w:r>
      <w:r w:rsidR="005A0AD3" w:rsidRPr="005D7674">
        <w:t>4</w:t>
      </w:r>
      <w:r w:rsidRPr="005D7674">
        <w:t>,</w:t>
      </w:r>
      <w:r w:rsidR="005A0AD3" w:rsidRPr="005D7674">
        <w:t>89</w:t>
      </w:r>
      <w:r w:rsidRPr="005D7674">
        <w:t> %) a OS Praha 8 (1</w:t>
      </w:r>
      <w:r w:rsidR="00B9479B" w:rsidRPr="005D7674">
        <w:t>3</w:t>
      </w:r>
      <w:r w:rsidRPr="005D7674">
        <w:t>,</w:t>
      </w:r>
      <w:r w:rsidR="00B9479B" w:rsidRPr="005D7674">
        <w:t>15</w:t>
      </w:r>
      <w:r w:rsidRPr="005D7674">
        <w:t> %). Obzvlášť vysoká míra odvolání u OS</w:t>
      </w:r>
      <w:r w:rsidR="005C09EE" w:rsidRPr="005D7674">
        <w:t> </w:t>
      </w:r>
      <w:r w:rsidRPr="005D7674">
        <w:t xml:space="preserve">Praha 2 má své odůvodnění. Tento soud je totiž specializovaný a velkou část jeho agendy tvoří spory týkající se odpovědnosti státu a územních samosprávných celků za škodu způsobenou při výkonu veřejné moci podle zákona č. 82/1998 Sb., o odpovědnosti za škodu způsobenou při výkonu veřejné moci, například spory o náhradu škody způsobené nesprávným úředním postupem nebo nepřiměřenou délku soudního řízení. Míra odvolání je v těchto sporech velmi vysoká – přibližně 60 % v roce 2022. </w:t>
      </w:r>
      <w:bookmarkStart w:id="198" w:name="_Hlk67043216"/>
      <w:r w:rsidRPr="005D7674">
        <w:t>Nejnižší je míra odvolání u </w:t>
      </w:r>
      <w:r w:rsidR="005A0AD3" w:rsidRPr="005D7674">
        <w:t xml:space="preserve">OS Beroun (1,37 %), OS Nymburk (2,24 %) a </w:t>
      </w:r>
      <w:r w:rsidRPr="005D7674">
        <w:t>OS Teplice (2,</w:t>
      </w:r>
      <w:r w:rsidR="005A0AD3" w:rsidRPr="005D7674">
        <w:t>30</w:t>
      </w:r>
      <w:r w:rsidRPr="005D7674">
        <w:t> %)</w:t>
      </w:r>
      <w:bookmarkEnd w:id="198"/>
      <w:r w:rsidR="005A0AD3" w:rsidRPr="005D7674">
        <w:t>.</w:t>
      </w:r>
    </w:p>
    <w:p w14:paraId="494C62AE" w14:textId="3D68BD44" w:rsidR="002624CC" w:rsidRPr="005D7674" w:rsidRDefault="002624CC" w:rsidP="002624CC">
      <w:pPr>
        <w:pStyle w:val="Podnadpis"/>
        <w:rPr>
          <w:color w:val="auto"/>
        </w:rPr>
      </w:pPr>
      <w:bookmarkStart w:id="199" w:name="_Toc43841395"/>
      <w:bookmarkStart w:id="200" w:name="_Toc75952196"/>
      <w:bookmarkStart w:id="201" w:name="_Toc106106649"/>
      <w:bookmarkStart w:id="202" w:name="_Toc144104127"/>
      <w:r w:rsidRPr="005D7674">
        <w:rPr>
          <w:color w:val="auto"/>
        </w:rPr>
        <w:lastRenderedPageBreak/>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15</w:t>
      </w:r>
      <w:r w:rsidR="009A10E2" w:rsidRPr="005D7674">
        <w:rPr>
          <w:color w:val="auto"/>
        </w:rPr>
        <w:fldChar w:fldCharType="end"/>
      </w:r>
      <w:r w:rsidRPr="005D7674">
        <w:rPr>
          <w:color w:val="auto"/>
        </w:rPr>
        <w:t>: OS – míra odvolání u jednotlivých soudů v civilním řízení</w:t>
      </w:r>
      <w:bookmarkEnd w:id="199"/>
      <w:bookmarkEnd w:id="200"/>
      <w:bookmarkEnd w:id="201"/>
      <w:bookmarkEnd w:id="202"/>
    </w:p>
    <w:p w14:paraId="5CD00954" w14:textId="691DEBBB" w:rsidR="00B9479B" w:rsidRPr="005D7674" w:rsidRDefault="00917F3F" w:rsidP="00917F3F">
      <w:pPr>
        <w:pStyle w:val="OdstavecASR"/>
      </w:pPr>
      <w:r w:rsidRPr="005D7674">
        <w:rPr>
          <w:noProof/>
          <w:lang w:eastAsia="cs-CZ"/>
        </w:rPr>
        <w:drawing>
          <wp:anchor distT="0" distB="0" distL="114300" distR="114300" simplePos="0" relativeHeight="251667456" behindDoc="0" locked="0" layoutInCell="1" allowOverlap="1" wp14:anchorId="2167B9FB" wp14:editId="3C97AA54">
            <wp:simplePos x="0" y="0"/>
            <wp:positionH relativeFrom="margin">
              <wp:posOffset>4488180</wp:posOffset>
            </wp:positionH>
            <wp:positionV relativeFrom="paragraph">
              <wp:posOffset>51435</wp:posOffset>
            </wp:positionV>
            <wp:extent cx="1243965" cy="904875"/>
            <wp:effectExtent l="0" t="0" r="0" b="9525"/>
            <wp:wrapNone/>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4396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5695" w:rsidRPr="005D7674">
        <w:rPr>
          <w:noProof/>
          <w:lang w:eastAsia="cs-CZ"/>
        </w:rPr>
        <w:drawing>
          <wp:inline distT="0" distB="0" distL="0" distR="0" wp14:anchorId="3E31C9EB" wp14:editId="6BD72623">
            <wp:extent cx="5759450" cy="3296285"/>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3402B295" w14:textId="2408F35B" w:rsidR="00B9479B" w:rsidRPr="005D7674" w:rsidRDefault="00B9479B" w:rsidP="00B9479B">
      <w:pPr>
        <w:pStyle w:val="OdstavecASR"/>
        <w:keepNext/>
        <w:outlineLvl w:val="3"/>
        <w:rPr>
          <w:b/>
          <w:bCs/>
        </w:rPr>
      </w:pPr>
      <w:bookmarkStart w:id="203" w:name="_Toc515871445"/>
      <w:bookmarkStart w:id="204" w:name="_Toc11133214"/>
      <w:r w:rsidRPr="005D7674">
        <w:rPr>
          <w:b/>
          <w:bCs/>
        </w:rPr>
        <w:t>Míra změny rozsudku</w:t>
      </w:r>
    </w:p>
    <w:p w14:paraId="6689DA83" w14:textId="7F255529" w:rsidR="00B9479B" w:rsidRPr="005D7674" w:rsidRDefault="00B9479B" w:rsidP="00B9479B">
      <w:pPr>
        <w:pStyle w:val="OdstavecASR"/>
      </w:pPr>
      <w:r w:rsidRPr="005D7674">
        <w:t>Dalším sledovaným ukazatelem je míra změny rozsudku. Jedná se o podíl věcí v procentech, ve kterých odvolací soud na podkladě odvolání změnil rozhodnutí soudu I. stupně. Jako změna rozsudku jsou započítány věci, v nichž bylo odvolání vyhověno, ale i případy, kdy bylo rozhodnutí soudu I. stupně odvolacím soudem zrušeno a vráceno soudu I. stupně.</w:t>
      </w:r>
    </w:p>
    <w:p w14:paraId="5190D25E" w14:textId="39710ADB" w:rsidR="00B9479B" w:rsidRPr="005D7674" w:rsidRDefault="00B9479B" w:rsidP="00B9479B">
      <w:pPr>
        <w:pStyle w:val="Podnadpis"/>
        <w:rPr>
          <w:color w:val="auto"/>
        </w:rPr>
      </w:pPr>
      <w:bookmarkStart w:id="205" w:name="_Toc43931187"/>
      <w:bookmarkStart w:id="206" w:name="_Toc75952318"/>
      <w:bookmarkStart w:id="207" w:name="_Toc106106777"/>
      <w:bookmarkStart w:id="208" w:name="_Toc144104254"/>
      <w:r w:rsidRPr="005D7674">
        <w:rPr>
          <w:color w:val="auto"/>
        </w:rPr>
        <w:t xml:space="preserve">Tabulka </w:t>
      </w:r>
      <w:r w:rsidRPr="005D7674">
        <w:rPr>
          <w:color w:val="auto"/>
        </w:rPr>
        <w:fldChar w:fldCharType="begin"/>
      </w:r>
      <w:r w:rsidRPr="005D7674">
        <w:rPr>
          <w:color w:val="auto"/>
        </w:rPr>
        <w:instrText xml:space="preserve"> SEQ Tabulka \* ARABIC </w:instrText>
      </w:r>
      <w:r w:rsidRPr="005D7674">
        <w:rPr>
          <w:color w:val="auto"/>
        </w:rPr>
        <w:fldChar w:fldCharType="separate"/>
      </w:r>
      <w:r w:rsidR="001E1A67">
        <w:rPr>
          <w:noProof/>
          <w:color w:val="auto"/>
        </w:rPr>
        <w:t>15</w:t>
      </w:r>
      <w:r w:rsidRPr="005D7674">
        <w:rPr>
          <w:noProof/>
          <w:color w:val="auto"/>
        </w:rPr>
        <w:fldChar w:fldCharType="end"/>
      </w:r>
      <w:r w:rsidRPr="005D7674">
        <w:rPr>
          <w:color w:val="auto"/>
        </w:rPr>
        <w:t>: OS – míra změny rozsudku dle krajů v civilním řízení</w:t>
      </w:r>
      <w:bookmarkEnd w:id="203"/>
      <w:bookmarkEnd w:id="204"/>
      <w:bookmarkEnd w:id="205"/>
      <w:bookmarkEnd w:id="206"/>
      <w:bookmarkEnd w:id="207"/>
      <w:bookmarkEnd w:id="208"/>
    </w:p>
    <w:tbl>
      <w:tblPr>
        <w:tblW w:w="5920" w:type="dxa"/>
        <w:tblCellMar>
          <w:left w:w="70" w:type="dxa"/>
          <w:right w:w="70" w:type="dxa"/>
        </w:tblCellMar>
        <w:tblLook w:val="04A0" w:firstRow="1" w:lastRow="0" w:firstColumn="1" w:lastColumn="0" w:noHBand="0" w:noVBand="1"/>
      </w:tblPr>
      <w:tblGrid>
        <w:gridCol w:w="2480"/>
        <w:gridCol w:w="1749"/>
        <w:gridCol w:w="1691"/>
      </w:tblGrid>
      <w:tr w:rsidR="00F15667" w:rsidRPr="005D7674" w14:paraId="1C95E547" w14:textId="77777777" w:rsidTr="005C09EE">
        <w:trPr>
          <w:trHeight w:val="345"/>
        </w:trPr>
        <w:tc>
          <w:tcPr>
            <w:tcW w:w="2480" w:type="dxa"/>
            <w:tcBorders>
              <w:top w:val="double" w:sz="6" w:space="0" w:color="auto"/>
              <w:left w:val="nil"/>
              <w:bottom w:val="double" w:sz="6" w:space="0" w:color="auto"/>
              <w:right w:val="nil"/>
            </w:tcBorders>
            <w:shd w:val="clear" w:color="auto" w:fill="auto"/>
            <w:noWrap/>
            <w:vAlign w:val="center"/>
            <w:hideMark/>
          </w:tcPr>
          <w:p w14:paraId="0FC97927" w14:textId="77777777" w:rsidR="00B9479B" w:rsidRPr="005D7674" w:rsidRDefault="00B9479B" w:rsidP="005C09EE">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3440" w:type="dxa"/>
            <w:gridSpan w:val="2"/>
            <w:tcBorders>
              <w:top w:val="double" w:sz="6" w:space="0" w:color="auto"/>
              <w:left w:val="nil"/>
              <w:bottom w:val="double" w:sz="6" w:space="0" w:color="auto"/>
              <w:right w:val="nil"/>
            </w:tcBorders>
            <w:shd w:val="clear" w:color="auto" w:fill="auto"/>
            <w:noWrap/>
            <w:vAlign w:val="center"/>
            <w:hideMark/>
          </w:tcPr>
          <w:p w14:paraId="3F398451" w14:textId="77777777" w:rsidR="00B9479B" w:rsidRPr="005D7674" w:rsidRDefault="00B9479B" w:rsidP="005C09EE">
            <w:pPr>
              <w:spacing w:line="240" w:lineRule="auto"/>
              <w:jc w:val="center"/>
              <w:rPr>
                <w:rFonts w:eastAsia="Times New Roman"/>
                <w:b/>
                <w:bCs/>
                <w:szCs w:val="24"/>
                <w:lang w:eastAsia="cs-CZ"/>
              </w:rPr>
            </w:pPr>
            <w:r w:rsidRPr="005D7674">
              <w:rPr>
                <w:rFonts w:eastAsia="Times New Roman"/>
                <w:b/>
                <w:bCs/>
                <w:szCs w:val="24"/>
                <w:lang w:eastAsia="cs-CZ"/>
              </w:rPr>
              <w:t>Míra změny rozsudku</w:t>
            </w:r>
          </w:p>
        </w:tc>
      </w:tr>
      <w:tr w:rsidR="00F15667" w:rsidRPr="005D7674" w14:paraId="50CA082C" w14:textId="77777777" w:rsidTr="005C09EE">
        <w:trPr>
          <w:trHeight w:val="330"/>
        </w:trPr>
        <w:tc>
          <w:tcPr>
            <w:tcW w:w="2480" w:type="dxa"/>
            <w:tcBorders>
              <w:top w:val="nil"/>
              <w:left w:val="nil"/>
              <w:bottom w:val="single" w:sz="4" w:space="0" w:color="auto"/>
              <w:right w:val="nil"/>
            </w:tcBorders>
            <w:shd w:val="clear" w:color="auto" w:fill="auto"/>
            <w:noWrap/>
            <w:vAlign w:val="center"/>
            <w:hideMark/>
          </w:tcPr>
          <w:p w14:paraId="3D89A411" w14:textId="77777777" w:rsidR="00B9479B" w:rsidRPr="005D7674" w:rsidRDefault="00B9479B" w:rsidP="005C09EE">
            <w:pPr>
              <w:spacing w:line="240" w:lineRule="auto"/>
              <w:jc w:val="left"/>
              <w:rPr>
                <w:rFonts w:eastAsia="Times New Roman"/>
                <w:szCs w:val="24"/>
                <w:lang w:eastAsia="cs-CZ"/>
              </w:rPr>
            </w:pPr>
            <w:r w:rsidRPr="005D7674">
              <w:rPr>
                <w:rFonts w:eastAsia="Times New Roman"/>
                <w:szCs w:val="24"/>
                <w:lang w:eastAsia="cs-CZ"/>
              </w:rPr>
              <w:t>MS Praha</w:t>
            </w:r>
          </w:p>
        </w:tc>
        <w:tc>
          <w:tcPr>
            <w:tcW w:w="1749" w:type="dxa"/>
            <w:tcBorders>
              <w:top w:val="nil"/>
              <w:left w:val="nil"/>
              <w:bottom w:val="single" w:sz="4" w:space="0" w:color="auto"/>
              <w:right w:val="nil"/>
            </w:tcBorders>
            <w:shd w:val="clear" w:color="auto" w:fill="auto"/>
            <w:noWrap/>
            <w:vAlign w:val="center"/>
            <w:hideMark/>
          </w:tcPr>
          <w:p w14:paraId="646800C2" w14:textId="425B27DB" w:rsidR="00B9479B" w:rsidRPr="005D7674" w:rsidRDefault="00B9479B" w:rsidP="005C09EE">
            <w:pPr>
              <w:spacing w:line="240" w:lineRule="auto"/>
              <w:jc w:val="center"/>
              <w:rPr>
                <w:rFonts w:eastAsia="Times New Roman"/>
                <w:szCs w:val="24"/>
                <w:lang w:eastAsia="cs-CZ"/>
              </w:rPr>
            </w:pPr>
            <w:r w:rsidRPr="005D7674">
              <w:rPr>
                <w:rFonts w:eastAsia="Times New Roman"/>
                <w:szCs w:val="24"/>
                <w:lang w:eastAsia="cs-CZ"/>
              </w:rPr>
              <w:t>39,42 %</w:t>
            </w:r>
          </w:p>
        </w:tc>
        <w:tc>
          <w:tcPr>
            <w:tcW w:w="1691" w:type="dxa"/>
            <w:tcBorders>
              <w:top w:val="single" w:sz="4" w:space="0" w:color="auto"/>
              <w:left w:val="nil"/>
              <w:bottom w:val="single" w:sz="4" w:space="0" w:color="auto"/>
              <w:right w:val="nil"/>
            </w:tcBorders>
            <w:shd w:val="clear" w:color="auto" w:fill="auto"/>
            <w:noWrap/>
            <w:vAlign w:val="center"/>
            <w:hideMark/>
          </w:tcPr>
          <w:p w14:paraId="04F1F17D" w14:textId="65A2C3AB" w:rsidR="00B9479B" w:rsidRPr="005D7674" w:rsidRDefault="00B9479B" w:rsidP="005C09EE">
            <w:pPr>
              <w:spacing w:line="240" w:lineRule="auto"/>
              <w:jc w:val="center"/>
              <w:rPr>
                <w:rFonts w:eastAsia="Times New Roman"/>
                <w:sz w:val="20"/>
                <w:szCs w:val="20"/>
                <w:lang w:eastAsia="cs-CZ"/>
              </w:rPr>
            </w:pPr>
            <w:r w:rsidRPr="005D7674">
              <w:rPr>
                <w:rFonts w:eastAsia="Times New Roman"/>
                <w:sz w:val="20"/>
                <w:szCs w:val="20"/>
                <w:lang w:eastAsia="cs-CZ"/>
              </w:rPr>
              <w:t>+1,2 p.b.</w:t>
            </w:r>
          </w:p>
        </w:tc>
      </w:tr>
      <w:tr w:rsidR="00F15667" w:rsidRPr="005D7674" w14:paraId="4E802068"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71A86FED" w14:textId="77777777" w:rsidR="00B9479B" w:rsidRPr="005D7674" w:rsidRDefault="00B9479B" w:rsidP="005C09EE">
            <w:pPr>
              <w:spacing w:line="240" w:lineRule="auto"/>
              <w:jc w:val="left"/>
              <w:rPr>
                <w:rFonts w:eastAsia="Times New Roman"/>
                <w:szCs w:val="24"/>
                <w:lang w:eastAsia="cs-CZ"/>
              </w:rPr>
            </w:pPr>
            <w:r w:rsidRPr="005D7674">
              <w:rPr>
                <w:rFonts w:eastAsia="Times New Roman"/>
                <w:szCs w:val="24"/>
                <w:lang w:eastAsia="cs-CZ"/>
              </w:rPr>
              <w:t>KS Praha</w:t>
            </w:r>
          </w:p>
        </w:tc>
        <w:tc>
          <w:tcPr>
            <w:tcW w:w="1749" w:type="dxa"/>
            <w:tcBorders>
              <w:top w:val="nil"/>
              <w:left w:val="nil"/>
              <w:bottom w:val="single" w:sz="4" w:space="0" w:color="auto"/>
              <w:right w:val="nil"/>
            </w:tcBorders>
            <w:shd w:val="clear" w:color="auto" w:fill="auto"/>
            <w:noWrap/>
            <w:vAlign w:val="center"/>
            <w:hideMark/>
          </w:tcPr>
          <w:p w14:paraId="65DABF2C" w14:textId="54A1A803" w:rsidR="00B9479B" w:rsidRPr="005D7674" w:rsidRDefault="00B9479B" w:rsidP="005C09EE">
            <w:pPr>
              <w:spacing w:line="240" w:lineRule="auto"/>
              <w:jc w:val="center"/>
              <w:rPr>
                <w:rFonts w:eastAsia="Times New Roman"/>
                <w:szCs w:val="24"/>
                <w:lang w:eastAsia="cs-CZ"/>
              </w:rPr>
            </w:pPr>
            <w:r w:rsidRPr="005D7674">
              <w:rPr>
                <w:rFonts w:eastAsia="Times New Roman"/>
                <w:szCs w:val="24"/>
                <w:lang w:eastAsia="cs-CZ"/>
              </w:rPr>
              <w:t>52,25 %</w:t>
            </w:r>
          </w:p>
        </w:tc>
        <w:tc>
          <w:tcPr>
            <w:tcW w:w="1691" w:type="dxa"/>
            <w:tcBorders>
              <w:top w:val="nil"/>
              <w:left w:val="nil"/>
              <w:bottom w:val="single" w:sz="4" w:space="0" w:color="auto"/>
              <w:right w:val="nil"/>
            </w:tcBorders>
            <w:shd w:val="clear" w:color="auto" w:fill="auto"/>
            <w:noWrap/>
            <w:vAlign w:val="center"/>
            <w:hideMark/>
          </w:tcPr>
          <w:p w14:paraId="13E4E05E" w14:textId="22B81976" w:rsidR="00B9479B" w:rsidRPr="005D7674" w:rsidRDefault="00B9479B" w:rsidP="005C09EE">
            <w:pPr>
              <w:spacing w:line="240" w:lineRule="auto"/>
              <w:jc w:val="center"/>
              <w:rPr>
                <w:rFonts w:eastAsia="Times New Roman"/>
                <w:sz w:val="20"/>
                <w:szCs w:val="20"/>
                <w:lang w:eastAsia="cs-CZ"/>
              </w:rPr>
            </w:pPr>
            <w:r w:rsidRPr="005D7674">
              <w:rPr>
                <w:rFonts w:eastAsia="Times New Roman"/>
                <w:sz w:val="20"/>
                <w:szCs w:val="20"/>
                <w:lang w:eastAsia="cs-CZ"/>
              </w:rPr>
              <w:t>+8,4 p.b.</w:t>
            </w:r>
          </w:p>
        </w:tc>
      </w:tr>
      <w:tr w:rsidR="00F15667" w:rsidRPr="005D7674" w14:paraId="1C6E2FF0"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246820B5" w14:textId="77777777" w:rsidR="00B9479B" w:rsidRPr="005D7674" w:rsidRDefault="00B9479B" w:rsidP="005C09EE">
            <w:pPr>
              <w:spacing w:line="240" w:lineRule="auto"/>
              <w:jc w:val="left"/>
              <w:rPr>
                <w:rFonts w:eastAsia="Times New Roman"/>
                <w:szCs w:val="24"/>
                <w:lang w:eastAsia="cs-CZ"/>
              </w:rPr>
            </w:pPr>
            <w:r w:rsidRPr="005D7674">
              <w:rPr>
                <w:rFonts w:eastAsia="Times New Roman"/>
                <w:szCs w:val="24"/>
                <w:lang w:eastAsia="cs-CZ"/>
              </w:rPr>
              <w:t>KS Č. Budějovice</w:t>
            </w:r>
          </w:p>
        </w:tc>
        <w:tc>
          <w:tcPr>
            <w:tcW w:w="1749" w:type="dxa"/>
            <w:tcBorders>
              <w:top w:val="nil"/>
              <w:left w:val="nil"/>
              <w:bottom w:val="single" w:sz="4" w:space="0" w:color="auto"/>
              <w:right w:val="nil"/>
            </w:tcBorders>
            <w:shd w:val="clear" w:color="auto" w:fill="auto"/>
            <w:noWrap/>
            <w:vAlign w:val="center"/>
            <w:hideMark/>
          </w:tcPr>
          <w:p w14:paraId="49BB7AF2" w14:textId="27345008" w:rsidR="00B9479B" w:rsidRPr="005D7674" w:rsidRDefault="00B9479B" w:rsidP="005C09EE">
            <w:pPr>
              <w:spacing w:line="240" w:lineRule="auto"/>
              <w:jc w:val="center"/>
              <w:rPr>
                <w:rFonts w:eastAsia="Times New Roman"/>
                <w:szCs w:val="24"/>
                <w:lang w:eastAsia="cs-CZ"/>
              </w:rPr>
            </w:pPr>
            <w:r w:rsidRPr="005D7674">
              <w:rPr>
                <w:rFonts w:eastAsia="Times New Roman"/>
                <w:szCs w:val="24"/>
                <w:lang w:eastAsia="cs-CZ"/>
              </w:rPr>
              <w:t>45,06 %</w:t>
            </w:r>
          </w:p>
        </w:tc>
        <w:tc>
          <w:tcPr>
            <w:tcW w:w="1691" w:type="dxa"/>
            <w:tcBorders>
              <w:top w:val="nil"/>
              <w:left w:val="nil"/>
              <w:bottom w:val="single" w:sz="4" w:space="0" w:color="auto"/>
              <w:right w:val="nil"/>
            </w:tcBorders>
            <w:shd w:val="clear" w:color="auto" w:fill="auto"/>
            <w:noWrap/>
            <w:vAlign w:val="center"/>
            <w:hideMark/>
          </w:tcPr>
          <w:p w14:paraId="386882C9" w14:textId="4B993DAD" w:rsidR="00B9479B" w:rsidRPr="005D7674" w:rsidRDefault="00B9479B" w:rsidP="005C09EE">
            <w:pPr>
              <w:spacing w:line="240" w:lineRule="auto"/>
              <w:jc w:val="center"/>
              <w:rPr>
                <w:rFonts w:eastAsia="Times New Roman"/>
                <w:sz w:val="20"/>
                <w:szCs w:val="20"/>
                <w:lang w:eastAsia="cs-CZ"/>
              </w:rPr>
            </w:pPr>
            <w:r w:rsidRPr="005D7674">
              <w:rPr>
                <w:rFonts w:eastAsia="Times New Roman"/>
                <w:sz w:val="20"/>
                <w:szCs w:val="20"/>
                <w:lang w:eastAsia="cs-CZ"/>
              </w:rPr>
              <w:t>-1,3 p.b.</w:t>
            </w:r>
          </w:p>
        </w:tc>
      </w:tr>
      <w:tr w:rsidR="00F15667" w:rsidRPr="005D7674" w14:paraId="13C188FF"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4A31D8A3" w14:textId="77777777" w:rsidR="00B9479B" w:rsidRPr="005D7674" w:rsidRDefault="00B9479B" w:rsidP="005C09EE">
            <w:pPr>
              <w:spacing w:line="240" w:lineRule="auto"/>
              <w:jc w:val="left"/>
              <w:rPr>
                <w:rFonts w:eastAsia="Times New Roman"/>
                <w:szCs w:val="24"/>
                <w:lang w:eastAsia="cs-CZ"/>
              </w:rPr>
            </w:pPr>
            <w:r w:rsidRPr="005D7674">
              <w:rPr>
                <w:rFonts w:eastAsia="Times New Roman"/>
                <w:szCs w:val="24"/>
                <w:lang w:eastAsia="cs-CZ"/>
              </w:rPr>
              <w:t>KS Plzeň</w:t>
            </w:r>
          </w:p>
        </w:tc>
        <w:tc>
          <w:tcPr>
            <w:tcW w:w="1749" w:type="dxa"/>
            <w:tcBorders>
              <w:top w:val="nil"/>
              <w:left w:val="nil"/>
              <w:bottom w:val="single" w:sz="4" w:space="0" w:color="auto"/>
              <w:right w:val="nil"/>
            </w:tcBorders>
            <w:shd w:val="clear" w:color="auto" w:fill="auto"/>
            <w:noWrap/>
            <w:vAlign w:val="center"/>
            <w:hideMark/>
          </w:tcPr>
          <w:p w14:paraId="7550C5DF" w14:textId="1B2BE8B3" w:rsidR="00B9479B" w:rsidRPr="005D7674" w:rsidRDefault="00B9479B" w:rsidP="005C09EE">
            <w:pPr>
              <w:spacing w:line="240" w:lineRule="auto"/>
              <w:jc w:val="center"/>
              <w:rPr>
                <w:rFonts w:eastAsia="Times New Roman"/>
                <w:szCs w:val="24"/>
                <w:lang w:eastAsia="cs-CZ"/>
              </w:rPr>
            </w:pPr>
            <w:r w:rsidRPr="005D7674">
              <w:rPr>
                <w:rFonts w:eastAsia="Times New Roman"/>
                <w:szCs w:val="24"/>
                <w:lang w:eastAsia="cs-CZ"/>
              </w:rPr>
              <w:t>41,94 %</w:t>
            </w:r>
          </w:p>
        </w:tc>
        <w:tc>
          <w:tcPr>
            <w:tcW w:w="1691" w:type="dxa"/>
            <w:tcBorders>
              <w:top w:val="nil"/>
              <w:left w:val="nil"/>
              <w:bottom w:val="single" w:sz="4" w:space="0" w:color="auto"/>
              <w:right w:val="nil"/>
            </w:tcBorders>
            <w:shd w:val="clear" w:color="auto" w:fill="auto"/>
            <w:noWrap/>
            <w:vAlign w:val="center"/>
            <w:hideMark/>
          </w:tcPr>
          <w:p w14:paraId="36C3E1FD" w14:textId="44A55A1A" w:rsidR="00B9479B" w:rsidRPr="005D7674" w:rsidRDefault="00B9479B" w:rsidP="005C09EE">
            <w:pPr>
              <w:spacing w:line="240" w:lineRule="auto"/>
              <w:jc w:val="center"/>
              <w:rPr>
                <w:rFonts w:eastAsia="Times New Roman"/>
                <w:sz w:val="20"/>
                <w:szCs w:val="20"/>
                <w:lang w:eastAsia="cs-CZ"/>
              </w:rPr>
            </w:pPr>
            <w:r w:rsidRPr="005D7674">
              <w:rPr>
                <w:rFonts w:eastAsia="Times New Roman"/>
                <w:sz w:val="20"/>
                <w:szCs w:val="20"/>
                <w:lang w:eastAsia="cs-CZ"/>
              </w:rPr>
              <w:t>-2,4 p.b.</w:t>
            </w:r>
          </w:p>
        </w:tc>
      </w:tr>
      <w:tr w:rsidR="00F15667" w:rsidRPr="005D7674" w14:paraId="6D384D0A"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02B14933" w14:textId="77777777" w:rsidR="00B9479B" w:rsidRPr="005D7674" w:rsidRDefault="00B9479B" w:rsidP="005C09EE">
            <w:pPr>
              <w:spacing w:line="240" w:lineRule="auto"/>
              <w:jc w:val="left"/>
              <w:rPr>
                <w:rFonts w:eastAsia="Times New Roman"/>
                <w:szCs w:val="24"/>
                <w:lang w:eastAsia="cs-CZ"/>
              </w:rPr>
            </w:pPr>
            <w:r w:rsidRPr="005D7674">
              <w:rPr>
                <w:rFonts w:eastAsia="Times New Roman"/>
                <w:szCs w:val="24"/>
                <w:lang w:eastAsia="cs-CZ"/>
              </w:rPr>
              <w:t>KS Ústí n. Labem</w:t>
            </w:r>
          </w:p>
        </w:tc>
        <w:tc>
          <w:tcPr>
            <w:tcW w:w="1749" w:type="dxa"/>
            <w:tcBorders>
              <w:top w:val="nil"/>
              <w:left w:val="nil"/>
              <w:bottom w:val="single" w:sz="4" w:space="0" w:color="auto"/>
              <w:right w:val="nil"/>
            </w:tcBorders>
            <w:shd w:val="clear" w:color="auto" w:fill="auto"/>
            <w:noWrap/>
            <w:vAlign w:val="center"/>
            <w:hideMark/>
          </w:tcPr>
          <w:p w14:paraId="6651E398" w14:textId="31E6D115" w:rsidR="00B9479B" w:rsidRPr="005D7674" w:rsidRDefault="00B9479B" w:rsidP="005C09EE">
            <w:pPr>
              <w:spacing w:line="240" w:lineRule="auto"/>
              <w:jc w:val="center"/>
              <w:rPr>
                <w:rFonts w:eastAsia="Times New Roman"/>
                <w:szCs w:val="24"/>
                <w:lang w:eastAsia="cs-CZ"/>
              </w:rPr>
            </w:pPr>
            <w:r w:rsidRPr="005D7674">
              <w:rPr>
                <w:rFonts w:eastAsia="Times New Roman"/>
                <w:szCs w:val="24"/>
                <w:lang w:eastAsia="cs-CZ"/>
              </w:rPr>
              <w:t>56,61 %</w:t>
            </w:r>
          </w:p>
        </w:tc>
        <w:tc>
          <w:tcPr>
            <w:tcW w:w="1691" w:type="dxa"/>
            <w:tcBorders>
              <w:top w:val="nil"/>
              <w:left w:val="nil"/>
              <w:bottom w:val="single" w:sz="4" w:space="0" w:color="auto"/>
              <w:right w:val="nil"/>
            </w:tcBorders>
            <w:shd w:val="clear" w:color="auto" w:fill="auto"/>
            <w:noWrap/>
            <w:vAlign w:val="center"/>
            <w:hideMark/>
          </w:tcPr>
          <w:p w14:paraId="6E9535A7" w14:textId="7A0171A4" w:rsidR="00B9479B" w:rsidRPr="005D7674" w:rsidRDefault="00B9479B" w:rsidP="005C09EE">
            <w:pPr>
              <w:spacing w:line="240" w:lineRule="auto"/>
              <w:jc w:val="center"/>
              <w:rPr>
                <w:rFonts w:eastAsia="Times New Roman"/>
                <w:sz w:val="20"/>
                <w:szCs w:val="20"/>
                <w:lang w:eastAsia="cs-CZ"/>
              </w:rPr>
            </w:pPr>
            <w:r w:rsidRPr="005D7674">
              <w:rPr>
                <w:rFonts w:eastAsia="Times New Roman"/>
                <w:sz w:val="20"/>
                <w:szCs w:val="20"/>
                <w:lang w:eastAsia="cs-CZ"/>
              </w:rPr>
              <w:t>+4,2 p.b.</w:t>
            </w:r>
          </w:p>
        </w:tc>
      </w:tr>
      <w:tr w:rsidR="00F15667" w:rsidRPr="005D7674" w14:paraId="7B322B1B"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23F05EC3" w14:textId="77777777" w:rsidR="00B9479B" w:rsidRPr="005D7674" w:rsidRDefault="00B9479B" w:rsidP="005C09EE">
            <w:pPr>
              <w:spacing w:line="240" w:lineRule="auto"/>
              <w:jc w:val="left"/>
              <w:rPr>
                <w:rFonts w:eastAsia="Times New Roman"/>
                <w:szCs w:val="24"/>
                <w:lang w:eastAsia="cs-CZ"/>
              </w:rPr>
            </w:pPr>
            <w:r w:rsidRPr="005D7674">
              <w:rPr>
                <w:rFonts w:eastAsia="Times New Roman"/>
                <w:szCs w:val="24"/>
                <w:lang w:eastAsia="cs-CZ"/>
              </w:rPr>
              <w:t>KS Hr. Králové</w:t>
            </w:r>
          </w:p>
        </w:tc>
        <w:tc>
          <w:tcPr>
            <w:tcW w:w="1749" w:type="dxa"/>
            <w:tcBorders>
              <w:top w:val="nil"/>
              <w:left w:val="nil"/>
              <w:bottom w:val="single" w:sz="4" w:space="0" w:color="auto"/>
              <w:right w:val="nil"/>
            </w:tcBorders>
            <w:shd w:val="clear" w:color="auto" w:fill="auto"/>
            <w:noWrap/>
            <w:vAlign w:val="center"/>
            <w:hideMark/>
          </w:tcPr>
          <w:p w14:paraId="5770287E" w14:textId="54BA0FFD" w:rsidR="00B9479B" w:rsidRPr="005D7674" w:rsidRDefault="00B9479B" w:rsidP="005C09EE">
            <w:pPr>
              <w:spacing w:line="240" w:lineRule="auto"/>
              <w:jc w:val="center"/>
              <w:rPr>
                <w:rFonts w:eastAsia="Times New Roman"/>
                <w:szCs w:val="24"/>
                <w:lang w:eastAsia="cs-CZ"/>
              </w:rPr>
            </w:pPr>
            <w:r w:rsidRPr="005D7674">
              <w:rPr>
                <w:rFonts w:eastAsia="Times New Roman"/>
                <w:szCs w:val="24"/>
                <w:lang w:eastAsia="cs-CZ"/>
              </w:rPr>
              <w:t>45,25 %</w:t>
            </w:r>
          </w:p>
        </w:tc>
        <w:tc>
          <w:tcPr>
            <w:tcW w:w="1691" w:type="dxa"/>
            <w:tcBorders>
              <w:top w:val="nil"/>
              <w:left w:val="nil"/>
              <w:bottom w:val="single" w:sz="4" w:space="0" w:color="auto"/>
              <w:right w:val="nil"/>
            </w:tcBorders>
            <w:shd w:val="clear" w:color="auto" w:fill="auto"/>
            <w:noWrap/>
            <w:vAlign w:val="center"/>
            <w:hideMark/>
          </w:tcPr>
          <w:p w14:paraId="04CE58D2" w14:textId="76A4D688" w:rsidR="00B9479B" w:rsidRPr="005D7674" w:rsidRDefault="00B9479B" w:rsidP="005C09EE">
            <w:pPr>
              <w:spacing w:line="240" w:lineRule="auto"/>
              <w:jc w:val="center"/>
              <w:rPr>
                <w:rFonts w:eastAsia="Times New Roman"/>
                <w:sz w:val="20"/>
                <w:szCs w:val="20"/>
                <w:lang w:eastAsia="cs-CZ"/>
              </w:rPr>
            </w:pPr>
            <w:r w:rsidRPr="005D7674">
              <w:rPr>
                <w:rFonts w:eastAsia="Times New Roman"/>
                <w:sz w:val="20"/>
                <w:szCs w:val="20"/>
                <w:lang w:eastAsia="cs-CZ"/>
              </w:rPr>
              <w:t>+6,5 p.b.</w:t>
            </w:r>
          </w:p>
        </w:tc>
      </w:tr>
      <w:tr w:rsidR="00F15667" w:rsidRPr="005D7674" w14:paraId="24B9CFE1"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4EAC9B33" w14:textId="77777777" w:rsidR="00B9479B" w:rsidRPr="005D7674" w:rsidRDefault="00B9479B" w:rsidP="005C09EE">
            <w:pPr>
              <w:spacing w:line="240" w:lineRule="auto"/>
              <w:jc w:val="left"/>
              <w:rPr>
                <w:rFonts w:eastAsia="Times New Roman"/>
                <w:szCs w:val="24"/>
                <w:lang w:eastAsia="cs-CZ"/>
              </w:rPr>
            </w:pPr>
            <w:r w:rsidRPr="005D7674">
              <w:rPr>
                <w:rFonts w:eastAsia="Times New Roman"/>
                <w:szCs w:val="24"/>
                <w:lang w:eastAsia="cs-CZ"/>
              </w:rPr>
              <w:t>KS Brno</w:t>
            </w:r>
          </w:p>
        </w:tc>
        <w:tc>
          <w:tcPr>
            <w:tcW w:w="1749" w:type="dxa"/>
            <w:tcBorders>
              <w:top w:val="nil"/>
              <w:left w:val="nil"/>
              <w:bottom w:val="single" w:sz="4" w:space="0" w:color="auto"/>
              <w:right w:val="nil"/>
            </w:tcBorders>
            <w:shd w:val="clear" w:color="auto" w:fill="auto"/>
            <w:noWrap/>
            <w:vAlign w:val="center"/>
            <w:hideMark/>
          </w:tcPr>
          <w:p w14:paraId="4ECADF0D" w14:textId="1D080F25" w:rsidR="00B9479B" w:rsidRPr="005D7674" w:rsidRDefault="00B9479B" w:rsidP="005C09EE">
            <w:pPr>
              <w:spacing w:line="240" w:lineRule="auto"/>
              <w:jc w:val="center"/>
              <w:rPr>
                <w:rFonts w:eastAsia="Times New Roman"/>
                <w:szCs w:val="24"/>
                <w:lang w:eastAsia="cs-CZ"/>
              </w:rPr>
            </w:pPr>
            <w:r w:rsidRPr="005D7674">
              <w:rPr>
                <w:rFonts w:eastAsia="Times New Roman"/>
                <w:szCs w:val="24"/>
                <w:lang w:eastAsia="cs-CZ"/>
              </w:rPr>
              <w:t>48,68 %</w:t>
            </w:r>
          </w:p>
        </w:tc>
        <w:tc>
          <w:tcPr>
            <w:tcW w:w="1691" w:type="dxa"/>
            <w:tcBorders>
              <w:top w:val="nil"/>
              <w:left w:val="nil"/>
              <w:bottom w:val="single" w:sz="4" w:space="0" w:color="auto"/>
              <w:right w:val="nil"/>
            </w:tcBorders>
            <w:shd w:val="clear" w:color="auto" w:fill="auto"/>
            <w:noWrap/>
            <w:vAlign w:val="center"/>
            <w:hideMark/>
          </w:tcPr>
          <w:p w14:paraId="57DBC24C" w14:textId="69EA0552" w:rsidR="00B9479B" w:rsidRPr="005D7674" w:rsidRDefault="00B9479B" w:rsidP="005C09EE">
            <w:pPr>
              <w:spacing w:line="240" w:lineRule="auto"/>
              <w:jc w:val="center"/>
              <w:rPr>
                <w:rFonts w:eastAsia="Times New Roman"/>
                <w:sz w:val="20"/>
                <w:szCs w:val="20"/>
                <w:lang w:eastAsia="cs-CZ"/>
              </w:rPr>
            </w:pPr>
            <w:r w:rsidRPr="005D7674">
              <w:rPr>
                <w:rFonts w:eastAsia="Times New Roman"/>
                <w:sz w:val="20"/>
                <w:szCs w:val="20"/>
                <w:lang w:eastAsia="cs-CZ"/>
              </w:rPr>
              <w:t>-0,9 p.b.</w:t>
            </w:r>
          </w:p>
        </w:tc>
      </w:tr>
      <w:tr w:rsidR="00F15667" w:rsidRPr="005D7674" w14:paraId="35749AE1" w14:textId="77777777" w:rsidTr="005C09EE">
        <w:trPr>
          <w:trHeight w:val="330"/>
        </w:trPr>
        <w:tc>
          <w:tcPr>
            <w:tcW w:w="2480" w:type="dxa"/>
            <w:tcBorders>
              <w:top w:val="nil"/>
              <w:left w:val="nil"/>
              <w:bottom w:val="double" w:sz="6" w:space="0" w:color="auto"/>
              <w:right w:val="nil"/>
            </w:tcBorders>
            <w:shd w:val="clear" w:color="auto" w:fill="auto"/>
            <w:noWrap/>
            <w:vAlign w:val="center"/>
            <w:hideMark/>
          </w:tcPr>
          <w:p w14:paraId="07689E4B" w14:textId="77777777" w:rsidR="00B9479B" w:rsidRPr="005D7674" w:rsidRDefault="00B9479B" w:rsidP="005C09EE">
            <w:pPr>
              <w:spacing w:line="240" w:lineRule="auto"/>
              <w:jc w:val="left"/>
              <w:rPr>
                <w:rFonts w:eastAsia="Times New Roman"/>
                <w:szCs w:val="24"/>
                <w:lang w:eastAsia="cs-CZ"/>
              </w:rPr>
            </w:pPr>
            <w:r w:rsidRPr="005D7674">
              <w:rPr>
                <w:rFonts w:eastAsia="Times New Roman"/>
                <w:szCs w:val="24"/>
                <w:lang w:eastAsia="cs-CZ"/>
              </w:rPr>
              <w:t>KS Ostrava</w:t>
            </w:r>
          </w:p>
        </w:tc>
        <w:tc>
          <w:tcPr>
            <w:tcW w:w="1749" w:type="dxa"/>
            <w:tcBorders>
              <w:top w:val="nil"/>
              <w:left w:val="nil"/>
              <w:bottom w:val="double" w:sz="6" w:space="0" w:color="auto"/>
              <w:right w:val="nil"/>
            </w:tcBorders>
            <w:shd w:val="clear" w:color="auto" w:fill="auto"/>
            <w:noWrap/>
            <w:vAlign w:val="center"/>
            <w:hideMark/>
          </w:tcPr>
          <w:p w14:paraId="538D5586" w14:textId="168514E0" w:rsidR="00B9479B" w:rsidRPr="005D7674" w:rsidRDefault="00B9479B" w:rsidP="005C09EE">
            <w:pPr>
              <w:spacing w:line="240" w:lineRule="auto"/>
              <w:jc w:val="center"/>
              <w:rPr>
                <w:rFonts w:eastAsia="Times New Roman"/>
                <w:szCs w:val="24"/>
                <w:lang w:eastAsia="cs-CZ"/>
              </w:rPr>
            </w:pPr>
            <w:r w:rsidRPr="005D7674">
              <w:rPr>
                <w:rFonts w:eastAsia="Times New Roman"/>
                <w:szCs w:val="24"/>
                <w:lang w:eastAsia="cs-CZ"/>
              </w:rPr>
              <w:t>44,20 %</w:t>
            </w:r>
          </w:p>
        </w:tc>
        <w:tc>
          <w:tcPr>
            <w:tcW w:w="1691" w:type="dxa"/>
            <w:tcBorders>
              <w:top w:val="nil"/>
              <w:left w:val="nil"/>
              <w:bottom w:val="double" w:sz="6" w:space="0" w:color="auto"/>
              <w:right w:val="nil"/>
            </w:tcBorders>
            <w:shd w:val="clear" w:color="auto" w:fill="auto"/>
            <w:noWrap/>
            <w:vAlign w:val="center"/>
            <w:hideMark/>
          </w:tcPr>
          <w:p w14:paraId="7016CAF2" w14:textId="5CBE7E6B" w:rsidR="00B9479B" w:rsidRPr="005D7674" w:rsidRDefault="00B9479B" w:rsidP="005C09EE">
            <w:pPr>
              <w:spacing w:line="240" w:lineRule="auto"/>
              <w:jc w:val="center"/>
              <w:rPr>
                <w:rFonts w:eastAsia="Times New Roman"/>
                <w:sz w:val="20"/>
                <w:szCs w:val="20"/>
                <w:lang w:eastAsia="cs-CZ"/>
              </w:rPr>
            </w:pPr>
            <w:r w:rsidRPr="005D7674">
              <w:rPr>
                <w:rFonts w:eastAsia="Times New Roman"/>
                <w:sz w:val="20"/>
                <w:szCs w:val="20"/>
                <w:lang w:eastAsia="cs-CZ"/>
              </w:rPr>
              <w:t>+4,3 p.b.</w:t>
            </w:r>
          </w:p>
        </w:tc>
      </w:tr>
      <w:tr w:rsidR="00F15667" w:rsidRPr="005D7674" w14:paraId="77341E0A" w14:textId="77777777" w:rsidTr="005C09EE">
        <w:trPr>
          <w:trHeight w:val="345"/>
        </w:trPr>
        <w:tc>
          <w:tcPr>
            <w:tcW w:w="2480" w:type="dxa"/>
            <w:tcBorders>
              <w:top w:val="nil"/>
              <w:left w:val="nil"/>
              <w:bottom w:val="double" w:sz="6" w:space="0" w:color="auto"/>
              <w:right w:val="nil"/>
            </w:tcBorders>
            <w:shd w:val="clear" w:color="auto" w:fill="auto"/>
            <w:noWrap/>
            <w:vAlign w:val="center"/>
            <w:hideMark/>
          </w:tcPr>
          <w:p w14:paraId="5566720B" w14:textId="77777777" w:rsidR="00B9479B" w:rsidRPr="005D7674" w:rsidRDefault="00B9479B" w:rsidP="005C09EE">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749" w:type="dxa"/>
            <w:tcBorders>
              <w:top w:val="nil"/>
              <w:left w:val="nil"/>
              <w:bottom w:val="double" w:sz="6" w:space="0" w:color="auto"/>
              <w:right w:val="nil"/>
            </w:tcBorders>
            <w:shd w:val="clear" w:color="auto" w:fill="auto"/>
            <w:noWrap/>
            <w:vAlign w:val="center"/>
            <w:hideMark/>
          </w:tcPr>
          <w:p w14:paraId="5631F4B3" w14:textId="326C0F58" w:rsidR="00B9479B" w:rsidRPr="005D7674" w:rsidRDefault="00B9479B" w:rsidP="005C09EE">
            <w:pPr>
              <w:spacing w:line="240" w:lineRule="auto"/>
              <w:jc w:val="center"/>
              <w:rPr>
                <w:rFonts w:eastAsia="Times New Roman"/>
                <w:b/>
                <w:bCs/>
                <w:szCs w:val="24"/>
                <w:lang w:eastAsia="cs-CZ"/>
              </w:rPr>
            </w:pPr>
            <w:r w:rsidRPr="005D7674">
              <w:rPr>
                <w:rFonts w:eastAsia="Times New Roman"/>
                <w:b/>
                <w:bCs/>
                <w:szCs w:val="24"/>
                <w:lang w:eastAsia="cs-CZ"/>
              </w:rPr>
              <w:t>44,71 %</w:t>
            </w:r>
          </w:p>
        </w:tc>
        <w:tc>
          <w:tcPr>
            <w:tcW w:w="1691" w:type="dxa"/>
            <w:tcBorders>
              <w:top w:val="nil"/>
              <w:left w:val="nil"/>
              <w:bottom w:val="double" w:sz="6" w:space="0" w:color="auto"/>
              <w:right w:val="nil"/>
            </w:tcBorders>
            <w:shd w:val="clear" w:color="auto" w:fill="auto"/>
            <w:noWrap/>
            <w:vAlign w:val="center"/>
            <w:hideMark/>
          </w:tcPr>
          <w:p w14:paraId="558555A9" w14:textId="7CFA6729" w:rsidR="00B9479B" w:rsidRPr="005D7674" w:rsidRDefault="00B9479B" w:rsidP="005C09EE">
            <w:pPr>
              <w:spacing w:line="240" w:lineRule="auto"/>
              <w:jc w:val="center"/>
              <w:rPr>
                <w:rFonts w:eastAsia="Times New Roman"/>
                <w:b/>
                <w:bCs/>
                <w:sz w:val="20"/>
                <w:szCs w:val="20"/>
                <w:lang w:eastAsia="cs-CZ"/>
              </w:rPr>
            </w:pPr>
            <w:r w:rsidRPr="005D7674">
              <w:rPr>
                <w:rFonts w:eastAsia="Times New Roman"/>
                <w:b/>
                <w:bCs/>
                <w:sz w:val="20"/>
                <w:szCs w:val="20"/>
                <w:lang w:eastAsia="cs-CZ"/>
              </w:rPr>
              <w:t>+2</w:t>
            </w:r>
            <w:r w:rsidR="00DC2970" w:rsidRPr="005D7674">
              <w:rPr>
                <w:rFonts w:eastAsia="Times New Roman"/>
                <w:b/>
                <w:bCs/>
                <w:sz w:val="20"/>
                <w:szCs w:val="20"/>
                <w:lang w:eastAsia="cs-CZ"/>
              </w:rPr>
              <w:t>,</w:t>
            </w:r>
            <w:r w:rsidRPr="005D7674">
              <w:rPr>
                <w:rFonts w:eastAsia="Times New Roman"/>
                <w:b/>
                <w:bCs/>
                <w:sz w:val="20"/>
                <w:szCs w:val="20"/>
                <w:lang w:eastAsia="cs-CZ"/>
              </w:rPr>
              <w:t>1 p.b.</w:t>
            </w:r>
          </w:p>
        </w:tc>
      </w:tr>
      <w:tr w:rsidR="00F15667" w:rsidRPr="005D7674" w14:paraId="4DE5FE6E" w14:textId="77777777" w:rsidTr="005C09EE">
        <w:trPr>
          <w:trHeight w:val="330"/>
        </w:trPr>
        <w:tc>
          <w:tcPr>
            <w:tcW w:w="2480" w:type="dxa"/>
            <w:tcBorders>
              <w:top w:val="nil"/>
              <w:left w:val="nil"/>
              <w:bottom w:val="nil"/>
              <w:right w:val="nil"/>
            </w:tcBorders>
            <w:shd w:val="clear" w:color="auto" w:fill="auto"/>
            <w:noWrap/>
            <w:vAlign w:val="center"/>
            <w:hideMark/>
          </w:tcPr>
          <w:p w14:paraId="25716A2F" w14:textId="77777777" w:rsidR="00B9479B" w:rsidRPr="005D7674" w:rsidRDefault="00B9479B" w:rsidP="005C09EE">
            <w:pPr>
              <w:spacing w:line="240" w:lineRule="auto"/>
              <w:jc w:val="center"/>
              <w:rPr>
                <w:rFonts w:eastAsia="Times New Roman"/>
                <w:b/>
                <w:bCs/>
                <w:sz w:val="20"/>
                <w:szCs w:val="20"/>
                <w:lang w:eastAsia="cs-CZ"/>
              </w:rPr>
            </w:pPr>
          </w:p>
        </w:tc>
        <w:tc>
          <w:tcPr>
            <w:tcW w:w="1749" w:type="dxa"/>
            <w:tcBorders>
              <w:top w:val="nil"/>
              <w:left w:val="nil"/>
              <w:bottom w:val="nil"/>
              <w:right w:val="nil"/>
            </w:tcBorders>
            <w:shd w:val="clear" w:color="auto" w:fill="auto"/>
            <w:noWrap/>
            <w:vAlign w:val="center"/>
            <w:hideMark/>
          </w:tcPr>
          <w:p w14:paraId="0B034CFE" w14:textId="77777777" w:rsidR="00B9479B" w:rsidRPr="005D7674" w:rsidRDefault="00B9479B" w:rsidP="005C09EE">
            <w:pPr>
              <w:spacing w:line="240" w:lineRule="auto"/>
              <w:jc w:val="center"/>
              <w:rPr>
                <w:rFonts w:eastAsia="Times New Roman"/>
                <w:sz w:val="20"/>
                <w:szCs w:val="20"/>
                <w:lang w:eastAsia="cs-CZ"/>
              </w:rPr>
            </w:pPr>
          </w:p>
        </w:tc>
        <w:tc>
          <w:tcPr>
            <w:tcW w:w="1691" w:type="dxa"/>
            <w:tcBorders>
              <w:top w:val="nil"/>
              <w:left w:val="nil"/>
              <w:bottom w:val="nil"/>
              <w:right w:val="nil"/>
            </w:tcBorders>
            <w:shd w:val="clear" w:color="auto" w:fill="auto"/>
            <w:noWrap/>
            <w:vAlign w:val="center"/>
            <w:hideMark/>
          </w:tcPr>
          <w:p w14:paraId="18AD5D6E" w14:textId="77777777" w:rsidR="00B9479B" w:rsidRPr="005D7674" w:rsidRDefault="00B9479B" w:rsidP="005C09EE">
            <w:pPr>
              <w:spacing w:line="240" w:lineRule="auto"/>
              <w:jc w:val="center"/>
              <w:rPr>
                <w:rFonts w:eastAsia="Times New Roman"/>
                <w:sz w:val="20"/>
                <w:szCs w:val="20"/>
                <w:lang w:eastAsia="cs-CZ"/>
              </w:rPr>
            </w:pPr>
          </w:p>
        </w:tc>
      </w:tr>
    </w:tbl>
    <w:p w14:paraId="7BF7B95C" w14:textId="53950C44" w:rsidR="00855AFE" w:rsidRPr="005D7674" w:rsidRDefault="00855AFE" w:rsidP="00855AFE">
      <w:pPr>
        <w:pStyle w:val="Podnadpis"/>
        <w:rPr>
          <w:color w:val="auto"/>
        </w:rPr>
      </w:pPr>
      <w:bookmarkStart w:id="209" w:name="_Toc75952197"/>
      <w:bookmarkStart w:id="210" w:name="_Toc106106650"/>
      <w:bookmarkStart w:id="211" w:name="_Toc144104128"/>
      <w:r w:rsidRPr="005D7674">
        <w:rPr>
          <w:color w:val="auto"/>
        </w:rPr>
        <w:lastRenderedPageBreak/>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16</w:t>
      </w:r>
      <w:r w:rsidR="009A10E2" w:rsidRPr="005D7674">
        <w:rPr>
          <w:color w:val="auto"/>
        </w:rPr>
        <w:fldChar w:fldCharType="end"/>
      </w:r>
      <w:r w:rsidRPr="005D7674">
        <w:rPr>
          <w:color w:val="auto"/>
        </w:rPr>
        <w:t>: OS – míra změny rozsudku u jednotlivých soudů v civilním řízení</w:t>
      </w:r>
      <w:bookmarkEnd w:id="209"/>
      <w:bookmarkEnd w:id="210"/>
      <w:bookmarkEnd w:id="211"/>
    </w:p>
    <w:p w14:paraId="0183F631" w14:textId="066CBD75" w:rsidR="00715695" w:rsidRPr="005D7674" w:rsidRDefault="00715695" w:rsidP="00917F3F">
      <w:pPr>
        <w:pStyle w:val="OdstavecASR"/>
      </w:pPr>
      <w:r w:rsidRPr="005D7674">
        <w:rPr>
          <w:noProof/>
          <w:lang w:eastAsia="cs-CZ"/>
        </w:rPr>
        <w:drawing>
          <wp:anchor distT="0" distB="0" distL="114300" distR="114300" simplePos="0" relativeHeight="251668480" behindDoc="0" locked="0" layoutInCell="1" allowOverlap="1" wp14:anchorId="494C8715" wp14:editId="29AD832F">
            <wp:simplePos x="0" y="0"/>
            <wp:positionH relativeFrom="margin">
              <wp:posOffset>4514850</wp:posOffset>
            </wp:positionH>
            <wp:positionV relativeFrom="paragraph">
              <wp:posOffset>50800</wp:posOffset>
            </wp:positionV>
            <wp:extent cx="1219835" cy="887153"/>
            <wp:effectExtent l="0" t="0" r="0" b="8255"/>
            <wp:wrapNone/>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19835" cy="887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674">
        <w:rPr>
          <w:noProof/>
          <w:lang w:eastAsia="cs-CZ"/>
        </w:rPr>
        <w:drawing>
          <wp:inline distT="0" distB="0" distL="0" distR="0" wp14:anchorId="0AAFA280" wp14:editId="441614C8">
            <wp:extent cx="5759450" cy="329628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7A8990BD" w14:textId="2D548CCD" w:rsidR="00855AFE" w:rsidRPr="005D7674" w:rsidRDefault="00855AFE" w:rsidP="00855AFE">
      <w:pPr>
        <w:pStyle w:val="OdstavecASR"/>
      </w:pPr>
      <w:r w:rsidRPr="005D7674">
        <w:t xml:space="preserve">Míra změny rozsudku je stejně jako v předchozím roce nejnižší v Praze a nově v Západočeském </w:t>
      </w:r>
      <w:r w:rsidR="00DC2970" w:rsidRPr="005D7674">
        <w:t>k</w:t>
      </w:r>
      <w:r w:rsidRPr="005D7674">
        <w:t xml:space="preserve">raji. Celorepublikově došlo k mírnému nárůstu míry změny rozsudku. Z okresních soudů mají nejnižší míru změny rozsudku OS Tachov (12,03 %), OS pro Prahu 7 (16,79 %) a Prachatice (21,74 %). Na druhém konci se nacházejí OS </w:t>
      </w:r>
      <w:r w:rsidR="001C3EF6" w:rsidRPr="005D7674">
        <w:t>Nymburk</w:t>
      </w:r>
      <w:r w:rsidRPr="005D7674">
        <w:t xml:space="preserve"> (67,65 %), OS </w:t>
      </w:r>
      <w:r w:rsidR="00680038" w:rsidRPr="005D7674">
        <w:t>Rokycany</w:t>
      </w:r>
      <w:r w:rsidRPr="005D7674">
        <w:t xml:space="preserve"> (6</w:t>
      </w:r>
      <w:r w:rsidR="00680038" w:rsidRPr="005D7674">
        <w:t>7</w:t>
      </w:r>
      <w:r w:rsidRPr="005D7674">
        <w:t>,86 %) a OS </w:t>
      </w:r>
      <w:r w:rsidR="00680038" w:rsidRPr="005D7674">
        <w:t>Liberec</w:t>
      </w:r>
      <w:r w:rsidRPr="005D7674">
        <w:t xml:space="preserve"> (</w:t>
      </w:r>
      <w:r w:rsidR="00680038" w:rsidRPr="005D7674">
        <w:t>76</w:t>
      </w:r>
      <w:r w:rsidRPr="005D7674">
        <w:t>,</w:t>
      </w:r>
      <w:r w:rsidR="00680038" w:rsidRPr="005D7674">
        <w:t>47</w:t>
      </w:r>
      <w:r w:rsidRPr="005D7674">
        <w:t> %).</w:t>
      </w:r>
    </w:p>
    <w:p w14:paraId="2BEA6B92" w14:textId="33D43447" w:rsidR="002A77E3" w:rsidRPr="005D7674" w:rsidRDefault="002A77E3" w:rsidP="002A77E3">
      <w:pPr>
        <w:pStyle w:val="OdstavecASR"/>
      </w:pPr>
      <w:r w:rsidRPr="005D7674">
        <w:t xml:space="preserve">Vynásobením míry odvolání a míry změny rozsudku dostaneme podíl věcí, ve kterých odvolací soud nakonec změnil rozhodnutí soudu I. stupně ke všem prvostupňovým rozhodnutím. Tento ukazatel budeme nazývat </w:t>
      </w:r>
      <w:r w:rsidRPr="005D7674">
        <w:rPr>
          <w:i/>
        </w:rPr>
        <w:t>míra celkové změny rozsudku</w:t>
      </w:r>
      <w:r w:rsidRPr="005D7674">
        <w:t>. Tato míra se v roce 2019 rovnala 7,81 % × 44,6 % </w:t>
      </w:r>
      <w:r w:rsidRPr="005D7674">
        <w:rPr>
          <w:rFonts w:ascii="Cambria Math" w:hAnsi="Cambria Math" w:cs="Cambria Math"/>
        </w:rPr>
        <w:t>≐</w:t>
      </w:r>
      <w:r w:rsidRPr="005D7674">
        <w:t xml:space="preserve"> 3,48 %, v roce 2020 činila 8,16 % × 44,0 % </w:t>
      </w:r>
      <w:r w:rsidRPr="005D7674">
        <w:rPr>
          <w:rFonts w:ascii="Cambria Math" w:hAnsi="Cambria Math" w:cs="Cambria Math"/>
        </w:rPr>
        <w:t>≐</w:t>
      </w:r>
      <w:r w:rsidRPr="005D7674">
        <w:t xml:space="preserve"> 3,59 %, v roce 2021 představovala 7,46 % × 42,60 % </w:t>
      </w:r>
      <w:r w:rsidRPr="005D7674">
        <w:rPr>
          <w:rFonts w:ascii="Cambria Math" w:hAnsi="Cambria Math" w:cs="Cambria Math"/>
        </w:rPr>
        <w:t>≐</w:t>
      </w:r>
      <w:r w:rsidRPr="005D7674">
        <w:t xml:space="preserve"> 3,18 % a v roce 2022 byla 7,04 % × 44,71 % </w:t>
      </w:r>
      <w:r w:rsidRPr="005D7674">
        <w:rPr>
          <w:rFonts w:ascii="Cambria Math" w:hAnsi="Cambria Math" w:cs="Cambria Math"/>
        </w:rPr>
        <w:t>≐</w:t>
      </w:r>
      <w:r w:rsidRPr="005D7674">
        <w:t xml:space="preserve"> 3,15 %.</w:t>
      </w:r>
    </w:p>
    <w:p w14:paraId="672BD22F" w14:textId="063D2994" w:rsidR="00DC2970" w:rsidRPr="005D7674" w:rsidRDefault="00DC2970" w:rsidP="00DC2970">
      <w:pPr>
        <w:pStyle w:val="OdstavecASR"/>
        <w:keepNext/>
        <w:outlineLvl w:val="3"/>
        <w:rPr>
          <w:b/>
          <w:bCs/>
        </w:rPr>
      </w:pPr>
      <w:r w:rsidRPr="005D7674">
        <w:rPr>
          <w:b/>
          <w:bCs/>
        </w:rPr>
        <w:t>Rozvody</w:t>
      </w:r>
    </w:p>
    <w:p w14:paraId="7370CAA9" w14:textId="06435541" w:rsidR="00DC2970" w:rsidRPr="005D7674" w:rsidRDefault="00DC2970" w:rsidP="00DC2970">
      <w:pPr>
        <w:pStyle w:val="OdstavecASR"/>
      </w:pPr>
      <w:r w:rsidRPr="005D7674">
        <w:t>Vybraná data o rozvodech lze najít na stránkách Českého statistického úřadu. Zde se proto budeme zaobírat daty</w:t>
      </w:r>
      <w:r w:rsidR="00D05119" w:rsidRPr="005D7674">
        <w:t>,</w:t>
      </w:r>
      <w:r w:rsidRPr="005D7674">
        <w:t xml:space="preserve"> </w:t>
      </w:r>
      <w:r w:rsidR="00D05119" w:rsidRPr="005D7674">
        <w:t>k</w:t>
      </w:r>
      <w:r w:rsidRPr="005D7674">
        <w:t>ter</w:t>
      </w:r>
      <w:r w:rsidR="00D05119" w:rsidRPr="005D7674">
        <w:t>á</w:t>
      </w:r>
      <w:r w:rsidRPr="005D7674">
        <w:t xml:space="preserve"> ČSÚ nepublikuje. </w:t>
      </w:r>
    </w:p>
    <w:p w14:paraId="7537BE25" w14:textId="36CBDA24" w:rsidR="00DC2970" w:rsidRPr="005D7674" w:rsidRDefault="00DC2970" w:rsidP="00DC2970">
      <w:pPr>
        <w:pStyle w:val="OdstavecASR"/>
      </w:pPr>
      <w:r w:rsidRPr="005D7674">
        <w:t>Od roku 2022 sbírá Ministerstvo spravedlnosti rovněž data o délce řízení rozvodů. Tabulka níže ukazuje mediánovou délk</w:t>
      </w:r>
      <w:r w:rsidR="0084599D" w:rsidRPr="005D7674">
        <w:t>u</w:t>
      </w:r>
      <w:r w:rsidRPr="005D7674">
        <w:t xml:space="preserve"> rozvodového řízení dle soudů a dle toho, zda se rovněž konalo opatrovnické řízení. Tedy zda se konalo řízení o úpravě poměrů pro dobu po rozvodu manželství u nezletilých dětí vzešlých z rozváděného manželství. Jak</w:t>
      </w:r>
      <w:r w:rsidR="00852B25" w:rsidRPr="005D7674">
        <w:t>o</w:t>
      </w:r>
      <w:r w:rsidRPr="005D7674">
        <w:t xml:space="preserve"> ano jsou započteny věci, kde se v rozváděném manželství vyskytovaly děti, o nichž rozhodoval opatrovnický soud.</w:t>
      </w:r>
    </w:p>
    <w:p w14:paraId="26034D7F" w14:textId="77777777" w:rsidR="00DC2970" w:rsidRPr="005D7674" w:rsidRDefault="00DC2970">
      <w:pPr>
        <w:spacing w:after="160" w:line="259" w:lineRule="auto"/>
        <w:jc w:val="left"/>
      </w:pPr>
      <w:r w:rsidRPr="005D7674">
        <w:br w:type="page"/>
      </w:r>
    </w:p>
    <w:p w14:paraId="1080C0C1" w14:textId="2319F3DC" w:rsidR="00DC2970" w:rsidRPr="005D7674" w:rsidRDefault="00DC2970" w:rsidP="00DC2970">
      <w:pPr>
        <w:pStyle w:val="Podnadpis"/>
        <w:rPr>
          <w:color w:val="auto"/>
        </w:rPr>
      </w:pPr>
      <w:bookmarkStart w:id="212" w:name="_Toc144104255"/>
      <w:r w:rsidRPr="005D7674">
        <w:rPr>
          <w:color w:val="auto"/>
        </w:rPr>
        <w:lastRenderedPageBreak/>
        <w:t xml:space="preserve">Tabulka </w:t>
      </w:r>
      <w:r w:rsidRPr="005D7674">
        <w:rPr>
          <w:color w:val="auto"/>
        </w:rPr>
        <w:fldChar w:fldCharType="begin"/>
      </w:r>
      <w:r w:rsidRPr="005D7674">
        <w:rPr>
          <w:color w:val="auto"/>
        </w:rPr>
        <w:instrText xml:space="preserve"> SEQ Tabulka \* ARABIC </w:instrText>
      </w:r>
      <w:r w:rsidRPr="005D7674">
        <w:rPr>
          <w:color w:val="auto"/>
        </w:rPr>
        <w:fldChar w:fldCharType="separate"/>
      </w:r>
      <w:r w:rsidR="001E1A67">
        <w:rPr>
          <w:noProof/>
          <w:color w:val="auto"/>
        </w:rPr>
        <w:t>16</w:t>
      </w:r>
      <w:r w:rsidRPr="005D7674">
        <w:rPr>
          <w:noProof/>
          <w:color w:val="auto"/>
        </w:rPr>
        <w:fldChar w:fldCharType="end"/>
      </w:r>
      <w:r w:rsidRPr="005D7674">
        <w:rPr>
          <w:color w:val="auto"/>
        </w:rPr>
        <w:t>: OS – mediánová délka rozvodového řízení dle krajů</w:t>
      </w:r>
      <w:bookmarkEnd w:id="212"/>
    </w:p>
    <w:tbl>
      <w:tblPr>
        <w:tblW w:w="5800" w:type="dxa"/>
        <w:tblLayout w:type="fixed"/>
        <w:tblCellMar>
          <w:left w:w="70" w:type="dxa"/>
          <w:right w:w="70" w:type="dxa"/>
        </w:tblCellMar>
        <w:tblLook w:val="04A0" w:firstRow="1" w:lastRow="0" w:firstColumn="1" w:lastColumn="0" w:noHBand="0" w:noVBand="1"/>
      </w:tblPr>
      <w:tblGrid>
        <w:gridCol w:w="2480"/>
        <w:gridCol w:w="1660"/>
        <w:gridCol w:w="1660"/>
      </w:tblGrid>
      <w:tr w:rsidR="00F15667" w:rsidRPr="005D7674" w14:paraId="04B3D4E2" w14:textId="77777777" w:rsidTr="005C09EE">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ECB1D16" w14:textId="77777777" w:rsidR="00DC2970" w:rsidRPr="005D7674" w:rsidRDefault="00DC2970" w:rsidP="005C09EE">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3320" w:type="dxa"/>
            <w:gridSpan w:val="2"/>
            <w:tcBorders>
              <w:top w:val="double" w:sz="6" w:space="0" w:color="auto"/>
              <w:left w:val="nil"/>
              <w:bottom w:val="nil"/>
              <w:right w:val="nil"/>
            </w:tcBorders>
            <w:shd w:val="clear" w:color="auto" w:fill="auto"/>
            <w:noWrap/>
            <w:vAlign w:val="center"/>
            <w:hideMark/>
          </w:tcPr>
          <w:p w14:paraId="212788B2" w14:textId="77777777" w:rsidR="00DC2970" w:rsidRPr="005D7674" w:rsidRDefault="00DC2970" w:rsidP="005C09EE">
            <w:pPr>
              <w:spacing w:line="240" w:lineRule="auto"/>
              <w:jc w:val="center"/>
              <w:rPr>
                <w:rFonts w:eastAsia="Times New Roman"/>
                <w:b/>
                <w:bCs/>
                <w:szCs w:val="24"/>
                <w:lang w:eastAsia="cs-CZ"/>
              </w:rPr>
            </w:pPr>
            <w:r w:rsidRPr="005D7674">
              <w:rPr>
                <w:rFonts w:eastAsia="Times New Roman"/>
                <w:b/>
                <w:bCs/>
                <w:szCs w:val="24"/>
                <w:lang w:eastAsia="cs-CZ"/>
              </w:rPr>
              <w:t>Opatrovnický soud se konal</w:t>
            </w:r>
          </w:p>
        </w:tc>
      </w:tr>
      <w:tr w:rsidR="00F15667" w:rsidRPr="005D7674" w14:paraId="29F04BD0" w14:textId="77777777" w:rsidTr="005C09EE">
        <w:trPr>
          <w:trHeight w:val="330"/>
        </w:trPr>
        <w:tc>
          <w:tcPr>
            <w:tcW w:w="2480" w:type="dxa"/>
            <w:vMerge/>
            <w:tcBorders>
              <w:top w:val="double" w:sz="6" w:space="0" w:color="auto"/>
              <w:left w:val="nil"/>
              <w:bottom w:val="double" w:sz="6" w:space="0" w:color="000000"/>
              <w:right w:val="nil"/>
            </w:tcBorders>
            <w:vAlign w:val="center"/>
            <w:hideMark/>
          </w:tcPr>
          <w:p w14:paraId="01FA88C5" w14:textId="77777777" w:rsidR="00DC2970" w:rsidRPr="005D7674" w:rsidRDefault="00DC2970" w:rsidP="005C09EE">
            <w:pPr>
              <w:spacing w:line="240" w:lineRule="auto"/>
              <w:jc w:val="center"/>
              <w:rPr>
                <w:rFonts w:eastAsia="Times New Roman"/>
                <w:b/>
                <w:bCs/>
                <w:szCs w:val="24"/>
                <w:lang w:eastAsia="cs-CZ"/>
              </w:rPr>
            </w:pPr>
          </w:p>
        </w:tc>
        <w:tc>
          <w:tcPr>
            <w:tcW w:w="1660" w:type="dxa"/>
            <w:tcBorders>
              <w:top w:val="nil"/>
              <w:left w:val="nil"/>
              <w:bottom w:val="double" w:sz="6" w:space="0" w:color="auto"/>
              <w:right w:val="nil"/>
            </w:tcBorders>
            <w:shd w:val="clear" w:color="auto" w:fill="auto"/>
            <w:noWrap/>
            <w:vAlign w:val="center"/>
            <w:hideMark/>
          </w:tcPr>
          <w:p w14:paraId="035D968E" w14:textId="77777777" w:rsidR="00DC2970" w:rsidRPr="005D7674" w:rsidRDefault="00DC2970" w:rsidP="005C09EE">
            <w:pPr>
              <w:spacing w:line="240" w:lineRule="auto"/>
              <w:jc w:val="center"/>
              <w:rPr>
                <w:rFonts w:eastAsia="Times New Roman"/>
                <w:b/>
                <w:bCs/>
                <w:szCs w:val="24"/>
                <w:lang w:eastAsia="cs-CZ"/>
              </w:rPr>
            </w:pPr>
            <w:r w:rsidRPr="005D7674">
              <w:rPr>
                <w:rFonts w:eastAsia="Times New Roman"/>
                <w:b/>
                <w:bCs/>
                <w:szCs w:val="24"/>
                <w:lang w:eastAsia="cs-CZ"/>
              </w:rPr>
              <w:t>Ano</w:t>
            </w:r>
          </w:p>
        </w:tc>
        <w:tc>
          <w:tcPr>
            <w:tcW w:w="1660" w:type="dxa"/>
            <w:tcBorders>
              <w:top w:val="nil"/>
              <w:left w:val="nil"/>
              <w:bottom w:val="double" w:sz="6" w:space="0" w:color="auto"/>
              <w:right w:val="nil"/>
            </w:tcBorders>
            <w:shd w:val="clear" w:color="auto" w:fill="auto"/>
            <w:noWrap/>
            <w:vAlign w:val="center"/>
            <w:hideMark/>
          </w:tcPr>
          <w:p w14:paraId="386586C7" w14:textId="77777777" w:rsidR="00DC2970" w:rsidRPr="005D7674" w:rsidRDefault="00DC2970" w:rsidP="005C09EE">
            <w:pPr>
              <w:spacing w:line="240" w:lineRule="auto"/>
              <w:jc w:val="center"/>
              <w:rPr>
                <w:rFonts w:eastAsia="Times New Roman"/>
                <w:b/>
                <w:bCs/>
                <w:szCs w:val="24"/>
                <w:lang w:eastAsia="cs-CZ"/>
              </w:rPr>
            </w:pPr>
            <w:r w:rsidRPr="005D7674">
              <w:rPr>
                <w:rFonts w:eastAsia="Times New Roman"/>
                <w:b/>
                <w:bCs/>
                <w:szCs w:val="24"/>
                <w:lang w:eastAsia="cs-CZ"/>
              </w:rPr>
              <w:t>Ne</w:t>
            </w:r>
          </w:p>
        </w:tc>
      </w:tr>
      <w:tr w:rsidR="00F15667" w:rsidRPr="005D7674" w14:paraId="530040FC" w14:textId="77777777" w:rsidTr="005C09EE">
        <w:trPr>
          <w:trHeight w:val="330"/>
        </w:trPr>
        <w:tc>
          <w:tcPr>
            <w:tcW w:w="2480" w:type="dxa"/>
            <w:tcBorders>
              <w:top w:val="nil"/>
              <w:left w:val="nil"/>
              <w:bottom w:val="single" w:sz="4" w:space="0" w:color="auto"/>
              <w:right w:val="nil"/>
            </w:tcBorders>
            <w:shd w:val="clear" w:color="auto" w:fill="auto"/>
            <w:noWrap/>
            <w:vAlign w:val="center"/>
            <w:hideMark/>
          </w:tcPr>
          <w:p w14:paraId="029938B7" w14:textId="77777777" w:rsidR="00DC2970" w:rsidRPr="005D7674" w:rsidRDefault="00DC2970" w:rsidP="005C09EE">
            <w:pPr>
              <w:spacing w:line="240" w:lineRule="auto"/>
              <w:jc w:val="left"/>
              <w:rPr>
                <w:rFonts w:eastAsia="Times New Roman"/>
                <w:szCs w:val="24"/>
                <w:lang w:eastAsia="cs-CZ"/>
              </w:rPr>
            </w:pPr>
            <w:r w:rsidRPr="005D7674">
              <w:rPr>
                <w:rFonts w:eastAsia="Times New Roman"/>
                <w:szCs w:val="24"/>
                <w:lang w:eastAsia="cs-CZ"/>
              </w:rPr>
              <w:t>MS Praha</w:t>
            </w:r>
          </w:p>
        </w:tc>
        <w:tc>
          <w:tcPr>
            <w:tcW w:w="1660" w:type="dxa"/>
            <w:tcBorders>
              <w:top w:val="nil"/>
              <w:left w:val="nil"/>
              <w:bottom w:val="single" w:sz="4" w:space="0" w:color="auto"/>
              <w:right w:val="nil"/>
            </w:tcBorders>
            <w:shd w:val="clear" w:color="auto" w:fill="auto"/>
            <w:noWrap/>
            <w:vAlign w:val="center"/>
            <w:hideMark/>
          </w:tcPr>
          <w:p w14:paraId="4B218944"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146</w:t>
            </w:r>
          </w:p>
        </w:tc>
        <w:tc>
          <w:tcPr>
            <w:tcW w:w="1660" w:type="dxa"/>
            <w:tcBorders>
              <w:top w:val="nil"/>
              <w:left w:val="nil"/>
              <w:bottom w:val="single" w:sz="4" w:space="0" w:color="auto"/>
              <w:right w:val="nil"/>
            </w:tcBorders>
            <w:shd w:val="clear" w:color="auto" w:fill="auto"/>
            <w:noWrap/>
            <w:vAlign w:val="center"/>
            <w:hideMark/>
          </w:tcPr>
          <w:p w14:paraId="609BC5CD"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65</w:t>
            </w:r>
          </w:p>
        </w:tc>
      </w:tr>
      <w:tr w:rsidR="00F15667" w:rsidRPr="005D7674" w14:paraId="44737922"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4BC9D285" w14:textId="77777777" w:rsidR="00DC2970" w:rsidRPr="005D7674" w:rsidRDefault="00DC2970" w:rsidP="005C09EE">
            <w:pPr>
              <w:spacing w:line="240" w:lineRule="auto"/>
              <w:jc w:val="left"/>
              <w:rPr>
                <w:rFonts w:eastAsia="Times New Roman"/>
                <w:szCs w:val="24"/>
                <w:lang w:eastAsia="cs-CZ"/>
              </w:rPr>
            </w:pPr>
            <w:r w:rsidRPr="005D7674">
              <w:rPr>
                <w:rFonts w:eastAsia="Times New Roman"/>
                <w:szCs w:val="24"/>
                <w:lang w:eastAsia="cs-CZ"/>
              </w:rPr>
              <w:t>KS Praha</w:t>
            </w:r>
          </w:p>
        </w:tc>
        <w:tc>
          <w:tcPr>
            <w:tcW w:w="1660" w:type="dxa"/>
            <w:tcBorders>
              <w:top w:val="nil"/>
              <w:left w:val="nil"/>
              <w:bottom w:val="single" w:sz="4" w:space="0" w:color="auto"/>
              <w:right w:val="nil"/>
            </w:tcBorders>
            <w:shd w:val="clear" w:color="auto" w:fill="auto"/>
            <w:noWrap/>
            <w:vAlign w:val="center"/>
            <w:hideMark/>
          </w:tcPr>
          <w:p w14:paraId="189E2364"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114</w:t>
            </w:r>
          </w:p>
        </w:tc>
        <w:tc>
          <w:tcPr>
            <w:tcW w:w="1660" w:type="dxa"/>
            <w:tcBorders>
              <w:top w:val="nil"/>
              <w:left w:val="nil"/>
              <w:bottom w:val="single" w:sz="4" w:space="0" w:color="auto"/>
              <w:right w:val="nil"/>
            </w:tcBorders>
            <w:shd w:val="clear" w:color="auto" w:fill="auto"/>
            <w:noWrap/>
            <w:vAlign w:val="center"/>
            <w:hideMark/>
          </w:tcPr>
          <w:p w14:paraId="05C07C76"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50</w:t>
            </w:r>
          </w:p>
        </w:tc>
      </w:tr>
      <w:tr w:rsidR="00F15667" w:rsidRPr="005D7674" w14:paraId="656FF1AD"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1CFAE505" w14:textId="77777777" w:rsidR="00DC2970" w:rsidRPr="005D7674" w:rsidRDefault="00DC2970" w:rsidP="005C09EE">
            <w:pPr>
              <w:spacing w:line="240" w:lineRule="auto"/>
              <w:jc w:val="left"/>
              <w:rPr>
                <w:rFonts w:eastAsia="Times New Roman"/>
                <w:szCs w:val="24"/>
                <w:lang w:eastAsia="cs-CZ"/>
              </w:rPr>
            </w:pPr>
            <w:r w:rsidRPr="005D7674">
              <w:rPr>
                <w:rFonts w:eastAsia="Times New Roman"/>
                <w:szCs w:val="24"/>
                <w:lang w:eastAsia="cs-CZ"/>
              </w:rPr>
              <w:t>KS Č. Budějovice</w:t>
            </w:r>
          </w:p>
        </w:tc>
        <w:tc>
          <w:tcPr>
            <w:tcW w:w="1660" w:type="dxa"/>
            <w:tcBorders>
              <w:top w:val="nil"/>
              <w:left w:val="nil"/>
              <w:bottom w:val="single" w:sz="4" w:space="0" w:color="auto"/>
              <w:right w:val="nil"/>
            </w:tcBorders>
            <w:shd w:val="clear" w:color="auto" w:fill="auto"/>
            <w:noWrap/>
            <w:vAlign w:val="center"/>
            <w:hideMark/>
          </w:tcPr>
          <w:p w14:paraId="6030B839"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73</w:t>
            </w:r>
          </w:p>
        </w:tc>
        <w:tc>
          <w:tcPr>
            <w:tcW w:w="1660" w:type="dxa"/>
            <w:tcBorders>
              <w:top w:val="nil"/>
              <w:left w:val="nil"/>
              <w:bottom w:val="single" w:sz="4" w:space="0" w:color="auto"/>
              <w:right w:val="nil"/>
            </w:tcBorders>
            <w:shd w:val="clear" w:color="auto" w:fill="auto"/>
            <w:noWrap/>
            <w:vAlign w:val="center"/>
            <w:hideMark/>
          </w:tcPr>
          <w:p w14:paraId="48184084"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35</w:t>
            </w:r>
          </w:p>
        </w:tc>
      </w:tr>
      <w:tr w:rsidR="00F15667" w:rsidRPr="005D7674" w14:paraId="1896ACA8"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12975F01" w14:textId="77777777" w:rsidR="00DC2970" w:rsidRPr="005D7674" w:rsidRDefault="00DC2970" w:rsidP="005C09EE">
            <w:pPr>
              <w:spacing w:line="240" w:lineRule="auto"/>
              <w:jc w:val="left"/>
              <w:rPr>
                <w:rFonts w:eastAsia="Times New Roman"/>
                <w:szCs w:val="24"/>
                <w:lang w:eastAsia="cs-CZ"/>
              </w:rPr>
            </w:pPr>
            <w:r w:rsidRPr="005D7674">
              <w:rPr>
                <w:rFonts w:eastAsia="Times New Roman"/>
                <w:szCs w:val="24"/>
                <w:lang w:eastAsia="cs-CZ"/>
              </w:rPr>
              <w:t>KS Plzeň</w:t>
            </w:r>
          </w:p>
        </w:tc>
        <w:tc>
          <w:tcPr>
            <w:tcW w:w="1660" w:type="dxa"/>
            <w:tcBorders>
              <w:top w:val="nil"/>
              <w:left w:val="nil"/>
              <w:bottom w:val="single" w:sz="4" w:space="0" w:color="auto"/>
              <w:right w:val="nil"/>
            </w:tcBorders>
            <w:shd w:val="clear" w:color="auto" w:fill="auto"/>
            <w:noWrap/>
            <w:vAlign w:val="center"/>
            <w:hideMark/>
          </w:tcPr>
          <w:p w14:paraId="54246515"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96</w:t>
            </w:r>
          </w:p>
        </w:tc>
        <w:tc>
          <w:tcPr>
            <w:tcW w:w="1660" w:type="dxa"/>
            <w:tcBorders>
              <w:top w:val="nil"/>
              <w:left w:val="nil"/>
              <w:bottom w:val="single" w:sz="4" w:space="0" w:color="auto"/>
              <w:right w:val="nil"/>
            </w:tcBorders>
            <w:shd w:val="clear" w:color="auto" w:fill="auto"/>
            <w:noWrap/>
            <w:vAlign w:val="center"/>
            <w:hideMark/>
          </w:tcPr>
          <w:p w14:paraId="1346A78E"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42</w:t>
            </w:r>
          </w:p>
        </w:tc>
      </w:tr>
      <w:tr w:rsidR="00F15667" w:rsidRPr="005D7674" w14:paraId="616C5A3B"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676A7A1A" w14:textId="77777777" w:rsidR="00DC2970" w:rsidRPr="005D7674" w:rsidRDefault="00DC2970" w:rsidP="005C09EE">
            <w:pPr>
              <w:spacing w:line="240" w:lineRule="auto"/>
              <w:jc w:val="left"/>
              <w:rPr>
                <w:rFonts w:eastAsia="Times New Roman"/>
                <w:szCs w:val="24"/>
                <w:lang w:eastAsia="cs-CZ"/>
              </w:rPr>
            </w:pPr>
            <w:r w:rsidRPr="005D7674">
              <w:rPr>
                <w:rFonts w:eastAsia="Times New Roman"/>
                <w:szCs w:val="24"/>
                <w:lang w:eastAsia="cs-CZ"/>
              </w:rPr>
              <w:t>KS Ústí n. Labem</w:t>
            </w:r>
          </w:p>
        </w:tc>
        <w:tc>
          <w:tcPr>
            <w:tcW w:w="1660" w:type="dxa"/>
            <w:tcBorders>
              <w:top w:val="nil"/>
              <w:left w:val="nil"/>
              <w:bottom w:val="single" w:sz="4" w:space="0" w:color="auto"/>
              <w:right w:val="nil"/>
            </w:tcBorders>
            <w:shd w:val="clear" w:color="auto" w:fill="auto"/>
            <w:noWrap/>
            <w:vAlign w:val="center"/>
            <w:hideMark/>
          </w:tcPr>
          <w:p w14:paraId="7ADB25D0"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148</w:t>
            </w:r>
          </w:p>
        </w:tc>
        <w:tc>
          <w:tcPr>
            <w:tcW w:w="1660" w:type="dxa"/>
            <w:tcBorders>
              <w:top w:val="nil"/>
              <w:left w:val="nil"/>
              <w:bottom w:val="single" w:sz="4" w:space="0" w:color="auto"/>
              <w:right w:val="nil"/>
            </w:tcBorders>
            <w:shd w:val="clear" w:color="auto" w:fill="auto"/>
            <w:noWrap/>
            <w:vAlign w:val="center"/>
            <w:hideMark/>
          </w:tcPr>
          <w:p w14:paraId="44468BC2"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65</w:t>
            </w:r>
          </w:p>
        </w:tc>
      </w:tr>
      <w:tr w:rsidR="00F15667" w:rsidRPr="005D7674" w14:paraId="0C65B2B3"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14CE7196" w14:textId="77777777" w:rsidR="00DC2970" w:rsidRPr="005D7674" w:rsidRDefault="00DC2970" w:rsidP="005C09EE">
            <w:pPr>
              <w:spacing w:line="240" w:lineRule="auto"/>
              <w:jc w:val="left"/>
              <w:rPr>
                <w:rFonts w:eastAsia="Times New Roman"/>
                <w:szCs w:val="24"/>
                <w:lang w:eastAsia="cs-CZ"/>
              </w:rPr>
            </w:pPr>
            <w:r w:rsidRPr="005D7674">
              <w:rPr>
                <w:rFonts w:eastAsia="Times New Roman"/>
                <w:szCs w:val="24"/>
                <w:lang w:eastAsia="cs-CZ"/>
              </w:rPr>
              <w:t>KS Hr. Králové</w:t>
            </w:r>
          </w:p>
        </w:tc>
        <w:tc>
          <w:tcPr>
            <w:tcW w:w="1660" w:type="dxa"/>
            <w:tcBorders>
              <w:top w:val="nil"/>
              <w:left w:val="nil"/>
              <w:bottom w:val="single" w:sz="4" w:space="0" w:color="auto"/>
              <w:right w:val="nil"/>
            </w:tcBorders>
            <w:shd w:val="clear" w:color="auto" w:fill="auto"/>
            <w:noWrap/>
            <w:vAlign w:val="center"/>
            <w:hideMark/>
          </w:tcPr>
          <w:p w14:paraId="4EE84D66"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104</w:t>
            </w:r>
          </w:p>
        </w:tc>
        <w:tc>
          <w:tcPr>
            <w:tcW w:w="1660" w:type="dxa"/>
            <w:tcBorders>
              <w:top w:val="nil"/>
              <w:left w:val="nil"/>
              <w:bottom w:val="single" w:sz="4" w:space="0" w:color="auto"/>
              <w:right w:val="nil"/>
            </w:tcBorders>
            <w:shd w:val="clear" w:color="auto" w:fill="auto"/>
            <w:noWrap/>
            <w:vAlign w:val="center"/>
            <w:hideMark/>
          </w:tcPr>
          <w:p w14:paraId="40EE2DF4"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42</w:t>
            </w:r>
          </w:p>
        </w:tc>
      </w:tr>
      <w:tr w:rsidR="00F15667" w:rsidRPr="005D7674" w14:paraId="1932F077" w14:textId="77777777" w:rsidTr="005C09EE">
        <w:trPr>
          <w:trHeight w:val="315"/>
        </w:trPr>
        <w:tc>
          <w:tcPr>
            <w:tcW w:w="2480" w:type="dxa"/>
            <w:tcBorders>
              <w:top w:val="nil"/>
              <w:left w:val="nil"/>
              <w:bottom w:val="single" w:sz="4" w:space="0" w:color="auto"/>
              <w:right w:val="nil"/>
            </w:tcBorders>
            <w:shd w:val="clear" w:color="auto" w:fill="auto"/>
            <w:noWrap/>
            <w:vAlign w:val="center"/>
            <w:hideMark/>
          </w:tcPr>
          <w:p w14:paraId="34853453" w14:textId="77777777" w:rsidR="00DC2970" w:rsidRPr="005D7674" w:rsidRDefault="00DC2970" w:rsidP="005C09EE">
            <w:pPr>
              <w:spacing w:line="240" w:lineRule="auto"/>
              <w:jc w:val="left"/>
              <w:rPr>
                <w:rFonts w:eastAsia="Times New Roman"/>
                <w:szCs w:val="24"/>
                <w:lang w:eastAsia="cs-CZ"/>
              </w:rPr>
            </w:pPr>
            <w:r w:rsidRPr="005D7674">
              <w:rPr>
                <w:rFonts w:eastAsia="Times New Roman"/>
                <w:szCs w:val="24"/>
                <w:lang w:eastAsia="cs-CZ"/>
              </w:rPr>
              <w:t>KS Brno</w:t>
            </w:r>
          </w:p>
        </w:tc>
        <w:tc>
          <w:tcPr>
            <w:tcW w:w="1660" w:type="dxa"/>
            <w:tcBorders>
              <w:top w:val="nil"/>
              <w:left w:val="nil"/>
              <w:bottom w:val="single" w:sz="4" w:space="0" w:color="auto"/>
              <w:right w:val="nil"/>
            </w:tcBorders>
            <w:shd w:val="clear" w:color="auto" w:fill="auto"/>
            <w:noWrap/>
            <w:vAlign w:val="center"/>
            <w:hideMark/>
          </w:tcPr>
          <w:p w14:paraId="75352FF0"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145</w:t>
            </w:r>
          </w:p>
        </w:tc>
        <w:tc>
          <w:tcPr>
            <w:tcW w:w="1660" w:type="dxa"/>
            <w:tcBorders>
              <w:top w:val="nil"/>
              <w:left w:val="nil"/>
              <w:bottom w:val="single" w:sz="4" w:space="0" w:color="auto"/>
              <w:right w:val="nil"/>
            </w:tcBorders>
            <w:shd w:val="clear" w:color="auto" w:fill="auto"/>
            <w:noWrap/>
            <w:vAlign w:val="center"/>
            <w:hideMark/>
          </w:tcPr>
          <w:p w14:paraId="147CF796"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63</w:t>
            </w:r>
          </w:p>
        </w:tc>
      </w:tr>
      <w:tr w:rsidR="00F15667" w:rsidRPr="005D7674" w14:paraId="20746A12" w14:textId="77777777" w:rsidTr="005C09EE">
        <w:trPr>
          <w:trHeight w:val="330"/>
        </w:trPr>
        <w:tc>
          <w:tcPr>
            <w:tcW w:w="2480" w:type="dxa"/>
            <w:tcBorders>
              <w:top w:val="nil"/>
              <w:left w:val="nil"/>
              <w:bottom w:val="double" w:sz="6" w:space="0" w:color="auto"/>
              <w:right w:val="nil"/>
            </w:tcBorders>
            <w:shd w:val="clear" w:color="auto" w:fill="auto"/>
            <w:noWrap/>
            <w:vAlign w:val="center"/>
            <w:hideMark/>
          </w:tcPr>
          <w:p w14:paraId="523FB6D5" w14:textId="77777777" w:rsidR="00DC2970" w:rsidRPr="005D7674" w:rsidRDefault="00DC2970" w:rsidP="005C09EE">
            <w:pPr>
              <w:spacing w:line="240" w:lineRule="auto"/>
              <w:jc w:val="left"/>
              <w:rPr>
                <w:rFonts w:eastAsia="Times New Roman"/>
                <w:szCs w:val="24"/>
                <w:lang w:eastAsia="cs-CZ"/>
              </w:rPr>
            </w:pPr>
            <w:r w:rsidRPr="005D7674">
              <w:rPr>
                <w:rFonts w:eastAsia="Times New Roman"/>
                <w:szCs w:val="24"/>
                <w:lang w:eastAsia="cs-CZ"/>
              </w:rPr>
              <w:t>KS Ostrava</w:t>
            </w:r>
          </w:p>
        </w:tc>
        <w:tc>
          <w:tcPr>
            <w:tcW w:w="1660" w:type="dxa"/>
            <w:tcBorders>
              <w:top w:val="nil"/>
              <w:left w:val="nil"/>
              <w:bottom w:val="double" w:sz="6" w:space="0" w:color="auto"/>
              <w:right w:val="nil"/>
            </w:tcBorders>
            <w:shd w:val="clear" w:color="auto" w:fill="auto"/>
            <w:noWrap/>
            <w:vAlign w:val="center"/>
            <w:hideMark/>
          </w:tcPr>
          <w:p w14:paraId="7155ECA8"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144</w:t>
            </w:r>
          </w:p>
        </w:tc>
        <w:tc>
          <w:tcPr>
            <w:tcW w:w="1660" w:type="dxa"/>
            <w:tcBorders>
              <w:top w:val="nil"/>
              <w:left w:val="nil"/>
              <w:bottom w:val="double" w:sz="6" w:space="0" w:color="auto"/>
              <w:right w:val="nil"/>
            </w:tcBorders>
            <w:shd w:val="clear" w:color="auto" w:fill="auto"/>
            <w:noWrap/>
            <w:vAlign w:val="center"/>
            <w:hideMark/>
          </w:tcPr>
          <w:p w14:paraId="0864DCB9" w14:textId="77777777" w:rsidR="00DC2970" w:rsidRPr="005D7674" w:rsidRDefault="00DC2970" w:rsidP="005C09EE">
            <w:pPr>
              <w:spacing w:line="240" w:lineRule="auto"/>
              <w:jc w:val="center"/>
              <w:rPr>
                <w:rFonts w:eastAsia="Times New Roman"/>
                <w:szCs w:val="24"/>
                <w:lang w:eastAsia="cs-CZ"/>
              </w:rPr>
            </w:pPr>
            <w:r w:rsidRPr="005D7674">
              <w:rPr>
                <w:rFonts w:eastAsia="Times New Roman"/>
                <w:szCs w:val="24"/>
                <w:lang w:eastAsia="cs-CZ"/>
              </w:rPr>
              <w:t>63</w:t>
            </w:r>
          </w:p>
        </w:tc>
      </w:tr>
      <w:tr w:rsidR="00F15667" w:rsidRPr="005D7674" w14:paraId="46224C2D" w14:textId="77777777" w:rsidTr="005C09EE">
        <w:trPr>
          <w:trHeight w:val="345"/>
        </w:trPr>
        <w:tc>
          <w:tcPr>
            <w:tcW w:w="2480" w:type="dxa"/>
            <w:tcBorders>
              <w:top w:val="nil"/>
              <w:left w:val="nil"/>
              <w:bottom w:val="double" w:sz="6" w:space="0" w:color="auto"/>
              <w:right w:val="nil"/>
            </w:tcBorders>
            <w:shd w:val="clear" w:color="auto" w:fill="auto"/>
            <w:noWrap/>
            <w:vAlign w:val="center"/>
            <w:hideMark/>
          </w:tcPr>
          <w:p w14:paraId="2D15E53E" w14:textId="77777777" w:rsidR="00DC2970" w:rsidRPr="005D7674" w:rsidRDefault="00DC2970" w:rsidP="005C09EE">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660" w:type="dxa"/>
            <w:tcBorders>
              <w:top w:val="nil"/>
              <w:left w:val="nil"/>
              <w:bottom w:val="double" w:sz="6" w:space="0" w:color="auto"/>
              <w:right w:val="nil"/>
            </w:tcBorders>
            <w:shd w:val="clear" w:color="auto" w:fill="auto"/>
            <w:noWrap/>
            <w:vAlign w:val="center"/>
            <w:hideMark/>
          </w:tcPr>
          <w:p w14:paraId="3C0857E9" w14:textId="77777777" w:rsidR="00DC2970" w:rsidRPr="005D7674" w:rsidRDefault="00DC2970" w:rsidP="005C09EE">
            <w:pPr>
              <w:spacing w:line="240" w:lineRule="auto"/>
              <w:jc w:val="center"/>
              <w:rPr>
                <w:rFonts w:eastAsia="Times New Roman"/>
                <w:b/>
                <w:bCs/>
                <w:szCs w:val="24"/>
                <w:lang w:eastAsia="cs-CZ"/>
              </w:rPr>
            </w:pPr>
            <w:r w:rsidRPr="005D7674">
              <w:rPr>
                <w:rFonts w:eastAsia="Times New Roman"/>
                <w:b/>
                <w:bCs/>
                <w:szCs w:val="24"/>
                <w:lang w:eastAsia="cs-CZ"/>
              </w:rPr>
              <w:t>127</w:t>
            </w:r>
          </w:p>
        </w:tc>
        <w:tc>
          <w:tcPr>
            <w:tcW w:w="1660" w:type="dxa"/>
            <w:tcBorders>
              <w:top w:val="nil"/>
              <w:left w:val="nil"/>
              <w:bottom w:val="double" w:sz="6" w:space="0" w:color="auto"/>
              <w:right w:val="nil"/>
            </w:tcBorders>
            <w:shd w:val="clear" w:color="auto" w:fill="auto"/>
            <w:noWrap/>
            <w:vAlign w:val="center"/>
            <w:hideMark/>
          </w:tcPr>
          <w:p w14:paraId="27215E10" w14:textId="77777777" w:rsidR="00DC2970" w:rsidRPr="005D7674" w:rsidRDefault="00DC2970" w:rsidP="005C09EE">
            <w:pPr>
              <w:spacing w:line="240" w:lineRule="auto"/>
              <w:jc w:val="center"/>
              <w:rPr>
                <w:rFonts w:eastAsia="Times New Roman"/>
                <w:b/>
                <w:bCs/>
                <w:szCs w:val="24"/>
                <w:lang w:eastAsia="cs-CZ"/>
              </w:rPr>
            </w:pPr>
            <w:r w:rsidRPr="005D7674">
              <w:rPr>
                <w:rFonts w:eastAsia="Times New Roman"/>
                <w:b/>
                <w:bCs/>
                <w:szCs w:val="24"/>
                <w:lang w:eastAsia="cs-CZ"/>
              </w:rPr>
              <w:t>55</w:t>
            </w:r>
          </w:p>
        </w:tc>
      </w:tr>
      <w:tr w:rsidR="005C09EE" w:rsidRPr="005D7674" w14:paraId="51B3CF21" w14:textId="77777777" w:rsidTr="005C09EE">
        <w:trPr>
          <w:trHeight w:val="345"/>
        </w:trPr>
        <w:tc>
          <w:tcPr>
            <w:tcW w:w="2480" w:type="dxa"/>
            <w:tcBorders>
              <w:top w:val="double" w:sz="6" w:space="0" w:color="auto"/>
              <w:left w:val="nil"/>
              <w:right w:val="nil"/>
            </w:tcBorders>
            <w:shd w:val="clear" w:color="auto" w:fill="auto"/>
            <w:noWrap/>
            <w:vAlign w:val="center"/>
          </w:tcPr>
          <w:p w14:paraId="188F74A4" w14:textId="77777777" w:rsidR="005C09EE" w:rsidRPr="005D7674" w:rsidRDefault="005C09EE" w:rsidP="005C09EE">
            <w:pPr>
              <w:spacing w:line="240" w:lineRule="auto"/>
              <w:jc w:val="center"/>
              <w:rPr>
                <w:rFonts w:eastAsia="Times New Roman"/>
                <w:b/>
                <w:bCs/>
                <w:szCs w:val="24"/>
                <w:lang w:eastAsia="cs-CZ"/>
              </w:rPr>
            </w:pPr>
          </w:p>
        </w:tc>
        <w:tc>
          <w:tcPr>
            <w:tcW w:w="1660" w:type="dxa"/>
            <w:tcBorders>
              <w:top w:val="double" w:sz="6" w:space="0" w:color="auto"/>
              <w:left w:val="nil"/>
              <w:right w:val="nil"/>
            </w:tcBorders>
            <w:shd w:val="clear" w:color="auto" w:fill="auto"/>
            <w:noWrap/>
            <w:vAlign w:val="center"/>
          </w:tcPr>
          <w:p w14:paraId="527A6822" w14:textId="77777777" w:rsidR="005C09EE" w:rsidRPr="005D7674" w:rsidRDefault="005C09EE" w:rsidP="005C09EE">
            <w:pPr>
              <w:spacing w:line="240" w:lineRule="auto"/>
              <w:jc w:val="center"/>
              <w:rPr>
                <w:rFonts w:eastAsia="Times New Roman"/>
                <w:b/>
                <w:bCs/>
                <w:szCs w:val="24"/>
                <w:lang w:eastAsia="cs-CZ"/>
              </w:rPr>
            </w:pPr>
          </w:p>
        </w:tc>
        <w:tc>
          <w:tcPr>
            <w:tcW w:w="1660" w:type="dxa"/>
            <w:tcBorders>
              <w:top w:val="double" w:sz="6" w:space="0" w:color="auto"/>
              <w:left w:val="nil"/>
              <w:right w:val="nil"/>
            </w:tcBorders>
            <w:shd w:val="clear" w:color="auto" w:fill="auto"/>
            <w:noWrap/>
            <w:vAlign w:val="center"/>
          </w:tcPr>
          <w:p w14:paraId="3CF9AECD" w14:textId="77777777" w:rsidR="005C09EE" w:rsidRPr="005D7674" w:rsidRDefault="005C09EE" w:rsidP="005C09EE">
            <w:pPr>
              <w:spacing w:line="240" w:lineRule="auto"/>
              <w:jc w:val="center"/>
              <w:rPr>
                <w:rFonts w:eastAsia="Times New Roman"/>
                <w:b/>
                <w:bCs/>
                <w:szCs w:val="24"/>
                <w:lang w:eastAsia="cs-CZ"/>
              </w:rPr>
            </w:pPr>
          </w:p>
        </w:tc>
      </w:tr>
    </w:tbl>
    <w:p w14:paraId="6077AE3E" w14:textId="790CC38C" w:rsidR="00DC2970" w:rsidRPr="005D7674" w:rsidRDefault="0084599D" w:rsidP="00DC2970">
      <w:pPr>
        <w:pStyle w:val="OdstavecASR"/>
      </w:pPr>
      <w:r w:rsidRPr="005D7674">
        <w:t>Z </w:t>
      </w:r>
      <w:r w:rsidR="00DC2970" w:rsidRPr="005D7674">
        <w:t>tabulky lze vyčíst několik zajímavých údajů, například:</w:t>
      </w:r>
    </w:p>
    <w:p w14:paraId="297BE8BC" w14:textId="4E4FBEF2" w:rsidR="00DC2970" w:rsidRPr="005D7674" w:rsidRDefault="00DC2970" w:rsidP="00DC2970">
      <w:pPr>
        <w:pStyle w:val="OdstavecASR"/>
        <w:numPr>
          <w:ilvl w:val="0"/>
          <w:numId w:val="43"/>
        </w:numPr>
      </w:pPr>
      <w:r w:rsidRPr="005D7674">
        <w:t xml:space="preserve">V případě konání opatrovnického soudu bylo řízení (poměrně logicky) výrazně delší. A to asi 2,3násobně delší. </w:t>
      </w:r>
    </w:p>
    <w:p w14:paraId="645D2F5D" w14:textId="6086D6B3" w:rsidR="00DC2970" w:rsidRPr="005D7674" w:rsidRDefault="00DC2970" w:rsidP="00DC2970">
      <w:pPr>
        <w:pStyle w:val="OdstavecASR"/>
        <w:numPr>
          <w:ilvl w:val="0"/>
          <w:numId w:val="43"/>
        </w:numPr>
      </w:pPr>
      <w:r w:rsidRPr="005D7674">
        <w:t>Řízení bez opatrovnického soudu je velmi krátké (medián necelé dva měsíce), ale i řízení, kde opatrovnické řízení proběhlo jsou poměrně krátké – medián 127 dnů, což je asi o</w:t>
      </w:r>
      <w:r w:rsidR="005C09EE" w:rsidRPr="005D7674">
        <w:t> </w:t>
      </w:r>
      <w:r w:rsidRPr="005D7674">
        <w:t>40</w:t>
      </w:r>
      <w:r w:rsidR="005C09EE" w:rsidRPr="005D7674">
        <w:t> </w:t>
      </w:r>
      <w:r w:rsidRPr="005D7674">
        <w:t>dnů kratší, než „klasické“ civilní řízení.</w:t>
      </w:r>
    </w:p>
    <w:p w14:paraId="5A14391B" w14:textId="3D80E294" w:rsidR="00DC2970" w:rsidRPr="005D7674" w:rsidRDefault="00DC2970" w:rsidP="00DC2970">
      <w:pPr>
        <w:pStyle w:val="OdstavecASR"/>
        <w:numPr>
          <w:ilvl w:val="0"/>
          <w:numId w:val="43"/>
        </w:numPr>
      </w:pPr>
      <w:r w:rsidRPr="005D7674">
        <w:t xml:space="preserve">Nejvyšší mediánové délky řízení vykazují téměř shodně čtyři kraje – Severomoravský, Jihomoravský, Severočeský a Praha. Nejkratší je naopak (stejně jako „klasické“ civilní řízení) v Jižních Čechách. </w:t>
      </w:r>
    </w:p>
    <w:p w14:paraId="14812474" w14:textId="70153BDB" w:rsidR="00DC2970" w:rsidRPr="005D7674" w:rsidRDefault="00DC2970" w:rsidP="00DC2970">
      <w:pPr>
        <w:pStyle w:val="OdstavecASR"/>
      </w:pPr>
      <w:r w:rsidRPr="005D7674">
        <w:t>Další otázka, kterou</w:t>
      </w:r>
      <w:r w:rsidR="0084599D" w:rsidRPr="005D7674">
        <w:t xml:space="preserve"> si</w:t>
      </w:r>
      <w:r w:rsidRPr="005D7674">
        <w:t xml:space="preserve"> lze ve spojení s</w:t>
      </w:r>
      <w:r w:rsidR="0084599D" w:rsidRPr="005D7674">
        <w:t> </w:t>
      </w:r>
      <w:r w:rsidRPr="005D7674">
        <w:t>rozvody</w:t>
      </w:r>
      <w:r w:rsidR="0084599D" w:rsidRPr="005D7674">
        <w:t xml:space="preserve"> položit je</w:t>
      </w:r>
      <w:r w:rsidRPr="005D7674">
        <w:t>, zda bylo manželství rozvedeno a zda šlo o tzv. sporný rozvod či tzv. nesporný rozvod. Nesporným rozvodem</w:t>
      </w:r>
      <w:r w:rsidR="00D05119" w:rsidRPr="005D7674">
        <w:t xml:space="preserve"> byl v roce 2022</w:t>
      </w:r>
      <w:r w:rsidRPr="005D7674">
        <w:t xml:space="preserve"> myšlen rozvod, kdy byl podán společný návrh na rozvod (platí i pro přistoupení jednoho z manželů v</w:t>
      </w:r>
      <w:r w:rsidR="005C09EE" w:rsidRPr="005D7674">
        <w:t> </w:t>
      </w:r>
      <w:r w:rsidRPr="005D7674">
        <w:t>průběhu řízení dle § 384 odst. 2 z. ř. s. vč. tzv. vyslovení souhlasu či uzavření dohody). Sporný rozvod znamená, že návrh podal jen jeden z manželů. Data jsou v tabulce níže.</w:t>
      </w:r>
    </w:p>
    <w:p w14:paraId="2E443FF7" w14:textId="060E49A7" w:rsidR="00DC2970" w:rsidRPr="005D7674" w:rsidRDefault="003762F3" w:rsidP="003762F3">
      <w:pPr>
        <w:pStyle w:val="Podnadpis"/>
        <w:rPr>
          <w:color w:val="auto"/>
        </w:rPr>
      </w:pPr>
      <w:bookmarkStart w:id="213" w:name="_Toc144104256"/>
      <w:r w:rsidRPr="005D7674">
        <w:rPr>
          <w:color w:val="auto"/>
        </w:rPr>
        <w:t xml:space="preserve">Tabulka </w:t>
      </w:r>
      <w:r w:rsidRPr="005D7674">
        <w:rPr>
          <w:color w:val="auto"/>
        </w:rPr>
        <w:fldChar w:fldCharType="begin"/>
      </w:r>
      <w:r w:rsidRPr="005D7674">
        <w:rPr>
          <w:color w:val="auto"/>
        </w:rPr>
        <w:instrText xml:space="preserve"> SEQ Tabulka \* ARABIC </w:instrText>
      </w:r>
      <w:r w:rsidRPr="005D7674">
        <w:rPr>
          <w:color w:val="auto"/>
        </w:rPr>
        <w:fldChar w:fldCharType="separate"/>
      </w:r>
      <w:r w:rsidR="001E1A67">
        <w:rPr>
          <w:noProof/>
          <w:color w:val="auto"/>
        </w:rPr>
        <w:t>17</w:t>
      </w:r>
      <w:r w:rsidRPr="005D7674">
        <w:rPr>
          <w:noProof/>
          <w:color w:val="auto"/>
        </w:rPr>
        <w:fldChar w:fldCharType="end"/>
      </w:r>
      <w:r w:rsidRPr="005D7674">
        <w:rPr>
          <w:color w:val="auto"/>
        </w:rPr>
        <w:t xml:space="preserve">: OS – „sporné“ </w:t>
      </w:r>
      <w:r w:rsidR="005C09EE" w:rsidRPr="005D7674">
        <w:rPr>
          <w:color w:val="auto"/>
        </w:rPr>
        <w:t>×</w:t>
      </w:r>
      <w:r w:rsidRPr="005D7674">
        <w:rPr>
          <w:color w:val="auto"/>
        </w:rPr>
        <w:t xml:space="preserve"> „nesporné“ rozvody</w:t>
      </w:r>
      <w:bookmarkEnd w:id="213"/>
    </w:p>
    <w:tbl>
      <w:tblPr>
        <w:tblW w:w="5600" w:type="dxa"/>
        <w:tblCellMar>
          <w:left w:w="0" w:type="dxa"/>
          <w:right w:w="0" w:type="dxa"/>
        </w:tblCellMar>
        <w:tblLook w:val="04A0" w:firstRow="1" w:lastRow="0" w:firstColumn="1" w:lastColumn="0" w:noHBand="0" w:noVBand="1"/>
      </w:tblPr>
      <w:tblGrid>
        <w:gridCol w:w="2480"/>
        <w:gridCol w:w="1660"/>
        <w:gridCol w:w="1460"/>
        <w:gridCol w:w="36"/>
      </w:tblGrid>
      <w:tr w:rsidR="00F15667" w:rsidRPr="005D7674" w14:paraId="51905675" w14:textId="77777777" w:rsidTr="005C09EE">
        <w:trPr>
          <w:gridAfter w:val="1"/>
          <w:trHeight w:val="451"/>
        </w:trPr>
        <w:tc>
          <w:tcPr>
            <w:tcW w:w="2480" w:type="dxa"/>
            <w:vMerge w:val="restart"/>
            <w:tcBorders>
              <w:top w:val="double" w:sz="6" w:space="0" w:color="auto"/>
              <w:left w:val="nil"/>
              <w:bottom w:val="double" w:sz="6" w:space="0" w:color="000000"/>
              <w:right w:val="nil"/>
            </w:tcBorders>
            <w:shd w:val="clear" w:color="auto" w:fill="auto"/>
            <w:noWrap/>
            <w:tcMar>
              <w:top w:w="15" w:type="dxa"/>
              <w:left w:w="15" w:type="dxa"/>
              <w:bottom w:w="0" w:type="dxa"/>
              <w:right w:w="15" w:type="dxa"/>
            </w:tcMar>
            <w:vAlign w:val="center"/>
            <w:hideMark/>
          </w:tcPr>
          <w:p w14:paraId="6B874216" w14:textId="77777777" w:rsidR="003762F3" w:rsidRPr="005D7674" w:rsidRDefault="003762F3" w:rsidP="005C09EE">
            <w:pPr>
              <w:spacing w:line="240" w:lineRule="auto"/>
              <w:jc w:val="center"/>
              <w:rPr>
                <w:rFonts w:eastAsia="Times New Roman"/>
                <w:b/>
                <w:bCs/>
              </w:rPr>
            </w:pPr>
            <w:r w:rsidRPr="005D7674">
              <w:rPr>
                <w:b/>
                <w:bCs/>
              </w:rPr>
              <w:t>Rozvod</w:t>
            </w:r>
          </w:p>
        </w:tc>
        <w:tc>
          <w:tcPr>
            <w:tcW w:w="1660" w:type="dxa"/>
            <w:vMerge w:val="restart"/>
            <w:tcBorders>
              <w:top w:val="double" w:sz="6" w:space="0" w:color="auto"/>
              <w:left w:val="nil"/>
              <w:bottom w:val="double" w:sz="6" w:space="0" w:color="000000"/>
              <w:right w:val="nil"/>
            </w:tcBorders>
            <w:shd w:val="clear" w:color="auto" w:fill="auto"/>
            <w:noWrap/>
            <w:tcMar>
              <w:top w:w="15" w:type="dxa"/>
              <w:left w:w="15" w:type="dxa"/>
              <w:bottom w:w="0" w:type="dxa"/>
              <w:right w:w="15" w:type="dxa"/>
            </w:tcMar>
            <w:vAlign w:val="center"/>
            <w:hideMark/>
          </w:tcPr>
          <w:p w14:paraId="3EFF45F8" w14:textId="77777777" w:rsidR="003762F3" w:rsidRPr="005D7674" w:rsidRDefault="003762F3" w:rsidP="005C09EE">
            <w:pPr>
              <w:jc w:val="center"/>
              <w:rPr>
                <w:b/>
                <w:bCs/>
              </w:rPr>
            </w:pPr>
            <w:r w:rsidRPr="005D7674">
              <w:rPr>
                <w:b/>
                <w:bCs/>
              </w:rPr>
              <w:t>Počet</w:t>
            </w:r>
          </w:p>
        </w:tc>
        <w:tc>
          <w:tcPr>
            <w:tcW w:w="1460" w:type="dxa"/>
            <w:vMerge w:val="restart"/>
            <w:tcBorders>
              <w:top w:val="double" w:sz="6" w:space="0" w:color="auto"/>
              <w:left w:val="nil"/>
              <w:bottom w:val="double" w:sz="6" w:space="0" w:color="000000"/>
              <w:right w:val="nil"/>
            </w:tcBorders>
            <w:shd w:val="clear" w:color="auto" w:fill="auto"/>
            <w:noWrap/>
            <w:tcMar>
              <w:top w:w="15" w:type="dxa"/>
              <w:left w:w="15" w:type="dxa"/>
              <w:bottom w:w="0" w:type="dxa"/>
              <w:right w:w="15" w:type="dxa"/>
            </w:tcMar>
            <w:vAlign w:val="center"/>
            <w:hideMark/>
          </w:tcPr>
          <w:p w14:paraId="622C1E39" w14:textId="77777777" w:rsidR="003762F3" w:rsidRPr="005D7674" w:rsidRDefault="003762F3" w:rsidP="005C09EE">
            <w:pPr>
              <w:jc w:val="center"/>
              <w:rPr>
                <w:b/>
                <w:bCs/>
              </w:rPr>
            </w:pPr>
            <w:r w:rsidRPr="005D7674">
              <w:rPr>
                <w:b/>
                <w:bCs/>
              </w:rPr>
              <w:t>Podíl</w:t>
            </w:r>
          </w:p>
        </w:tc>
      </w:tr>
      <w:tr w:rsidR="00F15667" w:rsidRPr="005D7674" w14:paraId="055B56BE" w14:textId="77777777" w:rsidTr="005C09EE">
        <w:trPr>
          <w:trHeight w:val="330"/>
        </w:trPr>
        <w:tc>
          <w:tcPr>
            <w:tcW w:w="0" w:type="auto"/>
            <w:vMerge/>
            <w:tcBorders>
              <w:top w:val="double" w:sz="6" w:space="0" w:color="auto"/>
              <w:left w:val="nil"/>
              <w:bottom w:val="double" w:sz="6" w:space="0" w:color="000000"/>
              <w:right w:val="nil"/>
            </w:tcBorders>
            <w:tcMar>
              <w:top w:w="15" w:type="dxa"/>
              <w:left w:w="15" w:type="dxa"/>
              <w:bottom w:w="0" w:type="dxa"/>
              <w:right w:w="15" w:type="dxa"/>
            </w:tcMar>
            <w:vAlign w:val="center"/>
            <w:hideMark/>
          </w:tcPr>
          <w:p w14:paraId="2951B9F8" w14:textId="77777777" w:rsidR="003762F3" w:rsidRPr="005D7674" w:rsidRDefault="003762F3" w:rsidP="005C09EE">
            <w:pPr>
              <w:jc w:val="center"/>
              <w:rPr>
                <w:b/>
                <w:bCs/>
                <w:szCs w:val="24"/>
              </w:rPr>
            </w:pPr>
          </w:p>
        </w:tc>
        <w:tc>
          <w:tcPr>
            <w:tcW w:w="0" w:type="auto"/>
            <w:vMerge/>
            <w:tcBorders>
              <w:top w:val="double" w:sz="6" w:space="0" w:color="auto"/>
              <w:left w:val="nil"/>
              <w:bottom w:val="double" w:sz="6" w:space="0" w:color="000000"/>
              <w:right w:val="nil"/>
            </w:tcBorders>
            <w:tcMar>
              <w:top w:w="15" w:type="dxa"/>
              <w:left w:w="15" w:type="dxa"/>
              <w:bottom w:w="0" w:type="dxa"/>
              <w:right w:w="15" w:type="dxa"/>
            </w:tcMar>
            <w:vAlign w:val="center"/>
            <w:hideMark/>
          </w:tcPr>
          <w:p w14:paraId="3F583569" w14:textId="77777777" w:rsidR="003762F3" w:rsidRPr="005D7674" w:rsidRDefault="003762F3" w:rsidP="005C09EE">
            <w:pPr>
              <w:jc w:val="center"/>
              <w:rPr>
                <w:b/>
                <w:bCs/>
                <w:szCs w:val="24"/>
              </w:rPr>
            </w:pPr>
          </w:p>
        </w:tc>
        <w:tc>
          <w:tcPr>
            <w:tcW w:w="0" w:type="auto"/>
            <w:vMerge/>
            <w:tcBorders>
              <w:top w:val="double" w:sz="6" w:space="0" w:color="auto"/>
              <w:left w:val="nil"/>
              <w:bottom w:val="double" w:sz="6" w:space="0" w:color="000000"/>
              <w:right w:val="nil"/>
            </w:tcBorders>
            <w:tcMar>
              <w:top w:w="15" w:type="dxa"/>
              <w:left w:w="15" w:type="dxa"/>
              <w:bottom w:w="0" w:type="dxa"/>
              <w:right w:w="15" w:type="dxa"/>
            </w:tcMar>
            <w:vAlign w:val="center"/>
            <w:hideMark/>
          </w:tcPr>
          <w:p w14:paraId="3605E093" w14:textId="77777777" w:rsidR="003762F3" w:rsidRPr="005D7674" w:rsidRDefault="003762F3" w:rsidP="005C09EE">
            <w:pPr>
              <w:jc w:val="center"/>
              <w:rPr>
                <w:b/>
                <w:bCs/>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8542AB" w14:textId="77777777" w:rsidR="003762F3" w:rsidRPr="005D7674" w:rsidRDefault="003762F3">
            <w:pPr>
              <w:jc w:val="center"/>
              <w:rPr>
                <w:b/>
                <w:bCs/>
              </w:rPr>
            </w:pPr>
          </w:p>
        </w:tc>
      </w:tr>
      <w:tr w:rsidR="00F15667" w:rsidRPr="005D7674" w14:paraId="77990A4F" w14:textId="77777777" w:rsidTr="005C09EE">
        <w:trPr>
          <w:trHeight w:val="33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1B687B" w14:textId="63B4B3E0" w:rsidR="003762F3" w:rsidRPr="005D7674" w:rsidRDefault="003762F3" w:rsidP="005C09EE">
            <w:pPr>
              <w:jc w:val="left"/>
              <w:rPr>
                <w:szCs w:val="24"/>
              </w:rPr>
            </w:pPr>
            <w:r w:rsidRPr="005D7674">
              <w:t>Na návrh manželky</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83E5A9" w14:textId="1B9586C5" w:rsidR="003762F3" w:rsidRPr="005D7674" w:rsidRDefault="003762F3" w:rsidP="005C09EE">
            <w:pPr>
              <w:jc w:val="center"/>
            </w:pPr>
            <w:r w:rsidRPr="005D7674">
              <w:t>4</w:t>
            </w:r>
            <w:r w:rsidR="009769E6" w:rsidRPr="005D7674">
              <w:t xml:space="preserve"> </w:t>
            </w:r>
            <w:r w:rsidRPr="005D7674">
              <w:t>018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0E8053" w14:textId="75375E0F" w:rsidR="003762F3" w:rsidRPr="005D7674" w:rsidRDefault="003762F3" w:rsidP="005C09EE">
            <w:pPr>
              <w:jc w:val="center"/>
            </w:pPr>
            <w:r w:rsidRPr="005D7674">
              <w:t>19</w:t>
            </w:r>
            <w:r w:rsidR="009769E6" w:rsidRPr="005D7674">
              <w:t>,</w:t>
            </w:r>
            <w:r w:rsidRPr="005D7674">
              <w:t>89 %</w:t>
            </w:r>
          </w:p>
        </w:tc>
        <w:tc>
          <w:tcPr>
            <w:tcW w:w="0" w:type="auto"/>
            <w:vAlign w:val="center"/>
            <w:hideMark/>
          </w:tcPr>
          <w:p w14:paraId="3C5DDAA0" w14:textId="77777777" w:rsidR="003762F3" w:rsidRPr="005D7674" w:rsidRDefault="003762F3">
            <w:pPr>
              <w:rPr>
                <w:sz w:val="20"/>
                <w:szCs w:val="20"/>
              </w:rPr>
            </w:pPr>
          </w:p>
        </w:tc>
      </w:tr>
      <w:tr w:rsidR="00F15667" w:rsidRPr="005D7674" w14:paraId="227AC711" w14:textId="77777777" w:rsidTr="005C09EE">
        <w:trPr>
          <w:trHeight w:val="315"/>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52D5EE7" w14:textId="77777777" w:rsidR="003762F3" w:rsidRPr="005D7674" w:rsidRDefault="003762F3" w:rsidP="005C09EE">
            <w:pPr>
              <w:jc w:val="left"/>
            </w:pPr>
            <w:r w:rsidRPr="005D7674">
              <w:t>Na návrh manžela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89E9476" w14:textId="3F509FB6" w:rsidR="003762F3" w:rsidRPr="005D7674" w:rsidRDefault="003762F3" w:rsidP="005C09EE">
            <w:pPr>
              <w:jc w:val="center"/>
            </w:pPr>
            <w:r w:rsidRPr="005D7674">
              <w:t>2</w:t>
            </w:r>
            <w:r w:rsidR="009769E6" w:rsidRPr="005D7674">
              <w:t xml:space="preserve"> </w:t>
            </w:r>
            <w:r w:rsidRPr="005D7674">
              <w:t>023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6B27D2F" w14:textId="7B5CCDAD" w:rsidR="003762F3" w:rsidRPr="005D7674" w:rsidRDefault="003762F3" w:rsidP="005C09EE">
            <w:pPr>
              <w:jc w:val="center"/>
            </w:pPr>
            <w:r w:rsidRPr="005D7674">
              <w:t>10</w:t>
            </w:r>
            <w:r w:rsidR="009769E6" w:rsidRPr="005D7674">
              <w:t>,</w:t>
            </w:r>
            <w:r w:rsidRPr="005D7674">
              <w:t>01 %</w:t>
            </w:r>
          </w:p>
        </w:tc>
        <w:tc>
          <w:tcPr>
            <w:tcW w:w="0" w:type="auto"/>
            <w:vAlign w:val="center"/>
            <w:hideMark/>
          </w:tcPr>
          <w:p w14:paraId="387959E7" w14:textId="77777777" w:rsidR="003762F3" w:rsidRPr="005D7674" w:rsidRDefault="003762F3">
            <w:pPr>
              <w:rPr>
                <w:sz w:val="20"/>
                <w:szCs w:val="20"/>
              </w:rPr>
            </w:pPr>
          </w:p>
        </w:tc>
      </w:tr>
      <w:tr w:rsidR="00F15667" w:rsidRPr="005D7674" w14:paraId="66EA1FB7" w14:textId="77777777" w:rsidTr="005C09EE">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B3389FA" w14:textId="26657A02" w:rsidR="003762F3" w:rsidRPr="005D7674" w:rsidRDefault="003762F3" w:rsidP="005C09EE">
            <w:pPr>
              <w:jc w:val="left"/>
            </w:pPr>
            <w:r w:rsidRPr="005D7674">
              <w:t>Společný návrh</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411B80" w14:textId="14E13BF6" w:rsidR="003762F3" w:rsidRPr="005D7674" w:rsidRDefault="003762F3" w:rsidP="005C09EE">
            <w:pPr>
              <w:jc w:val="center"/>
            </w:pPr>
            <w:r w:rsidRPr="005D7674">
              <w:t>12</w:t>
            </w:r>
            <w:r w:rsidR="009769E6" w:rsidRPr="005D7674">
              <w:t xml:space="preserve"> </w:t>
            </w:r>
            <w:r w:rsidRPr="005D7674">
              <w:t>960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3C8FBFA" w14:textId="2D255AA1" w:rsidR="003762F3" w:rsidRPr="005D7674" w:rsidRDefault="003762F3" w:rsidP="005C09EE">
            <w:pPr>
              <w:jc w:val="center"/>
            </w:pPr>
            <w:r w:rsidRPr="005D7674">
              <w:t>64</w:t>
            </w:r>
            <w:r w:rsidR="009769E6" w:rsidRPr="005D7674">
              <w:t>,</w:t>
            </w:r>
            <w:r w:rsidRPr="005D7674">
              <w:t>16 %</w:t>
            </w:r>
          </w:p>
        </w:tc>
        <w:tc>
          <w:tcPr>
            <w:tcW w:w="0" w:type="auto"/>
            <w:vAlign w:val="center"/>
            <w:hideMark/>
          </w:tcPr>
          <w:p w14:paraId="60779709" w14:textId="77777777" w:rsidR="003762F3" w:rsidRPr="005D7674" w:rsidRDefault="003762F3">
            <w:pPr>
              <w:rPr>
                <w:sz w:val="20"/>
                <w:szCs w:val="20"/>
              </w:rPr>
            </w:pPr>
          </w:p>
        </w:tc>
      </w:tr>
      <w:tr w:rsidR="00F15667" w:rsidRPr="005D7674" w14:paraId="2F4EFFF1" w14:textId="77777777" w:rsidTr="005C09EE">
        <w:trPr>
          <w:trHeight w:val="33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CF9B74" w14:textId="77777777" w:rsidR="003762F3" w:rsidRPr="005D7674" w:rsidRDefault="003762F3" w:rsidP="005C09EE">
            <w:pPr>
              <w:jc w:val="left"/>
            </w:pPr>
            <w:r w:rsidRPr="005D7674">
              <w:t>Manželství nerozvedeno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8B812A" w14:textId="55D6C707" w:rsidR="003762F3" w:rsidRPr="005D7674" w:rsidRDefault="003762F3" w:rsidP="005C09EE">
            <w:pPr>
              <w:jc w:val="center"/>
            </w:pPr>
            <w:r w:rsidRPr="005D7674">
              <w:t>1</w:t>
            </w:r>
            <w:r w:rsidR="009769E6" w:rsidRPr="005D7674">
              <w:t xml:space="preserve"> </w:t>
            </w:r>
            <w:r w:rsidRPr="005D7674">
              <w:t>199</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2BE701CC" w14:textId="4862063C" w:rsidR="003762F3" w:rsidRPr="005D7674" w:rsidRDefault="003762F3" w:rsidP="005C09EE">
            <w:pPr>
              <w:jc w:val="center"/>
            </w:pPr>
            <w:r w:rsidRPr="005D7674">
              <w:t>5</w:t>
            </w:r>
            <w:r w:rsidR="009769E6" w:rsidRPr="005D7674">
              <w:t>,</w:t>
            </w:r>
            <w:r w:rsidRPr="005D7674">
              <w:t>94 %</w:t>
            </w:r>
          </w:p>
        </w:tc>
        <w:tc>
          <w:tcPr>
            <w:tcW w:w="0" w:type="auto"/>
            <w:vAlign w:val="center"/>
            <w:hideMark/>
          </w:tcPr>
          <w:p w14:paraId="583CCB45" w14:textId="77777777" w:rsidR="003762F3" w:rsidRPr="005D7674" w:rsidRDefault="003762F3">
            <w:pPr>
              <w:rPr>
                <w:sz w:val="20"/>
                <w:szCs w:val="20"/>
              </w:rPr>
            </w:pPr>
          </w:p>
        </w:tc>
      </w:tr>
      <w:tr w:rsidR="00F15667" w:rsidRPr="005D7674" w14:paraId="1ED01C82" w14:textId="77777777" w:rsidTr="005C09EE">
        <w:trPr>
          <w:trHeight w:val="330"/>
        </w:trPr>
        <w:tc>
          <w:tcPr>
            <w:tcW w:w="0" w:type="auto"/>
            <w:tcBorders>
              <w:top w:val="double" w:sz="6" w:space="0" w:color="auto"/>
              <w:left w:val="nil"/>
              <w:bottom w:val="nil"/>
              <w:right w:val="nil"/>
            </w:tcBorders>
            <w:shd w:val="clear" w:color="auto" w:fill="auto"/>
            <w:noWrap/>
            <w:tcMar>
              <w:top w:w="15" w:type="dxa"/>
              <w:left w:w="15" w:type="dxa"/>
              <w:bottom w:w="0" w:type="dxa"/>
              <w:right w:w="15" w:type="dxa"/>
            </w:tcMar>
            <w:vAlign w:val="center"/>
            <w:hideMark/>
          </w:tcPr>
          <w:p w14:paraId="04BD8D48" w14:textId="1E066C34" w:rsidR="003762F3" w:rsidRPr="005D7674" w:rsidRDefault="003762F3" w:rsidP="005C09EE">
            <w:pPr>
              <w:jc w:val="center"/>
            </w:pPr>
          </w:p>
        </w:tc>
        <w:tc>
          <w:tcPr>
            <w:tcW w:w="0" w:type="auto"/>
            <w:tcBorders>
              <w:top w:val="double" w:sz="6" w:space="0" w:color="auto"/>
              <w:left w:val="nil"/>
              <w:bottom w:val="nil"/>
              <w:right w:val="nil"/>
            </w:tcBorders>
            <w:shd w:val="clear" w:color="auto" w:fill="auto"/>
            <w:noWrap/>
            <w:tcMar>
              <w:top w:w="15" w:type="dxa"/>
              <w:left w:w="15" w:type="dxa"/>
              <w:bottom w:w="0" w:type="dxa"/>
              <w:right w:w="15" w:type="dxa"/>
            </w:tcMar>
            <w:vAlign w:val="center"/>
            <w:hideMark/>
          </w:tcPr>
          <w:p w14:paraId="76E1B6A1" w14:textId="7771D9AF" w:rsidR="003762F3" w:rsidRPr="005D7674" w:rsidRDefault="003762F3" w:rsidP="005C09EE">
            <w:pPr>
              <w:jc w:val="cente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283686" w14:textId="65B903C3" w:rsidR="003762F3" w:rsidRPr="005D7674" w:rsidRDefault="003762F3" w:rsidP="005C09EE">
            <w:pPr>
              <w:jc w:val="center"/>
            </w:pPr>
          </w:p>
        </w:tc>
        <w:tc>
          <w:tcPr>
            <w:tcW w:w="0" w:type="auto"/>
            <w:vAlign w:val="center"/>
            <w:hideMark/>
          </w:tcPr>
          <w:p w14:paraId="3DC08C38" w14:textId="77777777" w:rsidR="003762F3" w:rsidRPr="005D7674" w:rsidRDefault="003762F3">
            <w:pPr>
              <w:rPr>
                <w:sz w:val="20"/>
                <w:szCs w:val="20"/>
              </w:rPr>
            </w:pPr>
          </w:p>
        </w:tc>
      </w:tr>
    </w:tbl>
    <w:p w14:paraId="509244B7" w14:textId="6B144431" w:rsidR="00BB6488" w:rsidRPr="005D7674" w:rsidRDefault="003762F3" w:rsidP="00DC2970">
      <w:pPr>
        <w:pStyle w:val="OdstavecASR"/>
      </w:pPr>
      <w:r w:rsidRPr="005D7674">
        <w:t>V tabulce vidíme, že nesporné rozvody tvoří téměř 2/3 všech rozvodů, 6 % manželství pak není rozvedeno, většinou z důvodu zastavení řízení. Zajímavý je fakt, že manželky podávají návrh na rozvod asi dvakrát častěji než manželé.</w:t>
      </w:r>
    </w:p>
    <w:p w14:paraId="0DD00635" w14:textId="23521988" w:rsidR="008430BD" w:rsidRPr="005D7674" w:rsidRDefault="008430BD" w:rsidP="008430BD">
      <w:pPr>
        <w:pStyle w:val="Nadpis2"/>
        <w:numPr>
          <w:ilvl w:val="1"/>
          <w:numId w:val="1"/>
        </w:numPr>
        <w:spacing w:before="120"/>
        <w:rPr>
          <w:color w:val="auto"/>
        </w:rPr>
      </w:pPr>
      <w:bookmarkStart w:id="214" w:name="_Toc106092723"/>
      <w:bookmarkStart w:id="215" w:name="_Toc144104344"/>
      <w:r w:rsidRPr="005D7674">
        <w:rPr>
          <w:color w:val="auto"/>
        </w:rPr>
        <w:lastRenderedPageBreak/>
        <w:t>Civilní agenda – elektronické rozkazní řízení</w:t>
      </w:r>
      <w:bookmarkEnd w:id="191"/>
      <w:bookmarkEnd w:id="214"/>
      <w:bookmarkEnd w:id="215"/>
    </w:p>
    <w:p w14:paraId="215E1E85" w14:textId="766670E9" w:rsidR="00D90179" w:rsidRPr="005D7674" w:rsidRDefault="00D90179" w:rsidP="00D90179">
      <w:pPr>
        <w:pStyle w:val="OdstavecASR"/>
      </w:pPr>
      <w:r w:rsidRPr="005D7674">
        <w:t xml:space="preserve">Jak jsme uvedli v úvodu kapitoly </w:t>
      </w:r>
      <w:r w:rsidRPr="005D7674">
        <w:rPr>
          <w:b/>
          <w:bCs/>
        </w:rPr>
        <w:fldChar w:fldCharType="begin"/>
      </w:r>
      <w:r w:rsidRPr="005D7674">
        <w:instrText xml:space="preserve"> REF _Ref9425277 \r \h </w:instrText>
      </w:r>
      <w:r w:rsidRPr="005D7674">
        <w:rPr>
          <w:b/>
          <w:bCs/>
        </w:rPr>
        <w:instrText xml:space="preserve"> \* MERGEFORMAT </w:instrText>
      </w:r>
      <w:r w:rsidRPr="005D7674">
        <w:rPr>
          <w:b/>
          <w:bCs/>
        </w:rPr>
      </w:r>
      <w:r w:rsidRPr="005D7674">
        <w:rPr>
          <w:b/>
          <w:bCs/>
        </w:rPr>
        <w:fldChar w:fldCharType="separate"/>
      </w:r>
      <w:r w:rsidR="001E1A67">
        <w:t>2.2</w:t>
      </w:r>
      <w:r w:rsidRPr="005D7674">
        <w:rPr>
          <w:b/>
          <w:bCs/>
        </w:rPr>
        <w:fldChar w:fldCharType="end"/>
      </w:r>
      <w:r w:rsidRPr="005D7674">
        <w:t>, zkoumaná data jsme očistili o rozkazní řízení. Tato data ale samozřejmě mají svou informační hodnotu, a proto je analyzujeme v této části.</w:t>
      </w:r>
    </w:p>
    <w:p w14:paraId="32C595A8" w14:textId="77777777" w:rsidR="00D90179" w:rsidRPr="005D7674" w:rsidRDefault="00D90179" w:rsidP="00D90179">
      <w:pPr>
        <w:pStyle w:val="OdstavecASR"/>
      </w:pPr>
      <w:r w:rsidRPr="005D7674">
        <w:t>Jedná se o civilní řízení ve zkrácené formě, jehož cílem je skončení věci vydáním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w:t>
      </w:r>
    </w:p>
    <w:p w14:paraId="610B107E" w14:textId="3FF9425F" w:rsidR="00D90179" w:rsidRPr="005D7674" w:rsidRDefault="00D90179" w:rsidP="00D90179">
      <w:pPr>
        <w:pStyle w:val="OdstavecASR"/>
      </w:pPr>
      <w:r w:rsidRPr="005D7674">
        <w:t>Ne všechna data, o která byla očištěna kapitola </w:t>
      </w:r>
      <w:r w:rsidRPr="005D7674">
        <w:rPr>
          <w:bCs/>
        </w:rPr>
        <w:fldChar w:fldCharType="begin"/>
      </w:r>
      <w:r w:rsidRPr="005D7674">
        <w:rPr>
          <w:bCs/>
        </w:rPr>
        <w:instrText xml:space="preserve"> REF _Ref10553167 \r \h  \* MERGEFORMAT </w:instrText>
      </w:r>
      <w:r w:rsidRPr="005D7674">
        <w:rPr>
          <w:bCs/>
        </w:rPr>
      </w:r>
      <w:r w:rsidRPr="005D7674">
        <w:rPr>
          <w:bCs/>
        </w:rPr>
        <w:fldChar w:fldCharType="separate"/>
      </w:r>
      <w:r w:rsidR="001E1A67">
        <w:rPr>
          <w:bCs/>
        </w:rPr>
        <w:t>2.2</w:t>
      </w:r>
      <w:r w:rsidRPr="005D7674">
        <w:rPr>
          <w:bCs/>
        </w:rPr>
        <w:fldChar w:fldCharType="end"/>
      </w:r>
      <w:r w:rsidRPr="005D7674">
        <w:t>, však zahrnujeme do této kapitoly. Občanské soudní řízení zná celkem čtyři typy platebních rozkazů, ale okresních soudů se týkají jen tři z nich, a to „běžný“ platební rozkaz, elektronický platební rozkaz a evropský platební rozkaz. Čtvrtý typ, kterým je směnečný (šekový) platební rozkaz, vydávají jen krajské soudy. Pro každý typ platí jiné podmínky a postupy. Zároveň ve statistickém sledování rozkazního řízení proběhlo v letech 2009 až 2013 nejvíce změn. V časových řadách by se tak objevovaly výkyvy způsobené právě změnami ve statistikách, což by vedlo ke zkreslení. Z tohoto důvodu se tato kapitola zabývá pouze elektronickým platebním rozkazem od roku 2013, protože od tohoto roku se již neudály žádné významné změny a všechny návrhy na vydání elektronického platebního rozkazu se evidují v rejstříku EPR.</w:t>
      </w:r>
    </w:p>
    <w:p w14:paraId="0084900A" w14:textId="77777777" w:rsidR="00D90179" w:rsidRPr="005D7674" w:rsidRDefault="00D90179" w:rsidP="00D90179">
      <w:pPr>
        <w:pStyle w:val="OdstavecASR"/>
      </w:pPr>
      <w:r w:rsidRPr="005D7674">
        <w:t>Dalším důvodem, proč byl vybrán rejstřík EPR, je ten, že tvoří největší část agendy rozkazního řízení (každý rok více než 85 %).</w:t>
      </w:r>
    </w:p>
    <w:p w14:paraId="59146249" w14:textId="501772A5" w:rsidR="00461DBC" w:rsidRPr="005D7674" w:rsidRDefault="008430BD" w:rsidP="00461DBC">
      <w:pPr>
        <w:pStyle w:val="Nadpis3"/>
        <w:numPr>
          <w:ilvl w:val="2"/>
          <w:numId w:val="1"/>
        </w:numPr>
        <w:rPr>
          <w:color w:val="auto"/>
        </w:rPr>
      </w:pPr>
      <w:bookmarkStart w:id="216" w:name="_Toc515871227"/>
      <w:bookmarkStart w:id="217" w:name="_Toc106092724"/>
      <w:bookmarkStart w:id="218" w:name="_Toc144104345"/>
      <w:r w:rsidRPr="005D7674">
        <w:rPr>
          <w:color w:val="auto"/>
        </w:rPr>
        <w:t>Délka řízení</w:t>
      </w:r>
      <w:bookmarkEnd w:id="216"/>
      <w:bookmarkEnd w:id="217"/>
      <w:bookmarkEnd w:id="218"/>
    </w:p>
    <w:p w14:paraId="0B983CCC" w14:textId="77777777" w:rsidR="00D90179" w:rsidRPr="005D7674" w:rsidRDefault="00D90179" w:rsidP="00D90179">
      <w:pPr>
        <w:pStyle w:val="OdstavecASR"/>
      </w:pPr>
      <w:bookmarkStart w:id="219" w:name="_Toc515871228"/>
      <w:r w:rsidRPr="005D7674">
        <w:t>Platí stejné poznámky jako v přechozí kapitole: délky řízení zjišťujeme ze statistických listů a uvádíme v kalendářních dnech ode dne nápadu do dne konečného rozhodnutí soudem I. stupně.</w:t>
      </w:r>
    </w:p>
    <w:p w14:paraId="6A610F7C" w14:textId="067C0EC8" w:rsidR="00D90179" w:rsidRPr="005D7674" w:rsidRDefault="00D90179" w:rsidP="00D90179">
      <w:pPr>
        <w:pStyle w:val="Podnadpis"/>
        <w:numPr>
          <w:ilvl w:val="0"/>
          <w:numId w:val="0"/>
        </w:numPr>
        <w:rPr>
          <w:color w:val="auto"/>
        </w:rPr>
      </w:pPr>
      <w:bookmarkStart w:id="220" w:name="_Toc515871346"/>
      <w:bookmarkStart w:id="221" w:name="_Toc11135081"/>
      <w:bookmarkStart w:id="222" w:name="_Toc43841397"/>
      <w:bookmarkStart w:id="223" w:name="_Toc75952198"/>
      <w:bookmarkStart w:id="224" w:name="_Toc106106652"/>
      <w:bookmarkStart w:id="225" w:name="_Toc144104129"/>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17</w:t>
      </w:r>
      <w:r w:rsidR="009A10E2" w:rsidRPr="005D7674">
        <w:rPr>
          <w:color w:val="auto"/>
        </w:rPr>
        <w:fldChar w:fldCharType="end"/>
      </w:r>
      <w:r w:rsidRPr="005D7674">
        <w:rPr>
          <w:color w:val="auto"/>
        </w:rPr>
        <w:t>: OS – délka civilního el. rozkazního řízení v letech 2013–20</w:t>
      </w:r>
      <w:bookmarkEnd w:id="220"/>
      <w:bookmarkEnd w:id="221"/>
      <w:bookmarkEnd w:id="222"/>
      <w:r w:rsidRPr="005D7674">
        <w:rPr>
          <w:color w:val="auto"/>
        </w:rPr>
        <w:t>2</w:t>
      </w:r>
      <w:bookmarkEnd w:id="223"/>
      <w:bookmarkEnd w:id="224"/>
      <w:r w:rsidR="00EE0A23" w:rsidRPr="005D7674">
        <w:rPr>
          <w:color w:val="auto"/>
        </w:rPr>
        <w:t>2</w:t>
      </w:r>
      <w:bookmarkEnd w:id="225"/>
    </w:p>
    <w:p w14:paraId="6D2139CA" w14:textId="12D4C3B4" w:rsidR="00D90179" w:rsidRPr="005D7674" w:rsidRDefault="00EE0A23" w:rsidP="00311D1B">
      <w:pPr>
        <w:pStyle w:val="OdstavecASR"/>
      </w:pPr>
      <w:r w:rsidRPr="005D7674">
        <w:rPr>
          <w:noProof/>
          <w:lang w:eastAsia="cs-CZ"/>
        </w:rPr>
        <w:drawing>
          <wp:inline distT="0" distB="0" distL="0" distR="0" wp14:anchorId="5AE59A6B" wp14:editId="181904AB">
            <wp:extent cx="5029200" cy="3657600"/>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3D8BAA3" w14:textId="143B5588" w:rsidR="00672803" w:rsidRPr="005D7674" w:rsidRDefault="00EE0A23" w:rsidP="00EE0A23">
      <w:pPr>
        <w:pStyle w:val="Podnadpis"/>
        <w:rPr>
          <w:color w:val="auto"/>
        </w:rPr>
      </w:pPr>
      <w:bookmarkStart w:id="226" w:name="_Toc515871448"/>
      <w:bookmarkStart w:id="227" w:name="_Toc11133216"/>
      <w:bookmarkStart w:id="228" w:name="_Toc43931190"/>
      <w:bookmarkStart w:id="229" w:name="_Toc75952320"/>
      <w:bookmarkStart w:id="230" w:name="_Toc106106779"/>
      <w:bookmarkStart w:id="231" w:name="_Toc144104257"/>
      <w:r w:rsidRPr="005D7674">
        <w:rPr>
          <w:color w:val="auto"/>
        </w:rPr>
        <w:lastRenderedPageBreak/>
        <w:t xml:space="preserve">Tabulka </w:t>
      </w:r>
      <w:r w:rsidR="002310B1" w:rsidRPr="005D7674">
        <w:rPr>
          <w:noProof/>
          <w:color w:val="auto"/>
        </w:rPr>
        <w:fldChar w:fldCharType="begin"/>
      </w:r>
      <w:r w:rsidR="002310B1" w:rsidRPr="005D7674">
        <w:rPr>
          <w:noProof/>
          <w:color w:val="auto"/>
        </w:rPr>
        <w:instrText xml:space="preserve"> SEQ Tabulka \* ARABIC </w:instrText>
      </w:r>
      <w:r w:rsidR="002310B1" w:rsidRPr="005D7674">
        <w:rPr>
          <w:noProof/>
          <w:color w:val="auto"/>
        </w:rPr>
        <w:fldChar w:fldCharType="separate"/>
      </w:r>
      <w:r w:rsidR="001E1A67">
        <w:rPr>
          <w:noProof/>
          <w:color w:val="auto"/>
        </w:rPr>
        <w:t>18</w:t>
      </w:r>
      <w:r w:rsidR="002310B1" w:rsidRPr="005D7674">
        <w:rPr>
          <w:noProof/>
          <w:color w:val="auto"/>
        </w:rPr>
        <w:fldChar w:fldCharType="end"/>
      </w:r>
      <w:r w:rsidRPr="005D7674">
        <w:rPr>
          <w:color w:val="auto"/>
        </w:rPr>
        <w:t>: OS – délky el. rozkazního civilního řízení dle krajů</w:t>
      </w:r>
      <w:bookmarkEnd w:id="226"/>
      <w:bookmarkEnd w:id="227"/>
      <w:bookmarkEnd w:id="228"/>
      <w:bookmarkEnd w:id="229"/>
      <w:bookmarkEnd w:id="230"/>
      <w:bookmarkEnd w:id="231"/>
    </w:p>
    <w:tbl>
      <w:tblPr>
        <w:tblW w:w="8800" w:type="dxa"/>
        <w:tblCellMar>
          <w:left w:w="70" w:type="dxa"/>
          <w:right w:w="70" w:type="dxa"/>
        </w:tblCellMar>
        <w:tblLook w:val="04A0" w:firstRow="1" w:lastRow="0" w:firstColumn="1" w:lastColumn="0" w:noHBand="0" w:noVBand="1"/>
      </w:tblPr>
      <w:tblGrid>
        <w:gridCol w:w="2320"/>
        <w:gridCol w:w="1224"/>
        <w:gridCol w:w="1000"/>
        <w:gridCol w:w="1126"/>
        <w:gridCol w:w="993"/>
        <w:gridCol w:w="1134"/>
        <w:gridCol w:w="1003"/>
      </w:tblGrid>
      <w:tr w:rsidR="00F15667" w:rsidRPr="005D7674" w14:paraId="21C3321B" w14:textId="77777777" w:rsidTr="00311D1B">
        <w:trPr>
          <w:trHeight w:val="330"/>
        </w:trPr>
        <w:tc>
          <w:tcPr>
            <w:tcW w:w="2320" w:type="dxa"/>
            <w:vMerge w:val="restart"/>
            <w:tcBorders>
              <w:top w:val="double" w:sz="6" w:space="0" w:color="auto"/>
              <w:left w:val="nil"/>
              <w:bottom w:val="double" w:sz="6" w:space="0" w:color="000000"/>
              <w:right w:val="nil"/>
            </w:tcBorders>
            <w:shd w:val="clear" w:color="auto" w:fill="auto"/>
            <w:noWrap/>
            <w:vAlign w:val="center"/>
            <w:hideMark/>
          </w:tcPr>
          <w:p w14:paraId="0ED5842F" w14:textId="77777777" w:rsidR="00F415AF" w:rsidRPr="005D7674" w:rsidRDefault="00F415AF" w:rsidP="00311D1B">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14:paraId="303CA643" w14:textId="77777777" w:rsidR="00F415AF" w:rsidRPr="005D7674" w:rsidRDefault="00F415AF" w:rsidP="00311D1B">
            <w:pPr>
              <w:spacing w:line="240" w:lineRule="auto"/>
              <w:jc w:val="center"/>
              <w:rPr>
                <w:rFonts w:eastAsia="Times New Roman"/>
                <w:b/>
                <w:bCs/>
                <w:szCs w:val="24"/>
                <w:lang w:eastAsia="cs-CZ"/>
              </w:rPr>
            </w:pPr>
            <w:r w:rsidRPr="005D7674">
              <w:rPr>
                <w:rFonts w:eastAsia="Times New Roman"/>
                <w:b/>
                <w:bCs/>
                <w:szCs w:val="24"/>
                <w:lang w:eastAsia="cs-CZ"/>
              </w:rPr>
              <w:t>Délka řízení</w:t>
            </w:r>
          </w:p>
        </w:tc>
      </w:tr>
      <w:tr w:rsidR="00F15667" w:rsidRPr="005D7674" w14:paraId="78C8EED5" w14:textId="77777777" w:rsidTr="00311D1B">
        <w:trPr>
          <w:trHeight w:val="330"/>
        </w:trPr>
        <w:tc>
          <w:tcPr>
            <w:tcW w:w="2320" w:type="dxa"/>
            <w:vMerge/>
            <w:tcBorders>
              <w:top w:val="double" w:sz="6" w:space="0" w:color="auto"/>
              <w:left w:val="nil"/>
              <w:bottom w:val="double" w:sz="6" w:space="0" w:color="000000"/>
              <w:right w:val="nil"/>
            </w:tcBorders>
            <w:vAlign w:val="center"/>
            <w:hideMark/>
          </w:tcPr>
          <w:p w14:paraId="58660083" w14:textId="77777777" w:rsidR="00F415AF" w:rsidRPr="005D7674" w:rsidRDefault="00F415AF" w:rsidP="00311D1B">
            <w:pPr>
              <w:spacing w:line="240" w:lineRule="auto"/>
              <w:jc w:val="center"/>
              <w:rPr>
                <w:rFonts w:eastAsia="Times New Roman"/>
                <w:b/>
                <w:bCs/>
                <w:szCs w:val="24"/>
                <w:lang w:eastAsia="cs-CZ"/>
              </w:rPr>
            </w:pPr>
          </w:p>
        </w:tc>
        <w:tc>
          <w:tcPr>
            <w:tcW w:w="2224" w:type="dxa"/>
            <w:gridSpan w:val="2"/>
            <w:tcBorders>
              <w:top w:val="nil"/>
              <w:left w:val="nil"/>
              <w:bottom w:val="double" w:sz="6" w:space="0" w:color="auto"/>
              <w:right w:val="nil"/>
            </w:tcBorders>
            <w:shd w:val="clear" w:color="auto" w:fill="auto"/>
            <w:noWrap/>
            <w:vAlign w:val="center"/>
            <w:hideMark/>
          </w:tcPr>
          <w:p w14:paraId="5C2E7F19" w14:textId="77777777" w:rsidR="00F415AF" w:rsidRPr="005D7674" w:rsidRDefault="00F415AF" w:rsidP="00311D1B">
            <w:pPr>
              <w:spacing w:line="240" w:lineRule="auto"/>
              <w:jc w:val="center"/>
              <w:rPr>
                <w:rFonts w:eastAsia="Times New Roman"/>
                <w:b/>
                <w:bCs/>
                <w:szCs w:val="24"/>
                <w:lang w:eastAsia="cs-CZ"/>
              </w:rPr>
            </w:pPr>
            <w:r w:rsidRPr="005D7674">
              <w:rPr>
                <w:rFonts w:eastAsia="Times New Roman"/>
                <w:b/>
                <w:bCs/>
                <w:szCs w:val="24"/>
                <w:lang w:eastAsia="cs-CZ"/>
              </w:rPr>
              <w:t>Průměr</w:t>
            </w:r>
          </w:p>
        </w:tc>
        <w:tc>
          <w:tcPr>
            <w:tcW w:w="211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ECED64B" w14:textId="77777777" w:rsidR="00F415AF" w:rsidRPr="005D7674" w:rsidRDefault="00F415AF" w:rsidP="00311D1B">
            <w:pPr>
              <w:spacing w:line="240" w:lineRule="auto"/>
              <w:jc w:val="center"/>
              <w:rPr>
                <w:rFonts w:eastAsia="Times New Roman"/>
                <w:b/>
                <w:bCs/>
                <w:szCs w:val="24"/>
                <w:lang w:eastAsia="cs-CZ"/>
              </w:rPr>
            </w:pPr>
            <w:r w:rsidRPr="005D7674">
              <w:rPr>
                <w:rFonts w:eastAsia="Times New Roman"/>
                <w:b/>
                <w:bCs/>
                <w:szCs w:val="24"/>
                <w:lang w:eastAsia="cs-CZ"/>
              </w:rPr>
              <w:t>Medián</w:t>
            </w:r>
          </w:p>
        </w:tc>
        <w:tc>
          <w:tcPr>
            <w:tcW w:w="2137" w:type="dxa"/>
            <w:gridSpan w:val="2"/>
            <w:tcBorders>
              <w:top w:val="nil"/>
              <w:left w:val="nil"/>
              <w:bottom w:val="double" w:sz="6" w:space="0" w:color="auto"/>
              <w:right w:val="nil"/>
            </w:tcBorders>
            <w:shd w:val="clear" w:color="auto" w:fill="auto"/>
            <w:noWrap/>
            <w:vAlign w:val="center"/>
            <w:hideMark/>
          </w:tcPr>
          <w:p w14:paraId="5FFFF0E2" w14:textId="77777777" w:rsidR="00F415AF" w:rsidRPr="005D7674" w:rsidRDefault="00F415AF" w:rsidP="00311D1B">
            <w:pPr>
              <w:spacing w:line="240" w:lineRule="auto"/>
              <w:jc w:val="center"/>
              <w:rPr>
                <w:rFonts w:eastAsia="Times New Roman"/>
                <w:b/>
                <w:bCs/>
                <w:szCs w:val="24"/>
                <w:lang w:eastAsia="cs-CZ"/>
              </w:rPr>
            </w:pPr>
            <w:r w:rsidRPr="005D7674">
              <w:rPr>
                <w:rFonts w:eastAsia="Times New Roman"/>
                <w:b/>
                <w:bCs/>
                <w:szCs w:val="24"/>
                <w:lang w:eastAsia="cs-CZ"/>
              </w:rPr>
              <w:t>Percentil 90</w:t>
            </w:r>
          </w:p>
        </w:tc>
      </w:tr>
      <w:tr w:rsidR="00F15667" w:rsidRPr="005D7674" w14:paraId="716D10B2" w14:textId="77777777" w:rsidTr="00311D1B">
        <w:trPr>
          <w:trHeight w:val="330"/>
        </w:trPr>
        <w:tc>
          <w:tcPr>
            <w:tcW w:w="2320" w:type="dxa"/>
            <w:tcBorders>
              <w:top w:val="single" w:sz="4" w:space="0" w:color="auto"/>
              <w:left w:val="nil"/>
              <w:bottom w:val="single" w:sz="4" w:space="0" w:color="auto"/>
              <w:right w:val="nil"/>
            </w:tcBorders>
            <w:shd w:val="clear" w:color="auto" w:fill="auto"/>
            <w:noWrap/>
            <w:vAlign w:val="center"/>
            <w:hideMark/>
          </w:tcPr>
          <w:p w14:paraId="4F7F4E53" w14:textId="77777777" w:rsidR="00F415AF" w:rsidRPr="005D7674" w:rsidRDefault="00F415AF" w:rsidP="00311D1B">
            <w:pPr>
              <w:spacing w:line="240" w:lineRule="auto"/>
              <w:jc w:val="left"/>
              <w:rPr>
                <w:rFonts w:eastAsia="Times New Roman"/>
                <w:szCs w:val="24"/>
                <w:lang w:eastAsia="cs-CZ"/>
              </w:rPr>
            </w:pPr>
            <w:r w:rsidRPr="005D7674">
              <w:rPr>
                <w:rFonts w:eastAsia="Times New Roman"/>
                <w:szCs w:val="24"/>
                <w:lang w:eastAsia="cs-CZ"/>
              </w:rPr>
              <w:t>MS Praha</w:t>
            </w:r>
          </w:p>
        </w:tc>
        <w:tc>
          <w:tcPr>
            <w:tcW w:w="1224" w:type="dxa"/>
            <w:tcBorders>
              <w:top w:val="single" w:sz="4" w:space="0" w:color="auto"/>
              <w:left w:val="nil"/>
              <w:bottom w:val="single" w:sz="4" w:space="0" w:color="auto"/>
              <w:right w:val="nil"/>
            </w:tcBorders>
            <w:shd w:val="clear" w:color="auto" w:fill="auto"/>
            <w:noWrap/>
            <w:vAlign w:val="center"/>
            <w:hideMark/>
          </w:tcPr>
          <w:p w14:paraId="61ECA430"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20</w:t>
            </w:r>
          </w:p>
        </w:tc>
        <w:tc>
          <w:tcPr>
            <w:tcW w:w="1000" w:type="dxa"/>
            <w:tcBorders>
              <w:top w:val="single" w:sz="4" w:space="0" w:color="auto"/>
              <w:left w:val="nil"/>
              <w:bottom w:val="single" w:sz="4" w:space="0" w:color="auto"/>
              <w:right w:val="nil"/>
            </w:tcBorders>
            <w:shd w:val="clear" w:color="auto" w:fill="auto"/>
            <w:noWrap/>
            <w:vAlign w:val="center"/>
            <w:hideMark/>
          </w:tcPr>
          <w:p w14:paraId="4E639DB4" w14:textId="4A7D8D53"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-33 %</w:t>
            </w:r>
          </w:p>
        </w:tc>
        <w:tc>
          <w:tcPr>
            <w:tcW w:w="1126" w:type="dxa"/>
            <w:tcBorders>
              <w:top w:val="nil"/>
              <w:left w:val="single" w:sz="4" w:space="0" w:color="auto"/>
              <w:bottom w:val="single" w:sz="4" w:space="0" w:color="auto"/>
              <w:right w:val="nil"/>
            </w:tcBorders>
            <w:shd w:val="clear" w:color="auto" w:fill="auto"/>
            <w:noWrap/>
            <w:vAlign w:val="center"/>
            <w:hideMark/>
          </w:tcPr>
          <w:p w14:paraId="5EA5DB2E"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9</w:t>
            </w:r>
          </w:p>
        </w:tc>
        <w:tc>
          <w:tcPr>
            <w:tcW w:w="993" w:type="dxa"/>
            <w:tcBorders>
              <w:top w:val="nil"/>
              <w:left w:val="nil"/>
              <w:bottom w:val="single" w:sz="4" w:space="0" w:color="auto"/>
              <w:right w:val="single" w:sz="4" w:space="0" w:color="auto"/>
            </w:tcBorders>
            <w:shd w:val="clear" w:color="auto" w:fill="auto"/>
            <w:noWrap/>
            <w:vAlign w:val="center"/>
            <w:hideMark/>
          </w:tcPr>
          <w:p w14:paraId="1BD656EB" w14:textId="4DA38CCE"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-18 %</w:t>
            </w:r>
          </w:p>
        </w:tc>
        <w:tc>
          <w:tcPr>
            <w:tcW w:w="1134" w:type="dxa"/>
            <w:tcBorders>
              <w:top w:val="single" w:sz="4" w:space="0" w:color="auto"/>
              <w:left w:val="nil"/>
              <w:bottom w:val="single" w:sz="4" w:space="0" w:color="auto"/>
              <w:right w:val="nil"/>
            </w:tcBorders>
            <w:shd w:val="clear" w:color="auto" w:fill="auto"/>
            <w:noWrap/>
            <w:vAlign w:val="center"/>
            <w:hideMark/>
          </w:tcPr>
          <w:p w14:paraId="08D13BBC"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43</w:t>
            </w:r>
          </w:p>
        </w:tc>
        <w:tc>
          <w:tcPr>
            <w:tcW w:w="1003" w:type="dxa"/>
            <w:tcBorders>
              <w:top w:val="single" w:sz="4" w:space="0" w:color="auto"/>
              <w:left w:val="nil"/>
              <w:bottom w:val="single" w:sz="4" w:space="0" w:color="auto"/>
              <w:right w:val="nil"/>
            </w:tcBorders>
            <w:shd w:val="clear" w:color="auto" w:fill="auto"/>
            <w:noWrap/>
            <w:vAlign w:val="center"/>
            <w:hideMark/>
          </w:tcPr>
          <w:p w14:paraId="5DED3DEA" w14:textId="165DAB02"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-33 %</w:t>
            </w:r>
          </w:p>
        </w:tc>
      </w:tr>
      <w:tr w:rsidR="00F15667" w:rsidRPr="005D7674" w14:paraId="73382B3C" w14:textId="77777777" w:rsidTr="00311D1B">
        <w:trPr>
          <w:trHeight w:val="315"/>
        </w:trPr>
        <w:tc>
          <w:tcPr>
            <w:tcW w:w="2320" w:type="dxa"/>
            <w:tcBorders>
              <w:top w:val="nil"/>
              <w:left w:val="nil"/>
              <w:bottom w:val="single" w:sz="4" w:space="0" w:color="auto"/>
              <w:right w:val="nil"/>
            </w:tcBorders>
            <w:shd w:val="clear" w:color="auto" w:fill="auto"/>
            <w:noWrap/>
            <w:vAlign w:val="center"/>
            <w:hideMark/>
          </w:tcPr>
          <w:p w14:paraId="002682F1" w14:textId="77777777" w:rsidR="00F415AF" w:rsidRPr="005D7674" w:rsidRDefault="00F415AF" w:rsidP="00311D1B">
            <w:pPr>
              <w:spacing w:line="240" w:lineRule="auto"/>
              <w:jc w:val="left"/>
              <w:rPr>
                <w:rFonts w:eastAsia="Times New Roman"/>
                <w:szCs w:val="24"/>
                <w:lang w:eastAsia="cs-CZ"/>
              </w:rPr>
            </w:pPr>
            <w:r w:rsidRPr="005D7674">
              <w:rPr>
                <w:rFonts w:eastAsia="Times New Roman"/>
                <w:szCs w:val="24"/>
                <w:lang w:eastAsia="cs-CZ"/>
              </w:rPr>
              <w:t>KS Praha</w:t>
            </w:r>
          </w:p>
        </w:tc>
        <w:tc>
          <w:tcPr>
            <w:tcW w:w="1224" w:type="dxa"/>
            <w:tcBorders>
              <w:top w:val="nil"/>
              <w:left w:val="nil"/>
              <w:bottom w:val="single" w:sz="4" w:space="0" w:color="auto"/>
              <w:right w:val="nil"/>
            </w:tcBorders>
            <w:shd w:val="clear" w:color="auto" w:fill="auto"/>
            <w:noWrap/>
            <w:vAlign w:val="center"/>
            <w:hideMark/>
          </w:tcPr>
          <w:p w14:paraId="6079F7D8"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19</w:t>
            </w:r>
          </w:p>
        </w:tc>
        <w:tc>
          <w:tcPr>
            <w:tcW w:w="1000" w:type="dxa"/>
            <w:tcBorders>
              <w:top w:val="nil"/>
              <w:left w:val="nil"/>
              <w:bottom w:val="single" w:sz="4" w:space="0" w:color="auto"/>
              <w:right w:val="nil"/>
            </w:tcBorders>
            <w:shd w:val="clear" w:color="auto" w:fill="auto"/>
            <w:noWrap/>
            <w:vAlign w:val="center"/>
            <w:hideMark/>
          </w:tcPr>
          <w:p w14:paraId="4225FE53" w14:textId="22761BFC"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-5 %</w:t>
            </w:r>
          </w:p>
        </w:tc>
        <w:tc>
          <w:tcPr>
            <w:tcW w:w="1126" w:type="dxa"/>
            <w:tcBorders>
              <w:top w:val="nil"/>
              <w:left w:val="single" w:sz="4" w:space="0" w:color="auto"/>
              <w:bottom w:val="single" w:sz="4" w:space="0" w:color="auto"/>
              <w:right w:val="nil"/>
            </w:tcBorders>
            <w:shd w:val="clear" w:color="auto" w:fill="auto"/>
            <w:noWrap/>
            <w:vAlign w:val="center"/>
            <w:hideMark/>
          </w:tcPr>
          <w:p w14:paraId="469A8ABF"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9</w:t>
            </w:r>
          </w:p>
        </w:tc>
        <w:tc>
          <w:tcPr>
            <w:tcW w:w="993" w:type="dxa"/>
            <w:tcBorders>
              <w:top w:val="nil"/>
              <w:left w:val="nil"/>
              <w:bottom w:val="single" w:sz="4" w:space="0" w:color="auto"/>
              <w:right w:val="single" w:sz="4" w:space="0" w:color="auto"/>
            </w:tcBorders>
            <w:shd w:val="clear" w:color="auto" w:fill="auto"/>
            <w:noWrap/>
            <w:vAlign w:val="center"/>
            <w:hideMark/>
          </w:tcPr>
          <w:p w14:paraId="31C99E00" w14:textId="281C4520"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+0 %</w:t>
            </w:r>
          </w:p>
        </w:tc>
        <w:tc>
          <w:tcPr>
            <w:tcW w:w="1134" w:type="dxa"/>
            <w:tcBorders>
              <w:top w:val="nil"/>
              <w:left w:val="nil"/>
              <w:bottom w:val="single" w:sz="4" w:space="0" w:color="auto"/>
              <w:right w:val="nil"/>
            </w:tcBorders>
            <w:shd w:val="clear" w:color="auto" w:fill="auto"/>
            <w:noWrap/>
            <w:vAlign w:val="center"/>
            <w:hideMark/>
          </w:tcPr>
          <w:p w14:paraId="1EBF2CF6"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35</w:t>
            </w:r>
          </w:p>
        </w:tc>
        <w:tc>
          <w:tcPr>
            <w:tcW w:w="1003" w:type="dxa"/>
            <w:tcBorders>
              <w:top w:val="nil"/>
              <w:left w:val="nil"/>
              <w:bottom w:val="single" w:sz="4" w:space="0" w:color="auto"/>
              <w:right w:val="nil"/>
            </w:tcBorders>
            <w:shd w:val="clear" w:color="auto" w:fill="auto"/>
            <w:noWrap/>
            <w:vAlign w:val="center"/>
            <w:hideMark/>
          </w:tcPr>
          <w:p w14:paraId="272C8D5F" w14:textId="5F94A767"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+0 %</w:t>
            </w:r>
          </w:p>
        </w:tc>
      </w:tr>
      <w:tr w:rsidR="00F15667" w:rsidRPr="005D7674" w14:paraId="081641AE" w14:textId="77777777" w:rsidTr="00311D1B">
        <w:trPr>
          <w:trHeight w:val="315"/>
        </w:trPr>
        <w:tc>
          <w:tcPr>
            <w:tcW w:w="2320" w:type="dxa"/>
            <w:tcBorders>
              <w:top w:val="nil"/>
              <w:left w:val="nil"/>
              <w:bottom w:val="single" w:sz="4" w:space="0" w:color="auto"/>
              <w:right w:val="nil"/>
            </w:tcBorders>
            <w:shd w:val="clear" w:color="auto" w:fill="auto"/>
            <w:noWrap/>
            <w:vAlign w:val="center"/>
            <w:hideMark/>
          </w:tcPr>
          <w:p w14:paraId="4CDF7FB4" w14:textId="77777777" w:rsidR="00F415AF" w:rsidRPr="005D7674" w:rsidRDefault="00F415AF" w:rsidP="00311D1B">
            <w:pPr>
              <w:spacing w:line="240" w:lineRule="auto"/>
              <w:jc w:val="left"/>
              <w:rPr>
                <w:rFonts w:eastAsia="Times New Roman"/>
                <w:szCs w:val="24"/>
                <w:lang w:eastAsia="cs-CZ"/>
              </w:rPr>
            </w:pPr>
            <w:r w:rsidRPr="005D7674">
              <w:rPr>
                <w:rFonts w:eastAsia="Times New Roman"/>
                <w:szCs w:val="24"/>
                <w:lang w:eastAsia="cs-CZ"/>
              </w:rPr>
              <w:t>KS Č. Budějovice</w:t>
            </w:r>
          </w:p>
        </w:tc>
        <w:tc>
          <w:tcPr>
            <w:tcW w:w="1224" w:type="dxa"/>
            <w:tcBorders>
              <w:top w:val="nil"/>
              <w:left w:val="nil"/>
              <w:bottom w:val="single" w:sz="4" w:space="0" w:color="auto"/>
              <w:right w:val="nil"/>
            </w:tcBorders>
            <w:shd w:val="clear" w:color="auto" w:fill="auto"/>
            <w:noWrap/>
            <w:vAlign w:val="center"/>
            <w:hideMark/>
          </w:tcPr>
          <w:p w14:paraId="3532ED3D"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23</w:t>
            </w:r>
          </w:p>
        </w:tc>
        <w:tc>
          <w:tcPr>
            <w:tcW w:w="1000" w:type="dxa"/>
            <w:tcBorders>
              <w:top w:val="nil"/>
              <w:left w:val="nil"/>
              <w:bottom w:val="single" w:sz="4" w:space="0" w:color="auto"/>
              <w:right w:val="nil"/>
            </w:tcBorders>
            <w:shd w:val="clear" w:color="auto" w:fill="auto"/>
            <w:noWrap/>
            <w:vAlign w:val="center"/>
            <w:hideMark/>
          </w:tcPr>
          <w:p w14:paraId="7DC4169F" w14:textId="64E6FEE5"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+0 %</w:t>
            </w:r>
          </w:p>
        </w:tc>
        <w:tc>
          <w:tcPr>
            <w:tcW w:w="1126" w:type="dxa"/>
            <w:tcBorders>
              <w:top w:val="nil"/>
              <w:left w:val="single" w:sz="4" w:space="0" w:color="auto"/>
              <w:bottom w:val="single" w:sz="4" w:space="0" w:color="auto"/>
              <w:right w:val="nil"/>
            </w:tcBorders>
            <w:shd w:val="clear" w:color="auto" w:fill="auto"/>
            <w:noWrap/>
            <w:vAlign w:val="center"/>
            <w:hideMark/>
          </w:tcPr>
          <w:p w14:paraId="66A4CD51"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10</w:t>
            </w:r>
          </w:p>
        </w:tc>
        <w:tc>
          <w:tcPr>
            <w:tcW w:w="993" w:type="dxa"/>
            <w:tcBorders>
              <w:top w:val="nil"/>
              <w:left w:val="nil"/>
              <w:bottom w:val="single" w:sz="4" w:space="0" w:color="auto"/>
              <w:right w:val="single" w:sz="4" w:space="0" w:color="auto"/>
            </w:tcBorders>
            <w:shd w:val="clear" w:color="auto" w:fill="auto"/>
            <w:noWrap/>
            <w:vAlign w:val="center"/>
            <w:hideMark/>
          </w:tcPr>
          <w:p w14:paraId="5B658A7E" w14:textId="0CCD874A"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+0 %</w:t>
            </w:r>
          </w:p>
        </w:tc>
        <w:tc>
          <w:tcPr>
            <w:tcW w:w="1134" w:type="dxa"/>
            <w:tcBorders>
              <w:top w:val="nil"/>
              <w:left w:val="nil"/>
              <w:bottom w:val="single" w:sz="4" w:space="0" w:color="auto"/>
              <w:right w:val="nil"/>
            </w:tcBorders>
            <w:shd w:val="clear" w:color="auto" w:fill="auto"/>
            <w:noWrap/>
            <w:vAlign w:val="center"/>
            <w:hideMark/>
          </w:tcPr>
          <w:p w14:paraId="617EFD75"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34</w:t>
            </w:r>
          </w:p>
        </w:tc>
        <w:tc>
          <w:tcPr>
            <w:tcW w:w="1003" w:type="dxa"/>
            <w:tcBorders>
              <w:top w:val="nil"/>
              <w:left w:val="nil"/>
              <w:bottom w:val="single" w:sz="4" w:space="0" w:color="auto"/>
              <w:right w:val="nil"/>
            </w:tcBorders>
            <w:shd w:val="clear" w:color="auto" w:fill="auto"/>
            <w:noWrap/>
            <w:vAlign w:val="center"/>
            <w:hideMark/>
          </w:tcPr>
          <w:p w14:paraId="5FCE4ABE" w14:textId="43CBCB2B"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-23 %</w:t>
            </w:r>
          </w:p>
        </w:tc>
      </w:tr>
      <w:tr w:rsidR="00F15667" w:rsidRPr="005D7674" w14:paraId="346C226A" w14:textId="77777777" w:rsidTr="00311D1B">
        <w:trPr>
          <w:trHeight w:val="315"/>
        </w:trPr>
        <w:tc>
          <w:tcPr>
            <w:tcW w:w="2320" w:type="dxa"/>
            <w:tcBorders>
              <w:top w:val="nil"/>
              <w:left w:val="nil"/>
              <w:bottom w:val="single" w:sz="4" w:space="0" w:color="auto"/>
              <w:right w:val="nil"/>
            </w:tcBorders>
            <w:shd w:val="clear" w:color="auto" w:fill="auto"/>
            <w:noWrap/>
            <w:vAlign w:val="center"/>
            <w:hideMark/>
          </w:tcPr>
          <w:p w14:paraId="58E25DD7" w14:textId="77777777" w:rsidR="00F415AF" w:rsidRPr="005D7674" w:rsidRDefault="00F415AF" w:rsidP="00311D1B">
            <w:pPr>
              <w:spacing w:line="240" w:lineRule="auto"/>
              <w:jc w:val="left"/>
              <w:rPr>
                <w:rFonts w:eastAsia="Times New Roman"/>
                <w:szCs w:val="24"/>
                <w:lang w:eastAsia="cs-CZ"/>
              </w:rPr>
            </w:pPr>
            <w:r w:rsidRPr="005D7674">
              <w:rPr>
                <w:rFonts w:eastAsia="Times New Roman"/>
                <w:szCs w:val="24"/>
                <w:lang w:eastAsia="cs-CZ"/>
              </w:rPr>
              <w:t>KS Plzeň</w:t>
            </w:r>
          </w:p>
        </w:tc>
        <w:tc>
          <w:tcPr>
            <w:tcW w:w="1224" w:type="dxa"/>
            <w:tcBorders>
              <w:top w:val="nil"/>
              <w:left w:val="nil"/>
              <w:bottom w:val="single" w:sz="4" w:space="0" w:color="auto"/>
              <w:right w:val="nil"/>
            </w:tcBorders>
            <w:shd w:val="clear" w:color="auto" w:fill="auto"/>
            <w:noWrap/>
            <w:vAlign w:val="center"/>
            <w:hideMark/>
          </w:tcPr>
          <w:p w14:paraId="7F36F2B1"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17</w:t>
            </w:r>
          </w:p>
        </w:tc>
        <w:tc>
          <w:tcPr>
            <w:tcW w:w="1000" w:type="dxa"/>
            <w:tcBorders>
              <w:top w:val="nil"/>
              <w:left w:val="nil"/>
              <w:bottom w:val="single" w:sz="4" w:space="0" w:color="auto"/>
              <w:right w:val="nil"/>
            </w:tcBorders>
            <w:shd w:val="clear" w:color="auto" w:fill="auto"/>
            <w:noWrap/>
            <w:vAlign w:val="center"/>
            <w:hideMark/>
          </w:tcPr>
          <w:p w14:paraId="7A097E96" w14:textId="7C3E0DAE"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-11 %</w:t>
            </w:r>
          </w:p>
        </w:tc>
        <w:tc>
          <w:tcPr>
            <w:tcW w:w="1126" w:type="dxa"/>
            <w:tcBorders>
              <w:top w:val="nil"/>
              <w:left w:val="single" w:sz="4" w:space="0" w:color="auto"/>
              <w:bottom w:val="single" w:sz="4" w:space="0" w:color="auto"/>
              <w:right w:val="nil"/>
            </w:tcBorders>
            <w:shd w:val="clear" w:color="auto" w:fill="auto"/>
            <w:noWrap/>
            <w:vAlign w:val="center"/>
            <w:hideMark/>
          </w:tcPr>
          <w:p w14:paraId="594A3E4C"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8</w:t>
            </w:r>
          </w:p>
        </w:tc>
        <w:tc>
          <w:tcPr>
            <w:tcW w:w="993" w:type="dxa"/>
            <w:tcBorders>
              <w:top w:val="nil"/>
              <w:left w:val="nil"/>
              <w:bottom w:val="single" w:sz="4" w:space="0" w:color="auto"/>
              <w:right w:val="single" w:sz="4" w:space="0" w:color="auto"/>
            </w:tcBorders>
            <w:shd w:val="clear" w:color="auto" w:fill="auto"/>
            <w:noWrap/>
            <w:vAlign w:val="center"/>
            <w:hideMark/>
          </w:tcPr>
          <w:p w14:paraId="1044C28D" w14:textId="739FBCFA"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-20 %</w:t>
            </w:r>
          </w:p>
        </w:tc>
        <w:tc>
          <w:tcPr>
            <w:tcW w:w="1134" w:type="dxa"/>
            <w:tcBorders>
              <w:top w:val="nil"/>
              <w:left w:val="nil"/>
              <w:bottom w:val="single" w:sz="4" w:space="0" w:color="auto"/>
              <w:right w:val="nil"/>
            </w:tcBorders>
            <w:shd w:val="clear" w:color="auto" w:fill="auto"/>
            <w:noWrap/>
            <w:vAlign w:val="center"/>
            <w:hideMark/>
          </w:tcPr>
          <w:p w14:paraId="38E86600"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35</w:t>
            </w:r>
          </w:p>
        </w:tc>
        <w:tc>
          <w:tcPr>
            <w:tcW w:w="1003" w:type="dxa"/>
            <w:tcBorders>
              <w:top w:val="nil"/>
              <w:left w:val="nil"/>
              <w:bottom w:val="single" w:sz="4" w:space="0" w:color="auto"/>
              <w:right w:val="nil"/>
            </w:tcBorders>
            <w:shd w:val="clear" w:color="auto" w:fill="auto"/>
            <w:noWrap/>
            <w:vAlign w:val="center"/>
            <w:hideMark/>
          </w:tcPr>
          <w:p w14:paraId="469DF27B" w14:textId="5221AAE5"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-3 %</w:t>
            </w:r>
          </w:p>
        </w:tc>
      </w:tr>
      <w:tr w:rsidR="00F15667" w:rsidRPr="005D7674" w14:paraId="05489C2B" w14:textId="77777777" w:rsidTr="00311D1B">
        <w:trPr>
          <w:trHeight w:val="315"/>
        </w:trPr>
        <w:tc>
          <w:tcPr>
            <w:tcW w:w="2320" w:type="dxa"/>
            <w:tcBorders>
              <w:top w:val="nil"/>
              <w:left w:val="nil"/>
              <w:bottom w:val="single" w:sz="4" w:space="0" w:color="auto"/>
              <w:right w:val="nil"/>
            </w:tcBorders>
            <w:shd w:val="clear" w:color="auto" w:fill="auto"/>
            <w:noWrap/>
            <w:vAlign w:val="center"/>
            <w:hideMark/>
          </w:tcPr>
          <w:p w14:paraId="33710C28" w14:textId="77777777" w:rsidR="00F415AF" w:rsidRPr="005D7674" w:rsidRDefault="00F415AF" w:rsidP="00311D1B">
            <w:pPr>
              <w:spacing w:line="240" w:lineRule="auto"/>
              <w:jc w:val="left"/>
              <w:rPr>
                <w:rFonts w:eastAsia="Times New Roman"/>
                <w:szCs w:val="24"/>
                <w:lang w:eastAsia="cs-CZ"/>
              </w:rPr>
            </w:pPr>
            <w:r w:rsidRPr="005D7674">
              <w:rPr>
                <w:rFonts w:eastAsia="Times New Roman"/>
                <w:szCs w:val="24"/>
                <w:lang w:eastAsia="cs-CZ"/>
              </w:rPr>
              <w:t>KS Ústí n. Labem</w:t>
            </w:r>
          </w:p>
        </w:tc>
        <w:tc>
          <w:tcPr>
            <w:tcW w:w="1224" w:type="dxa"/>
            <w:tcBorders>
              <w:top w:val="nil"/>
              <w:left w:val="nil"/>
              <w:bottom w:val="single" w:sz="4" w:space="0" w:color="auto"/>
              <w:right w:val="nil"/>
            </w:tcBorders>
            <w:shd w:val="clear" w:color="auto" w:fill="auto"/>
            <w:noWrap/>
            <w:vAlign w:val="center"/>
            <w:hideMark/>
          </w:tcPr>
          <w:p w14:paraId="12EC3798"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34</w:t>
            </w:r>
          </w:p>
        </w:tc>
        <w:tc>
          <w:tcPr>
            <w:tcW w:w="1000" w:type="dxa"/>
            <w:tcBorders>
              <w:top w:val="nil"/>
              <w:left w:val="nil"/>
              <w:bottom w:val="single" w:sz="4" w:space="0" w:color="auto"/>
              <w:right w:val="nil"/>
            </w:tcBorders>
            <w:shd w:val="clear" w:color="auto" w:fill="auto"/>
            <w:noWrap/>
            <w:vAlign w:val="center"/>
            <w:hideMark/>
          </w:tcPr>
          <w:p w14:paraId="0B1D8CA0" w14:textId="70A5F891"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+0 %</w:t>
            </w:r>
          </w:p>
        </w:tc>
        <w:tc>
          <w:tcPr>
            <w:tcW w:w="1126" w:type="dxa"/>
            <w:tcBorders>
              <w:top w:val="nil"/>
              <w:left w:val="single" w:sz="4" w:space="0" w:color="auto"/>
              <w:bottom w:val="single" w:sz="4" w:space="0" w:color="auto"/>
              <w:right w:val="nil"/>
            </w:tcBorders>
            <w:shd w:val="clear" w:color="auto" w:fill="auto"/>
            <w:noWrap/>
            <w:vAlign w:val="center"/>
            <w:hideMark/>
          </w:tcPr>
          <w:p w14:paraId="07A897C4"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15</w:t>
            </w:r>
          </w:p>
        </w:tc>
        <w:tc>
          <w:tcPr>
            <w:tcW w:w="993" w:type="dxa"/>
            <w:tcBorders>
              <w:top w:val="nil"/>
              <w:left w:val="nil"/>
              <w:bottom w:val="single" w:sz="4" w:space="0" w:color="auto"/>
              <w:right w:val="single" w:sz="4" w:space="0" w:color="auto"/>
            </w:tcBorders>
            <w:shd w:val="clear" w:color="auto" w:fill="auto"/>
            <w:noWrap/>
            <w:vAlign w:val="center"/>
            <w:hideMark/>
          </w:tcPr>
          <w:p w14:paraId="69D2F22C" w14:textId="2A3DC9AA"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-6 %</w:t>
            </w:r>
          </w:p>
        </w:tc>
        <w:tc>
          <w:tcPr>
            <w:tcW w:w="1134" w:type="dxa"/>
            <w:tcBorders>
              <w:top w:val="nil"/>
              <w:left w:val="nil"/>
              <w:bottom w:val="single" w:sz="4" w:space="0" w:color="auto"/>
              <w:right w:val="nil"/>
            </w:tcBorders>
            <w:shd w:val="clear" w:color="auto" w:fill="auto"/>
            <w:noWrap/>
            <w:vAlign w:val="center"/>
            <w:hideMark/>
          </w:tcPr>
          <w:p w14:paraId="5CA1761F"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62</w:t>
            </w:r>
          </w:p>
        </w:tc>
        <w:tc>
          <w:tcPr>
            <w:tcW w:w="1003" w:type="dxa"/>
            <w:tcBorders>
              <w:top w:val="nil"/>
              <w:left w:val="nil"/>
              <w:bottom w:val="single" w:sz="4" w:space="0" w:color="auto"/>
              <w:right w:val="nil"/>
            </w:tcBorders>
            <w:shd w:val="clear" w:color="auto" w:fill="auto"/>
            <w:noWrap/>
            <w:vAlign w:val="center"/>
            <w:hideMark/>
          </w:tcPr>
          <w:p w14:paraId="393D71EE" w14:textId="1F6E4352"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+0 %</w:t>
            </w:r>
          </w:p>
        </w:tc>
      </w:tr>
      <w:tr w:rsidR="00F15667" w:rsidRPr="005D7674" w14:paraId="254B1DE8" w14:textId="77777777" w:rsidTr="00311D1B">
        <w:trPr>
          <w:trHeight w:val="315"/>
        </w:trPr>
        <w:tc>
          <w:tcPr>
            <w:tcW w:w="2320" w:type="dxa"/>
            <w:tcBorders>
              <w:top w:val="nil"/>
              <w:left w:val="nil"/>
              <w:bottom w:val="single" w:sz="4" w:space="0" w:color="auto"/>
              <w:right w:val="nil"/>
            </w:tcBorders>
            <w:shd w:val="clear" w:color="auto" w:fill="auto"/>
            <w:noWrap/>
            <w:vAlign w:val="center"/>
            <w:hideMark/>
          </w:tcPr>
          <w:p w14:paraId="4D9BD5E4" w14:textId="77777777" w:rsidR="00F415AF" w:rsidRPr="005D7674" w:rsidRDefault="00F415AF" w:rsidP="00311D1B">
            <w:pPr>
              <w:spacing w:line="240" w:lineRule="auto"/>
              <w:jc w:val="left"/>
              <w:rPr>
                <w:rFonts w:eastAsia="Times New Roman"/>
                <w:szCs w:val="24"/>
                <w:lang w:eastAsia="cs-CZ"/>
              </w:rPr>
            </w:pPr>
            <w:r w:rsidRPr="005D7674">
              <w:rPr>
                <w:rFonts w:eastAsia="Times New Roman"/>
                <w:szCs w:val="24"/>
                <w:lang w:eastAsia="cs-CZ"/>
              </w:rPr>
              <w:t>KS Hr. Králové</w:t>
            </w:r>
          </w:p>
        </w:tc>
        <w:tc>
          <w:tcPr>
            <w:tcW w:w="1224" w:type="dxa"/>
            <w:tcBorders>
              <w:top w:val="nil"/>
              <w:left w:val="nil"/>
              <w:bottom w:val="single" w:sz="4" w:space="0" w:color="auto"/>
              <w:right w:val="nil"/>
            </w:tcBorders>
            <w:shd w:val="clear" w:color="auto" w:fill="auto"/>
            <w:noWrap/>
            <w:vAlign w:val="center"/>
            <w:hideMark/>
          </w:tcPr>
          <w:p w14:paraId="6E697579"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17</w:t>
            </w:r>
          </w:p>
        </w:tc>
        <w:tc>
          <w:tcPr>
            <w:tcW w:w="1000" w:type="dxa"/>
            <w:tcBorders>
              <w:top w:val="nil"/>
              <w:left w:val="nil"/>
              <w:bottom w:val="single" w:sz="4" w:space="0" w:color="auto"/>
              <w:right w:val="nil"/>
            </w:tcBorders>
            <w:shd w:val="clear" w:color="auto" w:fill="auto"/>
            <w:noWrap/>
            <w:vAlign w:val="center"/>
            <w:hideMark/>
          </w:tcPr>
          <w:p w14:paraId="5ECCA781" w14:textId="64195BFB"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-19 %</w:t>
            </w:r>
          </w:p>
        </w:tc>
        <w:tc>
          <w:tcPr>
            <w:tcW w:w="1126" w:type="dxa"/>
            <w:tcBorders>
              <w:top w:val="nil"/>
              <w:left w:val="single" w:sz="4" w:space="0" w:color="auto"/>
              <w:bottom w:val="single" w:sz="4" w:space="0" w:color="auto"/>
              <w:right w:val="nil"/>
            </w:tcBorders>
            <w:shd w:val="clear" w:color="auto" w:fill="auto"/>
            <w:noWrap/>
            <w:vAlign w:val="center"/>
            <w:hideMark/>
          </w:tcPr>
          <w:p w14:paraId="6C42E623"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8</w:t>
            </w:r>
          </w:p>
        </w:tc>
        <w:tc>
          <w:tcPr>
            <w:tcW w:w="993" w:type="dxa"/>
            <w:tcBorders>
              <w:top w:val="nil"/>
              <w:left w:val="nil"/>
              <w:bottom w:val="single" w:sz="4" w:space="0" w:color="auto"/>
              <w:right w:val="single" w:sz="4" w:space="0" w:color="auto"/>
            </w:tcBorders>
            <w:shd w:val="clear" w:color="auto" w:fill="auto"/>
            <w:noWrap/>
            <w:vAlign w:val="center"/>
            <w:hideMark/>
          </w:tcPr>
          <w:p w14:paraId="5D83CA98" w14:textId="3BEA990E"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-11 %</w:t>
            </w:r>
          </w:p>
        </w:tc>
        <w:tc>
          <w:tcPr>
            <w:tcW w:w="1134" w:type="dxa"/>
            <w:tcBorders>
              <w:top w:val="nil"/>
              <w:left w:val="nil"/>
              <w:bottom w:val="single" w:sz="4" w:space="0" w:color="auto"/>
              <w:right w:val="nil"/>
            </w:tcBorders>
            <w:shd w:val="clear" w:color="auto" w:fill="auto"/>
            <w:noWrap/>
            <w:vAlign w:val="center"/>
            <w:hideMark/>
          </w:tcPr>
          <w:p w14:paraId="2400090E"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31</w:t>
            </w:r>
          </w:p>
        </w:tc>
        <w:tc>
          <w:tcPr>
            <w:tcW w:w="1003" w:type="dxa"/>
            <w:tcBorders>
              <w:top w:val="nil"/>
              <w:left w:val="nil"/>
              <w:bottom w:val="single" w:sz="4" w:space="0" w:color="auto"/>
              <w:right w:val="nil"/>
            </w:tcBorders>
            <w:shd w:val="clear" w:color="auto" w:fill="auto"/>
            <w:noWrap/>
            <w:vAlign w:val="center"/>
            <w:hideMark/>
          </w:tcPr>
          <w:p w14:paraId="30681DC7" w14:textId="31FE8501"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-21 %</w:t>
            </w:r>
          </w:p>
        </w:tc>
      </w:tr>
      <w:tr w:rsidR="00F15667" w:rsidRPr="005D7674" w14:paraId="6D7F997A" w14:textId="77777777" w:rsidTr="00311D1B">
        <w:trPr>
          <w:trHeight w:val="315"/>
        </w:trPr>
        <w:tc>
          <w:tcPr>
            <w:tcW w:w="2320" w:type="dxa"/>
            <w:tcBorders>
              <w:top w:val="nil"/>
              <w:left w:val="nil"/>
              <w:bottom w:val="single" w:sz="4" w:space="0" w:color="auto"/>
              <w:right w:val="nil"/>
            </w:tcBorders>
            <w:shd w:val="clear" w:color="auto" w:fill="auto"/>
            <w:noWrap/>
            <w:vAlign w:val="center"/>
            <w:hideMark/>
          </w:tcPr>
          <w:p w14:paraId="4DC7131D" w14:textId="77777777" w:rsidR="00F415AF" w:rsidRPr="005D7674" w:rsidRDefault="00F415AF" w:rsidP="00311D1B">
            <w:pPr>
              <w:spacing w:line="240" w:lineRule="auto"/>
              <w:jc w:val="left"/>
              <w:rPr>
                <w:rFonts w:eastAsia="Times New Roman"/>
                <w:szCs w:val="24"/>
                <w:lang w:eastAsia="cs-CZ"/>
              </w:rPr>
            </w:pPr>
            <w:r w:rsidRPr="005D7674">
              <w:rPr>
                <w:rFonts w:eastAsia="Times New Roman"/>
                <w:szCs w:val="24"/>
                <w:lang w:eastAsia="cs-CZ"/>
              </w:rPr>
              <w:t>KS Brno</w:t>
            </w:r>
          </w:p>
        </w:tc>
        <w:tc>
          <w:tcPr>
            <w:tcW w:w="1224" w:type="dxa"/>
            <w:tcBorders>
              <w:top w:val="nil"/>
              <w:left w:val="nil"/>
              <w:bottom w:val="single" w:sz="4" w:space="0" w:color="auto"/>
              <w:right w:val="nil"/>
            </w:tcBorders>
            <w:shd w:val="clear" w:color="auto" w:fill="auto"/>
            <w:noWrap/>
            <w:vAlign w:val="center"/>
            <w:hideMark/>
          </w:tcPr>
          <w:p w14:paraId="69352476"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40</w:t>
            </w:r>
          </w:p>
        </w:tc>
        <w:tc>
          <w:tcPr>
            <w:tcW w:w="1000" w:type="dxa"/>
            <w:tcBorders>
              <w:top w:val="nil"/>
              <w:left w:val="nil"/>
              <w:bottom w:val="single" w:sz="4" w:space="0" w:color="auto"/>
              <w:right w:val="nil"/>
            </w:tcBorders>
            <w:shd w:val="clear" w:color="auto" w:fill="auto"/>
            <w:noWrap/>
            <w:vAlign w:val="center"/>
            <w:hideMark/>
          </w:tcPr>
          <w:p w14:paraId="36C4B668" w14:textId="0C4145D1"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-2 %</w:t>
            </w:r>
          </w:p>
        </w:tc>
        <w:tc>
          <w:tcPr>
            <w:tcW w:w="1126" w:type="dxa"/>
            <w:tcBorders>
              <w:top w:val="nil"/>
              <w:left w:val="single" w:sz="4" w:space="0" w:color="auto"/>
              <w:bottom w:val="single" w:sz="4" w:space="0" w:color="auto"/>
              <w:right w:val="nil"/>
            </w:tcBorders>
            <w:shd w:val="clear" w:color="auto" w:fill="auto"/>
            <w:noWrap/>
            <w:vAlign w:val="center"/>
            <w:hideMark/>
          </w:tcPr>
          <w:p w14:paraId="33969111"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20</w:t>
            </w:r>
          </w:p>
        </w:tc>
        <w:tc>
          <w:tcPr>
            <w:tcW w:w="993" w:type="dxa"/>
            <w:tcBorders>
              <w:top w:val="nil"/>
              <w:left w:val="nil"/>
              <w:bottom w:val="single" w:sz="4" w:space="0" w:color="auto"/>
              <w:right w:val="single" w:sz="4" w:space="0" w:color="auto"/>
            </w:tcBorders>
            <w:shd w:val="clear" w:color="auto" w:fill="auto"/>
            <w:noWrap/>
            <w:vAlign w:val="center"/>
            <w:hideMark/>
          </w:tcPr>
          <w:p w14:paraId="3248187C" w14:textId="3F201D38"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-13 %</w:t>
            </w:r>
          </w:p>
        </w:tc>
        <w:tc>
          <w:tcPr>
            <w:tcW w:w="1134" w:type="dxa"/>
            <w:tcBorders>
              <w:top w:val="nil"/>
              <w:left w:val="nil"/>
              <w:bottom w:val="single" w:sz="4" w:space="0" w:color="auto"/>
              <w:right w:val="nil"/>
            </w:tcBorders>
            <w:shd w:val="clear" w:color="auto" w:fill="auto"/>
            <w:noWrap/>
            <w:vAlign w:val="center"/>
            <w:hideMark/>
          </w:tcPr>
          <w:p w14:paraId="12E028B0"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81</w:t>
            </w:r>
          </w:p>
        </w:tc>
        <w:tc>
          <w:tcPr>
            <w:tcW w:w="1003" w:type="dxa"/>
            <w:tcBorders>
              <w:top w:val="nil"/>
              <w:left w:val="nil"/>
              <w:bottom w:val="single" w:sz="4" w:space="0" w:color="auto"/>
              <w:right w:val="nil"/>
            </w:tcBorders>
            <w:shd w:val="clear" w:color="auto" w:fill="auto"/>
            <w:noWrap/>
            <w:vAlign w:val="center"/>
            <w:hideMark/>
          </w:tcPr>
          <w:p w14:paraId="3C85A109" w14:textId="4E0DD352"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-11 %</w:t>
            </w:r>
          </w:p>
        </w:tc>
      </w:tr>
      <w:tr w:rsidR="00F15667" w:rsidRPr="005D7674" w14:paraId="7556BDD3" w14:textId="77777777" w:rsidTr="00311D1B">
        <w:trPr>
          <w:trHeight w:val="330"/>
        </w:trPr>
        <w:tc>
          <w:tcPr>
            <w:tcW w:w="2320" w:type="dxa"/>
            <w:tcBorders>
              <w:top w:val="nil"/>
              <w:left w:val="nil"/>
              <w:bottom w:val="double" w:sz="6" w:space="0" w:color="auto"/>
              <w:right w:val="nil"/>
            </w:tcBorders>
            <w:shd w:val="clear" w:color="auto" w:fill="auto"/>
            <w:noWrap/>
            <w:vAlign w:val="center"/>
            <w:hideMark/>
          </w:tcPr>
          <w:p w14:paraId="532FDAE6" w14:textId="77777777" w:rsidR="00F415AF" w:rsidRPr="005D7674" w:rsidRDefault="00F415AF" w:rsidP="00311D1B">
            <w:pPr>
              <w:spacing w:line="240" w:lineRule="auto"/>
              <w:jc w:val="left"/>
              <w:rPr>
                <w:rFonts w:eastAsia="Times New Roman"/>
                <w:szCs w:val="24"/>
                <w:lang w:eastAsia="cs-CZ"/>
              </w:rPr>
            </w:pPr>
            <w:r w:rsidRPr="005D7674">
              <w:rPr>
                <w:rFonts w:eastAsia="Times New Roman"/>
                <w:szCs w:val="24"/>
                <w:lang w:eastAsia="cs-CZ"/>
              </w:rPr>
              <w:t>KS Ostrava</w:t>
            </w:r>
          </w:p>
        </w:tc>
        <w:tc>
          <w:tcPr>
            <w:tcW w:w="1224" w:type="dxa"/>
            <w:tcBorders>
              <w:top w:val="nil"/>
              <w:left w:val="nil"/>
              <w:bottom w:val="double" w:sz="6" w:space="0" w:color="auto"/>
              <w:right w:val="nil"/>
            </w:tcBorders>
            <w:shd w:val="clear" w:color="auto" w:fill="auto"/>
            <w:noWrap/>
            <w:vAlign w:val="center"/>
            <w:hideMark/>
          </w:tcPr>
          <w:p w14:paraId="6DED93E0"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37</w:t>
            </w:r>
          </w:p>
        </w:tc>
        <w:tc>
          <w:tcPr>
            <w:tcW w:w="1000" w:type="dxa"/>
            <w:tcBorders>
              <w:top w:val="nil"/>
              <w:left w:val="nil"/>
              <w:bottom w:val="double" w:sz="6" w:space="0" w:color="auto"/>
              <w:right w:val="nil"/>
            </w:tcBorders>
            <w:shd w:val="clear" w:color="auto" w:fill="auto"/>
            <w:noWrap/>
            <w:vAlign w:val="center"/>
            <w:hideMark/>
          </w:tcPr>
          <w:p w14:paraId="4E4EEEE9" w14:textId="0370D2CD"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+12 %</w:t>
            </w:r>
          </w:p>
        </w:tc>
        <w:tc>
          <w:tcPr>
            <w:tcW w:w="1126" w:type="dxa"/>
            <w:tcBorders>
              <w:top w:val="nil"/>
              <w:left w:val="single" w:sz="4" w:space="0" w:color="auto"/>
              <w:bottom w:val="double" w:sz="6" w:space="0" w:color="auto"/>
              <w:right w:val="nil"/>
            </w:tcBorders>
            <w:shd w:val="clear" w:color="auto" w:fill="auto"/>
            <w:noWrap/>
            <w:vAlign w:val="center"/>
            <w:hideMark/>
          </w:tcPr>
          <w:p w14:paraId="45304845"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17</w:t>
            </w:r>
          </w:p>
        </w:tc>
        <w:tc>
          <w:tcPr>
            <w:tcW w:w="993" w:type="dxa"/>
            <w:tcBorders>
              <w:top w:val="nil"/>
              <w:left w:val="nil"/>
              <w:bottom w:val="double" w:sz="6" w:space="0" w:color="auto"/>
              <w:right w:val="single" w:sz="4" w:space="0" w:color="auto"/>
            </w:tcBorders>
            <w:shd w:val="clear" w:color="auto" w:fill="auto"/>
            <w:noWrap/>
            <w:vAlign w:val="center"/>
            <w:hideMark/>
          </w:tcPr>
          <w:p w14:paraId="685160EC" w14:textId="1A53A611"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+6 %</w:t>
            </w:r>
          </w:p>
        </w:tc>
        <w:tc>
          <w:tcPr>
            <w:tcW w:w="1134" w:type="dxa"/>
            <w:tcBorders>
              <w:top w:val="nil"/>
              <w:left w:val="nil"/>
              <w:bottom w:val="double" w:sz="6" w:space="0" w:color="auto"/>
              <w:right w:val="nil"/>
            </w:tcBorders>
            <w:shd w:val="clear" w:color="auto" w:fill="auto"/>
            <w:noWrap/>
            <w:vAlign w:val="center"/>
            <w:hideMark/>
          </w:tcPr>
          <w:p w14:paraId="1500201E" w14:textId="77777777" w:rsidR="00F415AF" w:rsidRPr="005D7674" w:rsidRDefault="00F415AF" w:rsidP="00311D1B">
            <w:pPr>
              <w:spacing w:line="240" w:lineRule="auto"/>
              <w:jc w:val="center"/>
              <w:rPr>
                <w:rFonts w:eastAsia="Times New Roman"/>
                <w:szCs w:val="24"/>
                <w:lang w:eastAsia="cs-CZ"/>
              </w:rPr>
            </w:pPr>
            <w:r w:rsidRPr="005D7674">
              <w:rPr>
                <w:rFonts w:eastAsia="Times New Roman"/>
                <w:szCs w:val="24"/>
                <w:lang w:eastAsia="cs-CZ"/>
              </w:rPr>
              <w:t>72</w:t>
            </w:r>
          </w:p>
        </w:tc>
        <w:tc>
          <w:tcPr>
            <w:tcW w:w="1003" w:type="dxa"/>
            <w:tcBorders>
              <w:top w:val="nil"/>
              <w:left w:val="nil"/>
              <w:bottom w:val="double" w:sz="6" w:space="0" w:color="auto"/>
              <w:right w:val="nil"/>
            </w:tcBorders>
            <w:shd w:val="clear" w:color="auto" w:fill="auto"/>
            <w:noWrap/>
            <w:vAlign w:val="center"/>
            <w:hideMark/>
          </w:tcPr>
          <w:p w14:paraId="40DCE555" w14:textId="1616985F" w:rsidR="00F415AF" w:rsidRPr="005D7674" w:rsidRDefault="00F415AF" w:rsidP="00311D1B">
            <w:pPr>
              <w:spacing w:line="240" w:lineRule="auto"/>
              <w:jc w:val="center"/>
              <w:rPr>
                <w:rFonts w:eastAsia="Times New Roman"/>
                <w:sz w:val="20"/>
                <w:szCs w:val="20"/>
                <w:lang w:eastAsia="cs-CZ"/>
              </w:rPr>
            </w:pPr>
            <w:r w:rsidRPr="005D7674">
              <w:rPr>
                <w:rFonts w:eastAsia="Times New Roman"/>
                <w:sz w:val="20"/>
                <w:szCs w:val="20"/>
                <w:lang w:eastAsia="cs-CZ"/>
              </w:rPr>
              <w:t>+16 %</w:t>
            </w:r>
          </w:p>
        </w:tc>
      </w:tr>
      <w:tr w:rsidR="00F15667" w:rsidRPr="005D7674" w14:paraId="12A8F258" w14:textId="77777777" w:rsidTr="00311D1B">
        <w:trPr>
          <w:trHeight w:val="345"/>
        </w:trPr>
        <w:tc>
          <w:tcPr>
            <w:tcW w:w="2320" w:type="dxa"/>
            <w:tcBorders>
              <w:top w:val="nil"/>
              <w:left w:val="nil"/>
              <w:bottom w:val="double" w:sz="6" w:space="0" w:color="auto"/>
              <w:right w:val="nil"/>
            </w:tcBorders>
            <w:shd w:val="clear" w:color="auto" w:fill="auto"/>
            <w:noWrap/>
            <w:vAlign w:val="center"/>
            <w:hideMark/>
          </w:tcPr>
          <w:p w14:paraId="1BBD4097" w14:textId="77777777" w:rsidR="00F415AF" w:rsidRPr="005D7674" w:rsidRDefault="00F415AF" w:rsidP="00311D1B">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224" w:type="dxa"/>
            <w:tcBorders>
              <w:top w:val="nil"/>
              <w:left w:val="nil"/>
              <w:bottom w:val="double" w:sz="6" w:space="0" w:color="auto"/>
              <w:right w:val="nil"/>
            </w:tcBorders>
            <w:shd w:val="clear" w:color="auto" w:fill="auto"/>
            <w:noWrap/>
            <w:vAlign w:val="center"/>
            <w:hideMark/>
          </w:tcPr>
          <w:p w14:paraId="46639AED" w14:textId="77777777" w:rsidR="00F415AF" w:rsidRPr="005D7674" w:rsidRDefault="00F415AF" w:rsidP="00311D1B">
            <w:pPr>
              <w:spacing w:line="240" w:lineRule="auto"/>
              <w:jc w:val="center"/>
              <w:rPr>
                <w:rFonts w:eastAsia="Times New Roman"/>
                <w:b/>
                <w:bCs/>
                <w:szCs w:val="24"/>
                <w:lang w:eastAsia="cs-CZ"/>
              </w:rPr>
            </w:pPr>
            <w:r w:rsidRPr="005D7674">
              <w:rPr>
                <w:rFonts w:eastAsia="Times New Roman"/>
                <w:b/>
                <w:bCs/>
                <w:szCs w:val="24"/>
                <w:lang w:eastAsia="cs-CZ"/>
              </w:rPr>
              <w:t>28</w:t>
            </w:r>
          </w:p>
        </w:tc>
        <w:tc>
          <w:tcPr>
            <w:tcW w:w="1000" w:type="dxa"/>
            <w:tcBorders>
              <w:top w:val="nil"/>
              <w:left w:val="nil"/>
              <w:bottom w:val="double" w:sz="6" w:space="0" w:color="auto"/>
              <w:right w:val="nil"/>
            </w:tcBorders>
            <w:shd w:val="clear" w:color="auto" w:fill="auto"/>
            <w:noWrap/>
            <w:vAlign w:val="center"/>
            <w:hideMark/>
          </w:tcPr>
          <w:p w14:paraId="763B472B" w14:textId="7BE01ED8" w:rsidR="00F415AF" w:rsidRPr="005D7674" w:rsidRDefault="00F415AF" w:rsidP="00311D1B">
            <w:pPr>
              <w:spacing w:line="240" w:lineRule="auto"/>
              <w:jc w:val="center"/>
              <w:rPr>
                <w:rFonts w:eastAsia="Times New Roman"/>
                <w:b/>
                <w:bCs/>
                <w:sz w:val="20"/>
                <w:szCs w:val="20"/>
                <w:lang w:eastAsia="cs-CZ"/>
              </w:rPr>
            </w:pPr>
            <w:r w:rsidRPr="005D7674">
              <w:rPr>
                <w:rFonts w:eastAsia="Times New Roman"/>
                <w:b/>
                <w:bCs/>
                <w:sz w:val="20"/>
                <w:szCs w:val="20"/>
                <w:lang w:eastAsia="cs-CZ"/>
              </w:rPr>
              <w:t>-3 %</w:t>
            </w:r>
          </w:p>
        </w:tc>
        <w:tc>
          <w:tcPr>
            <w:tcW w:w="1126" w:type="dxa"/>
            <w:tcBorders>
              <w:top w:val="nil"/>
              <w:left w:val="single" w:sz="4" w:space="0" w:color="auto"/>
              <w:bottom w:val="double" w:sz="6" w:space="0" w:color="auto"/>
              <w:right w:val="nil"/>
            </w:tcBorders>
            <w:shd w:val="clear" w:color="auto" w:fill="auto"/>
            <w:noWrap/>
            <w:vAlign w:val="center"/>
            <w:hideMark/>
          </w:tcPr>
          <w:p w14:paraId="5B262AFD" w14:textId="77777777" w:rsidR="00F415AF" w:rsidRPr="005D7674" w:rsidRDefault="00F415AF" w:rsidP="00311D1B">
            <w:pPr>
              <w:spacing w:line="240" w:lineRule="auto"/>
              <w:jc w:val="center"/>
              <w:rPr>
                <w:rFonts w:eastAsia="Times New Roman"/>
                <w:b/>
                <w:bCs/>
                <w:szCs w:val="24"/>
                <w:lang w:eastAsia="cs-CZ"/>
              </w:rPr>
            </w:pPr>
            <w:r w:rsidRPr="005D7674">
              <w:rPr>
                <w:rFonts w:eastAsia="Times New Roman"/>
                <w:b/>
                <w:bCs/>
                <w:szCs w:val="24"/>
                <w:lang w:eastAsia="cs-CZ"/>
              </w:rPr>
              <w:t>12</w:t>
            </w:r>
          </w:p>
        </w:tc>
        <w:tc>
          <w:tcPr>
            <w:tcW w:w="993" w:type="dxa"/>
            <w:tcBorders>
              <w:top w:val="nil"/>
              <w:left w:val="nil"/>
              <w:bottom w:val="double" w:sz="6" w:space="0" w:color="auto"/>
              <w:right w:val="single" w:sz="4" w:space="0" w:color="auto"/>
            </w:tcBorders>
            <w:shd w:val="clear" w:color="auto" w:fill="auto"/>
            <w:noWrap/>
            <w:vAlign w:val="center"/>
            <w:hideMark/>
          </w:tcPr>
          <w:p w14:paraId="624C1B2D" w14:textId="600C365C" w:rsidR="00F415AF" w:rsidRPr="005D7674" w:rsidRDefault="00F415AF" w:rsidP="00311D1B">
            <w:pPr>
              <w:spacing w:line="240" w:lineRule="auto"/>
              <w:jc w:val="center"/>
              <w:rPr>
                <w:rFonts w:eastAsia="Times New Roman"/>
                <w:b/>
                <w:bCs/>
                <w:sz w:val="20"/>
                <w:szCs w:val="20"/>
                <w:lang w:eastAsia="cs-CZ"/>
              </w:rPr>
            </w:pPr>
            <w:r w:rsidRPr="005D7674">
              <w:rPr>
                <w:rFonts w:eastAsia="Times New Roman"/>
                <w:b/>
                <w:bCs/>
                <w:sz w:val="20"/>
                <w:szCs w:val="20"/>
                <w:lang w:eastAsia="cs-CZ"/>
              </w:rPr>
              <w:t>-8 %</w:t>
            </w:r>
          </w:p>
        </w:tc>
        <w:tc>
          <w:tcPr>
            <w:tcW w:w="1134" w:type="dxa"/>
            <w:tcBorders>
              <w:top w:val="nil"/>
              <w:left w:val="nil"/>
              <w:bottom w:val="double" w:sz="6" w:space="0" w:color="auto"/>
              <w:right w:val="nil"/>
            </w:tcBorders>
            <w:shd w:val="clear" w:color="auto" w:fill="auto"/>
            <w:noWrap/>
            <w:vAlign w:val="center"/>
            <w:hideMark/>
          </w:tcPr>
          <w:p w14:paraId="1CBB8370" w14:textId="77777777" w:rsidR="00F415AF" w:rsidRPr="005D7674" w:rsidRDefault="00F415AF" w:rsidP="00311D1B">
            <w:pPr>
              <w:spacing w:line="240" w:lineRule="auto"/>
              <w:jc w:val="center"/>
              <w:rPr>
                <w:rFonts w:eastAsia="Times New Roman"/>
                <w:b/>
                <w:bCs/>
                <w:szCs w:val="24"/>
                <w:lang w:eastAsia="cs-CZ"/>
              </w:rPr>
            </w:pPr>
            <w:r w:rsidRPr="005D7674">
              <w:rPr>
                <w:rFonts w:eastAsia="Times New Roman"/>
                <w:b/>
                <w:bCs/>
                <w:szCs w:val="24"/>
                <w:lang w:eastAsia="cs-CZ"/>
              </w:rPr>
              <w:t>55</w:t>
            </w:r>
          </w:p>
        </w:tc>
        <w:tc>
          <w:tcPr>
            <w:tcW w:w="1003" w:type="dxa"/>
            <w:tcBorders>
              <w:top w:val="nil"/>
              <w:left w:val="nil"/>
              <w:bottom w:val="double" w:sz="6" w:space="0" w:color="auto"/>
              <w:right w:val="nil"/>
            </w:tcBorders>
            <w:shd w:val="clear" w:color="auto" w:fill="auto"/>
            <w:noWrap/>
            <w:vAlign w:val="center"/>
            <w:hideMark/>
          </w:tcPr>
          <w:p w14:paraId="60AE1D5A" w14:textId="4F8E44DB" w:rsidR="00F415AF" w:rsidRPr="005D7674" w:rsidRDefault="00F415AF" w:rsidP="00311D1B">
            <w:pPr>
              <w:spacing w:line="240" w:lineRule="auto"/>
              <w:jc w:val="center"/>
              <w:rPr>
                <w:rFonts w:eastAsia="Times New Roman"/>
                <w:b/>
                <w:bCs/>
                <w:sz w:val="20"/>
                <w:szCs w:val="20"/>
                <w:lang w:eastAsia="cs-CZ"/>
              </w:rPr>
            </w:pPr>
            <w:r w:rsidRPr="005D7674">
              <w:rPr>
                <w:rFonts w:eastAsia="Times New Roman"/>
                <w:b/>
                <w:bCs/>
                <w:sz w:val="20"/>
                <w:szCs w:val="20"/>
                <w:lang w:eastAsia="cs-CZ"/>
              </w:rPr>
              <w:t>-8 %</w:t>
            </w:r>
          </w:p>
        </w:tc>
      </w:tr>
      <w:tr w:rsidR="00F15667" w:rsidRPr="005D7674" w14:paraId="579140D7" w14:textId="77777777" w:rsidTr="00311D1B">
        <w:trPr>
          <w:trHeight w:val="330"/>
        </w:trPr>
        <w:tc>
          <w:tcPr>
            <w:tcW w:w="2320" w:type="dxa"/>
            <w:tcBorders>
              <w:top w:val="nil"/>
              <w:left w:val="nil"/>
              <w:bottom w:val="nil"/>
              <w:right w:val="nil"/>
            </w:tcBorders>
            <w:shd w:val="clear" w:color="auto" w:fill="auto"/>
            <w:noWrap/>
            <w:vAlign w:val="center"/>
            <w:hideMark/>
          </w:tcPr>
          <w:p w14:paraId="7665DBFA" w14:textId="77777777" w:rsidR="00F415AF" w:rsidRPr="005D7674" w:rsidRDefault="00F415AF" w:rsidP="00311D1B">
            <w:pPr>
              <w:spacing w:line="240" w:lineRule="auto"/>
              <w:jc w:val="center"/>
              <w:rPr>
                <w:rFonts w:eastAsia="Times New Roman"/>
                <w:b/>
                <w:bCs/>
                <w:sz w:val="20"/>
                <w:szCs w:val="20"/>
                <w:lang w:eastAsia="cs-CZ"/>
              </w:rPr>
            </w:pPr>
          </w:p>
        </w:tc>
        <w:tc>
          <w:tcPr>
            <w:tcW w:w="1224" w:type="dxa"/>
            <w:tcBorders>
              <w:top w:val="nil"/>
              <w:left w:val="nil"/>
              <w:bottom w:val="nil"/>
              <w:right w:val="nil"/>
            </w:tcBorders>
            <w:shd w:val="clear" w:color="auto" w:fill="auto"/>
            <w:noWrap/>
            <w:vAlign w:val="center"/>
            <w:hideMark/>
          </w:tcPr>
          <w:p w14:paraId="3CB506FF" w14:textId="77777777" w:rsidR="00F415AF" w:rsidRPr="005D7674" w:rsidRDefault="00F415AF" w:rsidP="00311D1B">
            <w:pPr>
              <w:spacing w:line="240" w:lineRule="auto"/>
              <w:jc w:val="center"/>
              <w:rPr>
                <w:rFonts w:eastAsia="Times New Roman"/>
                <w:sz w:val="20"/>
                <w:szCs w:val="20"/>
                <w:lang w:eastAsia="cs-CZ"/>
              </w:rPr>
            </w:pPr>
          </w:p>
        </w:tc>
        <w:tc>
          <w:tcPr>
            <w:tcW w:w="1000" w:type="dxa"/>
            <w:tcBorders>
              <w:top w:val="nil"/>
              <w:left w:val="nil"/>
              <w:bottom w:val="nil"/>
              <w:right w:val="nil"/>
            </w:tcBorders>
            <w:shd w:val="clear" w:color="auto" w:fill="auto"/>
            <w:noWrap/>
            <w:vAlign w:val="center"/>
            <w:hideMark/>
          </w:tcPr>
          <w:p w14:paraId="07DA442D" w14:textId="77777777" w:rsidR="00F415AF" w:rsidRPr="005D7674" w:rsidRDefault="00F415AF" w:rsidP="00311D1B">
            <w:pPr>
              <w:spacing w:line="240" w:lineRule="auto"/>
              <w:jc w:val="center"/>
              <w:rPr>
                <w:rFonts w:eastAsia="Times New Roman"/>
                <w:sz w:val="20"/>
                <w:szCs w:val="20"/>
                <w:lang w:eastAsia="cs-CZ"/>
              </w:rPr>
            </w:pPr>
          </w:p>
        </w:tc>
        <w:tc>
          <w:tcPr>
            <w:tcW w:w="1126" w:type="dxa"/>
            <w:tcBorders>
              <w:top w:val="nil"/>
              <w:left w:val="nil"/>
              <w:bottom w:val="nil"/>
              <w:right w:val="nil"/>
            </w:tcBorders>
            <w:shd w:val="clear" w:color="auto" w:fill="auto"/>
            <w:noWrap/>
            <w:vAlign w:val="center"/>
            <w:hideMark/>
          </w:tcPr>
          <w:p w14:paraId="5B761629" w14:textId="77777777" w:rsidR="00F415AF" w:rsidRPr="005D7674" w:rsidRDefault="00F415AF" w:rsidP="00311D1B">
            <w:pPr>
              <w:spacing w:line="240" w:lineRule="auto"/>
              <w:jc w:val="center"/>
              <w:rPr>
                <w:rFonts w:eastAsia="Times New Roman"/>
                <w:sz w:val="20"/>
                <w:szCs w:val="20"/>
                <w:lang w:eastAsia="cs-CZ"/>
              </w:rPr>
            </w:pPr>
          </w:p>
        </w:tc>
        <w:tc>
          <w:tcPr>
            <w:tcW w:w="993" w:type="dxa"/>
            <w:tcBorders>
              <w:top w:val="nil"/>
              <w:left w:val="nil"/>
              <w:bottom w:val="nil"/>
              <w:right w:val="nil"/>
            </w:tcBorders>
            <w:shd w:val="clear" w:color="auto" w:fill="auto"/>
            <w:noWrap/>
            <w:vAlign w:val="center"/>
            <w:hideMark/>
          </w:tcPr>
          <w:p w14:paraId="5C3D1C5A" w14:textId="77777777" w:rsidR="00F415AF" w:rsidRPr="005D7674" w:rsidRDefault="00F415AF" w:rsidP="00311D1B">
            <w:pPr>
              <w:spacing w:line="240" w:lineRule="auto"/>
              <w:jc w:val="center"/>
              <w:rPr>
                <w:rFonts w:eastAsia="Times New Roman"/>
                <w:sz w:val="20"/>
                <w:szCs w:val="20"/>
                <w:lang w:eastAsia="cs-CZ"/>
              </w:rPr>
            </w:pPr>
          </w:p>
        </w:tc>
        <w:tc>
          <w:tcPr>
            <w:tcW w:w="1134" w:type="dxa"/>
            <w:tcBorders>
              <w:top w:val="nil"/>
              <w:left w:val="nil"/>
              <w:bottom w:val="nil"/>
              <w:right w:val="nil"/>
            </w:tcBorders>
            <w:shd w:val="clear" w:color="auto" w:fill="auto"/>
            <w:noWrap/>
            <w:vAlign w:val="center"/>
            <w:hideMark/>
          </w:tcPr>
          <w:p w14:paraId="2F759365" w14:textId="77777777" w:rsidR="00F415AF" w:rsidRPr="005D7674" w:rsidRDefault="00F415AF" w:rsidP="00311D1B">
            <w:pPr>
              <w:spacing w:line="240" w:lineRule="auto"/>
              <w:jc w:val="center"/>
              <w:rPr>
                <w:rFonts w:eastAsia="Times New Roman"/>
                <w:sz w:val="20"/>
                <w:szCs w:val="20"/>
                <w:lang w:eastAsia="cs-CZ"/>
              </w:rPr>
            </w:pPr>
          </w:p>
        </w:tc>
        <w:tc>
          <w:tcPr>
            <w:tcW w:w="1003" w:type="dxa"/>
            <w:tcBorders>
              <w:top w:val="nil"/>
              <w:left w:val="nil"/>
              <w:bottom w:val="nil"/>
              <w:right w:val="nil"/>
            </w:tcBorders>
            <w:shd w:val="clear" w:color="auto" w:fill="auto"/>
            <w:noWrap/>
            <w:vAlign w:val="center"/>
            <w:hideMark/>
          </w:tcPr>
          <w:p w14:paraId="4CA45658" w14:textId="77777777" w:rsidR="00F415AF" w:rsidRPr="005D7674" w:rsidRDefault="00F415AF" w:rsidP="00311D1B">
            <w:pPr>
              <w:spacing w:line="240" w:lineRule="auto"/>
              <w:jc w:val="center"/>
              <w:rPr>
                <w:rFonts w:eastAsia="Times New Roman"/>
                <w:sz w:val="20"/>
                <w:szCs w:val="20"/>
                <w:lang w:eastAsia="cs-CZ"/>
              </w:rPr>
            </w:pPr>
          </w:p>
        </w:tc>
      </w:tr>
    </w:tbl>
    <w:p w14:paraId="4DB3E27F" w14:textId="4802F602" w:rsidR="003B26F6" w:rsidRPr="005D7674" w:rsidRDefault="003B26F6" w:rsidP="003B26F6">
      <w:r w:rsidRPr="005D7674">
        <w:t>Obecně je možné potvrdit, že délky řízení se již ustálily na hodnotách, které se mění jen nevýznamně a jsou řádově nižší než u klasického civilního řízení (rejstřík C). Například mediánová délka řízení v roce 2022 byla v klasickém civilním řízení 163 dnů, v elektronickém rozkazním řízení pouze 12 dnů. To je čtrnáctkrát méně. To samozřejmě plyne z již diskutované výrazně nižší obtížnosti agendy EPR. Z nižší délky logicky vyplývají i nižší absolutní rozdíly mezi jednotlivými soudy a kraji. Mezi nejrychlejšími soudy ve Východočeském kraji a nejpomalejšími soudy v Jihomoravském kraji je rozdíl pouze 12 dnů v mediánové délce řízení a 23 dnů v průměrné délce řízení. Z jednotlivých soudů jsou nejrychlejší OS pro Praha 5, OS pro Prahu 3, OS pro Prahu 4 a </w:t>
      </w:r>
      <w:r w:rsidR="00005362">
        <w:t>Rokycany</w:t>
      </w:r>
      <w:r w:rsidR="001A451C" w:rsidRPr="005D7674">
        <w:t xml:space="preserve"> </w:t>
      </w:r>
      <w:r w:rsidRPr="005D7674">
        <w:t xml:space="preserve">(medián 6 dnů). Nejpomalejší je </w:t>
      </w:r>
      <w:r w:rsidR="00005362" w:rsidRPr="005D7674">
        <w:t>OS Žďár nad Sázavou</w:t>
      </w:r>
      <w:r w:rsidR="00005362">
        <w:t xml:space="preserve"> (70 dnů)</w:t>
      </w:r>
      <w:r w:rsidR="001A451C" w:rsidRPr="005D7674">
        <w:t xml:space="preserve">, OS </w:t>
      </w:r>
      <w:r w:rsidR="00005362">
        <w:t>Ostrava</w:t>
      </w:r>
      <w:r w:rsidR="001A451C" w:rsidRPr="005D7674">
        <w:t xml:space="preserve"> (</w:t>
      </w:r>
      <w:r w:rsidR="00005362">
        <w:t>52</w:t>
      </w:r>
      <w:r w:rsidR="001A451C" w:rsidRPr="005D7674">
        <w:t xml:space="preserve"> dnů) </w:t>
      </w:r>
      <w:r w:rsidRPr="005D7674">
        <w:t xml:space="preserve">OS Žďár </w:t>
      </w:r>
      <w:r w:rsidR="00005362">
        <w:t>Třebíč</w:t>
      </w:r>
      <w:r w:rsidRPr="005D7674">
        <w:t xml:space="preserve"> (4</w:t>
      </w:r>
      <w:r w:rsidR="00005362">
        <w:t>4</w:t>
      </w:r>
      <w:r w:rsidRPr="005D7674">
        <w:t xml:space="preserve"> dnů)</w:t>
      </w:r>
      <w:r w:rsidR="001A451C" w:rsidRPr="005D7674">
        <w:t>.</w:t>
      </w:r>
    </w:p>
    <w:p w14:paraId="09050199" w14:textId="77777777" w:rsidR="003B26F6" w:rsidRPr="005D7674" w:rsidRDefault="003B26F6" w:rsidP="003B26F6">
      <w:r w:rsidRPr="005D7674">
        <w:t>Z výše uvedeného také plyne menší variabilita v absolutních číslech mezi roky. Z tabulky vyplývá, že u většiny krajů došlo k velmi malé změně ve všech ukazatelích. Někde je procentní změna větší, řádově se ale jedná v absolutních číslech pouze o dny.</w:t>
      </w:r>
    </w:p>
    <w:p w14:paraId="201B0DCC" w14:textId="72A6F131" w:rsidR="003B26F6" w:rsidRPr="005D7674" w:rsidRDefault="003B26F6" w:rsidP="003B26F6">
      <w:pPr>
        <w:pStyle w:val="OdstavecASR"/>
      </w:pPr>
      <w:r w:rsidRPr="005D7674">
        <w:t xml:space="preserve">Konečně je namístě poznamenat, že rychlost vyřizování dle krajů do </w:t>
      </w:r>
      <w:r w:rsidR="007E4FDF" w:rsidRPr="005D7674">
        <w:t>určité</w:t>
      </w:r>
      <w:r w:rsidRPr="005D7674">
        <w:t xml:space="preserve"> míry odpovídá rychlosti řízení v klasickém civilním řízení (absolutní hodnoty jsou ale řádově nižší). Nejnižší délky řízení vykazují soudy, které spadají pod KS Praha a pod KS Hradec Králové. Naopak nejvyšší délky řízení jsou u soudů, které spadají pod KS Ústí nad Labem a KS Brno. To je logické, neboť soudy, kde je přetížen celý civilní úsek, zřejmě budou mít problémy vyřizovat veškerou agendu na tomto úseku.</w:t>
      </w:r>
    </w:p>
    <w:p w14:paraId="691448A2" w14:textId="27A58A8C" w:rsidR="008430BD" w:rsidRPr="005D7674" w:rsidRDefault="008430BD" w:rsidP="008430BD">
      <w:pPr>
        <w:pStyle w:val="Nadpis3"/>
        <w:numPr>
          <w:ilvl w:val="2"/>
          <w:numId w:val="1"/>
        </w:numPr>
        <w:rPr>
          <w:color w:val="auto"/>
        </w:rPr>
      </w:pPr>
      <w:bookmarkStart w:id="232" w:name="_Toc106092725"/>
      <w:bookmarkStart w:id="233" w:name="_Toc144104346"/>
      <w:r w:rsidRPr="005D7674">
        <w:rPr>
          <w:color w:val="auto"/>
        </w:rPr>
        <w:lastRenderedPageBreak/>
        <w:t>Vyřizování věcí</w:t>
      </w:r>
      <w:bookmarkEnd w:id="219"/>
      <w:bookmarkEnd w:id="232"/>
      <w:bookmarkEnd w:id="233"/>
    </w:p>
    <w:p w14:paraId="2B914BD3" w14:textId="3D68E23A" w:rsidR="00052B16" w:rsidRPr="005D7674" w:rsidRDefault="00052B16" w:rsidP="00052B16">
      <w:pPr>
        <w:pStyle w:val="Podnadpis"/>
        <w:numPr>
          <w:ilvl w:val="0"/>
          <w:numId w:val="0"/>
        </w:numPr>
        <w:rPr>
          <w:color w:val="auto"/>
        </w:rPr>
      </w:pPr>
      <w:bookmarkStart w:id="234" w:name="_Toc515871347"/>
      <w:bookmarkStart w:id="235" w:name="_Toc11135082"/>
      <w:bookmarkStart w:id="236" w:name="_Toc43841398"/>
      <w:bookmarkStart w:id="237" w:name="_Toc75952199"/>
      <w:bookmarkStart w:id="238" w:name="_Toc106106653"/>
      <w:bookmarkStart w:id="239" w:name="_Toc144104130"/>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18</w:t>
      </w:r>
      <w:r w:rsidR="009A10E2" w:rsidRPr="005D7674">
        <w:rPr>
          <w:color w:val="auto"/>
        </w:rPr>
        <w:fldChar w:fldCharType="end"/>
      </w:r>
      <w:r w:rsidRPr="005D7674">
        <w:rPr>
          <w:color w:val="auto"/>
        </w:rPr>
        <w:t>: OS – vyřizování věcí v rejstříku EPR v letech 2013–20</w:t>
      </w:r>
      <w:bookmarkEnd w:id="234"/>
      <w:bookmarkEnd w:id="235"/>
      <w:bookmarkEnd w:id="236"/>
      <w:r w:rsidRPr="005D7674">
        <w:rPr>
          <w:color w:val="auto"/>
        </w:rPr>
        <w:t>2</w:t>
      </w:r>
      <w:bookmarkEnd w:id="237"/>
      <w:bookmarkEnd w:id="238"/>
      <w:r w:rsidRPr="005D7674">
        <w:rPr>
          <w:color w:val="auto"/>
        </w:rPr>
        <w:t>2</w:t>
      </w:r>
      <w:bookmarkEnd w:id="239"/>
    </w:p>
    <w:p w14:paraId="14C0E3D2" w14:textId="12D370F8" w:rsidR="009A7200" w:rsidRPr="005D7674" w:rsidRDefault="00052B16" w:rsidP="00311D1B">
      <w:pPr>
        <w:pStyle w:val="OdstavecASR"/>
      </w:pPr>
      <w:r w:rsidRPr="005D7674">
        <w:rPr>
          <w:noProof/>
          <w:lang w:eastAsia="cs-CZ"/>
        </w:rPr>
        <w:drawing>
          <wp:inline distT="0" distB="0" distL="0" distR="0" wp14:anchorId="3AA29B0A" wp14:editId="1E31D980">
            <wp:extent cx="5029200" cy="365760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4B9F277" w14:textId="18831AB6" w:rsidR="007342CD" w:rsidRPr="005D7674" w:rsidRDefault="00A525F6" w:rsidP="00A525F6">
      <w:pPr>
        <w:pStyle w:val="OdstavecASR"/>
      </w:pPr>
      <w:r w:rsidRPr="005D7674">
        <w:t>Je zřejmé, že s vyřizováním této agendy nemají až na výjimky soudy žádné potíže. To ilustruje i poměr počtu nevyřízených věcí k počtu vyřízených věcí či k nápadu. V roce 2020 došlo k nemalému nárůstu (o 17 %) v počtu příchozích věcí oproti roku 2019. K obdobnému nárůstu došlo ve všech krajích. Pandemie COVID</w:t>
      </w:r>
      <w:r w:rsidRPr="005D7674">
        <w:noBreakHyphen/>
        <w:t xml:space="preserve">19 a vládní restrikce tedy zřejmě ovlivnily nápad v opačném směru, než u rejstříku C. To koneckonců dává smysl – EPR je agenda elektronická, a tudíž nijak omezená zavedenými vládními opatřeními. Lze tedy konstatovat, že nárůst této agendy v době pandemie COVID 19 pravděpodobně souvisí s podstatným přesunem komunikace všeobecně do bezkontaktní a elektronické sféry. Soudy tedy neměly vážnější problémy s vyřizováním této agendy. Nárůst nevyřízených věcí o více než 40 % v některých krajích sice mohl na první pohled vypadat hrozivě, u EPR se ale o žádný problém nejednalo, což potvrdil i vývoj v roce 2021. V tomto roce naopak u většiny soudů došlo k poklesu v počtu nevyřízených věcí o desítky procent. </w:t>
      </w:r>
      <w:r w:rsidR="00463248" w:rsidRPr="005D7674">
        <w:t>P</w:t>
      </w:r>
      <w:r w:rsidRPr="005D7674">
        <w:t xml:space="preserve">o růstu nápadu v roce 2020 </w:t>
      </w:r>
      <w:r w:rsidR="00463248" w:rsidRPr="005D7674">
        <w:t>nápad v roce 2021 klesl a v roce 2022 stoup</w:t>
      </w:r>
      <w:r w:rsidR="007342CD" w:rsidRPr="005D7674">
        <w:t>l</w:t>
      </w:r>
      <w:r w:rsidR="00463248" w:rsidRPr="005D7674">
        <w:t>. V posledních letech počet příchozí</w:t>
      </w:r>
      <w:r w:rsidR="00965FE5" w:rsidRPr="005D7674">
        <w:t>ch</w:t>
      </w:r>
      <w:r w:rsidR="00463248" w:rsidRPr="005D7674">
        <w:t xml:space="preserve"> i vyřízených věcí fluktuuje, jednou naroste, jednou klesne. V roce 2022 také narostl počet nevyřízených věcí</w:t>
      </w:r>
      <w:r w:rsidR="007342CD" w:rsidRPr="005D7674">
        <w:t>. Tabulka níže ukazuje, že nárůst lze přičítat Severomoravskému kraji. Ten měl míru vyřizování 89 %</w:t>
      </w:r>
      <w:r w:rsidR="0045202E" w:rsidRPr="005D7674">
        <w:t xml:space="preserve"> a počet nevyřízených věcí v kraji narostl o 224 %. Vzhledem k charakteru agendy lze ale předpokládat, že si s nevyřízenými věcmi poradí.</w:t>
      </w:r>
    </w:p>
    <w:p w14:paraId="78A46A2B" w14:textId="7386DDE3" w:rsidR="00311D1B" w:rsidRPr="005D7674" w:rsidRDefault="00311D1B">
      <w:pPr>
        <w:spacing w:after="160" w:line="259" w:lineRule="auto"/>
        <w:jc w:val="left"/>
      </w:pPr>
      <w:r w:rsidRPr="005D7674">
        <w:br w:type="page"/>
      </w:r>
    </w:p>
    <w:p w14:paraId="33C91B88" w14:textId="49C165F3" w:rsidR="007342CD" w:rsidRPr="005D7674" w:rsidRDefault="007342CD" w:rsidP="007342CD">
      <w:pPr>
        <w:pStyle w:val="Podnadpis"/>
        <w:rPr>
          <w:color w:val="auto"/>
        </w:rPr>
      </w:pPr>
      <w:bookmarkStart w:id="240" w:name="_Toc106106780"/>
      <w:bookmarkStart w:id="241" w:name="_Toc144104258"/>
      <w:r w:rsidRPr="005D7674">
        <w:rPr>
          <w:color w:val="auto"/>
        </w:rPr>
        <w:lastRenderedPageBreak/>
        <w:t xml:space="preserve">Tabulka </w:t>
      </w:r>
      <w:r w:rsidRPr="005D7674">
        <w:rPr>
          <w:color w:val="auto"/>
        </w:rPr>
        <w:fldChar w:fldCharType="begin"/>
      </w:r>
      <w:r w:rsidRPr="005D7674">
        <w:rPr>
          <w:color w:val="auto"/>
        </w:rPr>
        <w:instrText xml:space="preserve"> SEQ Tabulka \* ARABIC </w:instrText>
      </w:r>
      <w:r w:rsidRPr="005D7674">
        <w:rPr>
          <w:color w:val="auto"/>
        </w:rPr>
        <w:fldChar w:fldCharType="separate"/>
      </w:r>
      <w:r w:rsidR="001E1A67">
        <w:rPr>
          <w:noProof/>
          <w:color w:val="auto"/>
        </w:rPr>
        <w:t>19</w:t>
      </w:r>
      <w:r w:rsidRPr="005D7674">
        <w:rPr>
          <w:noProof/>
          <w:color w:val="auto"/>
        </w:rPr>
        <w:fldChar w:fldCharType="end"/>
      </w:r>
      <w:r w:rsidRPr="005D7674">
        <w:rPr>
          <w:color w:val="auto"/>
        </w:rPr>
        <w:t>: OS – vyřizování věcí v rejstříku EPR dle krajů</w:t>
      </w:r>
      <w:bookmarkEnd w:id="240"/>
      <w:bookmarkEnd w:id="241"/>
    </w:p>
    <w:tbl>
      <w:tblPr>
        <w:tblW w:w="9047" w:type="dxa"/>
        <w:tblCellMar>
          <w:left w:w="70" w:type="dxa"/>
          <w:right w:w="70" w:type="dxa"/>
        </w:tblCellMar>
        <w:tblLook w:val="04A0" w:firstRow="1" w:lastRow="0" w:firstColumn="1" w:lastColumn="0" w:noHBand="0" w:noVBand="1"/>
      </w:tblPr>
      <w:tblGrid>
        <w:gridCol w:w="2020"/>
        <w:gridCol w:w="1056"/>
        <w:gridCol w:w="848"/>
        <w:gridCol w:w="1031"/>
        <w:gridCol w:w="848"/>
        <w:gridCol w:w="1001"/>
        <w:gridCol w:w="851"/>
        <w:gridCol w:w="1392"/>
      </w:tblGrid>
      <w:tr w:rsidR="00F15667" w:rsidRPr="005D7674" w14:paraId="47FD9E6D" w14:textId="77777777" w:rsidTr="005D7674">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2DF0AA5F" w14:textId="77777777"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5635" w:type="dxa"/>
            <w:gridSpan w:val="6"/>
            <w:tcBorders>
              <w:top w:val="double" w:sz="6" w:space="0" w:color="auto"/>
              <w:left w:val="nil"/>
              <w:bottom w:val="nil"/>
              <w:right w:val="single" w:sz="4" w:space="0" w:color="000000"/>
            </w:tcBorders>
            <w:shd w:val="clear" w:color="auto" w:fill="auto"/>
            <w:noWrap/>
            <w:vAlign w:val="center"/>
            <w:hideMark/>
          </w:tcPr>
          <w:p w14:paraId="04C4C9F8" w14:textId="77777777"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Počet věcí</w:t>
            </w:r>
          </w:p>
        </w:tc>
        <w:tc>
          <w:tcPr>
            <w:tcW w:w="1392" w:type="dxa"/>
            <w:vMerge w:val="restart"/>
            <w:tcBorders>
              <w:top w:val="double" w:sz="6" w:space="0" w:color="auto"/>
              <w:left w:val="nil"/>
              <w:bottom w:val="double" w:sz="6" w:space="0" w:color="000000"/>
              <w:right w:val="nil"/>
            </w:tcBorders>
            <w:shd w:val="clear" w:color="auto" w:fill="auto"/>
            <w:vAlign w:val="center"/>
            <w:hideMark/>
          </w:tcPr>
          <w:p w14:paraId="0C84DF34" w14:textId="77777777"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Míra vyřizování</w:t>
            </w:r>
          </w:p>
        </w:tc>
      </w:tr>
      <w:tr w:rsidR="00F15667" w:rsidRPr="005D7674" w14:paraId="12F704C7" w14:textId="77777777" w:rsidTr="005D7674">
        <w:trPr>
          <w:trHeight w:val="330"/>
        </w:trPr>
        <w:tc>
          <w:tcPr>
            <w:tcW w:w="2020" w:type="dxa"/>
            <w:vMerge/>
            <w:tcBorders>
              <w:top w:val="double" w:sz="6" w:space="0" w:color="auto"/>
              <w:left w:val="nil"/>
              <w:bottom w:val="double" w:sz="6" w:space="0" w:color="000000"/>
              <w:right w:val="nil"/>
            </w:tcBorders>
            <w:vAlign w:val="center"/>
            <w:hideMark/>
          </w:tcPr>
          <w:p w14:paraId="67B39F53" w14:textId="77777777" w:rsidR="00830714" w:rsidRPr="005D7674" w:rsidRDefault="00830714" w:rsidP="00311D1B">
            <w:pPr>
              <w:spacing w:line="240" w:lineRule="auto"/>
              <w:jc w:val="center"/>
              <w:rPr>
                <w:rFonts w:eastAsia="Times New Roman"/>
                <w:b/>
                <w:bCs/>
                <w:szCs w:val="24"/>
                <w:lang w:eastAsia="cs-CZ"/>
              </w:rPr>
            </w:pPr>
          </w:p>
        </w:tc>
        <w:tc>
          <w:tcPr>
            <w:tcW w:w="1904" w:type="dxa"/>
            <w:gridSpan w:val="2"/>
            <w:tcBorders>
              <w:top w:val="nil"/>
              <w:left w:val="nil"/>
              <w:bottom w:val="double" w:sz="6" w:space="0" w:color="auto"/>
              <w:right w:val="nil"/>
            </w:tcBorders>
            <w:shd w:val="clear" w:color="auto" w:fill="auto"/>
            <w:noWrap/>
            <w:vAlign w:val="center"/>
            <w:hideMark/>
          </w:tcPr>
          <w:p w14:paraId="70F42A49" w14:textId="77777777"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Nápad + obživa</w:t>
            </w:r>
          </w:p>
        </w:tc>
        <w:tc>
          <w:tcPr>
            <w:tcW w:w="187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2072B61" w14:textId="77777777"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Vyřízeno</w:t>
            </w:r>
          </w:p>
        </w:tc>
        <w:tc>
          <w:tcPr>
            <w:tcW w:w="1852" w:type="dxa"/>
            <w:gridSpan w:val="2"/>
            <w:tcBorders>
              <w:top w:val="nil"/>
              <w:left w:val="nil"/>
              <w:bottom w:val="double" w:sz="6" w:space="0" w:color="auto"/>
              <w:right w:val="single" w:sz="4" w:space="0" w:color="000000"/>
            </w:tcBorders>
            <w:shd w:val="clear" w:color="auto" w:fill="auto"/>
            <w:noWrap/>
            <w:vAlign w:val="center"/>
            <w:hideMark/>
          </w:tcPr>
          <w:p w14:paraId="481801A1" w14:textId="77777777"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Nevyřízeno</w:t>
            </w:r>
          </w:p>
        </w:tc>
        <w:tc>
          <w:tcPr>
            <w:tcW w:w="1392" w:type="dxa"/>
            <w:vMerge/>
            <w:tcBorders>
              <w:top w:val="double" w:sz="6" w:space="0" w:color="auto"/>
              <w:left w:val="nil"/>
              <w:bottom w:val="double" w:sz="6" w:space="0" w:color="000000"/>
              <w:right w:val="nil"/>
            </w:tcBorders>
            <w:vAlign w:val="center"/>
            <w:hideMark/>
          </w:tcPr>
          <w:p w14:paraId="5C034BB6" w14:textId="77777777" w:rsidR="00830714" w:rsidRPr="005D7674" w:rsidRDefault="00830714" w:rsidP="00311D1B">
            <w:pPr>
              <w:spacing w:line="240" w:lineRule="auto"/>
              <w:jc w:val="center"/>
              <w:rPr>
                <w:rFonts w:eastAsia="Times New Roman"/>
                <w:b/>
                <w:bCs/>
                <w:szCs w:val="24"/>
                <w:lang w:eastAsia="cs-CZ"/>
              </w:rPr>
            </w:pPr>
          </w:p>
        </w:tc>
      </w:tr>
      <w:tr w:rsidR="00F15667" w:rsidRPr="005D7674" w14:paraId="6C5756A1" w14:textId="77777777" w:rsidTr="005D7674">
        <w:trPr>
          <w:trHeight w:val="330"/>
        </w:trPr>
        <w:tc>
          <w:tcPr>
            <w:tcW w:w="2020" w:type="dxa"/>
            <w:tcBorders>
              <w:top w:val="single" w:sz="4" w:space="0" w:color="auto"/>
              <w:left w:val="nil"/>
              <w:bottom w:val="single" w:sz="4" w:space="0" w:color="auto"/>
              <w:right w:val="nil"/>
            </w:tcBorders>
            <w:shd w:val="clear" w:color="auto" w:fill="auto"/>
            <w:noWrap/>
            <w:vAlign w:val="center"/>
            <w:hideMark/>
          </w:tcPr>
          <w:p w14:paraId="297F00D0" w14:textId="77777777" w:rsidR="00830714" w:rsidRPr="005D7674" w:rsidRDefault="00830714" w:rsidP="00311D1B">
            <w:pPr>
              <w:spacing w:line="240" w:lineRule="auto"/>
              <w:jc w:val="left"/>
              <w:rPr>
                <w:rFonts w:eastAsia="Times New Roman"/>
                <w:szCs w:val="24"/>
                <w:lang w:eastAsia="cs-CZ"/>
              </w:rPr>
            </w:pPr>
            <w:r w:rsidRPr="005D7674">
              <w:rPr>
                <w:rFonts w:eastAsia="Times New Roman"/>
                <w:szCs w:val="24"/>
                <w:lang w:eastAsia="cs-CZ"/>
              </w:rPr>
              <w:t>MS Praha</w:t>
            </w:r>
          </w:p>
        </w:tc>
        <w:tc>
          <w:tcPr>
            <w:tcW w:w="1056" w:type="dxa"/>
            <w:tcBorders>
              <w:top w:val="single" w:sz="4" w:space="0" w:color="auto"/>
              <w:left w:val="nil"/>
              <w:bottom w:val="single" w:sz="4" w:space="0" w:color="auto"/>
              <w:right w:val="nil"/>
            </w:tcBorders>
            <w:shd w:val="clear" w:color="auto" w:fill="auto"/>
            <w:noWrap/>
            <w:vAlign w:val="center"/>
            <w:hideMark/>
          </w:tcPr>
          <w:p w14:paraId="084F0016" w14:textId="48A68252"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57 058</w:t>
            </w:r>
          </w:p>
        </w:tc>
        <w:tc>
          <w:tcPr>
            <w:tcW w:w="848" w:type="dxa"/>
            <w:tcBorders>
              <w:top w:val="single" w:sz="4" w:space="0" w:color="auto"/>
              <w:left w:val="nil"/>
              <w:bottom w:val="single" w:sz="4" w:space="0" w:color="auto"/>
              <w:right w:val="nil"/>
            </w:tcBorders>
            <w:shd w:val="clear" w:color="auto" w:fill="auto"/>
            <w:noWrap/>
            <w:vAlign w:val="center"/>
            <w:hideMark/>
          </w:tcPr>
          <w:p w14:paraId="59C2FB45" w14:textId="3E922701"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+5 %</w:t>
            </w:r>
          </w:p>
        </w:tc>
        <w:tc>
          <w:tcPr>
            <w:tcW w:w="1031" w:type="dxa"/>
            <w:tcBorders>
              <w:top w:val="single" w:sz="4" w:space="0" w:color="auto"/>
              <w:left w:val="single" w:sz="4" w:space="0" w:color="auto"/>
              <w:bottom w:val="single" w:sz="4" w:space="0" w:color="auto"/>
              <w:right w:val="nil"/>
            </w:tcBorders>
            <w:shd w:val="clear" w:color="auto" w:fill="auto"/>
            <w:noWrap/>
            <w:vAlign w:val="center"/>
            <w:hideMark/>
          </w:tcPr>
          <w:p w14:paraId="282E7782" w14:textId="5AF7C4ED"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57 749</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19AB9038" w14:textId="07EF25F6"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+2 %</w:t>
            </w:r>
          </w:p>
        </w:tc>
        <w:tc>
          <w:tcPr>
            <w:tcW w:w="1001" w:type="dxa"/>
            <w:tcBorders>
              <w:top w:val="single" w:sz="4" w:space="0" w:color="auto"/>
              <w:left w:val="nil"/>
              <w:bottom w:val="single" w:sz="4" w:space="0" w:color="auto"/>
              <w:right w:val="nil"/>
            </w:tcBorders>
            <w:shd w:val="clear" w:color="auto" w:fill="auto"/>
            <w:noWrap/>
            <w:vAlign w:val="center"/>
            <w:hideMark/>
          </w:tcPr>
          <w:p w14:paraId="65C86D96" w14:textId="34F6DA03"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1 378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5210B00" w14:textId="7C90049D"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-33 %</w:t>
            </w:r>
          </w:p>
        </w:tc>
        <w:tc>
          <w:tcPr>
            <w:tcW w:w="1392" w:type="dxa"/>
            <w:tcBorders>
              <w:top w:val="nil"/>
              <w:left w:val="nil"/>
              <w:bottom w:val="single" w:sz="4" w:space="0" w:color="auto"/>
              <w:right w:val="nil"/>
            </w:tcBorders>
            <w:shd w:val="clear" w:color="auto" w:fill="auto"/>
            <w:noWrap/>
            <w:vAlign w:val="center"/>
            <w:hideMark/>
          </w:tcPr>
          <w:p w14:paraId="6FAFF456" w14:textId="5D69DCC0"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101,2 %</w:t>
            </w:r>
          </w:p>
        </w:tc>
      </w:tr>
      <w:tr w:rsidR="00F15667" w:rsidRPr="005D7674" w14:paraId="7C6AAF49" w14:textId="77777777" w:rsidTr="005D7674">
        <w:trPr>
          <w:trHeight w:val="315"/>
        </w:trPr>
        <w:tc>
          <w:tcPr>
            <w:tcW w:w="2020" w:type="dxa"/>
            <w:tcBorders>
              <w:top w:val="nil"/>
              <w:left w:val="nil"/>
              <w:bottom w:val="single" w:sz="4" w:space="0" w:color="auto"/>
              <w:right w:val="nil"/>
            </w:tcBorders>
            <w:shd w:val="clear" w:color="auto" w:fill="auto"/>
            <w:noWrap/>
            <w:vAlign w:val="center"/>
            <w:hideMark/>
          </w:tcPr>
          <w:p w14:paraId="6DA34A15" w14:textId="77777777" w:rsidR="00830714" w:rsidRPr="005D7674" w:rsidRDefault="00830714" w:rsidP="00311D1B">
            <w:pPr>
              <w:spacing w:line="240" w:lineRule="auto"/>
              <w:jc w:val="left"/>
              <w:rPr>
                <w:rFonts w:eastAsia="Times New Roman"/>
                <w:szCs w:val="24"/>
                <w:lang w:eastAsia="cs-CZ"/>
              </w:rPr>
            </w:pPr>
            <w:r w:rsidRPr="005D7674">
              <w:rPr>
                <w:rFonts w:eastAsia="Times New Roman"/>
                <w:szCs w:val="24"/>
                <w:lang w:eastAsia="cs-CZ"/>
              </w:rPr>
              <w:t>KS Praha</w:t>
            </w:r>
          </w:p>
        </w:tc>
        <w:tc>
          <w:tcPr>
            <w:tcW w:w="1056" w:type="dxa"/>
            <w:tcBorders>
              <w:top w:val="nil"/>
              <w:left w:val="nil"/>
              <w:bottom w:val="single" w:sz="4" w:space="0" w:color="auto"/>
              <w:right w:val="nil"/>
            </w:tcBorders>
            <w:shd w:val="clear" w:color="auto" w:fill="auto"/>
            <w:noWrap/>
            <w:vAlign w:val="center"/>
            <w:hideMark/>
          </w:tcPr>
          <w:p w14:paraId="2C5E018A" w14:textId="0CE8A4C6"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41 740</w:t>
            </w:r>
          </w:p>
        </w:tc>
        <w:tc>
          <w:tcPr>
            <w:tcW w:w="848" w:type="dxa"/>
            <w:tcBorders>
              <w:top w:val="nil"/>
              <w:left w:val="nil"/>
              <w:bottom w:val="single" w:sz="4" w:space="0" w:color="auto"/>
              <w:right w:val="nil"/>
            </w:tcBorders>
            <w:shd w:val="clear" w:color="auto" w:fill="auto"/>
            <w:noWrap/>
            <w:vAlign w:val="center"/>
            <w:hideMark/>
          </w:tcPr>
          <w:p w14:paraId="2D6DD2FE" w14:textId="3C0DE85B"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+10 %</w:t>
            </w:r>
          </w:p>
        </w:tc>
        <w:tc>
          <w:tcPr>
            <w:tcW w:w="1031" w:type="dxa"/>
            <w:tcBorders>
              <w:top w:val="nil"/>
              <w:left w:val="single" w:sz="4" w:space="0" w:color="auto"/>
              <w:bottom w:val="single" w:sz="4" w:space="0" w:color="auto"/>
              <w:right w:val="nil"/>
            </w:tcBorders>
            <w:shd w:val="clear" w:color="auto" w:fill="auto"/>
            <w:noWrap/>
            <w:vAlign w:val="center"/>
            <w:hideMark/>
          </w:tcPr>
          <w:p w14:paraId="6944152A" w14:textId="0EA07F13"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42 078</w:t>
            </w:r>
          </w:p>
        </w:tc>
        <w:tc>
          <w:tcPr>
            <w:tcW w:w="848" w:type="dxa"/>
            <w:tcBorders>
              <w:top w:val="nil"/>
              <w:left w:val="nil"/>
              <w:bottom w:val="single" w:sz="4" w:space="0" w:color="auto"/>
              <w:right w:val="single" w:sz="4" w:space="0" w:color="auto"/>
            </w:tcBorders>
            <w:shd w:val="clear" w:color="auto" w:fill="auto"/>
            <w:noWrap/>
            <w:vAlign w:val="center"/>
            <w:hideMark/>
          </w:tcPr>
          <w:p w14:paraId="73ECE39E" w14:textId="7C97C57E"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+10 %</w:t>
            </w:r>
          </w:p>
        </w:tc>
        <w:tc>
          <w:tcPr>
            <w:tcW w:w="1001" w:type="dxa"/>
            <w:tcBorders>
              <w:top w:val="nil"/>
              <w:left w:val="nil"/>
              <w:bottom w:val="single" w:sz="4" w:space="0" w:color="auto"/>
              <w:right w:val="nil"/>
            </w:tcBorders>
            <w:shd w:val="clear" w:color="auto" w:fill="auto"/>
            <w:noWrap/>
            <w:vAlign w:val="center"/>
            <w:hideMark/>
          </w:tcPr>
          <w:p w14:paraId="61E50BCC" w14:textId="77777777"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696</w:t>
            </w:r>
          </w:p>
        </w:tc>
        <w:tc>
          <w:tcPr>
            <w:tcW w:w="851" w:type="dxa"/>
            <w:tcBorders>
              <w:top w:val="nil"/>
              <w:left w:val="nil"/>
              <w:bottom w:val="single" w:sz="4" w:space="0" w:color="auto"/>
              <w:right w:val="single" w:sz="4" w:space="0" w:color="auto"/>
            </w:tcBorders>
            <w:shd w:val="clear" w:color="auto" w:fill="auto"/>
            <w:noWrap/>
            <w:vAlign w:val="center"/>
            <w:hideMark/>
          </w:tcPr>
          <w:p w14:paraId="2B02846D" w14:textId="65807C31"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-33 %</w:t>
            </w:r>
          </w:p>
        </w:tc>
        <w:tc>
          <w:tcPr>
            <w:tcW w:w="1392" w:type="dxa"/>
            <w:tcBorders>
              <w:top w:val="nil"/>
              <w:left w:val="nil"/>
              <w:bottom w:val="single" w:sz="4" w:space="0" w:color="auto"/>
              <w:right w:val="nil"/>
            </w:tcBorders>
            <w:shd w:val="clear" w:color="auto" w:fill="auto"/>
            <w:noWrap/>
            <w:vAlign w:val="center"/>
            <w:hideMark/>
          </w:tcPr>
          <w:p w14:paraId="1A9F11FB" w14:textId="142E0BC0"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100,8 %</w:t>
            </w:r>
          </w:p>
        </w:tc>
      </w:tr>
      <w:tr w:rsidR="00F15667" w:rsidRPr="005D7674" w14:paraId="419BF70B" w14:textId="77777777" w:rsidTr="005D7674">
        <w:trPr>
          <w:trHeight w:val="315"/>
        </w:trPr>
        <w:tc>
          <w:tcPr>
            <w:tcW w:w="2020" w:type="dxa"/>
            <w:tcBorders>
              <w:top w:val="nil"/>
              <w:left w:val="nil"/>
              <w:bottom w:val="single" w:sz="4" w:space="0" w:color="auto"/>
              <w:right w:val="nil"/>
            </w:tcBorders>
            <w:shd w:val="clear" w:color="auto" w:fill="auto"/>
            <w:noWrap/>
            <w:vAlign w:val="center"/>
            <w:hideMark/>
          </w:tcPr>
          <w:p w14:paraId="23D36D8C" w14:textId="77777777" w:rsidR="00830714" w:rsidRPr="005D7674" w:rsidRDefault="00830714" w:rsidP="00311D1B">
            <w:pPr>
              <w:spacing w:line="240" w:lineRule="auto"/>
              <w:jc w:val="left"/>
              <w:rPr>
                <w:rFonts w:eastAsia="Times New Roman"/>
                <w:szCs w:val="24"/>
                <w:lang w:eastAsia="cs-CZ"/>
              </w:rPr>
            </w:pPr>
            <w:r w:rsidRPr="005D7674">
              <w:rPr>
                <w:rFonts w:eastAsia="Times New Roman"/>
                <w:szCs w:val="24"/>
                <w:lang w:eastAsia="cs-CZ"/>
              </w:rPr>
              <w:t>KS Č. Budějovice</w:t>
            </w:r>
          </w:p>
        </w:tc>
        <w:tc>
          <w:tcPr>
            <w:tcW w:w="1056" w:type="dxa"/>
            <w:tcBorders>
              <w:top w:val="nil"/>
              <w:left w:val="nil"/>
              <w:bottom w:val="single" w:sz="4" w:space="0" w:color="auto"/>
              <w:right w:val="nil"/>
            </w:tcBorders>
            <w:shd w:val="clear" w:color="auto" w:fill="auto"/>
            <w:noWrap/>
            <w:vAlign w:val="center"/>
            <w:hideMark/>
          </w:tcPr>
          <w:p w14:paraId="011E483D" w14:textId="4DE42FD8"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22 037</w:t>
            </w:r>
          </w:p>
        </w:tc>
        <w:tc>
          <w:tcPr>
            <w:tcW w:w="848" w:type="dxa"/>
            <w:tcBorders>
              <w:top w:val="nil"/>
              <w:left w:val="nil"/>
              <w:bottom w:val="single" w:sz="4" w:space="0" w:color="auto"/>
              <w:right w:val="nil"/>
            </w:tcBorders>
            <w:shd w:val="clear" w:color="auto" w:fill="auto"/>
            <w:noWrap/>
            <w:vAlign w:val="center"/>
            <w:hideMark/>
          </w:tcPr>
          <w:p w14:paraId="01C5FE5E" w14:textId="0D2942BD"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+28 %</w:t>
            </w:r>
          </w:p>
        </w:tc>
        <w:tc>
          <w:tcPr>
            <w:tcW w:w="1031" w:type="dxa"/>
            <w:tcBorders>
              <w:top w:val="nil"/>
              <w:left w:val="single" w:sz="4" w:space="0" w:color="auto"/>
              <w:bottom w:val="single" w:sz="4" w:space="0" w:color="auto"/>
              <w:right w:val="nil"/>
            </w:tcBorders>
            <w:shd w:val="clear" w:color="auto" w:fill="auto"/>
            <w:noWrap/>
            <w:vAlign w:val="center"/>
            <w:hideMark/>
          </w:tcPr>
          <w:p w14:paraId="23BC0417" w14:textId="3D4E959B"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21 997</w:t>
            </w:r>
          </w:p>
        </w:tc>
        <w:tc>
          <w:tcPr>
            <w:tcW w:w="848" w:type="dxa"/>
            <w:tcBorders>
              <w:top w:val="nil"/>
              <w:left w:val="nil"/>
              <w:bottom w:val="single" w:sz="4" w:space="0" w:color="auto"/>
              <w:right w:val="single" w:sz="4" w:space="0" w:color="auto"/>
            </w:tcBorders>
            <w:shd w:val="clear" w:color="auto" w:fill="auto"/>
            <w:noWrap/>
            <w:vAlign w:val="center"/>
            <w:hideMark/>
          </w:tcPr>
          <w:p w14:paraId="7EF59E35" w14:textId="02F20576"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+25 %</w:t>
            </w:r>
          </w:p>
        </w:tc>
        <w:tc>
          <w:tcPr>
            <w:tcW w:w="1001" w:type="dxa"/>
            <w:tcBorders>
              <w:top w:val="nil"/>
              <w:left w:val="nil"/>
              <w:bottom w:val="single" w:sz="4" w:space="0" w:color="auto"/>
              <w:right w:val="nil"/>
            </w:tcBorders>
            <w:shd w:val="clear" w:color="auto" w:fill="auto"/>
            <w:noWrap/>
            <w:vAlign w:val="center"/>
            <w:hideMark/>
          </w:tcPr>
          <w:p w14:paraId="2FC3637C" w14:textId="77777777"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571</w:t>
            </w:r>
          </w:p>
        </w:tc>
        <w:tc>
          <w:tcPr>
            <w:tcW w:w="851" w:type="dxa"/>
            <w:tcBorders>
              <w:top w:val="nil"/>
              <w:left w:val="nil"/>
              <w:bottom w:val="single" w:sz="4" w:space="0" w:color="auto"/>
              <w:right w:val="single" w:sz="4" w:space="0" w:color="auto"/>
            </w:tcBorders>
            <w:shd w:val="clear" w:color="auto" w:fill="auto"/>
            <w:noWrap/>
            <w:vAlign w:val="center"/>
            <w:hideMark/>
          </w:tcPr>
          <w:p w14:paraId="75CC5074" w14:textId="19C82735"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+19 %</w:t>
            </w:r>
          </w:p>
        </w:tc>
        <w:tc>
          <w:tcPr>
            <w:tcW w:w="1392" w:type="dxa"/>
            <w:tcBorders>
              <w:top w:val="nil"/>
              <w:left w:val="nil"/>
              <w:bottom w:val="single" w:sz="4" w:space="0" w:color="auto"/>
              <w:right w:val="nil"/>
            </w:tcBorders>
            <w:shd w:val="clear" w:color="auto" w:fill="auto"/>
            <w:noWrap/>
            <w:vAlign w:val="center"/>
            <w:hideMark/>
          </w:tcPr>
          <w:p w14:paraId="3A376C20" w14:textId="45857D9F"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99,8 %</w:t>
            </w:r>
          </w:p>
        </w:tc>
      </w:tr>
      <w:tr w:rsidR="00F15667" w:rsidRPr="005D7674" w14:paraId="4924648B" w14:textId="77777777" w:rsidTr="005D7674">
        <w:trPr>
          <w:trHeight w:val="315"/>
        </w:trPr>
        <w:tc>
          <w:tcPr>
            <w:tcW w:w="2020" w:type="dxa"/>
            <w:tcBorders>
              <w:top w:val="nil"/>
              <w:left w:val="nil"/>
              <w:bottom w:val="single" w:sz="4" w:space="0" w:color="auto"/>
              <w:right w:val="nil"/>
            </w:tcBorders>
            <w:shd w:val="clear" w:color="auto" w:fill="auto"/>
            <w:noWrap/>
            <w:vAlign w:val="center"/>
            <w:hideMark/>
          </w:tcPr>
          <w:p w14:paraId="176136A4" w14:textId="77777777" w:rsidR="00830714" w:rsidRPr="005D7674" w:rsidRDefault="00830714" w:rsidP="00311D1B">
            <w:pPr>
              <w:spacing w:line="240" w:lineRule="auto"/>
              <w:jc w:val="left"/>
              <w:rPr>
                <w:rFonts w:eastAsia="Times New Roman"/>
                <w:szCs w:val="24"/>
                <w:lang w:eastAsia="cs-CZ"/>
              </w:rPr>
            </w:pPr>
            <w:r w:rsidRPr="005D7674">
              <w:rPr>
                <w:rFonts w:eastAsia="Times New Roman"/>
                <w:szCs w:val="24"/>
                <w:lang w:eastAsia="cs-CZ"/>
              </w:rPr>
              <w:t>KS Plzeň</w:t>
            </w:r>
          </w:p>
        </w:tc>
        <w:tc>
          <w:tcPr>
            <w:tcW w:w="1056" w:type="dxa"/>
            <w:tcBorders>
              <w:top w:val="nil"/>
              <w:left w:val="nil"/>
              <w:bottom w:val="single" w:sz="4" w:space="0" w:color="auto"/>
              <w:right w:val="nil"/>
            </w:tcBorders>
            <w:shd w:val="clear" w:color="auto" w:fill="auto"/>
            <w:noWrap/>
            <w:vAlign w:val="center"/>
            <w:hideMark/>
          </w:tcPr>
          <w:p w14:paraId="0779FCA9" w14:textId="47A4CFB2"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34 963</w:t>
            </w:r>
          </w:p>
        </w:tc>
        <w:tc>
          <w:tcPr>
            <w:tcW w:w="848" w:type="dxa"/>
            <w:tcBorders>
              <w:top w:val="nil"/>
              <w:left w:val="nil"/>
              <w:bottom w:val="single" w:sz="4" w:space="0" w:color="auto"/>
              <w:right w:val="nil"/>
            </w:tcBorders>
            <w:shd w:val="clear" w:color="auto" w:fill="auto"/>
            <w:noWrap/>
            <w:vAlign w:val="center"/>
            <w:hideMark/>
          </w:tcPr>
          <w:p w14:paraId="6DDE9305" w14:textId="2E94DD98"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+20 %</w:t>
            </w:r>
          </w:p>
        </w:tc>
        <w:tc>
          <w:tcPr>
            <w:tcW w:w="1031" w:type="dxa"/>
            <w:tcBorders>
              <w:top w:val="nil"/>
              <w:left w:val="single" w:sz="4" w:space="0" w:color="auto"/>
              <w:bottom w:val="single" w:sz="4" w:space="0" w:color="auto"/>
              <w:right w:val="nil"/>
            </w:tcBorders>
            <w:shd w:val="clear" w:color="auto" w:fill="auto"/>
            <w:noWrap/>
            <w:vAlign w:val="center"/>
            <w:hideMark/>
          </w:tcPr>
          <w:p w14:paraId="0EBB066E" w14:textId="240ABB81"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35 043</w:t>
            </w:r>
          </w:p>
        </w:tc>
        <w:tc>
          <w:tcPr>
            <w:tcW w:w="848" w:type="dxa"/>
            <w:tcBorders>
              <w:top w:val="nil"/>
              <w:left w:val="nil"/>
              <w:bottom w:val="single" w:sz="4" w:space="0" w:color="auto"/>
              <w:right w:val="single" w:sz="4" w:space="0" w:color="auto"/>
            </w:tcBorders>
            <w:shd w:val="clear" w:color="auto" w:fill="auto"/>
            <w:noWrap/>
            <w:vAlign w:val="center"/>
            <w:hideMark/>
          </w:tcPr>
          <w:p w14:paraId="37F254BF" w14:textId="2005E9AF"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+19 %</w:t>
            </w:r>
          </w:p>
        </w:tc>
        <w:tc>
          <w:tcPr>
            <w:tcW w:w="1001" w:type="dxa"/>
            <w:tcBorders>
              <w:top w:val="nil"/>
              <w:left w:val="nil"/>
              <w:bottom w:val="single" w:sz="4" w:space="0" w:color="auto"/>
              <w:right w:val="nil"/>
            </w:tcBorders>
            <w:shd w:val="clear" w:color="auto" w:fill="auto"/>
            <w:noWrap/>
            <w:vAlign w:val="center"/>
            <w:hideMark/>
          </w:tcPr>
          <w:p w14:paraId="66A9F25C" w14:textId="77777777"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643</w:t>
            </w:r>
          </w:p>
        </w:tc>
        <w:tc>
          <w:tcPr>
            <w:tcW w:w="851" w:type="dxa"/>
            <w:tcBorders>
              <w:top w:val="nil"/>
              <w:left w:val="nil"/>
              <w:bottom w:val="single" w:sz="4" w:space="0" w:color="auto"/>
              <w:right w:val="single" w:sz="4" w:space="0" w:color="auto"/>
            </w:tcBorders>
            <w:shd w:val="clear" w:color="auto" w:fill="auto"/>
            <w:noWrap/>
            <w:vAlign w:val="center"/>
            <w:hideMark/>
          </w:tcPr>
          <w:p w14:paraId="20C39E7F" w14:textId="1DE2B3C5"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-12 %</w:t>
            </w:r>
          </w:p>
        </w:tc>
        <w:tc>
          <w:tcPr>
            <w:tcW w:w="1392" w:type="dxa"/>
            <w:tcBorders>
              <w:top w:val="nil"/>
              <w:left w:val="nil"/>
              <w:bottom w:val="single" w:sz="4" w:space="0" w:color="auto"/>
              <w:right w:val="nil"/>
            </w:tcBorders>
            <w:shd w:val="clear" w:color="auto" w:fill="auto"/>
            <w:noWrap/>
            <w:vAlign w:val="center"/>
            <w:hideMark/>
          </w:tcPr>
          <w:p w14:paraId="0BA43745" w14:textId="416592A1"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100,2 %</w:t>
            </w:r>
          </w:p>
        </w:tc>
      </w:tr>
      <w:tr w:rsidR="00F15667" w:rsidRPr="005D7674" w14:paraId="6CC76904" w14:textId="77777777" w:rsidTr="005D7674">
        <w:trPr>
          <w:trHeight w:val="315"/>
        </w:trPr>
        <w:tc>
          <w:tcPr>
            <w:tcW w:w="2020" w:type="dxa"/>
            <w:tcBorders>
              <w:top w:val="nil"/>
              <w:left w:val="nil"/>
              <w:bottom w:val="single" w:sz="4" w:space="0" w:color="auto"/>
              <w:right w:val="nil"/>
            </w:tcBorders>
            <w:shd w:val="clear" w:color="auto" w:fill="auto"/>
            <w:noWrap/>
            <w:vAlign w:val="center"/>
            <w:hideMark/>
          </w:tcPr>
          <w:p w14:paraId="14321645" w14:textId="77777777" w:rsidR="00830714" w:rsidRPr="005D7674" w:rsidRDefault="00830714" w:rsidP="00311D1B">
            <w:pPr>
              <w:spacing w:line="240" w:lineRule="auto"/>
              <w:jc w:val="left"/>
              <w:rPr>
                <w:rFonts w:eastAsia="Times New Roman"/>
                <w:szCs w:val="24"/>
                <w:lang w:eastAsia="cs-CZ"/>
              </w:rPr>
            </w:pPr>
            <w:r w:rsidRPr="005D7674">
              <w:rPr>
                <w:rFonts w:eastAsia="Times New Roman"/>
                <w:szCs w:val="24"/>
                <w:lang w:eastAsia="cs-CZ"/>
              </w:rPr>
              <w:t>KS Ústí n. Labem</w:t>
            </w:r>
          </w:p>
        </w:tc>
        <w:tc>
          <w:tcPr>
            <w:tcW w:w="1056" w:type="dxa"/>
            <w:tcBorders>
              <w:top w:val="nil"/>
              <w:left w:val="nil"/>
              <w:bottom w:val="single" w:sz="4" w:space="0" w:color="auto"/>
              <w:right w:val="nil"/>
            </w:tcBorders>
            <w:shd w:val="clear" w:color="auto" w:fill="auto"/>
            <w:noWrap/>
            <w:vAlign w:val="center"/>
            <w:hideMark/>
          </w:tcPr>
          <w:p w14:paraId="608D0C83" w14:textId="4CD52DF2"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60 010</w:t>
            </w:r>
          </w:p>
        </w:tc>
        <w:tc>
          <w:tcPr>
            <w:tcW w:w="848" w:type="dxa"/>
            <w:tcBorders>
              <w:top w:val="nil"/>
              <w:left w:val="nil"/>
              <w:bottom w:val="single" w:sz="4" w:space="0" w:color="auto"/>
              <w:right w:val="nil"/>
            </w:tcBorders>
            <w:shd w:val="clear" w:color="auto" w:fill="auto"/>
            <w:noWrap/>
            <w:vAlign w:val="center"/>
            <w:hideMark/>
          </w:tcPr>
          <w:p w14:paraId="1E25E751" w14:textId="1D175433"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+13 %</w:t>
            </w:r>
          </w:p>
        </w:tc>
        <w:tc>
          <w:tcPr>
            <w:tcW w:w="1031" w:type="dxa"/>
            <w:tcBorders>
              <w:top w:val="nil"/>
              <w:left w:val="single" w:sz="4" w:space="0" w:color="auto"/>
              <w:bottom w:val="single" w:sz="4" w:space="0" w:color="auto"/>
              <w:right w:val="nil"/>
            </w:tcBorders>
            <w:shd w:val="clear" w:color="auto" w:fill="auto"/>
            <w:noWrap/>
            <w:vAlign w:val="center"/>
            <w:hideMark/>
          </w:tcPr>
          <w:p w14:paraId="2F27CD38" w14:textId="200370C4"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59 793</w:t>
            </w:r>
          </w:p>
        </w:tc>
        <w:tc>
          <w:tcPr>
            <w:tcW w:w="848" w:type="dxa"/>
            <w:tcBorders>
              <w:top w:val="nil"/>
              <w:left w:val="nil"/>
              <w:bottom w:val="single" w:sz="4" w:space="0" w:color="auto"/>
              <w:right w:val="single" w:sz="4" w:space="0" w:color="auto"/>
            </w:tcBorders>
            <w:shd w:val="clear" w:color="auto" w:fill="auto"/>
            <w:noWrap/>
            <w:vAlign w:val="center"/>
            <w:hideMark/>
          </w:tcPr>
          <w:p w14:paraId="24F89910" w14:textId="2305F4E2"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+9 %</w:t>
            </w:r>
          </w:p>
        </w:tc>
        <w:tc>
          <w:tcPr>
            <w:tcW w:w="1001" w:type="dxa"/>
            <w:tcBorders>
              <w:top w:val="nil"/>
              <w:left w:val="nil"/>
              <w:bottom w:val="single" w:sz="4" w:space="0" w:color="auto"/>
              <w:right w:val="nil"/>
            </w:tcBorders>
            <w:shd w:val="clear" w:color="auto" w:fill="auto"/>
            <w:noWrap/>
            <w:vAlign w:val="center"/>
            <w:hideMark/>
          </w:tcPr>
          <w:p w14:paraId="7014CBBC" w14:textId="5630CC62"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3 621</w:t>
            </w:r>
          </w:p>
        </w:tc>
        <w:tc>
          <w:tcPr>
            <w:tcW w:w="851" w:type="dxa"/>
            <w:tcBorders>
              <w:top w:val="nil"/>
              <w:left w:val="nil"/>
              <w:bottom w:val="single" w:sz="4" w:space="0" w:color="auto"/>
              <w:right w:val="single" w:sz="4" w:space="0" w:color="auto"/>
            </w:tcBorders>
            <w:shd w:val="clear" w:color="auto" w:fill="auto"/>
            <w:noWrap/>
            <w:vAlign w:val="center"/>
            <w:hideMark/>
          </w:tcPr>
          <w:p w14:paraId="68D8CBBA" w14:textId="3690391A"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+6 %</w:t>
            </w:r>
          </w:p>
        </w:tc>
        <w:tc>
          <w:tcPr>
            <w:tcW w:w="1392" w:type="dxa"/>
            <w:tcBorders>
              <w:top w:val="nil"/>
              <w:left w:val="nil"/>
              <w:bottom w:val="single" w:sz="4" w:space="0" w:color="auto"/>
              <w:right w:val="nil"/>
            </w:tcBorders>
            <w:shd w:val="clear" w:color="auto" w:fill="auto"/>
            <w:noWrap/>
            <w:vAlign w:val="center"/>
            <w:hideMark/>
          </w:tcPr>
          <w:p w14:paraId="600C9614" w14:textId="1737F1C6"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99,6 %</w:t>
            </w:r>
          </w:p>
        </w:tc>
      </w:tr>
      <w:tr w:rsidR="00F15667" w:rsidRPr="005D7674" w14:paraId="019A519A" w14:textId="77777777" w:rsidTr="005D7674">
        <w:trPr>
          <w:trHeight w:val="315"/>
        </w:trPr>
        <w:tc>
          <w:tcPr>
            <w:tcW w:w="2020" w:type="dxa"/>
            <w:tcBorders>
              <w:top w:val="nil"/>
              <w:left w:val="nil"/>
              <w:bottom w:val="single" w:sz="4" w:space="0" w:color="auto"/>
              <w:right w:val="nil"/>
            </w:tcBorders>
            <w:shd w:val="clear" w:color="auto" w:fill="auto"/>
            <w:noWrap/>
            <w:vAlign w:val="center"/>
            <w:hideMark/>
          </w:tcPr>
          <w:p w14:paraId="3914ADF2" w14:textId="77777777" w:rsidR="00830714" w:rsidRPr="005D7674" w:rsidRDefault="00830714" w:rsidP="00311D1B">
            <w:pPr>
              <w:spacing w:line="240" w:lineRule="auto"/>
              <w:jc w:val="left"/>
              <w:rPr>
                <w:rFonts w:eastAsia="Times New Roman"/>
                <w:szCs w:val="24"/>
                <w:lang w:eastAsia="cs-CZ"/>
              </w:rPr>
            </w:pPr>
            <w:r w:rsidRPr="005D7674">
              <w:rPr>
                <w:rFonts w:eastAsia="Times New Roman"/>
                <w:szCs w:val="24"/>
                <w:lang w:eastAsia="cs-CZ"/>
              </w:rPr>
              <w:t>KS Hr. Králové</w:t>
            </w:r>
          </w:p>
        </w:tc>
        <w:tc>
          <w:tcPr>
            <w:tcW w:w="1056" w:type="dxa"/>
            <w:tcBorders>
              <w:top w:val="nil"/>
              <w:left w:val="nil"/>
              <w:bottom w:val="single" w:sz="4" w:space="0" w:color="auto"/>
              <w:right w:val="nil"/>
            </w:tcBorders>
            <w:shd w:val="clear" w:color="auto" w:fill="auto"/>
            <w:noWrap/>
            <w:vAlign w:val="center"/>
            <w:hideMark/>
          </w:tcPr>
          <w:p w14:paraId="6962018A" w14:textId="78D635DB"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34 057</w:t>
            </w:r>
          </w:p>
        </w:tc>
        <w:tc>
          <w:tcPr>
            <w:tcW w:w="848" w:type="dxa"/>
            <w:tcBorders>
              <w:top w:val="nil"/>
              <w:left w:val="nil"/>
              <w:bottom w:val="single" w:sz="4" w:space="0" w:color="auto"/>
              <w:right w:val="nil"/>
            </w:tcBorders>
            <w:shd w:val="clear" w:color="auto" w:fill="auto"/>
            <w:noWrap/>
            <w:vAlign w:val="center"/>
            <w:hideMark/>
          </w:tcPr>
          <w:p w14:paraId="6FE20929" w14:textId="55EB5A5C"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+17 %</w:t>
            </w:r>
          </w:p>
        </w:tc>
        <w:tc>
          <w:tcPr>
            <w:tcW w:w="1031" w:type="dxa"/>
            <w:tcBorders>
              <w:top w:val="nil"/>
              <w:left w:val="single" w:sz="4" w:space="0" w:color="auto"/>
              <w:bottom w:val="single" w:sz="4" w:space="0" w:color="auto"/>
              <w:right w:val="nil"/>
            </w:tcBorders>
            <w:shd w:val="clear" w:color="auto" w:fill="auto"/>
            <w:noWrap/>
            <w:vAlign w:val="center"/>
            <w:hideMark/>
          </w:tcPr>
          <w:p w14:paraId="4D8657AA" w14:textId="43B22E28"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34 305</w:t>
            </w:r>
          </w:p>
        </w:tc>
        <w:tc>
          <w:tcPr>
            <w:tcW w:w="848" w:type="dxa"/>
            <w:tcBorders>
              <w:top w:val="nil"/>
              <w:left w:val="nil"/>
              <w:bottom w:val="single" w:sz="4" w:space="0" w:color="auto"/>
              <w:right w:val="single" w:sz="4" w:space="0" w:color="auto"/>
            </w:tcBorders>
            <w:shd w:val="clear" w:color="auto" w:fill="auto"/>
            <w:noWrap/>
            <w:vAlign w:val="center"/>
            <w:hideMark/>
          </w:tcPr>
          <w:p w14:paraId="35DDF2A5" w14:textId="40F652F0"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+17 %</w:t>
            </w:r>
          </w:p>
        </w:tc>
        <w:tc>
          <w:tcPr>
            <w:tcW w:w="1001" w:type="dxa"/>
            <w:tcBorders>
              <w:top w:val="nil"/>
              <w:left w:val="nil"/>
              <w:bottom w:val="single" w:sz="4" w:space="0" w:color="auto"/>
              <w:right w:val="nil"/>
            </w:tcBorders>
            <w:shd w:val="clear" w:color="auto" w:fill="auto"/>
            <w:noWrap/>
            <w:vAlign w:val="center"/>
            <w:hideMark/>
          </w:tcPr>
          <w:p w14:paraId="1EB26E46" w14:textId="77777777"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409</w:t>
            </w:r>
          </w:p>
        </w:tc>
        <w:tc>
          <w:tcPr>
            <w:tcW w:w="851" w:type="dxa"/>
            <w:tcBorders>
              <w:top w:val="nil"/>
              <w:left w:val="nil"/>
              <w:bottom w:val="single" w:sz="4" w:space="0" w:color="auto"/>
              <w:right w:val="single" w:sz="4" w:space="0" w:color="auto"/>
            </w:tcBorders>
            <w:shd w:val="clear" w:color="auto" w:fill="auto"/>
            <w:noWrap/>
            <w:vAlign w:val="center"/>
            <w:hideMark/>
          </w:tcPr>
          <w:p w14:paraId="3E3D2E19" w14:textId="44D8A105"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-38 %</w:t>
            </w:r>
          </w:p>
        </w:tc>
        <w:tc>
          <w:tcPr>
            <w:tcW w:w="1392" w:type="dxa"/>
            <w:tcBorders>
              <w:top w:val="nil"/>
              <w:left w:val="nil"/>
              <w:bottom w:val="single" w:sz="4" w:space="0" w:color="auto"/>
              <w:right w:val="nil"/>
            </w:tcBorders>
            <w:shd w:val="clear" w:color="auto" w:fill="auto"/>
            <w:noWrap/>
            <w:vAlign w:val="center"/>
            <w:hideMark/>
          </w:tcPr>
          <w:p w14:paraId="4C1E578A" w14:textId="38B5470D"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100,7 %</w:t>
            </w:r>
          </w:p>
        </w:tc>
      </w:tr>
      <w:tr w:rsidR="00F15667" w:rsidRPr="005D7674" w14:paraId="33442186" w14:textId="77777777" w:rsidTr="005D7674">
        <w:trPr>
          <w:trHeight w:val="315"/>
        </w:trPr>
        <w:tc>
          <w:tcPr>
            <w:tcW w:w="2020" w:type="dxa"/>
            <w:tcBorders>
              <w:top w:val="nil"/>
              <w:left w:val="nil"/>
              <w:bottom w:val="single" w:sz="4" w:space="0" w:color="auto"/>
              <w:right w:val="nil"/>
            </w:tcBorders>
            <w:shd w:val="clear" w:color="auto" w:fill="auto"/>
            <w:noWrap/>
            <w:vAlign w:val="center"/>
            <w:hideMark/>
          </w:tcPr>
          <w:p w14:paraId="18392D88" w14:textId="77777777" w:rsidR="00830714" w:rsidRPr="005D7674" w:rsidRDefault="00830714" w:rsidP="00311D1B">
            <w:pPr>
              <w:spacing w:line="240" w:lineRule="auto"/>
              <w:jc w:val="left"/>
              <w:rPr>
                <w:rFonts w:eastAsia="Times New Roman"/>
                <w:szCs w:val="24"/>
                <w:lang w:eastAsia="cs-CZ"/>
              </w:rPr>
            </w:pPr>
            <w:r w:rsidRPr="005D7674">
              <w:rPr>
                <w:rFonts w:eastAsia="Times New Roman"/>
                <w:szCs w:val="24"/>
                <w:lang w:eastAsia="cs-CZ"/>
              </w:rPr>
              <w:t>KS Brno</w:t>
            </w:r>
          </w:p>
        </w:tc>
        <w:tc>
          <w:tcPr>
            <w:tcW w:w="1056" w:type="dxa"/>
            <w:tcBorders>
              <w:top w:val="nil"/>
              <w:left w:val="nil"/>
              <w:bottom w:val="single" w:sz="4" w:space="0" w:color="auto"/>
              <w:right w:val="nil"/>
            </w:tcBorders>
            <w:shd w:val="clear" w:color="auto" w:fill="auto"/>
            <w:noWrap/>
            <w:vAlign w:val="center"/>
            <w:hideMark/>
          </w:tcPr>
          <w:p w14:paraId="649470CE" w14:textId="2F854BE6"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48 783</w:t>
            </w:r>
          </w:p>
        </w:tc>
        <w:tc>
          <w:tcPr>
            <w:tcW w:w="848" w:type="dxa"/>
            <w:tcBorders>
              <w:top w:val="nil"/>
              <w:left w:val="nil"/>
              <w:bottom w:val="single" w:sz="4" w:space="0" w:color="auto"/>
              <w:right w:val="nil"/>
            </w:tcBorders>
            <w:shd w:val="clear" w:color="auto" w:fill="auto"/>
            <w:noWrap/>
            <w:vAlign w:val="center"/>
            <w:hideMark/>
          </w:tcPr>
          <w:p w14:paraId="2DB86F3C" w14:textId="45A622DE"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+8 %</w:t>
            </w:r>
          </w:p>
        </w:tc>
        <w:tc>
          <w:tcPr>
            <w:tcW w:w="1031" w:type="dxa"/>
            <w:tcBorders>
              <w:top w:val="nil"/>
              <w:left w:val="single" w:sz="4" w:space="0" w:color="auto"/>
              <w:bottom w:val="single" w:sz="4" w:space="0" w:color="auto"/>
              <w:right w:val="nil"/>
            </w:tcBorders>
            <w:shd w:val="clear" w:color="auto" w:fill="auto"/>
            <w:noWrap/>
            <w:vAlign w:val="center"/>
            <w:hideMark/>
          </w:tcPr>
          <w:p w14:paraId="17900B3E" w14:textId="1304922E"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47 707</w:t>
            </w:r>
          </w:p>
        </w:tc>
        <w:tc>
          <w:tcPr>
            <w:tcW w:w="848" w:type="dxa"/>
            <w:tcBorders>
              <w:top w:val="nil"/>
              <w:left w:val="nil"/>
              <w:bottom w:val="single" w:sz="4" w:space="0" w:color="auto"/>
              <w:right w:val="single" w:sz="4" w:space="0" w:color="auto"/>
            </w:tcBorders>
            <w:shd w:val="clear" w:color="auto" w:fill="auto"/>
            <w:noWrap/>
            <w:vAlign w:val="center"/>
            <w:hideMark/>
          </w:tcPr>
          <w:p w14:paraId="0C0C1714" w14:textId="119487A0"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+2 %</w:t>
            </w:r>
          </w:p>
        </w:tc>
        <w:tc>
          <w:tcPr>
            <w:tcW w:w="1001" w:type="dxa"/>
            <w:tcBorders>
              <w:top w:val="nil"/>
              <w:left w:val="nil"/>
              <w:bottom w:val="single" w:sz="4" w:space="0" w:color="auto"/>
              <w:right w:val="nil"/>
            </w:tcBorders>
            <w:shd w:val="clear" w:color="auto" w:fill="auto"/>
            <w:noWrap/>
            <w:vAlign w:val="center"/>
            <w:hideMark/>
          </w:tcPr>
          <w:p w14:paraId="46DE0DAB" w14:textId="798354B5"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4 328</w:t>
            </w:r>
          </w:p>
        </w:tc>
        <w:tc>
          <w:tcPr>
            <w:tcW w:w="851" w:type="dxa"/>
            <w:tcBorders>
              <w:top w:val="nil"/>
              <w:left w:val="nil"/>
              <w:bottom w:val="single" w:sz="4" w:space="0" w:color="auto"/>
              <w:right w:val="single" w:sz="4" w:space="0" w:color="auto"/>
            </w:tcBorders>
            <w:shd w:val="clear" w:color="auto" w:fill="auto"/>
            <w:noWrap/>
            <w:vAlign w:val="center"/>
            <w:hideMark/>
          </w:tcPr>
          <w:p w14:paraId="4FBF23D3" w14:textId="0A23CAF6"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+33 %</w:t>
            </w:r>
          </w:p>
        </w:tc>
        <w:tc>
          <w:tcPr>
            <w:tcW w:w="1392" w:type="dxa"/>
            <w:tcBorders>
              <w:top w:val="nil"/>
              <w:left w:val="nil"/>
              <w:bottom w:val="single" w:sz="4" w:space="0" w:color="auto"/>
              <w:right w:val="nil"/>
            </w:tcBorders>
            <w:shd w:val="clear" w:color="auto" w:fill="auto"/>
            <w:noWrap/>
            <w:vAlign w:val="center"/>
            <w:hideMark/>
          </w:tcPr>
          <w:p w14:paraId="72CE3329" w14:textId="6DFE11BD"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97,8 %</w:t>
            </w:r>
          </w:p>
        </w:tc>
      </w:tr>
      <w:tr w:rsidR="00F15667" w:rsidRPr="005D7674" w14:paraId="3EE696EC" w14:textId="77777777" w:rsidTr="005D7674">
        <w:trPr>
          <w:trHeight w:val="330"/>
        </w:trPr>
        <w:tc>
          <w:tcPr>
            <w:tcW w:w="2020" w:type="dxa"/>
            <w:tcBorders>
              <w:top w:val="nil"/>
              <w:left w:val="nil"/>
              <w:bottom w:val="double" w:sz="6" w:space="0" w:color="auto"/>
              <w:right w:val="nil"/>
            </w:tcBorders>
            <w:shd w:val="clear" w:color="auto" w:fill="auto"/>
            <w:noWrap/>
            <w:vAlign w:val="center"/>
            <w:hideMark/>
          </w:tcPr>
          <w:p w14:paraId="57C6D2F1" w14:textId="77777777" w:rsidR="00830714" w:rsidRPr="005D7674" w:rsidRDefault="00830714" w:rsidP="00311D1B">
            <w:pPr>
              <w:spacing w:line="240" w:lineRule="auto"/>
              <w:jc w:val="left"/>
              <w:rPr>
                <w:rFonts w:eastAsia="Times New Roman"/>
                <w:szCs w:val="24"/>
                <w:lang w:eastAsia="cs-CZ"/>
              </w:rPr>
            </w:pPr>
            <w:r w:rsidRPr="005D7674">
              <w:rPr>
                <w:rFonts w:eastAsia="Times New Roman"/>
                <w:szCs w:val="24"/>
                <w:lang w:eastAsia="cs-CZ"/>
              </w:rPr>
              <w:t>KS Ostrava</w:t>
            </w:r>
          </w:p>
        </w:tc>
        <w:tc>
          <w:tcPr>
            <w:tcW w:w="1056" w:type="dxa"/>
            <w:tcBorders>
              <w:top w:val="nil"/>
              <w:left w:val="nil"/>
              <w:bottom w:val="double" w:sz="6" w:space="0" w:color="auto"/>
              <w:right w:val="nil"/>
            </w:tcBorders>
            <w:shd w:val="clear" w:color="auto" w:fill="auto"/>
            <w:noWrap/>
            <w:vAlign w:val="center"/>
            <w:hideMark/>
          </w:tcPr>
          <w:p w14:paraId="01974969" w14:textId="5B58CF48"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71 282</w:t>
            </w:r>
          </w:p>
        </w:tc>
        <w:tc>
          <w:tcPr>
            <w:tcW w:w="848" w:type="dxa"/>
            <w:tcBorders>
              <w:top w:val="nil"/>
              <w:left w:val="nil"/>
              <w:bottom w:val="double" w:sz="6" w:space="0" w:color="auto"/>
              <w:right w:val="nil"/>
            </w:tcBorders>
            <w:shd w:val="clear" w:color="auto" w:fill="auto"/>
            <w:noWrap/>
            <w:vAlign w:val="center"/>
            <w:hideMark/>
          </w:tcPr>
          <w:p w14:paraId="23E7FD2A" w14:textId="1A2DFDEF"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+33 %</w:t>
            </w:r>
          </w:p>
        </w:tc>
        <w:tc>
          <w:tcPr>
            <w:tcW w:w="1031" w:type="dxa"/>
            <w:tcBorders>
              <w:top w:val="nil"/>
              <w:left w:val="single" w:sz="4" w:space="0" w:color="auto"/>
              <w:bottom w:val="double" w:sz="6" w:space="0" w:color="auto"/>
              <w:right w:val="nil"/>
            </w:tcBorders>
            <w:shd w:val="clear" w:color="auto" w:fill="auto"/>
            <w:noWrap/>
            <w:vAlign w:val="center"/>
            <w:hideMark/>
          </w:tcPr>
          <w:p w14:paraId="15E7FAB2" w14:textId="16AEBA2E"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63 488</w:t>
            </w:r>
          </w:p>
        </w:tc>
        <w:tc>
          <w:tcPr>
            <w:tcW w:w="848" w:type="dxa"/>
            <w:tcBorders>
              <w:top w:val="nil"/>
              <w:left w:val="nil"/>
              <w:bottom w:val="double" w:sz="6" w:space="0" w:color="auto"/>
              <w:right w:val="single" w:sz="4" w:space="0" w:color="auto"/>
            </w:tcBorders>
            <w:shd w:val="clear" w:color="auto" w:fill="auto"/>
            <w:noWrap/>
            <w:vAlign w:val="center"/>
            <w:hideMark/>
          </w:tcPr>
          <w:p w14:paraId="7F8933BF" w14:textId="717386FF"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+18 %</w:t>
            </w:r>
          </w:p>
        </w:tc>
        <w:tc>
          <w:tcPr>
            <w:tcW w:w="1001" w:type="dxa"/>
            <w:tcBorders>
              <w:top w:val="nil"/>
              <w:left w:val="nil"/>
              <w:bottom w:val="double" w:sz="6" w:space="0" w:color="auto"/>
              <w:right w:val="nil"/>
            </w:tcBorders>
            <w:shd w:val="clear" w:color="auto" w:fill="auto"/>
            <w:noWrap/>
            <w:vAlign w:val="center"/>
            <w:hideMark/>
          </w:tcPr>
          <w:p w14:paraId="4D932DF8" w14:textId="4532248E"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11 273</w:t>
            </w:r>
          </w:p>
        </w:tc>
        <w:tc>
          <w:tcPr>
            <w:tcW w:w="851" w:type="dxa"/>
            <w:tcBorders>
              <w:top w:val="nil"/>
              <w:left w:val="nil"/>
              <w:bottom w:val="double" w:sz="6" w:space="0" w:color="auto"/>
              <w:right w:val="single" w:sz="4" w:space="0" w:color="auto"/>
            </w:tcBorders>
            <w:shd w:val="clear" w:color="auto" w:fill="auto"/>
            <w:noWrap/>
            <w:vAlign w:val="center"/>
            <w:hideMark/>
          </w:tcPr>
          <w:p w14:paraId="225763D4" w14:textId="780EE848" w:rsidR="00830714" w:rsidRPr="005D7674" w:rsidRDefault="00830714" w:rsidP="00311D1B">
            <w:pPr>
              <w:spacing w:line="240" w:lineRule="auto"/>
              <w:jc w:val="center"/>
              <w:rPr>
                <w:rFonts w:eastAsia="Times New Roman"/>
                <w:sz w:val="20"/>
                <w:szCs w:val="20"/>
                <w:lang w:eastAsia="cs-CZ"/>
              </w:rPr>
            </w:pPr>
            <w:r w:rsidRPr="005D7674">
              <w:rPr>
                <w:rFonts w:eastAsia="Times New Roman"/>
                <w:sz w:val="20"/>
                <w:szCs w:val="20"/>
                <w:lang w:eastAsia="cs-CZ"/>
              </w:rPr>
              <w:t>+224 %</w:t>
            </w:r>
          </w:p>
        </w:tc>
        <w:tc>
          <w:tcPr>
            <w:tcW w:w="1392" w:type="dxa"/>
            <w:tcBorders>
              <w:top w:val="nil"/>
              <w:left w:val="nil"/>
              <w:bottom w:val="nil"/>
              <w:right w:val="nil"/>
            </w:tcBorders>
            <w:shd w:val="clear" w:color="auto" w:fill="auto"/>
            <w:noWrap/>
            <w:vAlign w:val="center"/>
            <w:hideMark/>
          </w:tcPr>
          <w:p w14:paraId="0D9D829A" w14:textId="46FB6D6E" w:rsidR="00830714" w:rsidRPr="005D7674" w:rsidRDefault="00830714" w:rsidP="00311D1B">
            <w:pPr>
              <w:spacing w:line="240" w:lineRule="auto"/>
              <w:jc w:val="center"/>
              <w:rPr>
                <w:rFonts w:eastAsia="Times New Roman"/>
                <w:szCs w:val="24"/>
                <w:lang w:eastAsia="cs-CZ"/>
              </w:rPr>
            </w:pPr>
            <w:r w:rsidRPr="005D7674">
              <w:rPr>
                <w:rFonts w:eastAsia="Times New Roman"/>
                <w:szCs w:val="24"/>
                <w:lang w:eastAsia="cs-CZ"/>
              </w:rPr>
              <w:t>89,1 %</w:t>
            </w:r>
          </w:p>
        </w:tc>
      </w:tr>
      <w:tr w:rsidR="00F15667" w:rsidRPr="005D7674" w14:paraId="119BF319" w14:textId="77777777" w:rsidTr="005D7674">
        <w:trPr>
          <w:trHeight w:val="345"/>
        </w:trPr>
        <w:tc>
          <w:tcPr>
            <w:tcW w:w="2020" w:type="dxa"/>
            <w:tcBorders>
              <w:top w:val="nil"/>
              <w:left w:val="nil"/>
              <w:bottom w:val="double" w:sz="6" w:space="0" w:color="auto"/>
              <w:right w:val="nil"/>
            </w:tcBorders>
            <w:shd w:val="clear" w:color="auto" w:fill="auto"/>
            <w:noWrap/>
            <w:vAlign w:val="center"/>
            <w:hideMark/>
          </w:tcPr>
          <w:p w14:paraId="2F38BCC5" w14:textId="77777777" w:rsidR="00830714" w:rsidRPr="005D7674" w:rsidRDefault="00830714" w:rsidP="00311D1B">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056" w:type="dxa"/>
            <w:tcBorders>
              <w:top w:val="nil"/>
              <w:left w:val="nil"/>
              <w:bottom w:val="double" w:sz="6" w:space="0" w:color="auto"/>
              <w:right w:val="nil"/>
            </w:tcBorders>
            <w:shd w:val="clear" w:color="auto" w:fill="auto"/>
            <w:noWrap/>
            <w:vAlign w:val="center"/>
            <w:hideMark/>
          </w:tcPr>
          <w:p w14:paraId="2EAE8DA9" w14:textId="1F26F449"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369 930</w:t>
            </w:r>
          </w:p>
        </w:tc>
        <w:tc>
          <w:tcPr>
            <w:tcW w:w="848" w:type="dxa"/>
            <w:tcBorders>
              <w:top w:val="nil"/>
              <w:left w:val="nil"/>
              <w:bottom w:val="double" w:sz="6" w:space="0" w:color="auto"/>
              <w:right w:val="nil"/>
            </w:tcBorders>
            <w:shd w:val="clear" w:color="auto" w:fill="auto"/>
            <w:noWrap/>
            <w:vAlign w:val="center"/>
            <w:hideMark/>
          </w:tcPr>
          <w:p w14:paraId="797D59CB" w14:textId="6EF217E7" w:rsidR="00830714" w:rsidRPr="005D7674" w:rsidRDefault="00830714" w:rsidP="00311D1B">
            <w:pPr>
              <w:spacing w:line="240" w:lineRule="auto"/>
              <w:jc w:val="center"/>
              <w:rPr>
                <w:rFonts w:eastAsia="Times New Roman"/>
                <w:b/>
                <w:bCs/>
                <w:sz w:val="20"/>
                <w:szCs w:val="20"/>
                <w:lang w:eastAsia="cs-CZ"/>
              </w:rPr>
            </w:pPr>
            <w:r w:rsidRPr="005D7674">
              <w:rPr>
                <w:rFonts w:eastAsia="Times New Roman"/>
                <w:b/>
                <w:bCs/>
                <w:sz w:val="20"/>
                <w:szCs w:val="20"/>
                <w:lang w:eastAsia="cs-CZ"/>
              </w:rPr>
              <w:t>+16 %</w:t>
            </w:r>
          </w:p>
        </w:tc>
        <w:tc>
          <w:tcPr>
            <w:tcW w:w="1031" w:type="dxa"/>
            <w:tcBorders>
              <w:top w:val="nil"/>
              <w:left w:val="single" w:sz="4" w:space="0" w:color="auto"/>
              <w:bottom w:val="double" w:sz="6" w:space="0" w:color="auto"/>
              <w:right w:val="nil"/>
            </w:tcBorders>
            <w:shd w:val="clear" w:color="auto" w:fill="auto"/>
            <w:noWrap/>
            <w:vAlign w:val="center"/>
            <w:hideMark/>
          </w:tcPr>
          <w:p w14:paraId="58EAB2F0" w14:textId="7595C1F7"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362 160</w:t>
            </w:r>
          </w:p>
        </w:tc>
        <w:tc>
          <w:tcPr>
            <w:tcW w:w="848" w:type="dxa"/>
            <w:tcBorders>
              <w:top w:val="nil"/>
              <w:left w:val="nil"/>
              <w:bottom w:val="double" w:sz="6" w:space="0" w:color="auto"/>
              <w:right w:val="single" w:sz="4" w:space="0" w:color="auto"/>
            </w:tcBorders>
            <w:shd w:val="clear" w:color="auto" w:fill="auto"/>
            <w:noWrap/>
            <w:vAlign w:val="center"/>
            <w:hideMark/>
          </w:tcPr>
          <w:p w14:paraId="3EDF7422" w14:textId="588BDB99" w:rsidR="00830714" w:rsidRPr="005D7674" w:rsidRDefault="00830714" w:rsidP="00311D1B">
            <w:pPr>
              <w:spacing w:line="240" w:lineRule="auto"/>
              <w:jc w:val="center"/>
              <w:rPr>
                <w:rFonts w:eastAsia="Times New Roman"/>
                <w:b/>
                <w:bCs/>
                <w:sz w:val="20"/>
                <w:szCs w:val="20"/>
                <w:lang w:eastAsia="cs-CZ"/>
              </w:rPr>
            </w:pPr>
            <w:r w:rsidRPr="005D7674">
              <w:rPr>
                <w:rFonts w:eastAsia="Times New Roman"/>
                <w:b/>
                <w:bCs/>
                <w:sz w:val="20"/>
                <w:szCs w:val="20"/>
                <w:lang w:eastAsia="cs-CZ"/>
              </w:rPr>
              <w:t>+11 %</w:t>
            </w:r>
          </w:p>
        </w:tc>
        <w:tc>
          <w:tcPr>
            <w:tcW w:w="1001" w:type="dxa"/>
            <w:tcBorders>
              <w:top w:val="nil"/>
              <w:left w:val="nil"/>
              <w:bottom w:val="double" w:sz="6" w:space="0" w:color="auto"/>
              <w:right w:val="nil"/>
            </w:tcBorders>
            <w:shd w:val="clear" w:color="auto" w:fill="auto"/>
            <w:noWrap/>
            <w:vAlign w:val="center"/>
            <w:hideMark/>
          </w:tcPr>
          <w:p w14:paraId="1D77191D" w14:textId="370F8CB5"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22 919</w:t>
            </w:r>
          </w:p>
        </w:tc>
        <w:tc>
          <w:tcPr>
            <w:tcW w:w="851" w:type="dxa"/>
            <w:tcBorders>
              <w:top w:val="nil"/>
              <w:left w:val="nil"/>
              <w:bottom w:val="double" w:sz="6" w:space="0" w:color="auto"/>
              <w:right w:val="single" w:sz="4" w:space="0" w:color="auto"/>
            </w:tcBorders>
            <w:shd w:val="clear" w:color="auto" w:fill="auto"/>
            <w:noWrap/>
            <w:vAlign w:val="center"/>
            <w:hideMark/>
          </w:tcPr>
          <w:p w14:paraId="7D0B426D" w14:textId="08745EF7" w:rsidR="00830714" w:rsidRPr="005D7674" w:rsidRDefault="00830714" w:rsidP="00311D1B">
            <w:pPr>
              <w:spacing w:line="240" w:lineRule="auto"/>
              <w:jc w:val="center"/>
              <w:rPr>
                <w:rFonts w:eastAsia="Times New Roman"/>
                <w:b/>
                <w:bCs/>
                <w:sz w:val="20"/>
                <w:szCs w:val="20"/>
                <w:lang w:eastAsia="cs-CZ"/>
              </w:rPr>
            </w:pPr>
            <w:r w:rsidRPr="005D7674">
              <w:rPr>
                <w:rFonts w:eastAsia="Times New Roman"/>
                <w:b/>
                <w:bCs/>
                <w:sz w:val="20"/>
                <w:szCs w:val="20"/>
                <w:lang w:eastAsia="cs-CZ"/>
              </w:rPr>
              <w:t>+52 %</w:t>
            </w:r>
          </w:p>
        </w:tc>
        <w:tc>
          <w:tcPr>
            <w:tcW w:w="1392" w:type="dxa"/>
            <w:tcBorders>
              <w:top w:val="double" w:sz="6" w:space="0" w:color="auto"/>
              <w:left w:val="nil"/>
              <w:bottom w:val="double" w:sz="6" w:space="0" w:color="auto"/>
              <w:right w:val="nil"/>
            </w:tcBorders>
            <w:shd w:val="clear" w:color="auto" w:fill="auto"/>
            <w:noWrap/>
            <w:vAlign w:val="center"/>
            <w:hideMark/>
          </w:tcPr>
          <w:p w14:paraId="34004815" w14:textId="79D7C2CE" w:rsidR="00830714" w:rsidRPr="005D7674" w:rsidRDefault="00830714" w:rsidP="00311D1B">
            <w:pPr>
              <w:spacing w:line="240" w:lineRule="auto"/>
              <w:jc w:val="center"/>
              <w:rPr>
                <w:rFonts w:eastAsia="Times New Roman"/>
                <w:b/>
                <w:bCs/>
                <w:szCs w:val="24"/>
                <w:lang w:eastAsia="cs-CZ"/>
              </w:rPr>
            </w:pPr>
            <w:r w:rsidRPr="005D7674">
              <w:rPr>
                <w:rFonts w:eastAsia="Times New Roman"/>
                <w:b/>
                <w:bCs/>
                <w:szCs w:val="24"/>
                <w:lang w:eastAsia="cs-CZ"/>
              </w:rPr>
              <w:t>97,9 %</w:t>
            </w:r>
          </w:p>
        </w:tc>
      </w:tr>
      <w:tr w:rsidR="00311D1B" w:rsidRPr="005D7674" w14:paraId="5947ABBB" w14:textId="77777777" w:rsidTr="005D7674">
        <w:trPr>
          <w:trHeight w:val="345"/>
        </w:trPr>
        <w:tc>
          <w:tcPr>
            <w:tcW w:w="2020" w:type="dxa"/>
            <w:tcBorders>
              <w:top w:val="double" w:sz="6" w:space="0" w:color="auto"/>
              <w:left w:val="nil"/>
            </w:tcBorders>
            <w:shd w:val="clear" w:color="auto" w:fill="auto"/>
            <w:noWrap/>
            <w:vAlign w:val="center"/>
          </w:tcPr>
          <w:p w14:paraId="71C7F316" w14:textId="77777777" w:rsidR="00311D1B" w:rsidRPr="005D7674" w:rsidRDefault="00311D1B" w:rsidP="00311D1B">
            <w:pPr>
              <w:spacing w:line="240" w:lineRule="auto"/>
              <w:jc w:val="center"/>
              <w:rPr>
                <w:rFonts w:eastAsia="Times New Roman"/>
                <w:szCs w:val="24"/>
                <w:lang w:eastAsia="cs-CZ"/>
              </w:rPr>
            </w:pPr>
          </w:p>
        </w:tc>
        <w:tc>
          <w:tcPr>
            <w:tcW w:w="1056" w:type="dxa"/>
            <w:tcBorders>
              <w:top w:val="double" w:sz="6" w:space="0" w:color="auto"/>
            </w:tcBorders>
            <w:shd w:val="clear" w:color="auto" w:fill="auto"/>
            <w:noWrap/>
            <w:vAlign w:val="center"/>
          </w:tcPr>
          <w:p w14:paraId="1EC57DD8" w14:textId="77777777" w:rsidR="00311D1B" w:rsidRPr="005D7674" w:rsidRDefault="00311D1B" w:rsidP="00311D1B">
            <w:pPr>
              <w:spacing w:line="240" w:lineRule="auto"/>
              <w:jc w:val="center"/>
              <w:rPr>
                <w:rFonts w:eastAsia="Times New Roman"/>
                <w:szCs w:val="24"/>
                <w:lang w:eastAsia="cs-CZ"/>
              </w:rPr>
            </w:pPr>
          </w:p>
        </w:tc>
        <w:tc>
          <w:tcPr>
            <w:tcW w:w="848" w:type="dxa"/>
            <w:tcBorders>
              <w:top w:val="double" w:sz="6" w:space="0" w:color="auto"/>
            </w:tcBorders>
            <w:shd w:val="clear" w:color="auto" w:fill="auto"/>
            <w:noWrap/>
            <w:vAlign w:val="center"/>
          </w:tcPr>
          <w:p w14:paraId="19797BD9" w14:textId="77777777" w:rsidR="00311D1B" w:rsidRPr="005D7674" w:rsidRDefault="00311D1B" w:rsidP="00311D1B">
            <w:pPr>
              <w:spacing w:line="240" w:lineRule="auto"/>
              <w:jc w:val="center"/>
              <w:rPr>
                <w:rFonts w:eastAsia="Times New Roman"/>
                <w:szCs w:val="24"/>
                <w:lang w:eastAsia="cs-CZ"/>
              </w:rPr>
            </w:pPr>
          </w:p>
        </w:tc>
        <w:tc>
          <w:tcPr>
            <w:tcW w:w="1031" w:type="dxa"/>
            <w:tcBorders>
              <w:top w:val="double" w:sz="6" w:space="0" w:color="auto"/>
            </w:tcBorders>
            <w:shd w:val="clear" w:color="auto" w:fill="auto"/>
            <w:noWrap/>
            <w:vAlign w:val="center"/>
          </w:tcPr>
          <w:p w14:paraId="6490E608" w14:textId="77777777" w:rsidR="00311D1B" w:rsidRPr="005D7674" w:rsidRDefault="00311D1B" w:rsidP="00311D1B">
            <w:pPr>
              <w:spacing w:line="240" w:lineRule="auto"/>
              <w:jc w:val="center"/>
              <w:rPr>
                <w:rFonts w:eastAsia="Times New Roman"/>
                <w:szCs w:val="24"/>
                <w:lang w:eastAsia="cs-CZ"/>
              </w:rPr>
            </w:pPr>
          </w:p>
        </w:tc>
        <w:tc>
          <w:tcPr>
            <w:tcW w:w="848" w:type="dxa"/>
            <w:tcBorders>
              <w:top w:val="double" w:sz="6" w:space="0" w:color="auto"/>
            </w:tcBorders>
            <w:shd w:val="clear" w:color="auto" w:fill="auto"/>
            <w:noWrap/>
            <w:vAlign w:val="center"/>
          </w:tcPr>
          <w:p w14:paraId="25D5B592" w14:textId="77777777" w:rsidR="00311D1B" w:rsidRPr="005D7674" w:rsidRDefault="00311D1B" w:rsidP="00311D1B">
            <w:pPr>
              <w:spacing w:line="240" w:lineRule="auto"/>
              <w:jc w:val="center"/>
              <w:rPr>
                <w:rFonts w:eastAsia="Times New Roman"/>
                <w:szCs w:val="24"/>
                <w:lang w:eastAsia="cs-CZ"/>
              </w:rPr>
            </w:pPr>
          </w:p>
        </w:tc>
        <w:tc>
          <w:tcPr>
            <w:tcW w:w="1001" w:type="dxa"/>
            <w:tcBorders>
              <w:top w:val="double" w:sz="6" w:space="0" w:color="auto"/>
            </w:tcBorders>
            <w:shd w:val="clear" w:color="auto" w:fill="auto"/>
            <w:noWrap/>
            <w:vAlign w:val="center"/>
          </w:tcPr>
          <w:p w14:paraId="12A374C3" w14:textId="77777777" w:rsidR="00311D1B" w:rsidRPr="005D7674" w:rsidRDefault="00311D1B" w:rsidP="00311D1B">
            <w:pPr>
              <w:spacing w:line="240" w:lineRule="auto"/>
              <w:jc w:val="center"/>
              <w:rPr>
                <w:rFonts w:eastAsia="Times New Roman"/>
                <w:szCs w:val="24"/>
                <w:lang w:eastAsia="cs-CZ"/>
              </w:rPr>
            </w:pPr>
          </w:p>
        </w:tc>
        <w:tc>
          <w:tcPr>
            <w:tcW w:w="851" w:type="dxa"/>
            <w:tcBorders>
              <w:top w:val="double" w:sz="6" w:space="0" w:color="auto"/>
            </w:tcBorders>
            <w:shd w:val="clear" w:color="auto" w:fill="auto"/>
            <w:noWrap/>
            <w:vAlign w:val="center"/>
          </w:tcPr>
          <w:p w14:paraId="23C324B3" w14:textId="77777777" w:rsidR="00311D1B" w:rsidRPr="005D7674" w:rsidRDefault="00311D1B" w:rsidP="00311D1B">
            <w:pPr>
              <w:spacing w:line="240" w:lineRule="auto"/>
              <w:jc w:val="center"/>
              <w:rPr>
                <w:rFonts w:eastAsia="Times New Roman"/>
                <w:szCs w:val="24"/>
                <w:lang w:eastAsia="cs-CZ"/>
              </w:rPr>
            </w:pPr>
          </w:p>
        </w:tc>
        <w:tc>
          <w:tcPr>
            <w:tcW w:w="1392" w:type="dxa"/>
            <w:tcBorders>
              <w:top w:val="double" w:sz="6" w:space="0" w:color="auto"/>
              <w:right w:val="nil"/>
            </w:tcBorders>
            <w:shd w:val="clear" w:color="auto" w:fill="auto"/>
            <w:noWrap/>
            <w:vAlign w:val="center"/>
          </w:tcPr>
          <w:p w14:paraId="1063A1ED" w14:textId="77777777" w:rsidR="00311D1B" w:rsidRPr="005D7674" w:rsidRDefault="00311D1B" w:rsidP="00311D1B">
            <w:pPr>
              <w:spacing w:line="240" w:lineRule="auto"/>
              <w:jc w:val="center"/>
              <w:rPr>
                <w:rFonts w:eastAsia="Times New Roman"/>
                <w:szCs w:val="24"/>
                <w:lang w:eastAsia="cs-CZ"/>
              </w:rPr>
            </w:pPr>
          </w:p>
        </w:tc>
      </w:tr>
    </w:tbl>
    <w:p w14:paraId="098547DA" w14:textId="51C5A180" w:rsidR="006728AB" w:rsidRPr="005D7674" w:rsidRDefault="00857C01" w:rsidP="00857C01">
      <w:pPr>
        <w:pStyle w:val="Nadpis3"/>
        <w:numPr>
          <w:ilvl w:val="2"/>
          <w:numId w:val="1"/>
        </w:numPr>
        <w:rPr>
          <w:color w:val="auto"/>
        </w:rPr>
      </w:pPr>
      <w:bookmarkStart w:id="242" w:name="_Toc75952065"/>
      <w:bookmarkStart w:id="243" w:name="_Toc106092726"/>
      <w:bookmarkStart w:id="244" w:name="_Toc144104347"/>
      <w:bookmarkStart w:id="245" w:name="_Toc75952321"/>
      <w:r w:rsidRPr="005D7674">
        <w:rPr>
          <w:color w:val="auto"/>
        </w:rPr>
        <w:t>Další statistiky</w:t>
      </w:r>
      <w:bookmarkEnd w:id="242"/>
      <w:bookmarkEnd w:id="243"/>
      <w:bookmarkEnd w:id="244"/>
    </w:p>
    <w:p w14:paraId="0E8C6758" w14:textId="183EC196" w:rsidR="00FF3636" w:rsidRPr="005D7674" w:rsidRDefault="00FF3636" w:rsidP="00FF3636">
      <w:pPr>
        <w:pStyle w:val="OdstavecASR"/>
      </w:pPr>
      <w:r w:rsidRPr="005D7674">
        <w:t>Velkou část civilních věcí tvoří spory o úhradu dlužné částky (např. neuhrazené pojistné, neuhrazené vyúčtování za spotřebovanou energii, neuhrazené jízdné včetně přirážky k jízdnému za přepravu bez platného jízdního dokladu, neuhrazené splatné pohledávky ze smluv o úvěru apod.), přičemž většina těchto sporů byla právě převedena z rejstříku EPR. V této kapitole tedy zodpovíme otázku, kolik věcí je vlastně z rejstříku EPR převedeno do rejstříku C, tzn. v jaké míře nebylo možno soudem věc vyřídit jednoduše elektronickým platebním rozkazem, nýbrž bylo třeba věc vyřídit v rámci klasického civilního řízení. Opět uvádíme časové řady za celou ČR a průřezová data po krajích za rok 202</w:t>
      </w:r>
      <w:r w:rsidR="00A3400D" w:rsidRPr="005D7674">
        <w:t>2</w:t>
      </w:r>
      <w:r w:rsidRPr="005D7674">
        <w:t>.</w:t>
      </w:r>
    </w:p>
    <w:p w14:paraId="12520E94" w14:textId="2CDB3CDF" w:rsidR="007342CD" w:rsidRPr="005D7674" w:rsidRDefault="007342CD" w:rsidP="007342CD">
      <w:pPr>
        <w:pStyle w:val="Podnadpis"/>
        <w:rPr>
          <w:color w:val="auto"/>
        </w:rPr>
      </w:pPr>
      <w:bookmarkStart w:id="246" w:name="_Toc144104131"/>
      <w:r w:rsidRPr="005D7674">
        <w:rPr>
          <w:color w:val="auto"/>
        </w:rPr>
        <w:t xml:space="preserve">Graf </w:t>
      </w:r>
      <w:r w:rsidR="009A10E2" w:rsidRPr="005D7674">
        <w:rPr>
          <w:color w:val="auto"/>
        </w:rPr>
        <w:fldChar w:fldCharType="begin"/>
      </w:r>
      <w:r w:rsidR="009A10E2" w:rsidRPr="005D7674">
        <w:rPr>
          <w:color w:val="auto"/>
        </w:rPr>
        <w:instrText xml:space="preserve"> SEQ Graf \* ARABIC </w:instrText>
      </w:r>
      <w:r w:rsidR="009A10E2" w:rsidRPr="005D7674">
        <w:rPr>
          <w:color w:val="auto"/>
        </w:rPr>
        <w:fldChar w:fldCharType="separate"/>
      </w:r>
      <w:r w:rsidR="001E1A67">
        <w:rPr>
          <w:noProof/>
          <w:color w:val="auto"/>
        </w:rPr>
        <w:t>19</w:t>
      </w:r>
      <w:r w:rsidR="009A10E2" w:rsidRPr="005D7674">
        <w:rPr>
          <w:color w:val="auto"/>
        </w:rPr>
        <w:fldChar w:fldCharType="end"/>
      </w:r>
      <w:r w:rsidRPr="005D7674">
        <w:rPr>
          <w:color w:val="auto"/>
        </w:rPr>
        <w:t>: OS – převedeno z rejstříku EPR v letech 2013–202</w:t>
      </w:r>
      <w:r w:rsidR="00714574" w:rsidRPr="005D7674">
        <w:rPr>
          <w:color w:val="auto"/>
        </w:rPr>
        <w:t>2</w:t>
      </w:r>
      <w:bookmarkEnd w:id="246"/>
    </w:p>
    <w:p w14:paraId="60FDC1B5" w14:textId="77777777" w:rsidR="00CF3817" w:rsidRPr="005D7674" w:rsidRDefault="00714574" w:rsidP="00917F3F">
      <w:pPr>
        <w:pStyle w:val="OdstavecASR"/>
      </w:pPr>
      <w:r w:rsidRPr="005D7674">
        <w:rPr>
          <w:noProof/>
          <w:lang w:eastAsia="cs-CZ"/>
        </w:rPr>
        <w:drawing>
          <wp:inline distT="0" distB="0" distL="0" distR="0" wp14:anchorId="4FB3FCAB" wp14:editId="3ACE6BE7">
            <wp:extent cx="5029200" cy="3657600"/>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A27817F" w14:textId="04F01F8D" w:rsidR="00CF3817" w:rsidRPr="005D7674" w:rsidRDefault="00CF3817" w:rsidP="00CF3817">
      <w:pPr>
        <w:pStyle w:val="Podnadpis"/>
        <w:rPr>
          <w:color w:val="auto"/>
        </w:rPr>
      </w:pPr>
      <w:bookmarkStart w:id="247" w:name="_Toc515871450"/>
      <w:bookmarkStart w:id="248" w:name="_Toc11133218"/>
      <w:bookmarkStart w:id="249" w:name="_Toc43931192"/>
      <w:bookmarkStart w:id="250" w:name="_Toc75952322"/>
      <w:bookmarkStart w:id="251" w:name="_Toc106106781"/>
      <w:bookmarkStart w:id="252" w:name="_Toc144104259"/>
      <w:r w:rsidRPr="005D7674">
        <w:rPr>
          <w:color w:val="auto"/>
        </w:rPr>
        <w:lastRenderedPageBreak/>
        <w:t xml:space="preserve">Tabulka </w:t>
      </w:r>
      <w:r w:rsidRPr="005D7674">
        <w:rPr>
          <w:color w:val="auto"/>
        </w:rPr>
        <w:fldChar w:fldCharType="begin"/>
      </w:r>
      <w:r w:rsidRPr="005D7674">
        <w:rPr>
          <w:color w:val="auto"/>
        </w:rPr>
        <w:instrText xml:space="preserve"> SEQ Tabulka \* ARABIC </w:instrText>
      </w:r>
      <w:r w:rsidRPr="005D7674">
        <w:rPr>
          <w:color w:val="auto"/>
        </w:rPr>
        <w:fldChar w:fldCharType="separate"/>
      </w:r>
      <w:r w:rsidR="001E1A67">
        <w:rPr>
          <w:noProof/>
          <w:color w:val="auto"/>
        </w:rPr>
        <w:t>20</w:t>
      </w:r>
      <w:r w:rsidRPr="005D7674">
        <w:rPr>
          <w:color w:val="auto"/>
        </w:rPr>
        <w:fldChar w:fldCharType="end"/>
      </w:r>
      <w:r w:rsidRPr="005D7674">
        <w:rPr>
          <w:color w:val="auto"/>
        </w:rPr>
        <w:t>: OS – převedeno z rejstříku EPR dle krajů</w:t>
      </w:r>
      <w:bookmarkEnd w:id="247"/>
      <w:bookmarkEnd w:id="248"/>
      <w:bookmarkEnd w:id="249"/>
      <w:bookmarkEnd w:id="250"/>
      <w:bookmarkEnd w:id="251"/>
      <w:bookmarkEnd w:id="252"/>
    </w:p>
    <w:tbl>
      <w:tblPr>
        <w:tblW w:w="9108" w:type="dxa"/>
        <w:tblCellMar>
          <w:left w:w="70" w:type="dxa"/>
          <w:right w:w="70" w:type="dxa"/>
        </w:tblCellMar>
        <w:tblLook w:val="04A0" w:firstRow="1" w:lastRow="0" w:firstColumn="1" w:lastColumn="0" w:noHBand="0" w:noVBand="1"/>
      </w:tblPr>
      <w:tblGrid>
        <w:gridCol w:w="2268"/>
        <w:gridCol w:w="1358"/>
        <w:gridCol w:w="1051"/>
        <w:gridCol w:w="1148"/>
        <w:gridCol w:w="1051"/>
        <w:gridCol w:w="1181"/>
        <w:gridCol w:w="1051"/>
      </w:tblGrid>
      <w:tr w:rsidR="00F15667" w:rsidRPr="005D7674" w14:paraId="1826540D" w14:textId="77777777" w:rsidTr="005D7674">
        <w:trPr>
          <w:trHeight w:val="330"/>
        </w:trPr>
        <w:tc>
          <w:tcPr>
            <w:tcW w:w="2268" w:type="dxa"/>
            <w:vMerge w:val="restart"/>
            <w:tcBorders>
              <w:top w:val="double" w:sz="6" w:space="0" w:color="auto"/>
              <w:left w:val="nil"/>
              <w:bottom w:val="double" w:sz="6" w:space="0" w:color="000000"/>
              <w:right w:val="nil"/>
            </w:tcBorders>
            <w:shd w:val="clear" w:color="auto" w:fill="auto"/>
            <w:noWrap/>
            <w:vAlign w:val="center"/>
            <w:hideMark/>
          </w:tcPr>
          <w:p w14:paraId="26578219" w14:textId="77777777" w:rsidR="002E1B55" w:rsidRPr="005D7674" w:rsidRDefault="002E1B55" w:rsidP="005D7674">
            <w:pPr>
              <w:spacing w:line="240" w:lineRule="auto"/>
              <w:jc w:val="center"/>
              <w:rPr>
                <w:rFonts w:eastAsia="Times New Roman"/>
                <w:b/>
                <w:bCs/>
                <w:szCs w:val="24"/>
                <w:lang w:eastAsia="cs-CZ"/>
              </w:rPr>
            </w:pPr>
            <w:r w:rsidRPr="005D7674">
              <w:rPr>
                <w:rFonts w:eastAsia="Times New Roman"/>
                <w:b/>
                <w:bCs/>
                <w:szCs w:val="24"/>
                <w:lang w:eastAsia="cs-CZ"/>
              </w:rPr>
              <w:t>Nadřízený soud</w:t>
            </w:r>
          </w:p>
        </w:tc>
        <w:tc>
          <w:tcPr>
            <w:tcW w:w="6840" w:type="dxa"/>
            <w:gridSpan w:val="6"/>
            <w:tcBorders>
              <w:top w:val="double" w:sz="6" w:space="0" w:color="auto"/>
              <w:left w:val="nil"/>
              <w:bottom w:val="nil"/>
              <w:right w:val="nil"/>
            </w:tcBorders>
            <w:shd w:val="clear" w:color="auto" w:fill="auto"/>
            <w:noWrap/>
            <w:vAlign w:val="center"/>
            <w:hideMark/>
          </w:tcPr>
          <w:p w14:paraId="0626C37D" w14:textId="77777777" w:rsidR="002E1B55" w:rsidRPr="005D7674" w:rsidRDefault="002E1B55" w:rsidP="005D7674">
            <w:pPr>
              <w:spacing w:line="240" w:lineRule="auto"/>
              <w:jc w:val="center"/>
              <w:rPr>
                <w:rFonts w:eastAsia="Times New Roman"/>
                <w:b/>
                <w:bCs/>
                <w:szCs w:val="24"/>
                <w:lang w:eastAsia="cs-CZ"/>
              </w:rPr>
            </w:pPr>
            <w:r w:rsidRPr="005D7674">
              <w:rPr>
                <w:rFonts w:eastAsia="Times New Roman"/>
                <w:b/>
                <w:bCs/>
                <w:szCs w:val="24"/>
                <w:lang w:eastAsia="cs-CZ"/>
              </w:rPr>
              <w:t>Počet věcí</w:t>
            </w:r>
          </w:p>
        </w:tc>
      </w:tr>
      <w:tr w:rsidR="00F15667" w:rsidRPr="005D7674" w14:paraId="6AE6C179" w14:textId="77777777" w:rsidTr="005D7674">
        <w:trPr>
          <w:trHeight w:val="645"/>
        </w:trPr>
        <w:tc>
          <w:tcPr>
            <w:tcW w:w="2268" w:type="dxa"/>
            <w:vMerge/>
            <w:tcBorders>
              <w:top w:val="double" w:sz="6" w:space="0" w:color="auto"/>
              <w:left w:val="nil"/>
              <w:bottom w:val="double" w:sz="6" w:space="0" w:color="000000"/>
              <w:right w:val="nil"/>
            </w:tcBorders>
            <w:vAlign w:val="center"/>
            <w:hideMark/>
          </w:tcPr>
          <w:p w14:paraId="11732EB2" w14:textId="77777777" w:rsidR="002E1B55" w:rsidRPr="005D7674" w:rsidRDefault="002E1B55" w:rsidP="005D7674">
            <w:pPr>
              <w:spacing w:line="240" w:lineRule="auto"/>
              <w:jc w:val="center"/>
              <w:rPr>
                <w:rFonts w:eastAsia="Times New Roman"/>
                <w:b/>
                <w:bCs/>
                <w:szCs w:val="24"/>
                <w:lang w:eastAsia="cs-CZ"/>
              </w:rPr>
            </w:pPr>
          </w:p>
        </w:tc>
        <w:tc>
          <w:tcPr>
            <w:tcW w:w="2409" w:type="dxa"/>
            <w:gridSpan w:val="2"/>
            <w:tcBorders>
              <w:top w:val="nil"/>
              <w:left w:val="nil"/>
              <w:bottom w:val="double" w:sz="6" w:space="0" w:color="auto"/>
              <w:right w:val="single" w:sz="4" w:space="0" w:color="000000"/>
            </w:tcBorders>
            <w:shd w:val="clear" w:color="auto" w:fill="auto"/>
            <w:noWrap/>
            <w:vAlign w:val="center"/>
            <w:hideMark/>
          </w:tcPr>
          <w:p w14:paraId="0AD33071" w14:textId="77777777" w:rsidR="002E1B55" w:rsidRPr="005D7674" w:rsidRDefault="002E1B55" w:rsidP="005D7674">
            <w:pPr>
              <w:spacing w:line="240" w:lineRule="auto"/>
              <w:jc w:val="center"/>
              <w:rPr>
                <w:rFonts w:eastAsia="Times New Roman"/>
                <w:b/>
                <w:bCs/>
                <w:szCs w:val="24"/>
                <w:lang w:eastAsia="cs-CZ"/>
              </w:rPr>
            </w:pPr>
            <w:r w:rsidRPr="005D7674">
              <w:rPr>
                <w:rFonts w:eastAsia="Times New Roman"/>
                <w:b/>
                <w:bCs/>
                <w:szCs w:val="24"/>
                <w:lang w:eastAsia="cs-CZ"/>
              </w:rPr>
              <w:t>EPR zrušen soudem</w:t>
            </w:r>
          </w:p>
        </w:tc>
        <w:tc>
          <w:tcPr>
            <w:tcW w:w="2199" w:type="dxa"/>
            <w:gridSpan w:val="2"/>
            <w:tcBorders>
              <w:top w:val="nil"/>
              <w:left w:val="nil"/>
              <w:bottom w:val="double" w:sz="6" w:space="0" w:color="auto"/>
              <w:right w:val="single" w:sz="4" w:space="0" w:color="000000"/>
            </w:tcBorders>
            <w:shd w:val="clear" w:color="auto" w:fill="auto"/>
            <w:vAlign w:val="center"/>
            <w:hideMark/>
          </w:tcPr>
          <w:p w14:paraId="62F6275B" w14:textId="77777777" w:rsidR="002E1B55" w:rsidRPr="005D7674" w:rsidRDefault="002E1B55" w:rsidP="005D7674">
            <w:pPr>
              <w:spacing w:line="240" w:lineRule="auto"/>
              <w:jc w:val="center"/>
              <w:rPr>
                <w:rFonts w:eastAsia="Times New Roman"/>
                <w:b/>
                <w:bCs/>
                <w:szCs w:val="24"/>
                <w:lang w:eastAsia="cs-CZ"/>
              </w:rPr>
            </w:pPr>
            <w:r w:rsidRPr="005D7674">
              <w:rPr>
                <w:rFonts w:eastAsia="Times New Roman"/>
                <w:b/>
                <w:bCs/>
                <w:szCs w:val="24"/>
                <w:lang w:eastAsia="cs-CZ"/>
              </w:rPr>
              <w:t>podán odpor, který nebyl odmítnut</w:t>
            </w:r>
          </w:p>
        </w:tc>
        <w:tc>
          <w:tcPr>
            <w:tcW w:w="2232" w:type="dxa"/>
            <w:gridSpan w:val="2"/>
            <w:tcBorders>
              <w:top w:val="nil"/>
              <w:left w:val="nil"/>
              <w:bottom w:val="double" w:sz="6" w:space="0" w:color="auto"/>
              <w:right w:val="nil"/>
            </w:tcBorders>
            <w:shd w:val="clear" w:color="auto" w:fill="auto"/>
            <w:noWrap/>
            <w:vAlign w:val="center"/>
            <w:hideMark/>
          </w:tcPr>
          <w:p w14:paraId="1850B2C4" w14:textId="77777777" w:rsidR="002E1B55" w:rsidRPr="005D7674" w:rsidRDefault="002E1B55" w:rsidP="005D7674">
            <w:pPr>
              <w:spacing w:line="240" w:lineRule="auto"/>
              <w:jc w:val="center"/>
              <w:rPr>
                <w:rFonts w:eastAsia="Times New Roman"/>
                <w:b/>
                <w:bCs/>
                <w:szCs w:val="24"/>
                <w:lang w:eastAsia="cs-CZ"/>
              </w:rPr>
            </w:pPr>
            <w:r w:rsidRPr="005D7674">
              <w:rPr>
                <w:rFonts w:eastAsia="Times New Roman"/>
                <w:b/>
                <w:bCs/>
                <w:szCs w:val="24"/>
                <w:lang w:eastAsia="cs-CZ"/>
              </w:rPr>
              <w:t>jiný důvod</w:t>
            </w:r>
          </w:p>
        </w:tc>
      </w:tr>
      <w:tr w:rsidR="00F15667" w:rsidRPr="005D7674" w14:paraId="103B313A" w14:textId="77777777" w:rsidTr="005D7674">
        <w:trPr>
          <w:trHeight w:val="330"/>
        </w:trPr>
        <w:tc>
          <w:tcPr>
            <w:tcW w:w="2268" w:type="dxa"/>
            <w:tcBorders>
              <w:top w:val="single" w:sz="4" w:space="0" w:color="auto"/>
              <w:left w:val="nil"/>
              <w:bottom w:val="single" w:sz="4" w:space="0" w:color="auto"/>
              <w:right w:val="nil"/>
            </w:tcBorders>
            <w:shd w:val="clear" w:color="auto" w:fill="auto"/>
            <w:noWrap/>
            <w:vAlign w:val="center"/>
            <w:hideMark/>
          </w:tcPr>
          <w:p w14:paraId="3199289B" w14:textId="77777777" w:rsidR="002E1B55" w:rsidRPr="005D7674" w:rsidRDefault="002E1B55" w:rsidP="005D7674">
            <w:pPr>
              <w:spacing w:line="240" w:lineRule="auto"/>
              <w:jc w:val="left"/>
              <w:rPr>
                <w:rFonts w:eastAsia="Times New Roman"/>
                <w:szCs w:val="24"/>
                <w:lang w:eastAsia="cs-CZ"/>
              </w:rPr>
            </w:pPr>
            <w:r w:rsidRPr="005D7674">
              <w:rPr>
                <w:rFonts w:eastAsia="Times New Roman"/>
                <w:szCs w:val="24"/>
                <w:lang w:eastAsia="cs-CZ"/>
              </w:rPr>
              <w:t>MS Praha</w:t>
            </w:r>
          </w:p>
        </w:tc>
        <w:tc>
          <w:tcPr>
            <w:tcW w:w="1358" w:type="dxa"/>
            <w:tcBorders>
              <w:top w:val="single" w:sz="4" w:space="0" w:color="auto"/>
              <w:left w:val="nil"/>
              <w:bottom w:val="single" w:sz="4" w:space="0" w:color="auto"/>
              <w:right w:val="nil"/>
            </w:tcBorders>
            <w:shd w:val="clear" w:color="auto" w:fill="auto"/>
            <w:noWrap/>
            <w:vAlign w:val="center"/>
            <w:hideMark/>
          </w:tcPr>
          <w:p w14:paraId="5BB7A0A4"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30 808</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14:paraId="2E9AA7B8" w14:textId="4755028A"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-10 %</w:t>
            </w:r>
          </w:p>
        </w:tc>
        <w:tc>
          <w:tcPr>
            <w:tcW w:w="1148" w:type="dxa"/>
            <w:tcBorders>
              <w:top w:val="single" w:sz="4" w:space="0" w:color="auto"/>
              <w:left w:val="nil"/>
              <w:bottom w:val="single" w:sz="4" w:space="0" w:color="auto"/>
              <w:right w:val="nil"/>
            </w:tcBorders>
            <w:shd w:val="clear" w:color="auto" w:fill="auto"/>
            <w:noWrap/>
            <w:vAlign w:val="center"/>
            <w:hideMark/>
          </w:tcPr>
          <w:p w14:paraId="7E210625"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2 981</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14:paraId="53F5C482" w14:textId="51C3BEAB"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-11 %</w:t>
            </w:r>
          </w:p>
        </w:tc>
        <w:tc>
          <w:tcPr>
            <w:tcW w:w="1181" w:type="dxa"/>
            <w:tcBorders>
              <w:top w:val="single" w:sz="4" w:space="0" w:color="auto"/>
              <w:left w:val="nil"/>
              <w:bottom w:val="single" w:sz="4" w:space="0" w:color="auto"/>
              <w:right w:val="nil"/>
            </w:tcBorders>
            <w:shd w:val="clear" w:color="auto" w:fill="auto"/>
            <w:noWrap/>
            <w:vAlign w:val="center"/>
            <w:hideMark/>
          </w:tcPr>
          <w:p w14:paraId="16808DDD"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3 626</w:t>
            </w:r>
          </w:p>
        </w:tc>
        <w:tc>
          <w:tcPr>
            <w:tcW w:w="1051" w:type="dxa"/>
            <w:tcBorders>
              <w:top w:val="single" w:sz="4" w:space="0" w:color="auto"/>
              <w:left w:val="nil"/>
              <w:bottom w:val="single" w:sz="4" w:space="0" w:color="auto"/>
              <w:right w:val="nil"/>
            </w:tcBorders>
            <w:shd w:val="clear" w:color="auto" w:fill="auto"/>
            <w:noWrap/>
            <w:vAlign w:val="center"/>
            <w:hideMark/>
          </w:tcPr>
          <w:p w14:paraId="5CCF1A92" w14:textId="1F057715"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-3 %</w:t>
            </w:r>
          </w:p>
        </w:tc>
      </w:tr>
      <w:tr w:rsidR="00F15667" w:rsidRPr="005D7674" w14:paraId="6F64E633" w14:textId="77777777" w:rsidTr="005D7674">
        <w:trPr>
          <w:trHeight w:val="315"/>
        </w:trPr>
        <w:tc>
          <w:tcPr>
            <w:tcW w:w="2268" w:type="dxa"/>
            <w:tcBorders>
              <w:top w:val="nil"/>
              <w:left w:val="nil"/>
              <w:bottom w:val="single" w:sz="4" w:space="0" w:color="auto"/>
              <w:right w:val="nil"/>
            </w:tcBorders>
            <w:shd w:val="clear" w:color="auto" w:fill="auto"/>
            <w:noWrap/>
            <w:vAlign w:val="center"/>
            <w:hideMark/>
          </w:tcPr>
          <w:p w14:paraId="49DC3DE9" w14:textId="77777777" w:rsidR="002E1B55" w:rsidRPr="005D7674" w:rsidRDefault="002E1B55" w:rsidP="005D7674">
            <w:pPr>
              <w:spacing w:line="240" w:lineRule="auto"/>
              <w:jc w:val="left"/>
              <w:rPr>
                <w:rFonts w:eastAsia="Times New Roman"/>
                <w:szCs w:val="24"/>
                <w:lang w:eastAsia="cs-CZ"/>
              </w:rPr>
            </w:pPr>
            <w:r w:rsidRPr="005D7674">
              <w:rPr>
                <w:rFonts w:eastAsia="Times New Roman"/>
                <w:szCs w:val="24"/>
                <w:lang w:eastAsia="cs-CZ"/>
              </w:rPr>
              <w:t>KS Praha</w:t>
            </w:r>
          </w:p>
        </w:tc>
        <w:tc>
          <w:tcPr>
            <w:tcW w:w="1358" w:type="dxa"/>
            <w:tcBorders>
              <w:top w:val="nil"/>
              <w:left w:val="nil"/>
              <w:bottom w:val="single" w:sz="4" w:space="0" w:color="auto"/>
              <w:right w:val="nil"/>
            </w:tcBorders>
            <w:shd w:val="clear" w:color="auto" w:fill="auto"/>
            <w:noWrap/>
            <w:vAlign w:val="center"/>
            <w:hideMark/>
          </w:tcPr>
          <w:p w14:paraId="213FE432"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21 769</w:t>
            </w:r>
          </w:p>
        </w:tc>
        <w:tc>
          <w:tcPr>
            <w:tcW w:w="1051" w:type="dxa"/>
            <w:tcBorders>
              <w:top w:val="nil"/>
              <w:left w:val="nil"/>
              <w:bottom w:val="single" w:sz="4" w:space="0" w:color="auto"/>
              <w:right w:val="single" w:sz="4" w:space="0" w:color="auto"/>
            </w:tcBorders>
            <w:shd w:val="clear" w:color="auto" w:fill="auto"/>
            <w:noWrap/>
            <w:vAlign w:val="center"/>
            <w:hideMark/>
          </w:tcPr>
          <w:p w14:paraId="2B220FC2" w14:textId="234F46D8"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+7 %</w:t>
            </w:r>
          </w:p>
        </w:tc>
        <w:tc>
          <w:tcPr>
            <w:tcW w:w="1148" w:type="dxa"/>
            <w:tcBorders>
              <w:top w:val="nil"/>
              <w:left w:val="nil"/>
              <w:bottom w:val="single" w:sz="4" w:space="0" w:color="auto"/>
              <w:right w:val="nil"/>
            </w:tcBorders>
            <w:shd w:val="clear" w:color="auto" w:fill="auto"/>
            <w:noWrap/>
            <w:vAlign w:val="center"/>
            <w:hideMark/>
          </w:tcPr>
          <w:p w14:paraId="54C344CA"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1 167</w:t>
            </w:r>
          </w:p>
        </w:tc>
        <w:tc>
          <w:tcPr>
            <w:tcW w:w="1051" w:type="dxa"/>
            <w:tcBorders>
              <w:top w:val="nil"/>
              <w:left w:val="nil"/>
              <w:bottom w:val="single" w:sz="4" w:space="0" w:color="auto"/>
              <w:right w:val="single" w:sz="4" w:space="0" w:color="auto"/>
            </w:tcBorders>
            <w:shd w:val="clear" w:color="auto" w:fill="auto"/>
            <w:noWrap/>
            <w:vAlign w:val="center"/>
            <w:hideMark/>
          </w:tcPr>
          <w:p w14:paraId="6232E5E1" w14:textId="5D767FCF"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+6 %</w:t>
            </w:r>
          </w:p>
        </w:tc>
        <w:tc>
          <w:tcPr>
            <w:tcW w:w="1181" w:type="dxa"/>
            <w:tcBorders>
              <w:top w:val="nil"/>
              <w:left w:val="nil"/>
              <w:bottom w:val="single" w:sz="4" w:space="0" w:color="auto"/>
              <w:right w:val="nil"/>
            </w:tcBorders>
            <w:shd w:val="clear" w:color="auto" w:fill="auto"/>
            <w:noWrap/>
            <w:vAlign w:val="center"/>
            <w:hideMark/>
          </w:tcPr>
          <w:p w14:paraId="55A9C32D"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2 610</w:t>
            </w:r>
          </w:p>
        </w:tc>
        <w:tc>
          <w:tcPr>
            <w:tcW w:w="1051" w:type="dxa"/>
            <w:tcBorders>
              <w:top w:val="nil"/>
              <w:left w:val="nil"/>
              <w:bottom w:val="single" w:sz="4" w:space="0" w:color="auto"/>
              <w:right w:val="nil"/>
            </w:tcBorders>
            <w:shd w:val="clear" w:color="auto" w:fill="auto"/>
            <w:noWrap/>
            <w:vAlign w:val="center"/>
            <w:hideMark/>
          </w:tcPr>
          <w:p w14:paraId="6CB17867" w14:textId="2FB618D4"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+10 %</w:t>
            </w:r>
          </w:p>
        </w:tc>
      </w:tr>
      <w:tr w:rsidR="00F15667" w:rsidRPr="005D7674" w14:paraId="7695CAAA" w14:textId="77777777" w:rsidTr="005D7674">
        <w:trPr>
          <w:trHeight w:val="315"/>
        </w:trPr>
        <w:tc>
          <w:tcPr>
            <w:tcW w:w="2268" w:type="dxa"/>
            <w:tcBorders>
              <w:top w:val="nil"/>
              <w:left w:val="nil"/>
              <w:bottom w:val="single" w:sz="4" w:space="0" w:color="auto"/>
              <w:right w:val="nil"/>
            </w:tcBorders>
            <w:shd w:val="clear" w:color="auto" w:fill="auto"/>
            <w:noWrap/>
            <w:vAlign w:val="center"/>
            <w:hideMark/>
          </w:tcPr>
          <w:p w14:paraId="0CE02A31" w14:textId="77777777" w:rsidR="002E1B55" w:rsidRPr="005D7674" w:rsidRDefault="002E1B55" w:rsidP="005D7674">
            <w:pPr>
              <w:spacing w:line="240" w:lineRule="auto"/>
              <w:jc w:val="left"/>
              <w:rPr>
                <w:rFonts w:eastAsia="Times New Roman"/>
                <w:szCs w:val="24"/>
                <w:lang w:eastAsia="cs-CZ"/>
              </w:rPr>
            </w:pPr>
            <w:r w:rsidRPr="005D7674">
              <w:rPr>
                <w:rFonts w:eastAsia="Times New Roman"/>
                <w:szCs w:val="24"/>
                <w:lang w:eastAsia="cs-CZ"/>
              </w:rPr>
              <w:t>KS Č. Budějovice</w:t>
            </w:r>
          </w:p>
        </w:tc>
        <w:tc>
          <w:tcPr>
            <w:tcW w:w="1358" w:type="dxa"/>
            <w:tcBorders>
              <w:top w:val="nil"/>
              <w:left w:val="nil"/>
              <w:bottom w:val="single" w:sz="4" w:space="0" w:color="auto"/>
              <w:right w:val="nil"/>
            </w:tcBorders>
            <w:shd w:val="clear" w:color="auto" w:fill="auto"/>
            <w:noWrap/>
            <w:vAlign w:val="center"/>
            <w:hideMark/>
          </w:tcPr>
          <w:p w14:paraId="0EBF506D"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10 382</w:t>
            </w:r>
          </w:p>
        </w:tc>
        <w:tc>
          <w:tcPr>
            <w:tcW w:w="1051" w:type="dxa"/>
            <w:tcBorders>
              <w:top w:val="nil"/>
              <w:left w:val="nil"/>
              <w:bottom w:val="single" w:sz="4" w:space="0" w:color="auto"/>
              <w:right w:val="single" w:sz="4" w:space="0" w:color="auto"/>
            </w:tcBorders>
            <w:shd w:val="clear" w:color="auto" w:fill="auto"/>
            <w:noWrap/>
            <w:vAlign w:val="center"/>
            <w:hideMark/>
          </w:tcPr>
          <w:p w14:paraId="5C7D2908" w14:textId="335D96B9"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+22 %</w:t>
            </w:r>
          </w:p>
        </w:tc>
        <w:tc>
          <w:tcPr>
            <w:tcW w:w="1148" w:type="dxa"/>
            <w:tcBorders>
              <w:top w:val="nil"/>
              <w:left w:val="nil"/>
              <w:bottom w:val="single" w:sz="4" w:space="0" w:color="auto"/>
              <w:right w:val="nil"/>
            </w:tcBorders>
            <w:shd w:val="clear" w:color="auto" w:fill="auto"/>
            <w:noWrap/>
            <w:vAlign w:val="center"/>
            <w:hideMark/>
          </w:tcPr>
          <w:p w14:paraId="489C0407"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550</w:t>
            </w:r>
          </w:p>
        </w:tc>
        <w:tc>
          <w:tcPr>
            <w:tcW w:w="1051" w:type="dxa"/>
            <w:tcBorders>
              <w:top w:val="nil"/>
              <w:left w:val="nil"/>
              <w:bottom w:val="single" w:sz="4" w:space="0" w:color="auto"/>
              <w:right w:val="single" w:sz="4" w:space="0" w:color="auto"/>
            </w:tcBorders>
            <w:shd w:val="clear" w:color="auto" w:fill="auto"/>
            <w:noWrap/>
            <w:vAlign w:val="center"/>
            <w:hideMark/>
          </w:tcPr>
          <w:p w14:paraId="24535E81" w14:textId="2612124D"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-8 %</w:t>
            </w:r>
          </w:p>
        </w:tc>
        <w:tc>
          <w:tcPr>
            <w:tcW w:w="1181" w:type="dxa"/>
            <w:tcBorders>
              <w:top w:val="nil"/>
              <w:left w:val="nil"/>
              <w:bottom w:val="single" w:sz="4" w:space="0" w:color="auto"/>
              <w:right w:val="nil"/>
            </w:tcBorders>
            <w:shd w:val="clear" w:color="auto" w:fill="auto"/>
            <w:noWrap/>
            <w:vAlign w:val="center"/>
            <w:hideMark/>
          </w:tcPr>
          <w:p w14:paraId="2D5D4C29"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578</w:t>
            </w:r>
          </w:p>
        </w:tc>
        <w:tc>
          <w:tcPr>
            <w:tcW w:w="1051" w:type="dxa"/>
            <w:tcBorders>
              <w:top w:val="nil"/>
              <w:left w:val="nil"/>
              <w:bottom w:val="single" w:sz="4" w:space="0" w:color="auto"/>
              <w:right w:val="nil"/>
            </w:tcBorders>
            <w:shd w:val="clear" w:color="auto" w:fill="auto"/>
            <w:noWrap/>
            <w:vAlign w:val="center"/>
            <w:hideMark/>
          </w:tcPr>
          <w:p w14:paraId="6F3F9DCE" w14:textId="77E33954"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+36 %</w:t>
            </w:r>
          </w:p>
        </w:tc>
      </w:tr>
      <w:tr w:rsidR="00F15667" w:rsidRPr="005D7674" w14:paraId="23516A66" w14:textId="77777777" w:rsidTr="005D7674">
        <w:trPr>
          <w:trHeight w:val="315"/>
        </w:trPr>
        <w:tc>
          <w:tcPr>
            <w:tcW w:w="2268" w:type="dxa"/>
            <w:tcBorders>
              <w:top w:val="nil"/>
              <w:left w:val="nil"/>
              <w:bottom w:val="single" w:sz="4" w:space="0" w:color="auto"/>
              <w:right w:val="nil"/>
            </w:tcBorders>
            <w:shd w:val="clear" w:color="auto" w:fill="auto"/>
            <w:noWrap/>
            <w:vAlign w:val="center"/>
            <w:hideMark/>
          </w:tcPr>
          <w:p w14:paraId="6B8CCC13" w14:textId="77777777" w:rsidR="002E1B55" w:rsidRPr="005D7674" w:rsidRDefault="002E1B55" w:rsidP="005D7674">
            <w:pPr>
              <w:spacing w:line="240" w:lineRule="auto"/>
              <w:jc w:val="left"/>
              <w:rPr>
                <w:rFonts w:eastAsia="Times New Roman"/>
                <w:szCs w:val="24"/>
                <w:lang w:eastAsia="cs-CZ"/>
              </w:rPr>
            </w:pPr>
            <w:r w:rsidRPr="005D7674">
              <w:rPr>
                <w:rFonts w:eastAsia="Times New Roman"/>
                <w:szCs w:val="24"/>
                <w:lang w:eastAsia="cs-CZ"/>
              </w:rPr>
              <w:t>KS Plzeň</w:t>
            </w:r>
          </w:p>
        </w:tc>
        <w:tc>
          <w:tcPr>
            <w:tcW w:w="1358" w:type="dxa"/>
            <w:tcBorders>
              <w:top w:val="nil"/>
              <w:left w:val="nil"/>
              <w:bottom w:val="single" w:sz="4" w:space="0" w:color="auto"/>
              <w:right w:val="nil"/>
            </w:tcBorders>
            <w:shd w:val="clear" w:color="auto" w:fill="auto"/>
            <w:noWrap/>
            <w:vAlign w:val="center"/>
            <w:hideMark/>
          </w:tcPr>
          <w:p w14:paraId="137DD989"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18 806</w:t>
            </w:r>
          </w:p>
        </w:tc>
        <w:tc>
          <w:tcPr>
            <w:tcW w:w="1051" w:type="dxa"/>
            <w:tcBorders>
              <w:top w:val="nil"/>
              <w:left w:val="nil"/>
              <w:bottom w:val="single" w:sz="4" w:space="0" w:color="auto"/>
              <w:right w:val="single" w:sz="4" w:space="0" w:color="auto"/>
            </w:tcBorders>
            <w:shd w:val="clear" w:color="auto" w:fill="auto"/>
            <w:noWrap/>
            <w:vAlign w:val="center"/>
            <w:hideMark/>
          </w:tcPr>
          <w:p w14:paraId="5E0F0E25" w14:textId="286C1146"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+20 %</w:t>
            </w:r>
          </w:p>
        </w:tc>
        <w:tc>
          <w:tcPr>
            <w:tcW w:w="1148" w:type="dxa"/>
            <w:tcBorders>
              <w:top w:val="nil"/>
              <w:left w:val="nil"/>
              <w:bottom w:val="single" w:sz="4" w:space="0" w:color="auto"/>
              <w:right w:val="nil"/>
            </w:tcBorders>
            <w:shd w:val="clear" w:color="auto" w:fill="auto"/>
            <w:noWrap/>
            <w:vAlign w:val="center"/>
            <w:hideMark/>
          </w:tcPr>
          <w:p w14:paraId="029E962F"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674</w:t>
            </w:r>
          </w:p>
        </w:tc>
        <w:tc>
          <w:tcPr>
            <w:tcW w:w="1051" w:type="dxa"/>
            <w:tcBorders>
              <w:top w:val="nil"/>
              <w:left w:val="nil"/>
              <w:bottom w:val="single" w:sz="4" w:space="0" w:color="auto"/>
              <w:right w:val="single" w:sz="4" w:space="0" w:color="auto"/>
            </w:tcBorders>
            <w:shd w:val="clear" w:color="auto" w:fill="auto"/>
            <w:noWrap/>
            <w:vAlign w:val="center"/>
            <w:hideMark/>
          </w:tcPr>
          <w:p w14:paraId="18F43C67" w14:textId="1E54CF3E"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-5 %</w:t>
            </w:r>
          </w:p>
        </w:tc>
        <w:tc>
          <w:tcPr>
            <w:tcW w:w="1181" w:type="dxa"/>
            <w:tcBorders>
              <w:top w:val="nil"/>
              <w:left w:val="nil"/>
              <w:bottom w:val="single" w:sz="4" w:space="0" w:color="auto"/>
              <w:right w:val="nil"/>
            </w:tcBorders>
            <w:shd w:val="clear" w:color="auto" w:fill="auto"/>
            <w:noWrap/>
            <w:vAlign w:val="center"/>
            <w:hideMark/>
          </w:tcPr>
          <w:p w14:paraId="6CBDFF27"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3 245</w:t>
            </w:r>
          </w:p>
        </w:tc>
        <w:tc>
          <w:tcPr>
            <w:tcW w:w="1051" w:type="dxa"/>
            <w:tcBorders>
              <w:top w:val="nil"/>
              <w:left w:val="nil"/>
              <w:bottom w:val="single" w:sz="4" w:space="0" w:color="auto"/>
              <w:right w:val="nil"/>
            </w:tcBorders>
            <w:shd w:val="clear" w:color="auto" w:fill="auto"/>
            <w:noWrap/>
            <w:vAlign w:val="center"/>
            <w:hideMark/>
          </w:tcPr>
          <w:p w14:paraId="4FF273CD" w14:textId="631B542F"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+11 %</w:t>
            </w:r>
          </w:p>
        </w:tc>
      </w:tr>
      <w:tr w:rsidR="00F15667" w:rsidRPr="005D7674" w14:paraId="371C19A5" w14:textId="77777777" w:rsidTr="005D7674">
        <w:trPr>
          <w:trHeight w:val="315"/>
        </w:trPr>
        <w:tc>
          <w:tcPr>
            <w:tcW w:w="2268" w:type="dxa"/>
            <w:tcBorders>
              <w:top w:val="nil"/>
              <w:left w:val="nil"/>
              <w:bottom w:val="single" w:sz="4" w:space="0" w:color="auto"/>
              <w:right w:val="nil"/>
            </w:tcBorders>
            <w:shd w:val="clear" w:color="auto" w:fill="auto"/>
            <w:noWrap/>
            <w:vAlign w:val="center"/>
            <w:hideMark/>
          </w:tcPr>
          <w:p w14:paraId="056B8640" w14:textId="77777777" w:rsidR="002E1B55" w:rsidRPr="005D7674" w:rsidRDefault="002E1B55" w:rsidP="005D7674">
            <w:pPr>
              <w:spacing w:line="240" w:lineRule="auto"/>
              <w:jc w:val="left"/>
              <w:rPr>
                <w:rFonts w:eastAsia="Times New Roman"/>
                <w:szCs w:val="24"/>
                <w:lang w:eastAsia="cs-CZ"/>
              </w:rPr>
            </w:pPr>
            <w:r w:rsidRPr="005D7674">
              <w:rPr>
                <w:rFonts w:eastAsia="Times New Roman"/>
                <w:szCs w:val="24"/>
                <w:lang w:eastAsia="cs-CZ"/>
              </w:rPr>
              <w:t>KS Ústí n. Labem</w:t>
            </w:r>
          </w:p>
        </w:tc>
        <w:tc>
          <w:tcPr>
            <w:tcW w:w="1358" w:type="dxa"/>
            <w:tcBorders>
              <w:top w:val="nil"/>
              <w:left w:val="nil"/>
              <w:bottom w:val="single" w:sz="4" w:space="0" w:color="auto"/>
              <w:right w:val="nil"/>
            </w:tcBorders>
            <w:shd w:val="clear" w:color="auto" w:fill="auto"/>
            <w:noWrap/>
            <w:vAlign w:val="center"/>
            <w:hideMark/>
          </w:tcPr>
          <w:p w14:paraId="090A0BC3"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33 842</w:t>
            </w:r>
          </w:p>
        </w:tc>
        <w:tc>
          <w:tcPr>
            <w:tcW w:w="1051" w:type="dxa"/>
            <w:tcBorders>
              <w:top w:val="nil"/>
              <w:left w:val="nil"/>
              <w:bottom w:val="single" w:sz="4" w:space="0" w:color="auto"/>
              <w:right w:val="single" w:sz="4" w:space="0" w:color="auto"/>
            </w:tcBorders>
            <w:shd w:val="clear" w:color="auto" w:fill="auto"/>
            <w:noWrap/>
            <w:vAlign w:val="center"/>
            <w:hideMark/>
          </w:tcPr>
          <w:p w14:paraId="6171E864" w14:textId="54DF6AA4"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+5 %</w:t>
            </w:r>
          </w:p>
        </w:tc>
        <w:tc>
          <w:tcPr>
            <w:tcW w:w="1148" w:type="dxa"/>
            <w:tcBorders>
              <w:top w:val="nil"/>
              <w:left w:val="nil"/>
              <w:bottom w:val="single" w:sz="4" w:space="0" w:color="auto"/>
              <w:right w:val="nil"/>
            </w:tcBorders>
            <w:shd w:val="clear" w:color="auto" w:fill="auto"/>
            <w:noWrap/>
            <w:vAlign w:val="center"/>
            <w:hideMark/>
          </w:tcPr>
          <w:p w14:paraId="69ED3924"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1 253</w:t>
            </w:r>
          </w:p>
        </w:tc>
        <w:tc>
          <w:tcPr>
            <w:tcW w:w="1051" w:type="dxa"/>
            <w:tcBorders>
              <w:top w:val="nil"/>
              <w:left w:val="nil"/>
              <w:bottom w:val="single" w:sz="4" w:space="0" w:color="auto"/>
              <w:right w:val="single" w:sz="4" w:space="0" w:color="auto"/>
            </w:tcBorders>
            <w:shd w:val="clear" w:color="auto" w:fill="auto"/>
            <w:noWrap/>
            <w:vAlign w:val="center"/>
            <w:hideMark/>
          </w:tcPr>
          <w:p w14:paraId="4CB5FABC" w14:textId="369F4B00"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+10 %</w:t>
            </w:r>
          </w:p>
        </w:tc>
        <w:tc>
          <w:tcPr>
            <w:tcW w:w="1181" w:type="dxa"/>
            <w:tcBorders>
              <w:top w:val="nil"/>
              <w:left w:val="nil"/>
              <w:bottom w:val="single" w:sz="4" w:space="0" w:color="auto"/>
              <w:right w:val="nil"/>
            </w:tcBorders>
            <w:shd w:val="clear" w:color="auto" w:fill="auto"/>
            <w:noWrap/>
            <w:vAlign w:val="center"/>
            <w:hideMark/>
          </w:tcPr>
          <w:p w14:paraId="7C60E445"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1 979</w:t>
            </w:r>
          </w:p>
        </w:tc>
        <w:tc>
          <w:tcPr>
            <w:tcW w:w="1051" w:type="dxa"/>
            <w:tcBorders>
              <w:top w:val="nil"/>
              <w:left w:val="nil"/>
              <w:bottom w:val="single" w:sz="4" w:space="0" w:color="auto"/>
              <w:right w:val="nil"/>
            </w:tcBorders>
            <w:shd w:val="clear" w:color="auto" w:fill="auto"/>
            <w:noWrap/>
            <w:vAlign w:val="center"/>
            <w:hideMark/>
          </w:tcPr>
          <w:p w14:paraId="2C223370" w14:textId="2A7974E7"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+30 %</w:t>
            </w:r>
          </w:p>
        </w:tc>
      </w:tr>
      <w:tr w:rsidR="00F15667" w:rsidRPr="005D7674" w14:paraId="75CB7D2F" w14:textId="77777777" w:rsidTr="005D7674">
        <w:trPr>
          <w:trHeight w:val="315"/>
        </w:trPr>
        <w:tc>
          <w:tcPr>
            <w:tcW w:w="2268" w:type="dxa"/>
            <w:tcBorders>
              <w:top w:val="nil"/>
              <w:left w:val="nil"/>
              <w:bottom w:val="single" w:sz="4" w:space="0" w:color="auto"/>
              <w:right w:val="nil"/>
            </w:tcBorders>
            <w:shd w:val="clear" w:color="auto" w:fill="auto"/>
            <w:noWrap/>
            <w:vAlign w:val="center"/>
            <w:hideMark/>
          </w:tcPr>
          <w:p w14:paraId="4C108D22" w14:textId="77777777" w:rsidR="002E1B55" w:rsidRPr="005D7674" w:rsidRDefault="002E1B55" w:rsidP="005D7674">
            <w:pPr>
              <w:spacing w:line="240" w:lineRule="auto"/>
              <w:jc w:val="left"/>
              <w:rPr>
                <w:rFonts w:eastAsia="Times New Roman"/>
                <w:szCs w:val="24"/>
                <w:lang w:eastAsia="cs-CZ"/>
              </w:rPr>
            </w:pPr>
            <w:r w:rsidRPr="005D7674">
              <w:rPr>
                <w:rFonts w:eastAsia="Times New Roman"/>
                <w:szCs w:val="24"/>
                <w:lang w:eastAsia="cs-CZ"/>
              </w:rPr>
              <w:t>KS Hr. Králové</w:t>
            </w:r>
          </w:p>
        </w:tc>
        <w:tc>
          <w:tcPr>
            <w:tcW w:w="1358" w:type="dxa"/>
            <w:tcBorders>
              <w:top w:val="nil"/>
              <w:left w:val="nil"/>
              <w:bottom w:val="single" w:sz="4" w:space="0" w:color="auto"/>
              <w:right w:val="nil"/>
            </w:tcBorders>
            <w:shd w:val="clear" w:color="auto" w:fill="auto"/>
            <w:noWrap/>
            <w:vAlign w:val="center"/>
            <w:hideMark/>
          </w:tcPr>
          <w:p w14:paraId="3203220D"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15 857</w:t>
            </w:r>
          </w:p>
        </w:tc>
        <w:tc>
          <w:tcPr>
            <w:tcW w:w="1051" w:type="dxa"/>
            <w:tcBorders>
              <w:top w:val="nil"/>
              <w:left w:val="nil"/>
              <w:bottom w:val="single" w:sz="4" w:space="0" w:color="auto"/>
              <w:right w:val="single" w:sz="4" w:space="0" w:color="auto"/>
            </w:tcBorders>
            <w:shd w:val="clear" w:color="auto" w:fill="auto"/>
            <w:noWrap/>
            <w:vAlign w:val="center"/>
            <w:hideMark/>
          </w:tcPr>
          <w:p w14:paraId="3D3E1840" w14:textId="1A0B08F8"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+17 %</w:t>
            </w:r>
          </w:p>
        </w:tc>
        <w:tc>
          <w:tcPr>
            <w:tcW w:w="1148" w:type="dxa"/>
            <w:tcBorders>
              <w:top w:val="nil"/>
              <w:left w:val="nil"/>
              <w:bottom w:val="single" w:sz="4" w:space="0" w:color="auto"/>
              <w:right w:val="nil"/>
            </w:tcBorders>
            <w:shd w:val="clear" w:color="auto" w:fill="auto"/>
            <w:noWrap/>
            <w:vAlign w:val="center"/>
            <w:hideMark/>
          </w:tcPr>
          <w:p w14:paraId="12352CB0"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1 115</w:t>
            </w:r>
          </w:p>
        </w:tc>
        <w:tc>
          <w:tcPr>
            <w:tcW w:w="1051" w:type="dxa"/>
            <w:tcBorders>
              <w:top w:val="nil"/>
              <w:left w:val="nil"/>
              <w:bottom w:val="single" w:sz="4" w:space="0" w:color="auto"/>
              <w:right w:val="single" w:sz="4" w:space="0" w:color="auto"/>
            </w:tcBorders>
            <w:shd w:val="clear" w:color="auto" w:fill="auto"/>
            <w:noWrap/>
            <w:vAlign w:val="center"/>
            <w:hideMark/>
          </w:tcPr>
          <w:p w14:paraId="1D0022D2" w14:textId="180D11CC"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+16 %</w:t>
            </w:r>
          </w:p>
        </w:tc>
        <w:tc>
          <w:tcPr>
            <w:tcW w:w="1181" w:type="dxa"/>
            <w:tcBorders>
              <w:top w:val="nil"/>
              <w:left w:val="nil"/>
              <w:bottom w:val="single" w:sz="4" w:space="0" w:color="auto"/>
              <w:right w:val="nil"/>
            </w:tcBorders>
            <w:shd w:val="clear" w:color="auto" w:fill="auto"/>
            <w:noWrap/>
            <w:vAlign w:val="center"/>
            <w:hideMark/>
          </w:tcPr>
          <w:p w14:paraId="2944A5B0"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1 444</w:t>
            </w:r>
          </w:p>
        </w:tc>
        <w:tc>
          <w:tcPr>
            <w:tcW w:w="1051" w:type="dxa"/>
            <w:tcBorders>
              <w:top w:val="nil"/>
              <w:left w:val="nil"/>
              <w:bottom w:val="single" w:sz="4" w:space="0" w:color="auto"/>
              <w:right w:val="nil"/>
            </w:tcBorders>
            <w:shd w:val="clear" w:color="auto" w:fill="auto"/>
            <w:noWrap/>
            <w:vAlign w:val="center"/>
            <w:hideMark/>
          </w:tcPr>
          <w:p w14:paraId="49950AC8" w14:textId="108695FE"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-6 %</w:t>
            </w:r>
          </w:p>
        </w:tc>
      </w:tr>
      <w:tr w:rsidR="00F15667" w:rsidRPr="005D7674" w14:paraId="0EB2D128" w14:textId="77777777" w:rsidTr="005D7674">
        <w:trPr>
          <w:trHeight w:val="315"/>
        </w:trPr>
        <w:tc>
          <w:tcPr>
            <w:tcW w:w="2268" w:type="dxa"/>
            <w:tcBorders>
              <w:top w:val="nil"/>
              <w:left w:val="nil"/>
              <w:bottom w:val="single" w:sz="4" w:space="0" w:color="auto"/>
              <w:right w:val="nil"/>
            </w:tcBorders>
            <w:shd w:val="clear" w:color="auto" w:fill="auto"/>
            <w:noWrap/>
            <w:vAlign w:val="center"/>
            <w:hideMark/>
          </w:tcPr>
          <w:p w14:paraId="1A8E6ECF" w14:textId="77777777" w:rsidR="002E1B55" w:rsidRPr="005D7674" w:rsidRDefault="002E1B55" w:rsidP="005D7674">
            <w:pPr>
              <w:spacing w:line="240" w:lineRule="auto"/>
              <w:jc w:val="left"/>
              <w:rPr>
                <w:rFonts w:eastAsia="Times New Roman"/>
                <w:szCs w:val="24"/>
                <w:lang w:eastAsia="cs-CZ"/>
              </w:rPr>
            </w:pPr>
            <w:r w:rsidRPr="005D7674">
              <w:rPr>
                <w:rFonts w:eastAsia="Times New Roman"/>
                <w:szCs w:val="24"/>
                <w:lang w:eastAsia="cs-CZ"/>
              </w:rPr>
              <w:t>KS Brno</w:t>
            </w:r>
          </w:p>
        </w:tc>
        <w:tc>
          <w:tcPr>
            <w:tcW w:w="1358" w:type="dxa"/>
            <w:tcBorders>
              <w:top w:val="nil"/>
              <w:left w:val="nil"/>
              <w:bottom w:val="single" w:sz="4" w:space="0" w:color="auto"/>
              <w:right w:val="nil"/>
            </w:tcBorders>
            <w:shd w:val="clear" w:color="auto" w:fill="auto"/>
            <w:noWrap/>
            <w:vAlign w:val="center"/>
            <w:hideMark/>
          </w:tcPr>
          <w:p w14:paraId="653DC30E"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23 147</w:t>
            </w:r>
          </w:p>
        </w:tc>
        <w:tc>
          <w:tcPr>
            <w:tcW w:w="1051" w:type="dxa"/>
            <w:tcBorders>
              <w:top w:val="nil"/>
              <w:left w:val="nil"/>
              <w:bottom w:val="single" w:sz="4" w:space="0" w:color="auto"/>
              <w:right w:val="single" w:sz="4" w:space="0" w:color="auto"/>
            </w:tcBorders>
            <w:shd w:val="clear" w:color="auto" w:fill="auto"/>
            <w:noWrap/>
            <w:vAlign w:val="center"/>
            <w:hideMark/>
          </w:tcPr>
          <w:p w14:paraId="0D70D159" w14:textId="3463E172"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-0 %</w:t>
            </w:r>
          </w:p>
        </w:tc>
        <w:tc>
          <w:tcPr>
            <w:tcW w:w="1148" w:type="dxa"/>
            <w:tcBorders>
              <w:top w:val="nil"/>
              <w:left w:val="nil"/>
              <w:bottom w:val="single" w:sz="4" w:space="0" w:color="auto"/>
              <w:right w:val="nil"/>
            </w:tcBorders>
            <w:shd w:val="clear" w:color="auto" w:fill="auto"/>
            <w:noWrap/>
            <w:vAlign w:val="center"/>
            <w:hideMark/>
          </w:tcPr>
          <w:p w14:paraId="3C1BEDF8"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1 682</w:t>
            </w:r>
          </w:p>
        </w:tc>
        <w:tc>
          <w:tcPr>
            <w:tcW w:w="1051" w:type="dxa"/>
            <w:tcBorders>
              <w:top w:val="nil"/>
              <w:left w:val="nil"/>
              <w:bottom w:val="single" w:sz="4" w:space="0" w:color="auto"/>
              <w:right w:val="single" w:sz="4" w:space="0" w:color="auto"/>
            </w:tcBorders>
            <w:shd w:val="clear" w:color="auto" w:fill="auto"/>
            <w:noWrap/>
            <w:vAlign w:val="center"/>
            <w:hideMark/>
          </w:tcPr>
          <w:p w14:paraId="16850422" w14:textId="48708DEF"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-8 %</w:t>
            </w:r>
          </w:p>
        </w:tc>
        <w:tc>
          <w:tcPr>
            <w:tcW w:w="1181" w:type="dxa"/>
            <w:tcBorders>
              <w:top w:val="nil"/>
              <w:left w:val="nil"/>
              <w:bottom w:val="single" w:sz="4" w:space="0" w:color="auto"/>
              <w:right w:val="nil"/>
            </w:tcBorders>
            <w:shd w:val="clear" w:color="auto" w:fill="auto"/>
            <w:noWrap/>
            <w:vAlign w:val="center"/>
            <w:hideMark/>
          </w:tcPr>
          <w:p w14:paraId="07FC594F"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2 372</w:t>
            </w:r>
          </w:p>
        </w:tc>
        <w:tc>
          <w:tcPr>
            <w:tcW w:w="1051" w:type="dxa"/>
            <w:tcBorders>
              <w:top w:val="nil"/>
              <w:left w:val="nil"/>
              <w:bottom w:val="single" w:sz="4" w:space="0" w:color="auto"/>
              <w:right w:val="nil"/>
            </w:tcBorders>
            <w:shd w:val="clear" w:color="auto" w:fill="auto"/>
            <w:noWrap/>
            <w:vAlign w:val="center"/>
            <w:hideMark/>
          </w:tcPr>
          <w:p w14:paraId="76FACDB7" w14:textId="1634DD1C"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+14 %</w:t>
            </w:r>
          </w:p>
        </w:tc>
      </w:tr>
      <w:tr w:rsidR="00F15667" w:rsidRPr="005D7674" w14:paraId="4F1AE190" w14:textId="77777777" w:rsidTr="005D7674">
        <w:trPr>
          <w:trHeight w:val="330"/>
        </w:trPr>
        <w:tc>
          <w:tcPr>
            <w:tcW w:w="2268" w:type="dxa"/>
            <w:tcBorders>
              <w:top w:val="nil"/>
              <w:left w:val="nil"/>
              <w:bottom w:val="double" w:sz="6" w:space="0" w:color="auto"/>
              <w:right w:val="nil"/>
            </w:tcBorders>
            <w:shd w:val="clear" w:color="auto" w:fill="auto"/>
            <w:noWrap/>
            <w:vAlign w:val="center"/>
            <w:hideMark/>
          </w:tcPr>
          <w:p w14:paraId="7D0E9FC1" w14:textId="77777777" w:rsidR="002E1B55" w:rsidRPr="005D7674" w:rsidRDefault="002E1B55" w:rsidP="005D7674">
            <w:pPr>
              <w:spacing w:line="240" w:lineRule="auto"/>
              <w:jc w:val="left"/>
              <w:rPr>
                <w:rFonts w:eastAsia="Times New Roman"/>
                <w:szCs w:val="24"/>
                <w:lang w:eastAsia="cs-CZ"/>
              </w:rPr>
            </w:pPr>
            <w:r w:rsidRPr="005D7674">
              <w:rPr>
                <w:rFonts w:eastAsia="Times New Roman"/>
                <w:szCs w:val="24"/>
                <w:lang w:eastAsia="cs-CZ"/>
              </w:rPr>
              <w:t>KS Ostrava</w:t>
            </w:r>
          </w:p>
        </w:tc>
        <w:tc>
          <w:tcPr>
            <w:tcW w:w="1358" w:type="dxa"/>
            <w:tcBorders>
              <w:top w:val="nil"/>
              <w:left w:val="nil"/>
              <w:bottom w:val="double" w:sz="6" w:space="0" w:color="auto"/>
              <w:right w:val="nil"/>
            </w:tcBorders>
            <w:shd w:val="clear" w:color="auto" w:fill="auto"/>
            <w:noWrap/>
            <w:vAlign w:val="center"/>
            <w:hideMark/>
          </w:tcPr>
          <w:p w14:paraId="3513A01B"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27 376</w:t>
            </w:r>
          </w:p>
        </w:tc>
        <w:tc>
          <w:tcPr>
            <w:tcW w:w="1051" w:type="dxa"/>
            <w:tcBorders>
              <w:top w:val="nil"/>
              <w:left w:val="nil"/>
              <w:bottom w:val="double" w:sz="6" w:space="0" w:color="auto"/>
              <w:right w:val="single" w:sz="4" w:space="0" w:color="auto"/>
            </w:tcBorders>
            <w:shd w:val="clear" w:color="auto" w:fill="auto"/>
            <w:noWrap/>
            <w:vAlign w:val="center"/>
            <w:hideMark/>
          </w:tcPr>
          <w:p w14:paraId="4CF2025A" w14:textId="76CC9399"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+7 %</w:t>
            </w:r>
          </w:p>
        </w:tc>
        <w:tc>
          <w:tcPr>
            <w:tcW w:w="1148" w:type="dxa"/>
            <w:tcBorders>
              <w:top w:val="nil"/>
              <w:left w:val="nil"/>
              <w:bottom w:val="double" w:sz="6" w:space="0" w:color="auto"/>
              <w:right w:val="nil"/>
            </w:tcBorders>
            <w:shd w:val="clear" w:color="auto" w:fill="auto"/>
            <w:noWrap/>
            <w:vAlign w:val="center"/>
            <w:hideMark/>
          </w:tcPr>
          <w:p w14:paraId="7B5108AA"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1 611</w:t>
            </w:r>
          </w:p>
        </w:tc>
        <w:tc>
          <w:tcPr>
            <w:tcW w:w="1051" w:type="dxa"/>
            <w:tcBorders>
              <w:top w:val="nil"/>
              <w:left w:val="nil"/>
              <w:bottom w:val="double" w:sz="6" w:space="0" w:color="auto"/>
              <w:right w:val="single" w:sz="4" w:space="0" w:color="auto"/>
            </w:tcBorders>
            <w:shd w:val="clear" w:color="auto" w:fill="auto"/>
            <w:noWrap/>
            <w:vAlign w:val="center"/>
            <w:hideMark/>
          </w:tcPr>
          <w:p w14:paraId="6EC65705" w14:textId="2101E6F6"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+7 %</w:t>
            </w:r>
          </w:p>
        </w:tc>
        <w:tc>
          <w:tcPr>
            <w:tcW w:w="1181" w:type="dxa"/>
            <w:tcBorders>
              <w:top w:val="nil"/>
              <w:left w:val="nil"/>
              <w:bottom w:val="double" w:sz="6" w:space="0" w:color="auto"/>
              <w:right w:val="nil"/>
            </w:tcBorders>
            <w:shd w:val="clear" w:color="auto" w:fill="auto"/>
            <w:noWrap/>
            <w:vAlign w:val="center"/>
            <w:hideMark/>
          </w:tcPr>
          <w:p w14:paraId="4A053EFF" w14:textId="77777777" w:rsidR="002E1B55" w:rsidRPr="005D7674" w:rsidRDefault="002E1B55" w:rsidP="005D7674">
            <w:pPr>
              <w:spacing w:line="240" w:lineRule="auto"/>
              <w:jc w:val="center"/>
              <w:rPr>
                <w:rFonts w:eastAsia="Times New Roman"/>
                <w:szCs w:val="24"/>
                <w:lang w:eastAsia="cs-CZ"/>
              </w:rPr>
            </w:pPr>
            <w:r w:rsidRPr="005D7674">
              <w:rPr>
                <w:rFonts w:eastAsia="Times New Roman"/>
                <w:szCs w:val="24"/>
                <w:lang w:eastAsia="cs-CZ"/>
              </w:rPr>
              <w:t>4 314</w:t>
            </w:r>
          </w:p>
        </w:tc>
        <w:tc>
          <w:tcPr>
            <w:tcW w:w="1051" w:type="dxa"/>
            <w:tcBorders>
              <w:top w:val="nil"/>
              <w:left w:val="nil"/>
              <w:bottom w:val="double" w:sz="6" w:space="0" w:color="auto"/>
              <w:right w:val="nil"/>
            </w:tcBorders>
            <w:shd w:val="clear" w:color="auto" w:fill="auto"/>
            <w:noWrap/>
            <w:vAlign w:val="center"/>
            <w:hideMark/>
          </w:tcPr>
          <w:p w14:paraId="464E90EE" w14:textId="0513389E" w:rsidR="002E1B55" w:rsidRPr="005D7674" w:rsidRDefault="002E1B55" w:rsidP="005D7674">
            <w:pPr>
              <w:spacing w:line="240" w:lineRule="auto"/>
              <w:jc w:val="center"/>
              <w:rPr>
                <w:rFonts w:eastAsia="Times New Roman"/>
                <w:sz w:val="20"/>
                <w:szCs w:val="20"/>
                <w:lang w:eastAsia="cs-CZ"/>
              </w:rPr>
            </w:pPr>
            <w:r w:rsidRPr="005D7674">
              <w:rPr>
                <w:rFonts w:eastAsia="Times New Roman"/>
                <w:sz w:val="20"/>
                <w:szCs w:val="20"/>
                <w:lang w:eastAsia="cs-CZ"/>
              </w:rPr>
              <w:t>+2 %</w:t>
            </w:r>
          </w:p>
        </w:tc>
      </w:tr>
      <w:tr w:rsidR="00F15667" w:rsidRPr="005D7674" w14:paraId="39518D1B" w14:textId="77777777" w:rsidTr="005D7674">
        <w:trPr>
          <w:trHeight w:val="345"/>
        </w:trPr>
        <w:tc>
          <w:tcPr>
            <w:tcW w:w="2268" w:type="dxa"/>
            <w:tcBorders>
              <w:top w:val="nil"/>
              <w:left w:val="nil"/>
              <w:bottom w:val="double" w:sz="6" w:space="0" w:color="auto"/>
              <w:right w:val="nil"/>
            </w:tcBorders>
            <w:shd w:val="clear" w:color="auto" w:fill="auto"/>
            <w:noWrap/>
            <w:vAlign w:val="center"/>
            <w:hideMark/>
          </w:tcPr>
          <w:p w14:paraId="554C28C1" w14:textId="77777777" w:rsidR="002E1B55" w:rsidRPr="005D7674" w:rsidRDefault="002E1B55" w:rsidP="005D7674">
            <w:pPr>
              <w:spacing w:line="240" w:lineRule="auto"/>
              <w:jc w:val="left"/>
              <w:rPr>
                <w:rFonts w:eastAsia="Times New Roman"/>
                <w:b/>
                <w:bCs/>
                <w:szCs w:val="24"/>
                <w:lang w:eastAsia="cs-CZ"/>
              </w:rPr>
            </w:pPr>
            <w:r w:rsidRPr="005D7674">
              <w:rPr>
                <w:rFonts w:eastAsia="Times New Roman"/>
                <w:b/>
                <w:bCs/>
                <w:szCs w:val="24"/>
                <w:lang w:eastAsia="cs-CZ"/>
              </w:rPr>
              <w:t>Celkem ČR</w:t>
            </w:r>
          </w:p>
        </w:tc>
        <w:tc>
          <w:tcPr>
            <w:tcW w:w="1358" w:type="dxa"/>
            <w:tcBorders>
              <w:top w:val="nil"/>
              <w:left w:val="nil"/>
              <w:bottom w:val="double" w:sz="6" w:space="0" w:color="auto"/>
              <w:right w:val="nil"/>
            </w:tcBorders>
            <w:shd w:val="clear" w:color="auto" w:fill="auto"/>
            <w:noWrap/>
            <w:vAlign w:val="center"/>
            <w:hideMark/>
          </w:tcPr>
          <w:p w14:paraId="65C44CFA" w14:textId="77777777" w:rsidR="002E1B55" w:rsidRPr="005D7674" w:rsidRDefault="002E1B55" w:rsidP="005D7674">
            <w:pPr>
              <w:spacing w:line="240" w:lineRule="auto"/>
              <w:jc w:val="center"/>
              <w:rPr>
                <w:rFonts w:eastAsia="Times New Roman"/>
                <w:b/>
                <w:bCs/>
                <w:szCs w:val="24"/>
                <w:lang w:eastAsia="cs-CZ"/>
              </w:rPr>
            </w:pPr>
            <w:r w:rsidRPr="005D7674">
              <w:rPr>
                <w:rFonts w:eastAsia="Times New Roman"/>
                <w:b/>
                <w:bCs/>
                <w:szCs w:val="24"/>
                <w:lang w:eastAsia="cs-CZ"/>
              </w:rPr>
              <w:t>181 987</w:t>
            </w:r>
          </w:p>
        </w:tc>
        <w:tc>
          <w:tcPr>
            <w:tcW w:w="1051" w:type="dxa"/>
            <w:tcBorders>
              <w:top w:val="nil"/>
              <w:left w:val="nil"/>
              <w:bottom w:val="double" w:sz="6" w:space="0" w:color="auto"/>
              <w:right w:val="single" w:sz="4" w:space="0" w:color="auto"/>
            </w:tcBorders>
            <w:shd w:val="clear" w:color="auto" w:fill="auto"/>
            <w:noWrap/>
            <w:vAlign w:val="center"/>
            <w:hideMark/>
          </w:tcPr>
          <w:p w14:paraId="36C9FCFF" w14:textId="214755D6" w:rsidR="002E1B55" w:rsidRPr="005D7674" w:rsidRDefault="002E1B55" w:rsidP="005D7674">
            <w:pPr>
              <w:spacing w:line="240" w:lineRule="auto"/>
              <w:jc w:val="center"/>
              <w:rPr>
                <w:rFonts w:eastAsia="Times New Roman"/>
                <w:b/>
                <w:bCs/>
                <w:sz w:val="20"/>
                <w:szCs w:val="20"/>
                <w:lang w:eastAsia="cs-CZ"/>
              </w:rPr>
            </w:pPr>
            <w:r w:rsidRPr="005D7674">
              <w:rPr>
                <w:rFonts w:eastAsia="Times New Roman"/>
                <w:b/>
                <w:bCs/>
                <w:sz w:val="20"/>
                <w:szCs w:val="20"/>
                <w:lang w:eastAsia="cs-CZ"/>
              </w:rPr>
              <w:t>+5 %</w:t>
            </w:r>
          </w:p>
        </w:tc>
        <w:tc>
          <w:tcPr>
            <w:tcW w:w="1148" w:type="dxa"/>
            <w:tcBorders>
              <w:top w:val="nil"/>
              <w:left w:val="nil"/>
              <w:bottom w:val="double" w:sz="6" w:space="0" w:color="auto"/>
              <w:right w:val="nil"/>
            </w:tcBorders>
            <w:shd w:val="clear" w:color="auto" w:fill="auto"/>
            <w:noWrap/>
            <w:vAlign w:val="center"/>
            <w:hideMark/>
          </w:tcPr>
          <w:p w14:paraId="7DFB84DF" w14:textId="77777777" w:rsidR="002E1B55" w:rsidRPr="005D7674" w:rsidRDefault="002E1B55" w:rsidP="005D7674">
            <w:pPr>
              <w:spacing w:line="240" w:lineRule="auto"/>
              <w:jc w:val="center"/>
              <w:rPr>
                <w:rFonts w:eastAsia="Times New Roman"/>
                <w:b/>
                <w:bCs/>
                <w:szCs w:val="24"/>
                <w:lang w:eastAsia="cs-CZ"/>
              </w:rPr>
            </w:pPr>
            <w:r w:rsidRPr="005D7674">
              <w:rPr>
                <w:rFonts w:eastAsia="Times New Roman"/>
                <w:b/>
                <w:bCs/>
                <w:szCs w:val="24"/>
                <w:lang w:eastAsia="cs-CZ"/>
              </w:rPr>
              <w:t>11 033</w:t>
            </w:r>
          </w:p>
        </w:tc>
        <w:tc>
          <w:tcPr>
            <w:tcW w:w="1051" w:type="dxa"/>
            <w:tcBorders>
              <w:top w:val="nil"/>
              <w:left w:val="nil"/>
              <w:bottom w:val="double" w:sz="6" w:space="0" w:color="auto"/>
              <w:right w:val="single" w:sz="4" w:space="0" w:color="auto"/>
            </w:tcBorders>
            <w:shd w:val="clear" w:color="auto" w:fill="auto"/>
            <w:noWrap/>
            <w:vAlign w:val="center"/>
            <w:hideMark/>
          </w:tcPr>
          <w:p w14:paraId="35254EBB" w14:textId="61063CBD" w:rsidR="002E1B55" w:rsidRPr="005D7674" w:rsidRDefault="002E1B55" w:rsidP="005D7674">
            <w:pPr>
              <w:spacing w:line="240" w:lineRule="auto"/>
              <w:jc w:val="center"/>
              <w:rPr>
                <w:rFonts w:eastAsia="Times New Roman"/>
                <w:b/>
                <w:bCs/>
                <w:sz w:val="20"/>
                <w:szCs w:val="20"/>
                <w:lang w:eastAsia="cs-CZ"/>
              </w:rPr>
            </w:pPr>
            <w:r w:rsidRPr="005D7674">
              <w:rPr>
                <w:rFonts w:eastAsia="Times New Roman"/>
                <w:b/>
                <w:bCs/>
                <w:sz w:val="20"/>
                <w:szCs w:val="20"/>
                <w:lang w:eastAsia="cs-CZ"/>
              </w:rPr>
              <w:t>-2 %</w:t>
            </w:r>
          </w:p>
        </w:tc>
        <w:tc>
          <w:tcPr>
            <w:tcW w:w="1181" w:type="dxa"/>
            <w:tcBorders>
              <w:top w:val="nil"/>
              <w:left w:val="nil"/>
              <w:bottom w:val="double" w:sz="6" w:space="0" w:color="auto"/>
              <w:right w:val="nil"/>
            </w:tcBorders>
            <w:shd w:val="clear" w:color="auto" w:fill="auto"/>
            <w:noWrap/>
            <w:vAlign w:val="center"/>
            <w:hideMark/>
          </w:tcPr>
          <w:p w14:paraId="734A2F2D" w14:textId="77777777" w:rsidR="002E1B55" w:rsidRPr="005D7674" w:rsidRDefault="002E1B55" w:rsidP="005D7674">
            <w:pPr>
              <w:spacing w:line="240" w:lineRule="auto"/>
              <w:jc w:val="center"/>
              <w:rPr>
                <w:rFonts w:eastAsia="Times New Roman"/>
                <w:b/>
                <w:bCs/>
                <w:szCs w:val="24"/>
                <w:lang w:eastAsia="cs-CZ"/>
              </w:rPr>
            </w:pPr>
            <w:r w:rsidRPr="005D7674">
              <w:rPr>
                <w:rFonts w:eastAsia="Times New Roman"/>
                <w:b/>
                <w:bCs/>
                <w:szCs w:val="24"/>
                <w:lang w:eastAsia="cs-CZ"/>
              </w:rPr>
              <w:t>20 168</w:t>
            </w:r>
          </w:p>
        </w:tc>
        <w:tc>
          <w:tcPr>
            <w:tcW w:w="1051" w:type="dxa"/>
            <w:tcBorders>
              <w:top w:val="nil"/>
              <w:left w:val="nil"/>
              <w:bottom w:val="double" w:sz="6" w:space="0" w:color="auto"/>
              <w:right w:val="nil"/>
            </w:tcBorders>
            <w:shd w:val="clear" w:color="auto" w:fill="auto"/>
            <w:noWrap/>
            <w:vAlign w:val="center"/>
            <w:hideMark/>
          </w:tcPr>
          <w:p w14:paraId="0000C9FD" w14:textId="4D6FB6C7" w:rsidR="002E1B55" w:rsidRPr="005D7674" w:rsidRDefault="002E1B55" w:rsidP="005D7674">
            <w:pPr>
              <w:spacing w:line="240" w:lineRule="auto"/>
              <w:jc w:val="center"/>
              <w:rPr>
                <w:rFonts w:eastAsia="Times New Roman"/>
                <w:b/>
                <w:bCs/>
                <w:sz w:val="20"/>
                <w:szCs w:val="20"/>
                <w:lang w:eastAsia="cs-CZ"/>
              </w:rPr>
            </w:pPr>
            <w:r w:rsidRPr="005D7674">
              <w:rPr>
                <w:rFonts w:eastAsia="Times New Roman"/>
                <w:b/>
                <w:bCs/>
                <w:sz w:val="20"/>
                <w:szCs w:val="20"/>
                <w:lang w:eastAsia="cs-CZ"/>
              </w:rPr>
              <w:t>+7 %</w:t>
            </w:r>
          </w:p>
        </w:tc>
      </w:tr>
      <w:tr w:rsidR="00F15667" w:rsidRPr="005D7674" w14:paraId="193B4E2D" w14:textId="77777777" w:rsidTr="005D7674">
        <w:trPr>
          <w:trHeight w:val="330"/>
        </w:trPr>
        <w:tc>
          <w:tcPr>
            <w:tcW w:w="2268" w:type="dxa"/>
            <w:tcBorders>
              <w:top w:val="nil"/>
              <w:left w:val="nil"/>
              <w:bottom w:val="nil"/>
              <w:right w:val="nil"/>
            </w:tcBorders>
            <w:shd w:val="clear" w:color="auto" w:fill="auto"/>
            <w:noWrap/>
            <w:vAlign w:val="center"/>
            <w:hideMark/>
          </w:tcPr>
          <w:p w14:paraId="089F265F" w14:textId="77777777" w:rsidR="002E1B55" w:rsidRPr="005D7674" w:rsidRDefault="002E1B55" w:rsidP="005D7674">
            <w:pPr>
              <w:spacing w:line="240" w:lineRule="auto"/>
              <w:jc w:val="center"/>
              <w:rPr>
                <w:rFonts w:eastAsia="Times New Roman"/>
                <w:b/>
                <w:bCs/>
                <w:sz w:val="20"/>
                <w:szCs w:val="20"/>
                <w:lang w:eastAsia="cs-CZ"/>
              </w:rPr>
            </w:pPr>
          </w:p>
        </w:tc>
        <w:tc>
          <w:tcPr>
            <w:tcW w:w="1358" w:type="dxa"/>
            <w:tcBorders>
              <w:top w:val="nil"/>
              <w:left w:val="nil"/>
              <w:bottom w:val="nil"/>
              <w:right w:val="nil"/>
            </w:tcBorders>
            <w:shd w:val="clear" w:color="auto" w:fill="auto"/>
            <w:noWrap/>
            <w:vAlign w:val="center"/>
            <w:hideMark/>
          </w:tcPr>
          <w:p w14:paraId="5C8FB871" w14:textId="77777777" w:rsidR="002E1B55" w:rsidRPr="005D7674" w:rsidRDefault="002E1B55" w:rsidP="005D7674">
            <w:pPr>
              <w:spacing w:line="240" w:lineRule="auto"/>
              <w:jc w:val="center"/>
              <w:rPr>
                <w:rFonts w:eastAsia="Times New Roman"/>
                <w:sz w:val="20"/>
                <w:szCs w:val="20"/>
                <w:lang w:eastAsia="cs-CZ"/>
              </w:rPr>
            </w:pPr>
          </w:p>
        </w:tc>
        <w:tc>
          <w:tcPr>
            <w:tcW w:w="1051" w:type="dxa"/>
            <w:tcBorders>
              <w:top w:val="nil"/>
              <w:left w:val="nil"/>
              <w:bottom w:val="nil"/>
              <w:right w:val="nil"/>
            </w:tcBorders>
            <w:shd w:val="clear" w:color="auto" w:fill="auto"/>
            <w:noWrap/>
            <w:vAlign w:val="center"/>
            <w:hideMark/>
          </w:tcPr>
          <w:p w14:paraId="10A3AE28" w14:textId="77777777" w:rsidR="002E1B55" w:rsidRPr="005D7674" w:rsidRDefault="002E1B55" w:rsidP="005D7674">
            <w:pPr>
              <w:spacing w:line="240" w:lineRule="auto"/>
              <w:jc w:val="center"/>
              <w:rPr>
                <w:rFonts w:eastAsia="Times New Roman"/>
                <w:sz w:val="20"/>
                <w:szCs w:val="20"/>
                <w:lang w:eastAsia="cs-CZ"/>
              </w:rPr>
            </w:pPr>
          </w:p>
        </w:tc>
        <w:tc>
          <w:tcPr>
            <w:tcW w:w="1148" w:type="dxa"/>
            <w:tcBorders>
              <w:top w:val="nil"/>
              <w:left w:val="nil"/>
              <w:bottom w:val="nil"/>
              <w:right w:val="nil"/>
            </w:tcBorders>
            <w:shd w:val="clear" w:color="auto" w:fill="auto"/>
            <w:noWrap/>
            <w:vAlign w:val="center"/>
            <w:hideMark/>
          </w:tcPr>
          <w:p w14:paraId="725CE59B" w14:textId="77777777" w:rsidR="002E1B55" w:rsidRPr="005D7674" w:rsidRDefault="002E1B55" w:rsidP="005D7674">
            <w:pPr>
              <w:spacing w:line="240" w:lineRule="auto"/>
              <w:jc w:val="center"/>
              <w:rPr>
                <w:rFonts w:eastAsia="Times New Roman"/>
                <w:sz w:val="20"/>
                <w:szCs w:val="20"/>
                <w:lang w:eastAsia="cs-CZ"/>
              </w:rPr>
            </w:pPr>
          </w:p>
        </w:tc>
        <w:tc>
          <w:tcPr>
            <w:tcW w:w="1051" w:type="dxa"/>
            <w:tcBorders>
              <w:top w:val="nil"/>
              <w:left w:val="nil"/>
              <w:bottom w:val="nil"/>
              <w:right w:val="nil"/>
            </w:tcBorders>
            <w:shd w:val="clear" w:color="auto" w:fill="auto"/>
            <w:noWrap/>
            <w:vAlign w:val="center"/>
            <w:hideMark/>
          </w:tcPr>
          <w:p w14:paraId="70E16A89" w14:textId="77777777" w:rsidR="002E1B55" w:rsidRPr="005D7674" w:rsidRDefault="002E1B55" w:rsidP="005D7674">
            <w:pPr>
              <w:spacing w:line="240" w:lineRule="auto"/>
              <w:jc w:val="center"/>
              <w:rPr>
                <w:rFonts w:eastAsia="Times New Roman"/>
                <w:sz w:val="20"/>
                <w:szCs w:val="20"/>
                <w:lang w:eastAsia="cs-CZ"/>
              </w:rPr>
            </w:pPr>
          </w:p>
        </w:tc>
        <w:tc>
          <w:tcPr>
            <w:tcW w:w="1181" w:type="dxa"/>
            <w:tcBorders>
              <w:top w:val="nil"/>
              <w:left w:val="nil"/>
              <w:bottom w:val="nil"/>
              <w:right w:val="nil"/>
            </w:tcBorders>
            <w:shd w:val="clear" w:color="auto" w:fill="auto"/>
            <w:noWrap/>
            <w:vAlign w:val="center"/>
            <w:hideMark/>
          </w:tcPr>
          <w:p w14:paraId="12C0F419" w14:textId="77777777" w:rsidR="002E1B55" w:rsidRPr="005D7674" w:rsidRDefault="002E1B55" w:rsidP="005D7674">
            <w:pPr>
              <w:spacing w:line="240" w:lineRule="auto"/>
              <w:jc w:val="center"/>
              <w:rPr>
                <w:rFonts w:eastAsia="Times New Roman"/>
                <w:sz w:val="20"/>
                <w:szCs w:val="20"/>
                <w:lang w:eastAsia="cs-CZ"/>
              </w:rPr>
            </w:pPr>
          </w:p>
        </w:tc>
        <w:tc>
          <w:tcPr>
            <w:tcW w:w="1051" w:type="dxa"/>
            <w:tcBorders>
              <w:top w:val="nil"/>
              <w:left w:val="nil"/>
              <w:bottom w:val="nil"/>
              <w:right w:val="nil"/>
            </w:tcBorders>
            <w:shd w:val="clear" w:color="auto" w:fill="auto"/>
            <w:noWrap/>
            <w:vAlign w:val="center"/>
            <w:hideMark/>
          </w:tcPr>
          <w:p w14:paraId="0F610CF8" w14:textId="77777777" w:rsidR="002E1B55" w:rsidRPr="005D7674" w:rsidRDefault="002E1B55" w:rsidP="005D7674">
            <w:pPr>
              <w:spacing w:line="240" w:lineRule="auto"/>
              <w:jc w:val="center"/>
              <w:rPr>
                <w:rFonts w:eastAsia="Times New Roman"/>
                <w:sz w:val="20"/>
                <w:szCs w:val="20"/>
                <w:lang w:eastAsia="cs-CZ"/>
              </w:rPr>
            </w:pPr>
          </w:p>
        </w:tc>
      </w:tr>
    </w:tbl>
    <w:p w14:paraId="1B446422" w14:textId="77777777" w:rsidR="005657DE" w:rsidRPr="005D7674" w:rsidRDefault="005657DE" w:rsidP="005657DE">
      <w:pPr>
        <w:pStyle w:val="OdstavecASR"/>
      </w:pPr>
      <w:r w:rsidRPr="005D7674">
        <w:t>Statisticky jsou sledovány tři důvody, proč je věc převedena z rejstříku EPR do rejstříku C:</w:t>
      </w:r>
    </w:p>
    <w:p w14:paraId="29C222AD" w14:textId="77777777" w:rsidR="005657DE" w:rsidRPr="005D7674" w:rsidRDefault="005657DE" w:rsidP="005657DE">
      <w:pPr>
        <w:pStyle w:val="OdstavecASR"/>
        <w:numPr>
          <w:ilvl w:val="0"/>
          <w:numId w:val="10"/>
        </w:numPr>
      </w:pPr>
      <w:r w:rsidRPr="005D7674">
        <w:rPr>
          <w:b/>
        </w:rPr>
        <w:t>EPR zrušen soudem</w:t>
      </w:r>
      <w:r w:rsidRPr="005D7674">
        <w:t>: elektronický platební rozkaz je zrušen, protože ho nebylo možné doručit. To může mít různé důvody, a to například, pokud se účastník sporu přestěhoval bez udání další či nové adresy, nebo má hlášenou adresu bydliště na městském úřadu a dále ho není možné nikterak dohledat.</w:t>
      </w:r>
    </w:p>
    <w:p w14:paraId="17B914C7" w14:textId="77777777" w:rsidR="005657DE" w:rsidRPr="005D7674" w:rsidRDefault="005657DE" w:rsidP="005657DE">
      <w:pPr>
        <w:pStyle w:val="OdstavecASR"/>
        <w:numPr>
          <w:ilvl w:val="0"/>
          <w:numId w:val="10"/>
        </w:numPr>
      </w:pPr>
      <w:r w:rsidRPr="005D7674">
        <w:rPr>
          <w:rFonts w:eastAsia="Times New Roman"/>
          <w:b/>
          <w:bCs/>
          <w:szCs w:val="24"/>
          <w:lang w:eastAsia="cs-CZ"/>
        </w:rPr>
        <w:t xml:space="preserve">Podán odpor, který nebyl odmítnut: </w:t>
      </w:r>
      <w:r w:rsidRPr="005D7674">
        <w:rPr>
          <w:rFonts w:eastAsia="Times New Roman"/>
          <w:bCs/>
          <w:szCs w:val="24"/>
          <w:lang w:eastAsia="cs-CZ"/>
        </w:rPr>
        <w:t>byl podán odpor proti elektronickému platebnímu rozkazu. Odpor byl podán včas a oprávněnou osobou.</w:t>
      </w:r>
    </w:p>
    <w:p w14:paraId="325EC62C" w14:textId="25ED5700" w:rsidR="005657DE" w:rsidRPr="005D7674" w:rsidRDefault="005657DE" w:rsidP="005657DE">
      <w:pPr>
        <w:pStyle w:val="OdstavecASR"/>
        <w:numPr>
          <w:ilvl w:val="0"/>
          <w:numId w:val="10"/>
        </w:numPr>
      </w:pPr>
      <w:r w:rsidRPr="005D7674">
        <w:rPr>
          <w:rFonts w:eastAsia="Times New Roman"/>
          <w:b/>
          <w:bCs/>
          <w:szCs w:val="24"/>
          <w:lang w:eastAsia="cs-CZ"/>
        </w:rPr>
        <w:t>Jiný důvod:</w:t>
      </w:r>
      <w:r w:rsidRPr="005D7674">
        <w:t xml:space="preserve"> zahrnuje všechny ostatní důvody pro převedení věci, zpravidla proto, že nebylo možné z jiného důvodu vydat EPR (platební rozkaz by například měl být doručen žalovanému do ciziny nebo žalobce uplatňuje nárok převyšující jeden milion korun českých).</w:t>
      </w:r>
    </w:p>
    <w:p w14:paraId="12FE8ECD" w14:textId="067704F2" w:rsidR="005657DE" w:rsidRPr="005D7674" w:rsidRDefault="005657DE" w:rsidP="005657DE">
      <w:r w:rsidRPr="005D7674">
        <w:t>V datech vidíme, že převedených věcí je opravdu velké množství. Porovnáme-li počet převedených věcí s počtem věcí vyřízených, vidíme, že tento podíl v letech 2013 až 2017 tvořil 51 až 56 %.</w:t>
      </w:r>
      <w:r w:rsidRPr="005D7674">
        <w:rPr>
          <w:rStyle w:val="Znakapoznpodarou"/>
        </w:rPr>
        <w:footnoteReference w:id="7"/>
      </w:r>
      <w:r w:rsidRPr="005D7674">
        <w:t xml:space="preserve"> V zásadě každá druhá věc v rejstříku EPR tak byla převedena do klasického civilního řízení. V letech 2018 a 2019 tento podíl přesáhl 60 %. V roce 2020 byl tento podíl 54 %, v roce 2021 dosáhl 62 % a v roce 2022 činil 59 %.</w:t>
      </w:r>
    </w:p>
    <w:p w14:paraId="650DDA40" w14:textId="5F7AC110" w:rsidR="00CF3817" w:rsidRPr="005D7674" w:rsidRDefault="00CF3817">
      <w:pPr>
        <w:spacing w:after="160" w:line="259" w:lineRule="auto"/>
        <w:jc w:val="left"/>
      </w:pPr>
      <w:r w:rsidRPr="005D7674">
        <w:br w:type="page"/>
      </w:r>
    </w:p>
    <w:p w14:paraId="67F1B57F" w14:textId="1BE26B46" w:rsidR="00E26C17" w:rsidRPr="00F15667" w:rsidRDefault="008430BD" w:rsidP="00E26C17">
      <w:pPr>
        <w:pStyle w:val="Nadpis2"/>
        <w:numPr>
          <w:ilvl w:val="1"/>
          <w:numId w:val="1"/>
        </w:numPr>
        <w:spacing w:before="120"/>
        <w:rPr>
          <w:color w:val="auto"/>
        </w:rPr>
      </w:pPr>
      <w:bookmarkStart w:id="253" w:name="_Ref511307908"/>
      <w:bookmarkStart w:id="254" w:name="_Toc515871230"/>
      <w:bookmarkStart w:id="255" w:name="_Toc106092727"/>
      <w:bookmarkStart w:id="256" w:name="_Toc144104348"/>
      <w:bookmarkEnd w:id="245"/>
      <w:r w:rsidRPr="00F15667">
        <w:rPr>
          <w:color w:val="auto"/>
        </w:rPr>
        <w:lastRenderedPageBreak/>
        <w:t>Trestní agenda</w:t>
      </w:r>
      <w:bookmarkEnd w:id="253"/>
      <w:bookmarkEnd w:id="254"/>
      <w:bookmarkEnd w:id="255"/>
      <w:bookmarkEnd w:id="256"/>
    </w:p>
    <w:p w14:paraId="67295A8F" w14:textId="77777777" w:rsidR="000E0762" w:rsidRPr="00F15667" w:rsidRDefault="000E0762" w:rsidP="000E0762">
      <w:pPr>
        <w:pStyle w:val="OdstavecASR"/>
      </w:pPr>
      <w:r w:rsidRPr="00F15667">
        <w:t>Z hlediska statistického sledování je situace na trestním úseku soudů jednodušší. Vedlejší agendy jsou zde v zásadě pouze dvě – všeobecné trestní věci včetně rozhodování soudce ve zkráceném přípravném řízení a u soudů, v jejichž obvodu se nachází věznice, též agenda podmíněného propuštění. Soudy tedy vyřizují hlavně prvostupňové trestní věci a prvostupňové trestní věci mladistvých (rejstříky T a Tm). Způsob vykazování se na rozdíl od civilního řízení během let neměnil a není se tedy třeba obávat zkreslení v časových řadách. Data v podkapitolách délky řízení a jiné statistiky jsou očištěna pouze o věci vyřízené trestním příkazem. Trestní příkaz je obdobou platebního rozkazu v civilním řízení. Jedná se o jednoduché a velmi rychle vyřízené věci, a proto v této zprávě nejsou v datech zahrnuty. Délky řízení zahrnující věci vyřízené trestním příkazem je možné dohledat na internetových stránkách InfoData nebo ve statistických ročenkách.</w:t>
      </w:r>
    </w:p>
    <w:p w14:paraId="3884094D" w14:textId="77777777" w:rsidR="000E0762" w:rsidRPr="00F15667" w:rsidRDefault="000E0762" w:rsidP="000E0762">
      <w:pPr>
        <w:pStyle w:val="Nadpis3"/>
        <w:numPr>
          <w:ilvl w:val="2"/>
          <w:numId w:val="1"/>
        </w:numPr>
        <w:rPr>
          <w:color w:val="auto"/>
        </w:rPr>
      </w:pPr>
      <w:bookmarkStart w:id="257" w:name="_Toc144104349"/>
      <w:r w:rsidRPr="00F15667">
        <w:rPr>
          <w:color w:val="auto"/>
        </w:rPr>
        <w:t>Délka řízení</w:t>
      </w:r>
      <w:bookmarkEnd w:id="257"/>
    </w:p>
    <w:p w14:paraId="06865757" w14:textId="77777777" w:rsidR="00BC264E" w:rsidRPr="002D4B12" w:rsidRDefault="00BC264E" w:rsidP="00BC264E">
      <w:pPr>
        <w:pStyle w:val="OdstavecASR"/>
      </w:pPr>
      <w:r w:rsidRPr="002D4B12">
        <w:t>U délky řízení platí stejné poznámky jako u civilního řízení. Délku řízení tedy zjišťujeme ze statistických listů a uvádíme ji v kalendářních dnech ode dne nápadu do dne konečného rozhodnutí soudem I. stupně.</w:t>
      </w:r>
    </w:p>
    <w:p w14:paraId="583A1B85" w14:textId="49E42845" w:rsidR="000E0762" w:rsidRPr="002D4B12" w:rsidRDefault="00BC264E" w:rsidP="00BC264E">
      <w:pPr>
        <w:pStyle w:val="Podnadpis"/>
        <w:rPr>
          <w:color w:val="auto"/>
        </w:rPr>
      </w:pPr>
      <w:bookmarkStart w:id="258" w:name="_Toc144104132"/>
      <w:r w:rsidRPr="002D4B12">
        <w:rPr>
          <w:color w:val="auto"/>
        </w:rPr>
        <w:t xml:space="preserve">Graf </w:t>
      </w:r>
      <w:r w:rsidR="00664E2E" w:rsidRPr="002D4B12">
        <w:rPr>
          <w:color w:val="auto"/>
        </w:rPr>
        <w:fldChar w:fldCharType="begin"/>
      </w:r>
      <w:r w:rsidR="00664E2E" w:rsidRPr="002D4B12">
        <w:rPr>
          <w:color w:val="auto"/>
        </w:rPr>
        <w:instrText xml:space="preserve"> SEQ Graf \* ARABIC </w:instrText>
      </w:r>
      <w:r w:rsidR="00664E2E" w:rsidRPr="002D4B12">
        <w:rPr>
          <w:color w:val="auto"/>
        </w:rPr>
        <w:fldChar w:fldCharType="separate"/>
      </w:r>
      <w:r w:rsidR="001E1A67">
        <w:rPr>
          <w:noProof/>
          <w:color w:val="auto"/>
        </w:rPr>
        <w:t>20</w:t>
      </w:r>
      <w:r w:rsidR="00664E2E" w:rsidRPr="002D4B12">
        <w:rPr>
          <w:color w:val="auto"/>
        </w:rPr>
        <w:fldChar w:fldCharType="end"/>
      </w:r>
      <w:r w:rsidRPr="002D4B12">
        <w:rPr>
          <w:color w:val="auto"/>
        </w:rPr>
        <w:t>: OS – délka trestního řízení v letech 2008–2022</w:t>
      </w:r>
      <w:bookmarkEnd w:id="258"/>
    </w:p>
    <w:p w14:paraId="186EA372" w14:textId="51DBE8B9" w:rsidR="00BC264E" w:rsidRPr="002D4B12" w:rsidRDefault="00BC264E" w:rsidP="005D7674">
      <w:pPr>
        <w:pStyle w:val="OdstavecASR"/>
      </w:pPr>
      <w:r w:rsidRPr="002D4B12">
        <w:rPr>
          <w:noProof/>
          <w:lang w:eastAsia="cs-CZ"/>
        </w:rPr>
        <w:drawing>
          <wp:inline distT="0" distB="0" distL="0" distR="0" wp14:anchorId="63398888" wp14:editId="3E67DB6C">
            <wp:extent cx="5029200" cy="365760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5293F6D" w14:textId="787935C6" w:rsidR="00BC264E" w:rsidRPr="002D4B12" w:rsidRDefault="00BC264E" w:rsidP="00BC264E">
      <w:pPr>
        <w:pStyle w:val="OdstavecASR"/>
      </w:pPr>
      <w:r w:rsidRPr="002D4B12">
        <w:t xml:space="preserve">Z grafu je patrné, že ve zkoumaném období byly délky řízení nejvyšší v roce 2008. Od roku </w:t>
      </w:r>
      <w:r w:rsidR="006D4930" w:rsidRPr="002D4B12">
        <w:t xml:space="preserve">2012 je vývoj ve všech ukazatelích stabilní s přirozenými výkyvy v obou směrech. </w:t>
      </w:r>
      <w:r w:rsidRPr="002D4B12">
        <w:t>Průměrná délka řízení je více než dvojnásobná, než je mediánová délka řízení. To naznačuje, že existuje malá skupina řízení, která se oproti standardu velmi dlouho „táhnou“, což je stav, který trvá po celé vykazované období 2008–2022. Tuto domněnku potvrzuje i poměrně vysoký percentil 90. Tento jev můžeme pozorovat i u civilního řízení, kde je nicméně o něco méně výrazný. V letech 2020 a 2021 došlo k mírnému růstu délek řízení, nicméně jde jen o velmi malou změnu a nelze říct, že by tato statistika naznačovala zhoršení situace v trestní agendě. Zdá se, že pandemie COVID</w:t>
      </w:r>
      <w:r w:rsidRPr="002D4B12">
        <w:noBreakHyphen/>
        <w:t xml:space="preserve">19 vykazovanou délku </w:t>
      </w:r>
      <w:r w:rsidRPr="002D4B12">
        <w:lastRenderedPageBreak/>
        <w:t xml:space="preserve">řízení v zásadě neovlivnila. V roce 2022 došlo po mnoha letech k citelnému poklesu v délce řízení: medián klesl o 16 dnů, průměr </w:t>
      </w:r>
      <w:r w:rsidR="00EF3B9C" w:rsidRPr="002D4B12">
        <w:t>o 22 dnů a percentil 90 o 56 dnů. Hodnoty jsou tak nejnižší ve vykazovaném období. A jak ukazuje tabulka níže</w:t>
      </w:r>
      <w:r w:rsidR="006D4930" w:rsidRPr="002D4B12">
        <w:t>,</w:t>
      </w:r>
      <w:r w:rsidR="00EF3B9C" w:rsidRPr="002D4B12">
        <w:t xml:space="preserve"> k poklesu došlo </w:t>
      </w:r>
      <w:r w:rsidR="00965FE5" w:rsidRPr="002D4B12">
        <w:t xml:space="preserve">u </w:t>
      </w:r>
      <w:r w:rsidR="00EF3B9C" w:rsidRPr="002D4B12">
        <w:t xml:space="preserve">všech krajů. Bez hlubší analýzy není možné určit příčinu tohoto jevu. Je možné, že dlouhodobý pokles v počtu nevyřízených věcí se konečně projevil i v délkách řízení. Přispět mohl i </w:t>
      </w:r>
      <w:r w:rsidR="00BF5DB7" w:rsidRPr="002D4B12">
        <w:t>stále rostoucí</w:t>
      </w:r>
      <w:r w:rsidR="00EF3B9C" w:rsidRPr="002D4B12">
        <w:t xml:space="preserve"> počet dohod o vině</w:t>
      </w:r>
      <w:r w:rsidR="006D4930" w:rsidRPr="002D4B12">
        <w:t xml:space="preserve"> a trestu</w:t>
      </w:r>
      <w:r w:rsidR="00BF5DB7" w:rsidRPr="002D4B12">
        <w:t>. Dohoda o vině a trestu totiž byla upravena</w:t>
      </w:r>
      <w:r w:rsidR="00EF3B9C" w:rsidRPr="002D4B12">
        <w:t xml:space="preserve"> </w:t>
      </w:r>
      <w:r w:rsidR="00BF5DB7" w:rsidRPr="002D4B12">
        <w:t>zákon</w:t>
      </w:r>
      <w:r w:rsidR="00763207" w:rsidRPr="002D4B12">
        <w:t>em</w:t>
      </w:r>
      <w:r w:rsidR="00BF5DB7" w:rsidRPr="002D4B12">
        <w:t xml:space="preserve"> č.</w:t>
      </w:r>
      <w:r w:rsidR="005D7674" w:rsidRPr="002D4B12">
        <w:t> </w:t>
      </w:r>
      <w:r w:rsidR="00BF5DB7" w:rsidRPr="002D4B12">
        <w:t>333/2020</w:t>
      </w:r>
      <w:r w:rsidR="005D7674" w:rsidRPr="002D4B12">
        <w:t> </w:t>
      </w:r>
      <w:r w:rsidR="00BF5DB7" w:rsidRPr="002D4B12">
        <w:t>Sb., který nabyl účinnosti 1.</w:t>
      </w:r>
      <w:r w:rsidR="005D7674" w:rsidRPr="002D4B12">
        <w:t> </w:t>
      </w:r>
      <w:r w:rsidR="00BF5DB7" w:rsidRPr="002D4B12">
        <w:t>10.</w:t>
      </w:r>
      <w:r w:rsidR="005D7674" w:rsidRPr="002D4B12">
        <w:t> </w:t>
      </w:r>
      <w:r w:rsidR="00BF5DB7" w:rsidRPr="002D4B12">
        <w:t>2020. Důvody mohou ale být i jiné.</w:t>
      </w:r>
    </w:p>
    <w:p w14:paraId="551A33C7" w14:textId="1968D79C" w:rsidR="00EF3B9C" w:rsidRPr="002D4B12" w:rsidRDefault="00EF3B9C" w:rsidP="00EF3B9C">
      <w:pPr>
        <w:pStyle w:val="Podnadpis"/>
        <w:rPr>
          <w:color w:val="auto"/>
          <w:sz w:val="20"/>
          <w:szCs w:val="20"/>
          <w:lang w:eastAsia="cs-CZ"/>
        </w:rPr>
      </w:pPr>
      <w:bookmarkStart w:id="259" w:name="_Ref510084261"/>
      <w:bookmarkStart w:id="260" w:name="_Ref510084255"/>
      <w:bookmarkStart w:id="261" w:name="_Toc515871451"/>
      <w:bookmarkStart w:id="262" w:name="_Toc11133219"/>
      <w:bookmarkStart w:id="263" w:name="_Toc43931193"/>
      <w:bookmarkStart w:id="264" w:name="_Toc75952323"/>
      <w:bookmarkStart w:id="265" w:name="_Toc106106782"/>
      <w:bookmarkStart w:id="266" w:name="_Toc144104260"/>
      <w:r w:rsidRPr="002D4B12">
        <w:rPr>
          <w:color w:val="auto"/>
        </w:rPr>
        <w:t xml:space="preserve">Tabulka </w:t>
      </w:r>
      <w:r w:rsidRPr="002D4B12">
        <w:rPr>
          <w:noProof/>
          <w:color w:val="auto"/>
        </w:rPr>
        <w:fldChar w:fldCharType="begin"/>
      </w:r>
      <w:r w:rsidRPr="002D4B12">
        <w:rPr>
          <w:noProof/>
          <w:color w:val="auto"/>
        </w:rPr>
        <w:instrText xml:space="preserve"> SEQ Tabulka \* ARABIC </w:instrText>
      </w:r>
      <w:r w:rsidRPr="002D4B12">
        <w:rPr>
          <w:noProof/>
          <w:color w:val="auto"/>
        </w:rPr>
        <w:fldChar w:fldCharType="separate"/>
      </w:r>
      <w:r w:rsidR="001E1A67">
        <w:rPr>
          <w:noProof/>
          <w:color w:val="auto"/>
        </w:rPr>
        <w:t>21</w:t>
      </w:r>
      <w:r w:rsidRPr="002D4B12">
        <w:rPr>
          <w:noProof/>
          <w:color w:val="auto"/>
        </w:rPr>
        <w:fldChar w:fldCharType="end"/>
      </w:r>
      <w:bookmarkEnd w:id="259"/>
      <w:r w:rsidRPr="002D4B12">
        <w:rPr>
          <w:color w:val="auto"/>
        </w:rPr>
        <w:t>: OS – délky trestního řízení dle krajů</w:t>
      </w:r>
      <w:bookmarkEnd w:id="260"/>
      <w:bookmarkEnd w:id="261"/>
      <w:bookmarkEnd w:id="262"/>
      <w:bookmarkEnd w:id="263"/>
      <w:bookmarkEnd w:id="264"/>
      <w:bookmarkEnd w:id="265"/>
      <w:bookmarkEnd w:id="266"/>
    </w:p>
    <w:tbl>
      <w:tblPr>
        <w:tblW w:w="8931" w:type="dxa"/>
        <w:tblCellMar>
          <w:left w:w="70" w:type="dxa"/>
          <w:right w:w="70" w:type="dxa"/>
        </w:tblCellMar>
        <w:tblLook w:val="04A0" w:firstRow="1" w:lastRow="0" w:firstColumn="1" w:lastColumn="0" w:noHBand="0" w:noVBand="1"/>
      </w:tblPr>
      <w:tblGrid>
        <w:gridCol w:w="2440"/>
        <w:gridCol w:w="1246"/>
        <w:gridCol w:w="914"/>
        <w:gridCol w:w="1212"/>
        <w:gridCol w:w="948"/>
        <w:gridCol w:w="1178"/>
        <w:gridCol w:w="993"/>
      </w:tblGrid>
      <w:tr w:rsidR="00F15667" w:rsidRPr="002D4B12" w14:paraId="18FA3894" w14:textId="77777777" w:rsidTr="005D7674">
        <w:trPr>
          <w:trHeight w:val="330"/>
        </w:trPr>
        <w:tc>
          <w:tcPr>
            <w:tcW w:w="2440" w:type="dxa"/>
            <w:vMerge w:val="restart"/>
            <w:tcBorders>
              <w:top w:val="double" w:sz="6" w:space="0" w:color="auto"/>
              <w:left w:val="nil"/>
              <w:bottom w:val="double" w:sz="6" w:space="0" w:color="000000"/>
              <w:right w:val="nil"/>
            </w:tcBorders>
            <w:shd w:val="clear" w:color="auto" w:fill="auto"/>
            <w:noWrap/>
            <w:vAlign w:val="center"/>
            <w:hideMark/>
          </w:tcPr>
          <w:p w14:paraId="4D2740B0" w14:textId="77777777" w:rsidR="00EF3B9C" w:rsidRPr="002D4B12" w:rsidRDefault="00EF3B9C" w:rsidP="005D7674">
            <w:pPr>
              <w:spacing w:line="240" w:lineRule="auto"/>
              <w:jc w:val="center"/>
              <w:rPr>
                <w:rFonts w:eastAsia="Times New Roman"/>
                <w:b/>
                <w:bCs/>
                <w:szCs w:val="24"/>
                <w:lang w:eastAsia="cs-CZ"/>
              </w:rPr>
            </w:pPr>
            <w:r w:rsidRPr="002D4B12">
              <w:rPr>
                <w:rFonts w:eastAsia="Times New Roman"/>
                <w:b/>
                <w:bCs/>
                <w:szCs w:val="24"/>
                <w:lang w:eastAsia="cs-CZ"/>
              </w:rPr>
              <w:t>Nadřízený soud</w:t>
            </w:r>
          </w:p>
        </w:tc>
        <w:tc>
          <w:tcPr>
            <w:tcW w:w="6491" w:type="dxa"/>
            <w:gridSpan w:val="6"/>
            <w:tcBorders>
              <w:top w:val="double" w:sz="6" w:space="0" w:color="auto"/>
              <w:left w:val="nil"/>
              <w:bottom w:val="nil"/>
              <w:right w:val="nil"/>
            </w:tcBorders>
            <w:shd w:val="clear" w:color="auto" w:fill="auto"/>
            <w:noWrap/>
            <w:vAlign w:val="center"/>
            <w:hideMark/>
          </w:tcPr>
          <w:p w14:paraId="75E97A00" w14:textId="77777777" w:rsidR="00EF3B9C" w:rsidRPr="002D4B12" w:rsidRDefault="00EF3B9C" w:rsidP="005D7674">
            <w:pPr>
              <w:spacing w:line="240" w:lineRule="auto"/>
              <w:jc w:val="center"/>
              <w:rPr>
                <w:rFonts w:eastAsia="Times New Roman"/>
                <w:b/>
                <w:bCs/>
                <w:szCs w:val="24"/>
                <w:lang w:eastAsia="cs-CZ"/>
              </w:rPr>
            </w:pPr>
            <w:r w:rsidRPr="002D4B12">
              <w:rPr>
                <w:rFonts w:eastAsia="Times New Roman"/>
                <w:b/>
                <w:bCs/>
                <w:szCs w:val="24"/>
                <w:lang w:eastAsia="cs-CZ"/>
              </w:rPr>
              <w:t>Délka řízení</w:t>
            </w:r>
          </w:p>
        </w:tc>
      </w:tr>
      <w:tr w:rsidR="00F15667" w:rsidRPr="002D4B12" w14:paraId="32D3B483" w14:textId="77777777" w:rsidTr="005D7674">
        <w:trPr>
          <w:trHeight w:val="330"/>
        </w:trPr>
        <w:tc>
          <w:tcPr>
            <w:tcW w:w="2440" w:type="dxa"/>
            <w:vMerge/>
            <w:tcBorders>
              <w:top w:val="double" w:sz="6" w:space="0" w:color="auto"/>
              <w:left w:val="nil"/>
              <w:bottom w:val="double" w:sz="6" w:space="0" w:color="000000"/>
              <w:right w:val="nil"/>
            </w:tcBorders>
            <w:vAlign w:val="center"/>
            <w:hideMark/>
          </w:tcPr>
          <w:p w14:paraId="525952DE" w14:textId="77777777" w:rsidR="00EF3B9C" w:rsidRPr="002D4B12" w:rsidRDefault="00EF3B9C" w:rsidP="005D7674">
            <w:pPr>
              <w:spacing w:line="240" w:lineRule="auto"/>
              <w:jc w:val="center"/>
              <w:rPr>
                <w:rFonts w:eastAsia="Times New Roman"/>
                <w:b/>
                <w:bCs/>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14:paraId="47CCE4F7" w14:textId="77777777" w:rsidR="00EF3B9C" w:rsidRPr="002D4B12" w:rsidRDefault="00EF3B9C" w:rsidP="005D7674">
            <w:pPr>
              <w:spacing w:line="240" w:lineRule="auto"/>
              <w:jc w:val="center"/>
              <w:rPr>
                <w:rFonts w:eastAsia="Times New Roman"/>
                <w:b/>
                <w:bCs/>
                <w:szCs w:val="24"/>
                <w:lang w:eastAsia="cs-CZ"/>
              </w:rPr>
            </w:pPr>
            <w:r w:rsidRPr="002D4B12">
              <w:rPr>
                <w:rFonts w:eastAsia="Times New Roman"/>
                <w:b/>
                <w:bCs/>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A78BB2A" w14:textId="77777777" w:rsidR="00EF3B9C" w:rsidRPr="002D4B12" w:rsidRDefault="00EF3B9C" w:rsidP="005D7674">
            <w:pPr>
              <w:spacing w:line="240" w:lineRule="auto"/>
              <w:jc w:val="center"/>
              <w:rPr>
                <w:rFonts w:eastAsia="Times New Roman"/>
                <w:b/>
                <w:bCs/>
                <w:szCs w:val="24"/>
                <w:lang w:eastAsia="cs-CZ"/>
              </w:rPr>
            </w:pPr>
            <w:r w:rsidRPr="002D4B12">
              <w:rPr>
                <w:rFonts w:eastAsia="Times New Roman"/>
                <w:b/>
                <w:bCs/>
                <w:szCs w:val="24"/>
                <w:lang w:eastAsia="cs-CZ"/>
              </w:rPr>
              <w:t>Medián</w:t>
            </w:r>
          </w:p>
        </w:tc>
        <w:tc>
          <w:tcPr>
            <w:tcW w:w="2171" w:type="dxa"/>
            <w:gridSpan w:val="2"/>
            <w:tcBorders>
              <w:top w:val="nil"/>
              <w:left w:val="nil"/>
              <w:bottom w:val="double" w:sz="6" w:space="0" w:color="auto"/>
              <w:right w:val="nil"/>
            </w:tcBorders>
            <w:shd w:val="clear" w:color="auto" w:fill="auto"/>
            <w:noWrap/>
            <w:vAlign w:val="center"/>
            <w:hideMark/>
          </w:tcPr>
          <w:p w14:paraId="24B0EF29" w14:textId="77777777" w:rsidR="00EF3B9C" w:rsidRPr="002D4B12" w:rsidRDefault="00EF3B9C" w:rsidP="005D7674">
            <w:pPr>
              <w:spacing w:line="240" w:lineRule="auto"/>
              <w:jc w:val="center"/>
              <w:rPr>
                <w:rFonts w:eastAsia="Times New Roman"/>
                <w:b/>
                <w:bCs/>
                <w:szCs w:val="24"/>
                <w:lang w:eastAsia="cs-CZ"/>
              </w:rPr>
            </w:pPr>
            <w:r w:rsidRPr="002D4B12">
              <w:rPr>
                <w:rFonts w:eastAsia="Times New Roman"/>
                <w:b/>
                <w:bCs/>
                <w:szCs w:val="24"/>
                <w:lang w:eastAsia="cs-CZ"/>
              </w:rPr>
              <w:t>Percentil 90</w:t>
            </w:r>
          </w:p>
        </w:tc>
      </w:tr>
      <w:tr w:rsidR="00F15667" w:rsidRPr="002D4B12" w14:paraId="6C5383B5" w14:textId="77777777" w:rsidTr="005D7674">
        <w:trPr>
          <w:trHeight w:val="330"/>
        </w:trPr>
        <w:tc>
          <w:tcPr>
            <w:tcW w:w="2440" w:type="dxa"/>
            <w:tcBorders>
              <w:top w:val="single" w:sz="4" w:space="0" w:color="auto"/>
              <w:left w:val="nil"/>
              <w:bottom w:val="single" w:sz="4" w:space="0" w:color="auto"/>
              <w:right w:val="nil"/>
            </w:tcBorders>
            <w:shd w:val="clear" w:color="auto" w:fill="auto"/>
            <w:noWrap/>
            <w:vAlign w:val="center"/>
            <w:hideMark/>
          </w:tcPr>
          <w:p w14:paraId="7EC0DD67" w14:textId="77777777" w:rsidR="00EF3B9C" w:rsidRPr="002D4B12" w:rsidRDefault="00EF3B9C" w:rsidP="005D7674">
            <w:pPr>
              <w:spacing w:line="240" w:lineRule="auto"/>
              <w:jc w:val="left"/>
              <w:rPr>
                <w:rFonts w:eastAsia="Times New Roman"/>
                <w:szCs w:val="24"/>
                <w:lang w:eastAsia="cs-CZ"/>
              </w:rPr>
            </w:pPr>
            <w:r w:rsidRPr="002D4B12">
              <w:rPr>
                <w:rFonts w:eastAsia="Times New Roman"/>
                <w:szCs w:val="24"/>
                <w:lang w:eastAsia="cs-CZ"/>
              </w:rPr>
              <w:t>MS Praha</w:t>
            </w:r>
          </w:p>
        </w:tc>
        <w:tc>
          <w:tcPr>
            <w:tcW w:w="1246" w:type="dxa"/>
            <w:tcBorders>
              <w:top w:val="single" w:sz="4" w:space="0" w:color="auto"/>
              <w:left w:val="nil"/>
              <w:bottom w:val="single" w:sz="4" w:space="0" w:color="auto"/>
              <w:right w:val="nil"/>
            </w:tcBorders>
            <w:shd w:val="clear" w:color="auto" w:fill="auto"/>
            <w:noWrap/>
            <w:vAlign w:val="center"/>
            <w:hideMark/>
          </w:tcPr>
          <w:p w14:paraId="47FAB420"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164</w:t>
            </w:r>
          </w:p>
        </w:tc>
        <w:tc>
          <w:tcPr>
            <w:tcW w:w="914" w:type="dxa"/>
            <w:tcBorders>
              <w:top w:val="single" w:sz="4" w:space="0" w:color="auto"/>
              <w:left w:val="nil"/>
              <w:bottom w:val="single" w:sz="4" w:space="0" w:color="auto"/>
              <w:right w:val="nil"/>
            </w:tcBorders>
            <w:shd w:val="clear" w:color="auto" w:fill="auto"/>
            <w:noWrap/>
            <w:vAlign w:val="center"/>
            <w:hideMark/>
          </w:tcPr>
          <w:p w14:paraId="77DD0544" w14:textId="6916F02E"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-18 %</w:t>
            </w:r>
          </w:p>
        </w:tc>
        <w:tc>
          <w:tcPr>
            <w:tcW w:w="1212" w:type="dxa"/>
            <w:tcBorders>
              <w:top w:val="nil"/>
              <w:left w:val="single" w:sz="4" w:space="0" w:color="auto"/>
              <w:bottom w:val="single" w:sz="4" w:space="0" w:color="auto"/>
              <w:right w:val="nil"/>
            </w:tcBorders>
            <w:shd w:val="clear" w:color="auto" w:fill="auto"/>
            <w:noWrap/>
            <w:vAlign w:val="center"/>
            <w:hideMark/>
          </w:tcPr>
          <w:p w14:paraId="751FF324"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76</w:t>
            </w:r>
          </w:p>
        </w:tc>
        <w:tc>
          <w:tcPr>
            <w:tcW w:w="948" w:type="dxa"/>
            <w:tcBorders>
              <w:top w:val="nil"/>
              <w:left w:val="nil"/>
              <w:bottom w:val="single" w:sz="4" w:space="0" w:color="auto"/>
              <w:right w:val="single" w:sz="4" w:space="0" w:color="auto"/>
            </w:tcBorders>
            <w:shd w:val="clear" w:color="auto" w:fill="auto"/>
            <w:noWrap/>
            <w:vAlign w:val="center"/>
            <w:hideMark/>
          </w:tcPr>
          <w:p w14:paraId="65BFAC94" w14:textId="3008F299"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-10 %</w:t>
            </w:r>
          </w:p>
        </w:tc>
        <w:tc>
          <w:tcPr>
            <w:tcW w:w="1178" w:type="dxa"/>
            <w:tcBorders>
              <w:top w:val="single" w:sz="4" w:space="0" w:color="auto"/>
              <w:left w:val="nil"/>
              <w:bottom w:val="single" w:sz="4" w:space="0" w:color="auto"/>
              <w:right w:val="nil"/>
            </w:tcBorders>
            <w:shd w:val="clear" w:color="auto" w:fill="auto"/>
            <w:noWrap/>
            <w:vAlign w:val="center"/>
            <w:hideMark/>
          </w:tcPr>
          <w:p w14:paraId="054C9764"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350</w:t>
            </w:r>
          </w:p>
        </w:tc>
        <w:tc>
          <w:tcPr>
            <w:tcW w:w="993" w:type="dxa"/>
            <w:tcBorders>
              <w:top w:val="single" w:sz="4" w:space="0" w:color="auto"/>
              <w:left w:val="nil"/>
              <w:bottom w:val="single" w:sz="4" w:space="0" w:color="auto"/>
              <w:right w:val="nil"/>
            </w:tcBorders>
            <w:shd w:val="clear" w:color="auto" w:fill="auto"/>
            <w:noWrap/>
            <w:vAlign w:val="center"/>
            <w:hideMark/>
          </w:tcPr>
          <w:p w14:paraId="665880D6" w14:textId="624FA1E9"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-19 %</w:t>
            </w:r>
          </w:p>
        </w:tc>
      </w:tr>
      <w:tr w:rsidR="00F15667" w:rsidRPr="002D4B12" w14:paraId="0B398050" w14:textId="77777777" w:rsidTr="005D7674">
        <w:trPr>
          <w:trHeight w:val="315"/>
        </w:trPr>
        <w:tc>
          <w:tcPr>
            <w:tcW w:w="2440" w:type="dxa"/>
            <w:tcBorders>
              <w:top w:val="nil"/>
              <w:left w:val="nil"/>
              <w:bottom w:val="single" w:sz="4" w:space="0" w:color="auto"/>
              <w:right w:val="nil"/>
            </w:tcBorders>
            <w:shd w:val="clear" w:color="auto" w:fill="auto"/>
            <w:noWrap/>
            <w:vAlign w:val="center"/>
            <w:hideMark/>
          </w:tcPr>
          <w:p w14:paraId="5AF09B28" w14:textId="77777777" w:rsidR="00EF3B9C" w:rsidRPr="002D4B12" w:rsidRDefault="00EF3B9C" w:rsidP="005D7674">
            <w:pPr>
              <w:spacing w:line="240" w:lineRule="auto"/>
              <w:jc w:val="left"/>
              <w:rPr>
                <w:rFonts w:eastAsia="Times New Roman"/>
                <w:szCs w:val="24"/>
                <w:lang w:eastAsia="cs-CZ"/>
              </w:rPr>
            </w:pPr>
            <w:r w:rsidRPr="002D4B12">
              <w:rPr>
                <w:rFonts w:eastAsia="Times New Roman"/>
                <w:szCs w:val="24"/>
                <w:lang w:eastAsia="cs-CZ"/>
              </w:rPr>
              <w:t>KS Praha</w:t>
            </w:r>
          </w:p>
        </w:tc>
        <w:tc>
          <w:tcPr>
            <w:tcW w:w="1246" w:type="dxa"/>
            <w:tcBorders>
              <w:top w:val="nil"/>
              <w:left w:val="nil"/>
              <w:bottom w:val="single" w:sz="4" w:space="0" w:color="auto"/>
              <w:right w:val="nil"/>
            </w:tcBorders>
            <w:shd w:val="clear" w:color="auto" w:fill="auto"/>
            <w:noWrap/>
            <w:vAlign w:val="center"/>
            <w:hideMark/>
          </w:tcPr>
          <w:p w14:paraId="5B7D36A7"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127</w:t>
            </w:r>
          </w:p>
        </w:tc>
        <w:tc>
          <w:tcPr>
            <w:tcW w:w="914" w:type="dxa"/>
            <w:tcBorders>
              <w:top w:val="nil"/>
              <w:left w:val="nil"/>
              <w:bottom w:val="single" w:sz="4" w:space="0" w:color="auto"/>
              <w:right w:val="nil"/>
            </w:tcBorders>
            <w:shd w:val="clear" w:color="auto" w:fill="auto"/>
            <w:noWrap/>
            <w:vAlign w:val="center"/>
            <w:hideMark/>
          </w:tcPr>
          <w:p w14:paraId="6DA69ECC" w14:textId="240348AE"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-17 %</w:t>
            </w:r>
          </w:p>
        </w:tc>
        <w:tc>
          <w:tcPr>
            <w:tcW w:w="1212" w:type="dxa"/>
            <w:tcBorders>
              <w:top w:val="nil"/>
              <w:left w:val="single" w:sz="4" w:space="0" w:color="auto"/>
              <w:bottom w:val="single" w:sz="4" w:space="0" w:color="auto"/>
              <w:right w:val="nil"/>
            </w:tcBorders>
            <w:shd w:val="clear" w:color="auto" w:fill="auto"/>
            <w:noWrap/>
            <w:vAlign w:val="center"/>
            <w:hideMark/>
          </w:tcPr>
          <w:p w14:paraId="2C26FB29"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57</w:t>
            </w:r>
          </w:p>
        </w:tc>
        <w:tc>
          <w:tcPr>
            <w:tcW w:w="948" w:type="dxa"/>
            <w:tcBorders>
              <w:top w:val="nil"/>
              <w:left w:val="nil"/>
              <w:bottom w:val="single" w:sz="4" w:space="0" w:color="auto"/>
              <w:right w:val="single" w:sz="4" w:space="0" w:color="auto"/>
            </w:tcBorders>
            <w:shd w:val="clear" w:color="auto" w:fill="auto"/>
            <w:noWrap/>
            <w:vAlign w:val="center"/>
            <w:hideMark/>
          </w:tcPr>
          <w:p w14:paraId="6E7E21E4" w14:textId="2D07F74E"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-20 %</w:t>
            </w:r>
          </w:p>
        </w:tc>
        <w:tc>
          <w:tcPr>
            <w:tcW w:w="1178" w:type="dxa"/>
            <w:tcBorders>
              <w:top w:val="nil"/>
              <w:left w:val="nil"/>
              <w:bottom w:val="single" w:sz="4" w:space="0" w:color="auto"/>
              <w:right w:val="nil"/>
            </w:tcBorders>
            <w:shd w:val="clear" w:color="auto" w:fill="auto"/>
            <w:noWrap/>
            <w:vAlign w:val="center"/>
            <w:hideMark/>
          </w:tcPr>
          <w:p w14:paraId="77E72B66"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247</w:t>
            </w:r>
          </w:p>
        </w:tc>
        <w:tc>
          <w:tcPr>
            <w:tcW w:w="993" w:type="dxa"/>
            <w:tcBorders>
              <w:top w:val="nil"/>
              <w:left w:val="nil"/>
              <w:bottom w:val="single" w:sz="4" w:space="0" w:color="auto"/>
              <w:right w:val="nil"/>
            </w:tcBorders>
            <w:shd w:val="clear" w:color="auto" w:fill="auto"/>
            <w:noWrap/>
            <w:vAlign w:val="center"/>
            <w:hideMark/>
          </w:tcPr>
          <w:p w14:paraId="7A78E6C1" w14:textId="25A738BD"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-30 %</w:t>
            </w:r>
          </w:p>
        </w:tc>
      </w:tr>
      <w:tr w:rsidR="00F15667" w:rsidRPr="002D4B12" w14:paraId="39A5861E" w14:textId="77777777" w:rsidTr="005D7674">
        <w:trPr>
          <w:trHeight w:val="315"/>
        </w:trPr>
        <w:tc>
          <w:tcPr>
            <w:tcW w:w="2440" w:type="dxa"/>
            <w:tcBorders>
              <w:top w:val="nil"/>
              <w:left w:val="nil"/>
              <w:bottom w:val="single" w:sz="4" w:space="0" w:color="auto"/>
              <w:right w:val="nil"/>
            </w:tcBorders>
            <w:shd w:val="clear" w:color="auto" w:fill="auto"/>
            <w:noWrap/>
            <w:vAlign w:val="center"/>
            <w:hideMark/>
          </w:tcPr>
          <w:p w14:paraId="37FC3CD4" w14:textId="77777777" w:rsidR="00EF3B9C" w:rsidRPr="002D4B12" w:rsidRDefault="00EF3B9C" w:rsidP="005D7674">
            <w:pPr>
              <w:spacing w:line="240" w:lineRule="auto"/>
              <w:jc w:val="left"/>
              <w:rPr>
                <w:rFonts w:eastAsia="Times New Roman"/>
                <w:szCs w:val="24"/>
                <w:lang w:eastAsia="cs-CZ"/>
              </w:rPr>
            </w:pPr>
            <w:r w:rsidRPr="002D4B12">
              <w:rPr>
                <w:rFonts w:eastAsia="Times New Roman"/>
                <w:szCs w:val="24"/>
                <w:lang w:eastAsia="cs-CZ"/>
              </w:rPr>
              <w:t>KS Č. Budějovice</w:t>
            </w:r>
          </w:p>
        </w:tc>
        <w:tc>
          <w:tcPr>
            <w:tcW w:w="1246" w:type="dxa"/>
            <w:tcBorders>
              <w:top w:val="nil"/>
              <w:left w:val="nil"/>
              <w:bottom w:val="single" w:sz="4" w:space="0" w:color="auto"/>
              <w:right w:val="nil"/>
            </w:tcBorders>
            <w:shd w:val="clear" w:color="auto" w:fill="auto"/>
            <w:noWrap/>
            <w:vAlign w:val="center"/>
            <w:hideMark/>
          </w:tcPr>
          <w:p w14:paraId="62B65A98"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157</w:t>
            </w:r>
          </w:p>
        </w:tc>
        <w:tc>
          <w:tcPr>
            <w:tcW w:w="914" w:type="dxa"/>
            <w:tcBorders>
              <w:top w:val="nil"/>
              <w:left w:val="nil"/>
              <w:bottom w:val="single" w:sz="4" w:space="0" w:color="auto"/>
              <w:right w:val="nil"/>
            </w:tcBorders>
            <w:shd w:val="clear" w:color="auto" w:fill="auto"/>
            <w:noWrap/>
            <w:vAlign w:val="center"/>
            <w:hideMark/>
          </w:tcPr>
          <w:p w14:paraId="08BE614C" w14:textId="1B38767D"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-7 %</w:t>
            </w:r>
          </w:p>
        </w:tc>
        <w:tc>
          <w:tcPr>
            <w:tcW w:w="1212" w:type="dxa"/>
            <w:tcBorders>
              <w:top w:val="nil"/>
              <w:left w:val="single" w:sz="4" w:space="0" w:color="auto"/>
              <w:bottom w:val="single" w:sz="4" w:space="0" w:color="auto"/>
              <w:right w:val="nil"/>
            </w:tcBorders>
            <w:shd w:val="clear" w:color="auto" w:fill="auto"/>
            <w:noWrap/>
            <w:vAlign w:val="center"/>
            <w:hideMark/>
          </w:tcPr>
          <w:p w14:paraId="0AA75F8D"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78</w:t>
            </w:r>
          </w:p>
        </w:tc>
        <w:tc>
          <w:tcPr>
            <w:tcW w:w="948" w:type="dxa"/>
            <w:tcBorders>
              <w:top w:val="nil"/>
              <w:left w:val="nil"/>
              <w:bottom w:val="single" w:sz="4" w:space="0" w:color="auto"/>
              <w:right w:val="single" w:sz="4" w:space="0" w:color="auto"/>
            </w:tcBorders>
            <w:shd w:val="clear" w:color="auto" w:fill="auto"/>
            <w:noWrap/>
            <w:vAlign w:val="center"/>
            <w:hideMark/>
          </w:tcPr>
          <w:p w14:paraId="52096DE0" w14:textId="60266C5B"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-20 %</w:t>
            </w:r>
          </w:p>
        </w:tc>
        <w:tc>
          <w:tcPr>
            <w:tcW w:w="1178" w:type="dxa"/>
            <w:tcBorders>
              <w:top w:val="nil"/>
              <w:left w:val="nil"/>
              <w:bottom w:val="single" w:sz="4" w:space="0" w:color="auto"/>
              <w:right w:val="nil"/>
            </w:tcBorders>
            <w:shd w:val="clear" w:color="auto" w:fill="auto"/>
            <w:noWrap/>
            <w:vAlign w:val="center"/>
            <w:hideMark/>
          </w:tcPr>
          <w:p w14:paraId="4EC9196B"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340</w:t>
            </w:r>
          </w:p>
        </w:tc>
        <w:tc>
          <w:tcPr>
            <w:tcW w:w="993" w:type="dxa"/>
            <w:tcBorders>
              <w:top w:val="nil"/>
              <w:left w:val="nil"/>
              <w:bottom w:val="single" w:sz="4" w:space="0" w:color="auto"/>
              <w:right w:val="nil"/>
            </w:tcBorders>
            <w:shd w:val="clear" w:color="auto" w:fill="auto"/>
            <w:noWrap/>
            <w:vAlign w:val="center"/>
            <w:hideMark/>
          </w:tcPr>
          <w:p w14:paraId="13E0FF0E" w14:textId="3D17BBD2"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-7 %</w:t>
            </w:r>
          </w:p>
        </w:tc>
      </w:tr>
      <w:tr w:rsidR="00F15667" w:rsidRPr="002D4B12" w14:paraId="2A227681" w14:textId="77777777" w:rsidTr="005D7674">
        <w:trPr>
          <w:trHeight w:val="315"/>
        </w:trPr>
        <w:tc>
          <w:tcPr>
            <w:tcW w:w="2440" w:type="dxa"/>
            <w:tcBorders>
              <w:top w:val="nil"/>
              <w:left w:val="nil"/>
              <w:bottom w:val="single" w:sz="4" w:space="0" w:color="auto"/>
              <w:right w:val="nil"/>
            </w:tcBorders>
            <w:shd w:val="clear" w:color="auto" w:fill="auto"/>
            <w:noWrap/>
            <w:vAlign w:val="center"/>
            <w:hideMark/>
          </w:tcPr>
          <w:p w14:paraId="1E16F20F" w14:textId="77777777" w:rsidR="00EF3B9C" w:rsidRPr="002D4B12" w:rsidRDefault="00EF3B9C" w:rsidP="005D7674">
            <w:pPr>
              <w:spacing w:line="240" w:lineRule="auto"/>
              <w:jc w:val="left"/>
              <w:rPr>
                <w:rFonts w:eastAsia="Times New Roman"/>
                <w:szCs w:val="24"/>
                <w:lang w:eastAsia="cs-CZ"/>
              </w:rPr>
            </w:pPr>
            <w:r w:rsidRPr="002D4B12">
              <w:rPr>
                <w:rFonts w:eastAsia="Times New Roman"/>
                <w:szCs w:val="24"/>
                <w:lang w:eastAsia="cs-CZ"/>
              </w:rPr>
              <w:t>KS Plzeň</w:t>
            </w:r>
          </w:p>
        </w:tc>
        <w:tc>
          <w:tcPr>
            <w:tcW w:w="1246" w:type="dxa"/>
            <w:tcBorders>
              <w:top w:val="nil"/>
              <w:left w:val="nil"/>
              <w:bottom w:val="single" w:sz="4" w:space="0" w:color="auto"/>
              <w:right w:val="nil"/>
            </w:tcBorders>
            <w:shd w:val="clear" w:color="auto" w:fill="auto"/>
            <w:noWrap/>
            <w:vAlign w:val="center"/>
            <w:hideMark/>
          </w:tcPr>
          <w:p w14:paraId="7150F606"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191</w:t>
            </w:r>
          </w:p>
        </w:tc>
        <w:tc>
          <w:tcPr>
            <w:tcW w:w="914" w:type="dxa"/>
            <w:tcBorders>
              <w:top w:val="nil"/>
              <w:left w:val="nil"/>
              <w:bottom w:val="single" w:sz="4" w:space="0" w:color="auto"/>
              <w:right w:val="nil"/>
            </w:tcBorders>
            <w:shd w:val="clear" w:color="auto" w:fill="auto"/>
            <w:noWrap/>
            <w:vAlign w:val="center"/>
            <w:hideMark/>
          </w:tcPr>
          <w:p w14:paraId="49FB3672" w14:textId="528D3C2F"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-13 %</w:t>
            </w:r>
          </w:p>
        </w:tc>
        <w:tc>
          <w:tcPr>
            <w:tcW w:w="1212" w:type="dxa"/>
            <w:tcBorders>
              <w:top w:val="nil"/>
              <w:left w:val="single" w:sz="4" w:space="0" w:color="auto"/>
              <w:bottom w:val="single" w:sz="4" w:space="0" w:color="auto"/>
              <w:right w:val="nil"/>
            </w:tcBorders>
            <w:shd w:val="clear" w:color="auto" w:fill="auto"/>
            <w:noWrap/>
            <w:vAlign w:val="center"/>
            <w:hideMark/>
          </w:tcPr>
          <w:p w14:paraId="45648D67"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84</w:t>
            </w:r>
          </w:p>
        </w:tc>
        <w:tc>
          <w:tcPr>
            <w:tcW w:w="948" w:type="dxa"/>
            <w:tcBorders>
              <w:top w:val="nil"/>
              <w:left w:val="nil"/>
              <w:bottom w:val="single" w:sz="4" w:space="0" w:color="auto"/>
              <w:right w:val="single" w:sz="4" w:space="0" w:color="auto"/>
            </w:tcBorders>
            <w:shd w:val="clear" w:color="auto" w:fill="auto"/>
            <w:noWrap/>
            <w:vAlign w:val="center"/>
            <w:hideMark/>
          </w:tcPr>
          <w:p w14:paraId="3D918807" w14:textId="0F4AA933"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-16 %</w:t>
            </w:r>
          </w:p>
        </w:tc>
        <w:tc>
          <w:tcPr>
            <w:tcW w:w="1178" w:type="dxa"/>
            <w:tcBorders>
              <w:top w:val="nil"/>
              <w:left w:val="nil"/>
              <w:bottom w:val="single" w:sz="4" w:space="0" w:color="auto"/>
              <w:right w:val="nil"/>
            </w:tcBorders>
            <w:shd w:val="clear" w:color="auto" w:fill="auto"/>
            <w:noWrap/>
            <w:vAlign w:val="center"/>
            <w:hideMark/>
          </w:tcPr>
          <w:p w14:paraId="131C45B2"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523</w:t>
            </w:r>
          </w:p>
        </w:tc>
        <w:tc>
          <w:tcPr>
            <w:tcW w:w="993" w:type="dxa"/>
            <w:tcBorders>
              <w:top w:val="nil"/>
              <w:left w:val="nil"/>
              <w:bottom w:val="single" w:sz="4" w:space="0" w:color="auto"/>
              <w:right w:val="nil"/>
            </w:tcBorders>
            <w:shd w:val="clear" w:color="auto" w:fill="auto"/>
            <w:noWrap/>
            <w:vAlign w:val="center"/>
            <w:hideMark/>
          </w:tcPr>
          <w:p w14:paraId="3EAA6647" w14:textId="3E49C000"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-5 %</w:t>
            </w:r>
          </w:p>
        </w:tc>
      </w:tr>
      <w:tr w:rsidR="00F15667" w:rsidRPr="002D4B12" w14:paraId="66922251" w14:textId="77777777" w:rsidTr="005D7674">
        <w:trPr>
          <w:trHeight w:val="315"/>
        </w:trPr>
        <w:tc>
          <w:tcPr>
            <w:tcW w:w="2440" w:type="dxa"/>
            <w:tcBorders>
              <w:top w:val="nil"/>
              <w:left w:val="nil"/>
              <w:bottom w:val="single" w:sz="4" w:space="0" w:color="auto"/>
              <w:right w:val="nil"/>
            </w:tcBorders>
            <w:shd w:val="clear" w:color="auto" w:fill="auto"/>
            <w:noWrap/>
            <w:vAlign w:val="center"/>
            <w:hideMark/>
          </w:tcPr>
          <w:p w14:paraId="0728FBFF" w14:textId="77777777" w:rsidR="00EF3B9C" w:rsidRPr="002D4B12" w:rsidRDefault="00EF3B9C" w:rsidP="005D7674">
            <w:pPr>
              <w:spacing w:line="240" w:lineRule="auto"/>
              <w:jc w:val="left"/>
              <w:rPr>
                <w:rFonts w:eastAsia="Times New Roman"/>
                <w:szCs w:val="24"/>
                <w:lang w:eastAsia="cs-CZ"/>
              </w:rPr>
            </w:pPr>
            <w:r w:rsidRPr="002D4B12">
              <w:rPr>
                <w:rFonts w:eastAsia="Times New Roman"/>
                <w:szCs w:val="24"/>
                <w:lang w:eastAsia="cs-CZ"/>
              </w:rPr>
              <w:t>KS Ústí n. Labem</w:t>
            </w:r>
          </w:p>
        </w:tc>
        <w:tc>
          <w:tcPr>
            <w:tcW w:w="1246" w:type="dxa"/>
            <w:tcBorders>
              <w:top w:val="nil"/>
              <w:left w:val="nil"/>
              <w:bottom w:val="single" w:sz="4" w:space="0" w:color="auto"/>
              <w:right w:val="nil"/>
            </w:tcBorders>
            <w:shd w:val="clear" w:color="auto" w:fill="auto"/>
            <w:noWrap/>
            <w:vAlign w:val="center"/>
            <w:hideMark/>
          </w:tcPr>
          <w:p w14:paraId="4A5823E7"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255</w:t>
            </w:r>
          </w:p>
        </w:tc>
        <w:tc>
          <w:tcPr>
            <w:tcW w:w="914" w:type="dxa"/>
            <w:tcBorders>
              <w:top w:val="nil"/>
              <w:left w:val="nil"/>
              <w:bottom w:val="single" w:sz="4" w:space="0" w:color="auto"/>
              <w:right w:val="nil"/>
            </w:tcBorders>
            <w:shd w:val="clear" w:color="auto" w:fill="auto"/>
            <w:noWrap/>
            <w:vAlign w:val="center"/>
            <w:hideMark/>
          </w:tcPr>
          <w:p w14:paraId="32662C96" w14:textId="2E579BDD"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-11 %</w:t>
            </w:r>
          </w:p>
        </w:tc>
        <w:tc>
          <w:tcPr>
            <w:tcW w:w="1212" w:type="dxa"/>
            <w:tcBorders>
              <w:top w:val="nil"/>
              <w:left w:val="single" w:sz="4" w:space="0" w:color="auto"/>
              <w:bottom w:val="single" w:sz="4" w:space="0" w:color="auto"/>
              <w:right w:val="nil"/>
            </w:tcBorders>
            <w:shd w:val="clear" w:color="auto" w:fill="auto"/>
            <w:noWrap/>
            <w:vAlign w:val="center"/>
            <w:hideMark/>
          </w:tcPr>
          <w:p w14:paraId="14C93DE7"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105</w:t>
            </w:r>
          </w:p>
        </w:tc>
        <w:tc>
          <w:tcPr>
            <w:tcW w:w="948" w:type="dxa"/>
            <w:tcBorders>
              <w:top w:val="nil"/>
              <w:left w:val="nil"/>
              <w:bottom w:val="single" w:sz="4" w:space="0" w:color="auto"/>
              <w:right w:val="single" w:sz="4" w:space="0" w:color="auto"/>
            </w:tcBorders>
            <w:shd w:val="clear" w:color="auto" w:fill="auto"/>
            <w:noWrap/>
            <w:vAlign w:val="center"/>
            <w:hideMark/>
          </w:tcPr>
          <w:p w14:paraId="07587E5E" w14:textId="72033B48"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-24 %</w:t>
            </w:r>
          </w:p>
        </w:tc>
        <w:tc>
          <w:tcPr>
            <w:tcW w:w="1178" w:type="dxa"/>
            <w:tcBorders>
              <w:top w:val="nil"/>
              <w:left w:val="nil"/>
              <w:bottom w:val="single" w:sz="4" w:space="0" w:color="auto"/>
              <w:right w:val="nil"/>
            </w:tcBorders>
            <w:shd w:val="clear" w:color="auto" w:fill="auto"/>
            <w:noWrap/>
            <w:vAlign w:val="center"/>
            <w:hideMark/>
          </w:tcPr>
          <w:p w14:paraId="68F49F82"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643</w:t>
            </w:r>
          </w:p>
        </w:tc>
        <w:tc>
          <w:tcPr>
            <w:tcW w:w="993" w:type="dxa"/>
            <w:tcBorders>
              <w:top w:val="nil"/>
              <w:left w:val="nil"/>
              <w:bottom w:val="single" w:sz="4" w:space="0" w:color="auto"/>
              <w:right w:val="nil"/>
            </w:tcBorders>
            <w:shd w:val="clear" w:color="auto" w:fill="auto"/>
            <w:noWrap/>
            <w:vAlign w:val="center"/>
            <w:hideMark/>
          </w:tcPr>
          <w:p w14:paraId="0B982362" w14:textId="01063CBC"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-8 %</w:t>
            </w:r>
          </w:p>
        </w:tc>
      </w:tr>
      <w:tr w:rsidR="00F15667" w:rsidRPr="002D4B12" w14:paraId="380E7781" w14:textId="77777777" w:rsidTr="005D7674">
        <w:trPr>
          <w:trHeight w:val="315"/>
        </w:trPr>
        <w:tc>
          <w:tcPr>
            <w:tcW w:w="2440" w:type="dxa"/>
            <w:tcBorders>
              <w:top w:val="nil"/>
              <w:left w:val="nil"/>
              <w:bottom w:val="single" w:sz="4" w:space="0" w:color="auto"/>
              <w:right w:val="nil"/>
            </w:tcBorders>
            <w:shd w:val="clear" w:color="auto" w:fill="auto"/>
            <w:noWrap/>
            <w:vAlign w:val="center"/>
            <w:hideMark/>
          </w:tcPr>
          <w:p w14:paraId="0F3B74B7" w14:textId="77777777" w:rsidR="00EF3B9C" w:rsidRPr="002D4B12" w:rsidRDefault="00EF3B9C" w:rsidP="005D7674">
            <w:pPr>
              <w:spacing w:line="240" w:lineRule="auto"/>
              <w:jc w:val="left"/>
              <w:rPr>
                <w:rFonts w:eastAsia="Times New Roman"/>
                <w:szCs w:val="24"/>
                <w:lang w:eastAsia="cs-CZ"/>
              </w:rPr>
            </w:pPr>
            <w:r w:rsidRPr="002D4B12">
              <w:rPr>
                <w:rFonts w:eastAsia="Times New Roman"/>
                <w:szCs w:val="24"/>
                <w:lang w:eastAsia="cs-CZ"/>
              </w:rPr>
              <w:t>KS Hr. Králové</w:t>
            </w:r>
          </w:p>
        </w:tc>
        <w:tc>
          <w:tcPr>
            <w:tcW w:w="1246" w:type="dxa"/>
            <w:tcBorders>
              <w:top w:val="nil"/>
              <w:left w:val="nil"/>
              <w:bottom w:val="single" w:sz="4" w:space="0" w:color="auto"/>
              <w:right w:val="nil"/>
            </w:tcBorders>
            <w:shd w:val="clear" w:color="auto" w:fill="auto"/>
            <w:noWrap/>
            <w:vAlign w:val="center"/>
            <w:hideMark/>
          </w:tcPr>
          <w:p w14:paraId="76F94A8C"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127</w:t>
            </w:r>
          </w:p>
        </w:tc>
        <w:tc>
          <w:tcPr>
            <w:tcW w:w="914" w:type="dxa"/>
            <w:tcBorders>
              <w:top w:val="nil"/>
              <w:left w:val="nil"/>
              <w:bottom w:val="single" w:sz="4" w:space="0" w:color="auto"/>
              <w:right w:val="nil"/>
            </w:tcBorders>
            <w:shd w:val="clear" w:color="auto" w:fill="auto"/>
            <w:noWrap/>
            <w:vAlign w:val="center"/>
            <w:hideMark/>
          </w:tcPr>
          <w:p w14:paraId="54ADD44B" w14:textId="6754AA46"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-8 %</w:t>
            </w:r>
          </w:p>
        </w:tc>
        <w:tc>
          <w:tcPr>
            <w:tcW w:w="1212" w:type="dxa"/>
            <w:tcBorders>
              <w:top w:val="nil"/>
              <w:left w:val="single" w:sz="4" w:space="0" w:color="auto"/>
              <w:bottom w:val="single" w:sz="4" w:space="0" w:color="auto"/>
              <w:right w:val="nil"/>
            </w:tcBorders>
            <w:shd w:val="clear" w:color="auto" w:fill="auto"/>
            <w:noWrap/>
            <w:vAlign w:val="center"/>
            <w:hideMark/>
          </w:tcPr>
          <w:p w14:paraId="2BB62FC4"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60</w:t>
            </w:r>
          </w:p>
        </w:tc>
        <w:tc>
          <w:tcPr>
            <w:tcW w:w="948" w:type="dxa"/>
            <w:tcBorders>
              <w:top w:val="nil"/>
              <w:left w:val="nil"/>
              <w:bottom w:val="single" w:sz="4" w:space="0" w:color="auto"/>
              <w:right w:val="single" w:sz="4" w:space="0" w:color="auto"/>
            </w:tcBorders>
            <w:shd w:val="clear" w:color="auto" w:fill="auto"/>
            <w:noWrap/>
            <w:vAlign w:val="center"/>
            <w:hideMark/>
          </w:tcPr>
          <w:p w14:paraId="075348F9" w14:textId="36151F31"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-8 %</w:t>
            </w:r>
          </w:p>
        </w:tc>
        <w:tc>
          <w:tcPr>
            <w:tcW w:w="1178" w:type="dxa"/>
            <w:tcBorders>
              <w:top w:val="nil"/>
              <w:left w:val="nil"/>
              <w:bottom w:val="single" w:sz="4" w:space="0" w:color="auto"/>
              <w:right w:val="nil"/>
            </w:tcBorders>
            <w:shd w:val="clear" w:color="auto" w:fill="auto"/>
            <w:noWrap/>
            <w:vAlign w:val="center"/>
            <w:hideMark/>
          </w:tcPr>
          <w:p w14:paraId="212338F9"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258</w:t>
            </w:r>
          </w:p>
        </w:tc>
        <w:tc>
          <w:tcPr>
            <w:tcW w:w="993" w:type="dxa"/>
            <w:tcBorders>
              <w:top w:val="nil"/>
              <w:left w:val="nil"/>
              <w:bottom w:val="single" w:sz="4" w:space="0" w:color="auto"/>
              <w:right w:val="nil"/>
            </w:tcBorders>
            <w:shd w:val="clear" w:color="auto" w:fill="auto"/>
            <w:noWrap/>
            <w:vAlign w:val="center"/>
            <w:hideMark/>
          </w:tcPr>
          <w:p w14:paraId="5F4D6AFE" w14:textId="635A5EFC"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-13 %</w:t>
            </w:r>
          </w:p>
        </w:tc>
      </w:tr>
      <w:tr w:rsidR="00F15667" w:rsidRPr="002D4B12" w14:paraId="471F7FB7" w14:textId="77777777" w:rsidTr="005D7674">
        <w:trPr>
          <w:trHeight w:val="315"/>
        </w:trPr>
        <w:tc>
          <w:tcPr>
            <w:tcW w:w="2440" w:type="dxa"/>
            <w:tcBorders>
              <w:top w:val="nil"/>
              <w:left w:val="nil"/>
              <w:bottom w:val="single" w:sz="4" w:space="0" w:color="auto"/>
              <w:right w:val="nil"/>
            </w:tcBorders>
            <w:shd w:val="clear" w:color="auto" w:fill="auto"/>
            <w:noWrap/>
            <w:vAlign w:val="center"/>
            <w:hideMark/>
          </w:tcPr>
          <w:p w14:paraId="1E0B528D" w14:textId="77777777" w:rsidR="00EF3B9C" w:rsidRPr="002D4B12" w:rsidRDefault="00EF3B9C" w:rsidP="005D7674">
            <w:pPr>
              <w:spacing w:line="240" w:lineRule="auto"/>
              <w:jc w:val="left"/>
              <w:rPr>
                <w:rFonts w:eastAsia="Times New Roman"/>
                <w:szCs w:val="24"/>
                <w:lang w:eastAsia="cs-CZ"/>
              </w:rPr>
            </w:pPr>
            <w:r w:rsidRPr="002D4B12">
              <w:rPr>
                <w:rFonts w:eastAsia="Times New Roman"/>
                <w:szCs w:val="24"/>
                <w:lang w:eastAsia="cs-CZ"/>
              </w:rPr>
              <w:t>KS Brno</w:t>
            </w:r>
          </w:p>
        </w:tc>
        <w:tc>
          <w:tcPr>
            <w:tcW w:w="1246" w:type="dxa"/>
            <w:tcBorders>
              <w:top w:val="nil"/>
              <w:left w:val="nil"/>
              <w:bottom w:val="single" w:sz="4" w:space="0" w:color="auto"/>
              <w:right w:val="nil"/>
            </w:tcBorders>
            <w:shd w:val="clear" w:color="auto" w:fill="auto"/>
            <w:noWrap/>
            <w:vAlign w:val="center"/>
            <w:hideMark/>
          </w:tcPr>
          <w:p w14:paraId="336AB806"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155</w:t>
            </w:r>
          </w:p>
        </w:tc>
        <w:tc>
          <w:tcPr>
            <w:tcW w:w="914" w:type="dxa"/>
            <w:tcBorders>
              <w:top w:val="nil"/>
              <w:left w:val="nil"/>
              <w:bottom w:val="single" w:sz="4" w:space="0" w:color="auto"/>
              <w:right w:val="nil"/>
            </w:tcBorders>
            <w:shd w:val="clear" w:color="auto" w:fill="auto"/>
            <w:noWrap/>
            <w:vAlign w:val="center"/>
            <w:hideMark/>
          </w:tcPr>
          <w:p w14:paraId="20229EFD" w14:textId="1CFACEA1"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-7 %</w:t>
            </w:r>
          </w:p>
        </w:tc>
        <w:tc>
          <w:tcPr>
            <w:tcW w:w="1212" w:type="dxa"/>
            <w:tcBorders>
              <w:top w:val="nil"/>
              <w:left w:val="single" w:sz="4" w:space="0" w:color="auto"/>
              <w:bottom w:val="single" w:sz="4" w:space="0" w:color="auto"/>
              <w:right w:val="nil"/>
            </w:tcBorders>
            <w:shd w:val="clear" w:color="auto" w:fill="auto"/>
            <w:noWrap/>
            <w:vAlign w:val="center"/>
            <w:hideMark/>
          </w:tcPr>
          <w:p w14:paraId="6B3A1D75"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75</w:t>
            </w:r>
          </w:p>
        </w:tc>
        <w:tc>
          <w:tcPr>
            <w:tcW w:w="948" w:type="dxa"/>
            <w:tcBorders>
              <w:top w:val="nil"/>
              <w:left w:val="nil"/>
              <w:bottom w:val="single" w:sz="4" w:space="0" w:color="auto"/>
              <w:right w:val="single" w:sz="4" w:space="0" w:color="auto"/>
            </w:tcBorders>
            <w:shd w:val="clear" w:color="auto" w:fill="auto"/>
            <w:noWrap/>
            <w:vAlign w:val="center"/>
            <w:hideMark/>
          </w:tcPr>
          <w:p w14:paraId="2F8911A2" w14:textId="5CD5AB3D"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-13 %</w:t>
            </w:r>
          </w:p>
        </w:tc>
        <w:tc>
          <w:tcPr>
            <w:tcW w:w="1178" w:type="dxa"/>
            <w:tcBorders>
              <w:top w:val="nil"/>
              <w:left w:val="nil"/>
              <w:bottom w:val="single" w:sz="4" w:space="0" w:color="auto"/>
              <w:right w:val="nil"/>
            </w:tcBorders>
            <w:shd w:val="clear" w:color="auto" w:fill="auto"/>
            <w:noWrap/>
            <w:vAlign w:val="center"/>
            <w:hideMark/>
          </w:tcPr>
          <w:p w14:paraId="38763EB5"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343</w:t>
            </w:r>
          </w:p>
        </w:tc>
        <w:tc>
          <w:tcPr>
            <w:tcW w:w="993" w:type="dxa"/>
            <w:tcBorders>
              <w:top w:val="nil"/>
              <w:left w:val="nil"/>
              <w:bottom w:val="single" w:sz="4" w:space="0" w:color="auto"/>
              <w:right w:val="nil"/>
            </w:tcBorders>
            <w:shd w:val="clear" w:color="auto" w:fill="auto"/>
            <w:noWrap/>
            <w:vAlign w:val="center"/>
            <w:hideMark/>
          </w:tcPr>
          <w:p w14:paraId="2B506AD7" w14:textId="0C171835"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-8 %</w:t>
            </w:r>
          </w:p>
        </w:tc>
      </w:tr>
      <w:tr w:rsidR="00F15667" w:rsidRPr="002D4B12" w14:paraId="58E2A234" w14:textId="77777777" w:rsidTr="005D7674">
        <w:trPr>
          <w:trHeight w:val="330"/>
        </w:trPr>
        <w:tc>
          <w:tcPr>
            <w:tcW w:w="2440" w:type="dxa"/>
            <w:tcBorders>
              <w:top w:val="nil"/>
              <w:left w:val="nil"/>
              <w:bottom w:val="double" w:sz="6" w:space="0" w:color="auto"/>
              <w:right w:val="nil"/>
            </w:tcBorders>
            <w:shd w:val="clear" w:color="auto" w:fill="auto"/>
            <w:noWrap/>
            <w:vAlign w:val="center"/>
            <w:hideMark/>
          </w:tcPr>
          <w:p w14:paraId="1E735F82" w14:textId="77777777" w:rsidR="00EF3B9C" w:rsidRPr="002D4B12" w:rsidRDefault="00EF3B9C" w:rsidP="005D7674">
            <w:pPr>
              <w:spacing w:line="240" w:lineRule="auto"/>
              <w:jc w:val="left"/>
              <w:rPr>
                <w:rFonts w:eastAsia="Times New Roman"/>
                <w:szCs w:val="24"/>
                <w:lang w:eastAsia="cs-CZ"/>
              </w:rPr>
            </w:pPr>
            <w:r w:rsidRPr="002D4B12">
              <w:rPr>
                <w:rFonts w:eastAsia="Times New Roman"/>
                <w:szCs w:val="24"/>
                <w:lang w:eastAsia="cs-CZ"/>
              </w:rPr>
              <w:t>KS Ostrava</w:t>
            </w:r>
          </w:p>
        </w:tc>
        <w:tc>
          <w:tcPr>
            <w:tcW w:w="1246" w:type="dxa"/>
            <w:tcBorders>
              <w:top w:val="nil"/>
              <w:left w:val="nil"/>
              <w:bottom w:val="double" w:sz="6" w:space="0" w:color="auto"/>
              <w:right w:val="nil"/>
            </w:tcBorders>
            <w:shd w:val="clear" w:color="auto" w:fill="auto"/>
            <w:noWrap/>
            <w:vAlign w:val="center"/>
            <w:hideMark/>
          </w:tcPr>
          <w:p w14:paraId="4B23B167"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203</w:t>
            </w:r>
          </w:p>
        </w:tc>
        <w:tc>
          <w:tcPr>
            <w:tcW w:w="914" w:type="dxa"/>
            <w:tcBorders>
              <w:top w:val="nil"/>
              <w:left w:val="nil"/>
              <w:bottom w:val="double" w:sz="6" w:space="0" w:color="auto"/>
              <w:right w:val="nil"/>
            </w:tcBorders>
            <w:shd w:val="clear" w:color="auto" w:fill="auto"/>
            <w:noWrap/>
            <w:vAlign w:val="center"/>
            <w:hideMark/>
          </w:tcPr>
          <w:p w14:paraId="33599895" w14:textId="6D0862F2"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-7 %</w:t>
            </w:r>
          </w:p>
        </w:tc>
        <w:tc>
          <w:tcPr>
            <w:tcW w:w="1212" w:type="dxa"/>
            <w:tcBorders>
              <w:top w:val="nil"/>
              <w:left w:val="single" w:sz="4" w:space="0" w:color="auto"/>
              <w:bottom w:val="double" w:sz="6" w:space="0" w:color="auto"/>
              <w:right w:val="nil"/>
            </w:tcBorders>
            <w:shd w:val="clear" w:color="auto" w:fill="auto"/>
            <w:noWrap/>
            <w:vAlign w:val="center"/>
            <w:hideMark/>
          </w:tcPr>
          <w:p w14:paraId="0F3F4FA5"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97</w:t>
            </w:r>
          </w:p>
        </w:tc>
        <w:tc>
          <w:tcPr>
            <w:tcW w:w="948" w:type="dxa"/>
            <w:tcBorders>
              <w:top w:val="nil"/>
              <w:left w:val="nil"/>
              <w:bottom w:val="double" w:sz="6" w:space="0" w:color="auto"/>
              <w:right w:val="single" w:sz="4" w:space="0" w:color="auto"/>
            </w:tcBorders>
            <w:shd w:val="clear" w:color="auto" w:fill="auto"/>
            <w:noWrap/>
            <w:vAlign w:val="center"/>
            <w:hideMark/>
          </w:tcPr>
          <w:p w14:paraId="0ADF134F" w14:textId="75C8D8DE"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-18 %</w:t>
            </w:r>
          </w:p>
        </w:tc>
        <w:tc>
          <w:tcPr>
            <w:tcW w:w="1178" w:type="dxa"/>
            <w:tcBorders>
              <w:top w:val="nil"/>
              <w:left w:val="nil"/>
              <w:bottom w:val="double" w:sz="6" w:space="0" w:color="auto"/>
              <w:right w:val="nil"/>
            </w:tcBorders>
            <w:shd w:val="clear" w:color="auto" w:fill="auto"/>
            <w:noWrap/>
            <w:vAlign w:val="center"/>
            <w:hideMark/>
          </w:tcPr>
          <w:p w14:paraId="2AF4712D" w14:textId="77777777" w:rsidR="00EF3B9C" w:rsidRPr="002D4B12" w:rsidRDefault="00EF3B9C" w:rsidP="005D7674">
            <w:pPr>
              <w:spacing w:line="240" w:lineRule="auto"/>
              <w:jc w:val="center"/>
              <w:rPr>
                <w:rFonts w:eastAsia="Times New Roman"/>
                <w:szCs w:val="24"/>
                <w:lang w:eastAsia="cs-CZ"/>
              </w:rPr>
            </w:pPr>
            <w:r w:rsidRPr="002D4B12">
              <w:rPr>
                <w:rFonts w:eastAsia="Times New Roman"/>
                <w:szCs w:val="24"/>
                <w:lang w:eastAsia="cs-CZ"/>
              </w:rPr>
              <w:t>500</w:t>
            </w:r>
          </w:p>
        </w:tc>
        <w:tc>
          <w:tcPr>
            <w:tcW w:w="993" w:type="dxa"/>
            <w:tcBorders>
              <w:top w:val="nil"/>
              <w:left w:val="nil"/>
              <w:bottom w:val="double" w:sz="6" w:space="0" w:color="auto"/>
              <w:right w:val="nil"/>
            </w:tcBorders>
            <w:shd w:val="clear" w:color="auto" w:fill="auto"/>
            <w:noWrap/>
            <w:vAlign w:val="center"/>
            <w:hideMark/>
          </w:tcPr>
          <w:p w14:paraId="7EA69D04" w14:textId="3534BFB3" w:rsidR="00EF3B9C" w:rsidRPr="002D4B12" w:rsidRDefault="00EF3B9C" w:rsidP="005D7674">
            <w:pPr>
              <w:spacing w:line="240" w:lineRule="auto"/>
              <w:jc w:val="center"/>
              <w:rPr>
                <w:rFonts w:eastAsia="Times New Roman"/>
                <w:sz w:val="20"/>
                <w:szCs w:val="20"/>
                <w:lang w:eastAsia="cs-CZ"/>
              </w:rPr>
            </w:pPr>
            <w:r w:rsidRPr="002D4B12">
              <w:rPr>
                <w:rFonts w:eastAsia="Times New Roman"/>
                <w:sz w:val="20"/>
                <w:szCs w:val="20"/>
                <w:lang w:eastAsia="cs-CZ"/>
              </w:rPr>
              <w:t>-7 %</w:t>
            </w:r>
          </w:p>
        </w:tc>
      </w:tr>
      <w:tr w:rsidR="00F15667" w:rsidRPr="002D4B12" w14:paraId="350841CA" w14:textId="77777777" w:rsidTr="005D7674">
        <w:trPr>
          <w:trHeight w:val="345"/>
        </w:trPr>
        <w:tc>
          <w:tcPr>
            <w:tcW w:w="2440" w:type="dxa"/>
            <w:tcBorders>
              <w:top w:val="nil"/>
              <w:left w:val="nil"/>
              <w:bottom w:val="double" w:sz="6" w:space="0" w:color="auto"/>
              <w:right w:val="nil"/>
            </w:tcBorders>
            <w:shd w:val="clear" w:color="auto" w:fill="auto"/>
            <w:noWrap/>
            <w:vAlign w:val="center"/>
            <w:hideMark/>
          </w:tcPr>
          <w:p w14:paraId="0975998F" w14:textId="77777777" w:rsidR="00EF3B9C" w:rsidRPr="002D4B12" w:rsidRDefault="00EF3B9C" w:rsidP="005D7674">
            <w:pPr>
              <w:spacing w:line="240" w:lineRule="auto"/>
              <w:jc w:val="left"/>
              <w:rPr>
                <w:rFonts w:eastAsia="Times New Roman"/>
                <w:b/>
                <w:bCs/>
                <w:szCs w:val="24"/>
                <w:lang w:eastAsia="cs-CZ"/>
              </w:rPr>
            </w:pPr>
            <w:r w:rsidRPr="002D4B12">
              <w:rPr>
                <w:rFonts w:eastAsia="Times New Roman"/>
                <w:b/>
                <w:bCs/>
                <w:szCs w:val="24"/>
                <w:lang w:eastAsia="cs-CZ"/>
              </w:rPr>
              <w:t>Celkem ČR</w:t>
            </w:r>
          </w:p>
        </w:tc>
        <w:tc>
          <w:tcPr>
            <w:tcW w:w="1246" w:type="dxa"/>
            <w:tcBorders>
              <w:top w:val="nil"/>
              <w:left w:val="nil"/>
              <w:bottom w:val="double" w:sz="6" w:space="0" w:color="auto"/>
              <w:right w:val="nil"/>
            </w:tcBorders>
            <w:shd w:val="clear" w:color="auto" w:fill="auto"/>
            <w:noWrap/>
            <w:vAlign w:val="center"/>
            <w:hideMark/>
          </w:tcPr>
          <w:p w14:paraId="7F90AF4E" w14:textId="77777777" w:rsidR="00EF3B9C" w:rsidRPr="002D4B12" w:rsidRDefault="00EF3B9C" w:rsidP="005D7674">
            <w:pPr>
              <w:spacing w:line="240" w:lineRule="auto"/>
              <w:jc w:val="center"/>
              <w:rPr>
                <w:rFonts w:eastAsia="Times New Roman"/>
                <w:b/>
                <w:bCs/>
                <w:szCs w:val="24"/>
                <w:lang w:eastAsia="cs-CZ"/>
              </w:rPr>
            </w:pPr>
            <w:r w:rsidRPr="002D4B12">
              <w:rPr>
                <w:rFonts w:eastAsia="Times New Roman"/>
                <w:b/>
                <w:bCs/>
                <w:szCs w:val="24"/>
                <w:lang w:eastAsia="cs-CZ"/>
              </w:rPr>
              <w:t>183</w:t>
            </w:r>
          </w:p>
        </w:tc>
        <w:tc>
          <w:tcPr>
            <w:tcW w:w="914" w:type="dxa"/>
            <w:tcBorders>
              <w:top w:val="nil"/>
              <w:left w:val="nil"/>
              <w:bottom w:val="double" w:sz="6" w:space="0" w:color="auto"/>
              <w:right w:val="nil"/>
            </w:tcBorders>
            <w:shd w:val="clear" w:color="auto" w:fill="auto"/>
            <w:noWrap/>
            <w:vAlign w:val="center"/>
            <w:hideMark/>
          </w:tcPr>
          <w:p w14:paraId="6CA2318E" w14:textId="43AB0407" w:rsidR="00EF3B9C" w:rsidRPr="002D4B12" w:rsidRDefault="00EF3B9C" w:rsidP="005D7674">
            <w:pPr>
              <w:spacing w:line="240" w:lineRule="auto"/>
              <w:jc w:val="center"/>
              <w:rPr>
                <w:rFonts w:eastAsia="Times New Roman"/>
                <w:b/>
                <w:bCs/>
                <w:sz w:val="20"/>
                <w:szCs w:val="20"/>
                <w:lang w:eastAsia="cs-CZ"/>
              </w:rPr>
            </w:pPr>
            <w:r w:rsidRPr="002D4B12">
              <w:rPr>
                <w:rFonts w:eastAsia="Times New Roman"/>
                <w:b/>
                <w:bCs/>
                <w:sz w:val="20"/>
                <w:szCs w:val="20"/>
                <w:lang w:eastAsia="cs-CZ"/>
              </w:rPr>
              <w:t>-11 %</w:t>
            </w:r>
          </w:p>
        </w:tc>
        <w:tc>
          <w:tcPr>
            <w:tcW w:w="1212" w:type="dxa"/>
            <w:tcBorders>
              <w:top w:val="nil"/>
              <w:left w:val="single" w:sz="4" w:space="0" w:color="auto"/>
              <w:bottom w:val="double" w:sz="6" w:space="0" w:color="auto"/>
              <w:right w:val="nil"/>
            </w:tcBorders>
            <w:shd w:val="clear" w:color="auto" w:fill="auto"/>
            <w:noWrap/>
            <w:vAlign w:val="center"/>
            <w:hideMark/>
          </w:tcPr>
          <w:p w14:paraId="2553F5EB" w14:textId="77777777" w:rsidR="00EF3B9C" w:rsidRPr="002D4B12" w:rsidRDefault="00EF3B9C" w:rsidP="005D7674">
            <w:pPr>
              <w:spacing w:line="240" w:lineRule="auto"/>
              <w:jc w:val="center"/>
              <w:rPr>
                <w:rFonts w:eastAsia="Times New Roman"/>
                <w:b/>
                <w:bCs/>
                <w:szCs w:val="24"/>
                <w:lang w:eastAsia="cs-CZ"/>
              </w:rPr>
            </w:pPr>
            <w:r w:rsidRPr="002D4B12">
              <w:rPr>
                <w:rFonts w:eastAsia="Times New Roman"/>
                <w:b/>
                <w:bCs/>
                <w:szCs w:val="24"/>
                <w:lang w:eastAsia="cs-CZ"/>
              </w:rPr>
              <w:t>81</w:t>
            </w:r>
          </w:p>
        </w:tc>
        <w:tc>
          <w:tcPr>
            <w:tcW w:w="948" w:type="dxa"/>
            <w:tcBorders>
              <w:top w:val="nil"/>
              <w:left w:val="nil"/>
              <w:bottom w:val="double" w:sz="6" w:space="0" w:color="auto"/>
              <w:right w:val="single" w:sz="4" w:space="0" w:color="auto"/>
            </w:tcBorders>
            <w:shd w:val="clear" w:color="auto" w:fill="auto"/>
            <w:noWrap/>
            <w:vAlign w:val="center"/>
            <w:hideMark/>
          </w:tcPr>
          <w:p w14:paraId="210E106A" w14:textId="12C65DC2" w:rsidR="00EF3B9C" w:rsidRPr="002D4B12" w:rsidRDefault="00EF3B9C" w:rsidP="005D7674">
            <w:pPr>
              <w:spacing w:line="240" w:lineRule="auto"/>
              <w:jc w:val="center"/>
              <w:rPr>
                <w:rFonts w:eastAsia="Times New Roman"/>
                <w:b/>
                <w:bCs/>
                <w:sz w:val="20"/>
                <w:szCs w:val="20"/>
                <w:lang w:eastAsia="cs-CZ"/>
              </w:rPr>
            </w:pPr>
            <w:r w:rsidRPr="002D4B12">
              <w:rPr>
                <w:rFonts w:eastAsia="Times New Roman"/>
                <w:b/>
                <w:bCs/>
                <w:sz w:val="20"/>
                <w:szCs w:val="20"/>
                <w:lang w:eastAsia="cs-CZ"/>
              </w:rPr>
              <w:t>-16 %</w:t>
            </w:r>
          </w:p>
        </w:tc>
        <w:tc>
          <w:tcPr>
            <w:tcW w:w="1178" w:type="dxa"/>
            <w:tcBorders>
              <w:top w:val="nil"/>
              <w:left w:val="nil"/>
              <w:bottom w:val="double" w:sz="6" w:space="0" w:color="auto"/>
              <w:right w:val="nil"/>
            </w:tcBorders>
            <w:shd w:val="clear" w:color="auto" w:fill="auto"/>
            <w:noWrap/>
            <w:vAlign w:val="center"/>
            <w:hideMark/>
          </w:tcPr>
          <w:p w14:paraId="33987665" w14:textId="77777777" w:rsidR="00EF3B9C" w:rsidRPr="002D4B12" w:rsidRDefault="00EF3B9C" w:rsidP="005D7674">
            <w:pPr>
              <w:spacing w:line="240" w:lineRule="auto"/>
              <w:jc w:val="center"/>
              <w:rPr>
                <w:rFonts w:eastAsia="Times New Roman"/>
                <w:b/>
                <w:bCs/>
                <w:szCs w:val="24"/>
                <w:lang w:eastAsia="cs-CZ"/>
              </w:rPr>
            </w:pPr>
            <w:r w:rsidRPr="002D4B12">
              <w:rPr>
                <w:rFonts w:eastAsia="Times New Roman"/>
                <w:b/>
                <w:bCs/>
                <w:szCs w:val="24"/>
                <w:lang w:eastAsia="cs-CZ"/>
              </w:rPr>
              <w:t>438</w:t>
            </w:r>
          </w:p>
        </w:tc>
        <w:tc>
          <w:tcPr>
            <w:tcW w:w="993" w:type="dxa"/>
            <w:tcBorders>
              <w:top w:val="nil"/>
              <w:left w:val="nil"/>
              <w:bottom w:val="double" w:sz="6" w:space="0" w:color="auto"/>
              <w:right w:val="nil"/>
            </w:tcBorders>
            <w:shd w:val="clear" w:color="auto" w:fill="auto"/>
            <w:noWrap/>
            <w:vAlign w:val="center"/>
            <w:hideMark/>
          </w:tcPr>
          <w:p w14:paraId="7B02C9E5" w14:textId="5F078D74" w:rsidR="00EF3B9C" w:rsidRPr="002D4B12" w:rsidRDefault="00EF3B9C" w:rsidP="005D7674">
            <w:pPr>
              <w:spacing w:line="240" w:lineRule="auto"/>
              <w:jc w:val="center"/>
              <w:rPr>
                <w:rFonts w:eastAsia="Times New Roman"/>
                <w:b/>
                <w:bCs/>
                <w:sz w:val="20"/>
                <w:szCs w:val="20"/>
                <w:lang w:eastAsia="cs-CZ"/>
              </w:rPr>
            </w:pPr>
            <w:r w:rsidRPr="002D4B12">
              <w:rPr>
                <w:rFonts w:eastAsia="Times New Roman"/>
                <w:b/>
                <w:bCs/>
                <w:sz w:val="20"/>
                <w:szCs w:val="20"/>
                <w:lang w:eastAsia="cs-CZ"/>
              </w:rPr>
              <w:t>-11 %</w:t>
            </w:r>
          </w:p>
        </w:tc>
      </w:tr>
      <w:tr w:rsidR="00F15667" w:rsidRPr="002D4B12" w14:paraId="6980778A" w14:textId="77777777" w:rsidTr="005D7674">
        <w:trPr>
          <w:trHeight w:val="330"/>
        </w:trPr>
        <w:tc>
          <w:tcPr>
            <w:tcW w:w="2440" w:type="dxa"/>
            <w:tcBorders>
              <w:top w:val="nil"/>
              <w:left w:val="nil"/>
              <w:bottom w:val="nil"/>
              <w:right w:val="nil"/>
            </w:tcBorders>
            <w:shd w:val="clear" w:color="auto" w:fill="auto"/>
            <w:noWrap/>
            <w:vAlign w:val="center"/>
            <w:hideMark/>
          </w:tcPr>
          <w:p w14:paraId="18D0B5EE" w14:textId="77777777" w:rsidR="00EF3B9C" w:rsidRPr="002D4B12" w:rsidRDefault="00EF3B9C" w:rsidP="005D7674">
            <w:pPr>
              <w:spacing w:line="240" w:lineRule="auto"/>
              <w:jc w:val="center"/>
              <w:rPr>
                <w:rFonts w:eastAsia="Times New Roman"/>
                <w:b/>
                <w:bCs/>
                <w:sz w:val="20"/>
                <w:szCs w:val="20"/>
                <w:lang w:eastAsia="cs-CZ"/>
              </w:rPr>
            </w:pPr>
          </w:p>
        </w:tc>
        <w:tc>
          <w:tcPr>
            <w:tcW w:w="1246" w:type="dxa"/>
            <w:tcBorders>
              <w:top w:val="nil"/>
              <w:left w:val="nil"/>
              <w:bottom w:val="nil"/>
              <w:right w:val="nil"/>
            </w:tcBorders>
            <w:shd w:val="clear" w:color="auto" w:fill="auto"/>
            <w:noWrap/>
            <w:vAlign w:val="center"/>
            <w:hideMark/>
          </w:tcPr>
          <w:p w14:paraId="19E0333F" w14:textId="77777777" w:rsidR="00EF3B9C" w:rsidRPr="002D4B12" w:rsidRDefault="00EF3B9C" w:rsidP="005D7674">
            <w:pPr>
              <w:spacing w:line="240" w:lineRule="auto"/>
              <w:jc w:val="center"/>
              <w:rPr>
                <w:rFonts w:eastAsia="Times New Roman"/>
                <w:sz w:val="20"/>
                <w:szCs w:val="20"/>
                <w:lang w:eastAsia="cs-CZ"/>
              </w:rPr>
            </w:pPr>
          </w:p>
        </w:tc>
        <w:tc>
          <w:tcPr>
            <w:tcW w:w="914" w:type="dxa"/>
            <w:tcBorders>
              <w:top w:val="nil"/>
              <w:left w:val="nil"/>
              <w:bottom w:val="nil"/>
              <w:right w:val="nil"/>
            </w:tcBorders>
            <w:shd w:val="clear" w:color="auto" w:fill="auto"/>
            <w:noWrap/>
            <w:vAlign w:val="center"/>
            <w:hideMark/>
          </w:tcPr>
          <w:p w14:paraId="491AABD0" w14:textId="77777777" w:rsidR="00EF3B9C" w:rsidRPr="002D4B12" w:rsidRDefault="00EF3B9C" w:rsidP="005D7674">
            <w:pPr>
              <w:spacing w:line="240" w:lineRule="auto"/>
              <w:jc w:val="center"/>
              <w:rPr>
                <w:rFonts w:eastAsia="Times New Roman"/>
                <w:sz w:val="20"/>
                <w:szCs w:val="20"/>
                <w:lang w:eastAsia="cs-CZ"/>
              </w:rPr>
            </w:pPr>
          </w:p>
        </w:tc>
        <w:tc>
          <w:tcPr>
            <w:tcW w:w="1212" w:type="dxa"/>
            <w:tcBorders>
              <w:top w:val="nil"/>
              <w:left w:val="nil"/>
              <w:bottom w:val="nil"/>
              <w:right w:val="nil"/>
            </w:tcBorders>
            <w:shd w:val="clear" w:color="auto" w:fill="auto"/>
            <w:noWrap/>
            <w:vAlign w:val="center"/>
            <w:hideMark/>
          </w:tcPr>
          <w:p w14:paraId="1F3E1FAF" w14:textId="77777777" w:rsidR="00EF3B9C" w:rsidRPr="002D4B12" w:rsidRDefault="00EF3B9C" w:rsidP="005D7674">
            <w:pPr>
              <w:spacing w:line="240" w:lineRule="auto"/>
              <w:jc w:val="center"/>
              <w:rPr>
                <w:rFonts w:eastAsia="Times New Roman"/>
                <w:sz w:val="20"/>
                <w:szCs w:val="20"/>
                <w:lang w:eastAsia="cs-CZ"/>
              </w:rPr>
            </w:pPr>
          </w:p>
        </w:tc>
        <w:tc>
          <w:tcPr>
            <w:tcW w:w="948" w:type="dxa"/>
            <w:tcBorders>
              <w:top w:val="nil"/>
              <w:left w:val="nil"/>
              <w:bottom w:val="nil"/>
              <w:right w:val="nil"/>
            </w:tcBorders>
            <w:shd w:val="clear" w:color="auto" w:fill="auto"/>
            <w:noWrap/>
            <w:vAlign w:val="center"/>
            <w:hideMark/>
          </w:tcPr>
          <w:p w14:paraId="2D523D3D" w14:textId="77777777" w:rsidR="00EF3B9C" w:rsidRPr="002D4B12" w:rsidRDefault="00EF3B9C" w:rsidP="005D7674">
            <w:pPr>
              <w:spacing w:line="240" w:lineRule="auto"/>
              <w:jc w:val="center"/>
              <w:rPr>
                <w:rFonts w:eastAsia="Times New Roman"/>
                <w:sz w:val="20"/>
                <w:szCs w:val="20"/>
                <w:lang w:eastAsia="cs-CZ"/>
              </w:rPr>
            </w:pPr>
          </w:p>
        </w:tc>
        <w:tc>
          <w:tcPr>
            <w:tcW w:w="1178" w:type="dxa"/>
            <w:tcBorders>
              <w:top w:val="nil"/>
              <w:left w:val="nil"/>
              <w:bottom w:val="nil"/>
              <w:right w:val="nil"/>
            </w:tcBorders>
            <w:shd w:val="clear" w:color="auto" w:fill="auto"/>
            <w:noWrap/>
            <w:vAlign w:val="center"/>
            <w:hideMark/>
          </w:tcPr>
          <w:p w14:paraId="47041DA2" w14:textId="77777777" w:rsidR="00EF3B9C" w:rsidRPr="002D4B12" w:rsidRDefault="00EF3B9C" w:rsidP="005D7674">
            <w:pPr>
              <w:spacing w:line="240" w:lineRule="auto"/>
              <w:jc w:val="center"/>
              <w:rPr>
                <w:rFonts w:eastAsia="Times New Roman"/>
                <w:sz w:val="20"/>
                <w:szCs w:val="20"/>
                <w:lang w:eastAsia="cs-CZ"/>
              </w:rPr>
            </w:pPr>
          </w:p>
        </w:tc>
        <w:tc>
          <w:tcPr>
            <w:tcW w:w="993" w:type="dxa"/>
            <w:tcBorders>
              <w:top w:val="nil"/>
              <w:left w:val="nil"/>
              <w:bottom w:val="nil"/>
              <w:right w:val="nil"/>
            </w:tcBorders>
            <w:shd w:val="clear" w:color="auto" w:fill="auto"/>
            <w:noWrap/>
            <w:vAlign w:val="center"/>
            <w:hideMark/>
          </w:tcPr>
          <w:p w14:paraId="03F1ACD7" w14:textId="77777777" w:rsidR="00EF3B9C" w:rsidRPr="002D4B12" w:rsidRDefault="00EF3B9C" w:rsidP="005D7674">
            <w:pPr>
              <w:spacing w:line="240" w:lineRule="auto"/>
              <w:jc w:val="center"/>
              <w:rPr>
                <w:rFonts w:eastAsia="Times New Roman"/>
                <w:sz w:val="20"/>
                <w:szCs w:val="20"/>
                <w:lang w:eastAsia="cs-CZ"/>
              </w:rPr>
            </w:pPr>
          </w:p>
        </w:tc>
      </w:tr>
    </w:tbl>
    <w:p w14:paraId="74A136E1" w14:textId="4D8D4388" w:rsidR="00C44A37" w:rsidRPr="002D4B12" w:rsidRDefault="00C44A37" w:rsidP="00C44A37">
      <w:pPr>
        <w:pStyle w:val="OdstavecASR"/>
      </w:pPr>
      <w:bookmarkStart w:id="267" w:name="_Toc515871350"/>
      <w:bookmarkStart w:id="268" w:name="_Toc11135085"/>
      <w:bookmarkStart w:id="269" w:name="_Toc43841401"/>
      <w:bookmarkStart w:id="270" w:name="_Toc75952203"/>
      <w:bookmarkStart w:id="271" w:name="_Toc106106656"/>
      <w:r w:rsidRPr="002D4B12">
        <w:t>Samozřejmě došlo k pohybům na úrovni okresních soudů. Při porovnání s kartogramem v předchozí výroční statistické zprávě soudní okresy hlavně „zesvětlely“ (snížily průměrnou délku řízení). Nejdelší řízení vykazují stejně jako u civilního řízení</w:t>
      </w:r>
      <w:r w:rsidRPr="002D4B12" w:rsidDel="00120082">
        <w:t xml:space="preserve"> </w:t>
      </w:r>
      <w:r w:rsidRPr="002D4B12">
        <w:t>okresní soudy v Severočeském kraji. Délky řízení u okresních soudů v ostatních krajích jsou poměrně vyrovnané. Tři soudy s nejkratší mediánovou délkou řízení jsou OS Beroun (38 dnů), OS Mladá Boleslav (40 dnů) a OS Ústí nad Orlicí (42 dnů). Délky řízení u nejpomalejších soudů byly v tomto roce asi pětkrát až šestkrát vyšší – OS Děčín (</w:t>
      </w:r>
      <w:r w:rsidR="00AC197F" w:rsidRPr="002D4B12">
        <w:t xml:space="preserve">199 dnů; obrovské zlepšení ze </w:t>
      </w:r>
      <w:r w:rsidRPr="002D4B12">
        <w:t>326 dnů), OS Chomutov (</w:t>
      </w:r>
      <w:r w:rsidR="00AC197F" w:rsidRPr="002D4B12">
        <w:t>168</w:t>
      </w:r>
      <w:r w:rsidRPr="002D4B12">
        <w:t xml:space="preserve"> dnů) a OS </w:t>
      </w:r>
      <w:r w:rsidR="00AC197F" w:rsidRPr="002D4B12">
        <w:t>Písek</w:t>
      </w:r>
      <w:r w:rsidRPr="002D4B12">
        <w:t xml:space="preserve"> (1</w:t>
      </w:r>
      <w:r w:rsidR="00AC197F" w:rsidRPr="002D4B12">
        <w:t>62</w:t>
      </w:r>
      <w:r w:rsidRPr="002D4B12">
        <w:t xml:space="preserve"> dnů). Za zmínku </w:t>
      </w:r>
      <w:r w:rsidR="00AC197F" w:rsidRPr="002D4B12">
        <w:t xml:space="preserve">dále </w:t>
      </w:r>
      <w:r w:rsidRPr="002D4B12">
        <w:t>rozhodně stojí vylepšení statistik u OS v Ústí nad Labem. Tento soud „tradičně“ patřil mezi 3 soudy s nejdelší délkou řízení. V roce 2019 již byla jeho délka řízení pod 200 dny (přesně řečeno 187 dnů), tedy pod celorepublikovým průměrem. V roce 2020 si délku řízení pod 200 dnů udržel (190 dnů) a v roce 2021 vykázal mediánovou délku řízení 142 dnů</w:t>
      </w:r>
      <w:r w:rsidR="00AC197F" w:rsidRPr="002D4B12">
        <w:t xml:space="preserve"> a</w:t>
      </w:r>
      <w:r w:rsidR="00784687" w:rsidRPr="002D4B12">
        <w:t> </w:t>
      </w:r>
      <w:r w:rsidR="00AC197F" w:rsidRPr="002D4B12">
        <w:t>v roce 2022 měl délku řízení jen 104 dnů.</w:t>
      </w:r>
    </w:p>
    <w:p w14:paraId="509F2C0E" w14:textId="77777777" w:rsidR="00C44A37" w:rsidRPr="002D4B12" w:rsidRDefault="00C44A37">
      <w:pPr>
        <w:spacing w:after="160" w:line="259" w:lineRule="auto"/>
        <w:jc w:val="left"/>
        <w:rPr>
          <w:rFonts w:eastAsia="Times New Roman"/>
          <w:b/>
          <w:iCs/>
          <w:spacing w:val="15"/>
          <w:szCs w:val="24"/>
        </w:rPr>
      </w:pPr>
      <w:r w:rsidRPr="002D4B12">
        <w:br w:type="page"/>
      </w:r>
    </w:p>
    <w:p w14:paraId="375BC4E4" w14:textId="13CF5C1F" w:rsidR="00BF5DB7" w:rsidRPr="002D4B12" w:rsidRDefault="00BF5DB7" w:rsidP="00BF5DB7">
      <w:pPr>
        <w:pStyle w:val="Podnadpis"/>
        <w:rPr>
          <w:color w:val="auto"/>
        </w:rPr>
      </w:pPr>
      <w:bookmarkStart w:id="272" w:name="_Toc144104133"/>
      <w:r w:rsidRPr="002D4B12">
        <w:rPr>
          <w:color w:val="auto"/>
        </w:rPr>
        <w:lastRenderedPageBreak/>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21</w:t>
      </w:r>
      <w:r w:rsidR="009A10E2" w:rsidRPr="002D4B12">
        <w:rPr>
          <w:color w:val="auto"/>
        </w:rPr>
        <w:fldChar w:fldCharType="end"/>
      </w:r>
      <w:r w:rsidRPr="002D4B12">
        <w:rPr>
          <w:color w:val="auto"/>
        </w:rPr>
        <w:t>: OS – mediánové délky trestního řízení u jednotlivých soudů</w:t>
      </w:r>
      <w:bookmarkEnd w:id="267"/>
      <w:bookmarkEnd w:id="268"/>
      <w:bookmarkEnd w:id="269"/>
      <w:bookmarkEnd w:id="270"/>
      <w:bookmarkEnd w:id="271"/>
      <w:bookmarkEnd w:id="272"/>
    </w:p>
    <w:p w14:paraId="253DF62F" w14:textId="4A67EE45" w:rsidR="00EF3B9C" w:rsidRPr="002D4B12" w:rsidRDefault="00C348AA" w:rsidP="00BC264E">
      <w:pPr>
        <w:pStyle w:val="OdstavecASR"/>
      </w:pPr>
      <w:r w:rsidRPr="002D4B12">
        <w:rPr>
          <w:noProof/>
          <w:lang w:eastAsia="cs-CZ"/>
        </w:rPr>
        <w:drawing>
          <wp:anchor distT="0" distB="0" distL="114300" distR="114300" simplePos="0" relativeHeight="251669504" behindDoc="0" locked="0" layoutInCell="1" allowOverlap="1" wp14:anchorId="6D5F2676" wp14:editId="626CC249">
            <wp:simplePos x="0" y="0"/>
            <wp:positionH relativeFrom="margin">
              <wp:posOffset>4458335</wp:posOffset>
            </wp:positionH>
            <wp:positionV relativeFrom="paragraph">
              <wp:posOffset>48260</wp:posOffset>
            </wp:positionV>
            <wp:extent cx="1276985" cy="928716"/>
            <wp:effectExtent l="0" t="0" r="0" b="508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76985" cy="9287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4B12">
        <w:rPr>
          <w:noProof/>
          <w:lang w:eastAsia="cs-CZ"/>
        </w:rPr>
        <w:drawing>
          <wp:inline distT="0" distB="0" distL="0" distR="0" wp14:anchorId="71BF7688" wp14:editId="1B4B503A">
            <wp:extent cx="5759450" cy="3296285"/>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00733823" w14:textId="6CD83F22" w:rsidR="00BF5DB7" w:rsidRPr="002D4B12" w:rsidRDefault="00BF5DB7" w:rsidP="00BF5DB7">
      <w:pPr>
        <w:pStyle w:val="Podnadpis"/>
        <w:rPr>
          <w:color w:val="auto"/>
        </w:rPr>
      </w:pPr>
      <w:bookmarkStart w:id="273" w:name="_Toc43841402"/>
      <w:bookmarkStart w:id="274" w:name="_Toc75952204"/>
      <w:bookmarkStart w:id="275" w:name="_Toc106106657"/>
      <w:bookmarkStart w:id="276" w:name="_Toc144104134"/>
      <w:r w:rsidRPr="002D4B12">
        <w:rPr>
          <w:color w:val="auto"/>
        </w:rPr>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22</w:t>
      </w:r>
      <w:r w:rsidR="009A10E2" w:rsidRPr="002D4B12">
        <w:rPr>
          <w:color w:val="auto"/>
        </w:rPr>
        <w:fldChar w:fldCharType="end"/>
      </w:r>
      <w:r w:rsidRPr="002D4B12">
        <w:rPr>
          <w:color w:val="auto"/>
        </w:rPr>
        <w:t>: OS – krabicové grafy, mediánové délky trestního řízení</w:t>
      </w:r>
      <w:bookmarkEnd w:id="273"/>
      <w:bookmarkEnd w:id="274"/>
      <w:bookmarkEnd w:id="275"/>
      <w:bookmarkEnd w:id="276"/>
    </w:p>
    <w:p w14:paraId="526F9B3F" w14:textId="3E86E463" w:rsidR="00BF5DB7" w:rsidRPr="002D4B12" w:rsidRDefault="00BF5DB7" w:rsidP="00BC264E">
      <w:pPr>
        <w:pStyle w:val="OdstavecASR"/>
      </w:pPr>
      <w:r w:rsidRPr="002D4B12">
        <w:rPr>
          <w:noProof/>
          <w:lang w:eastAsia="cs-CZ"/>
        </w:rPr>
        <w:drawing>
          <wp:inline distT="0" distB="0" distL="0" distR="0" wp14:anchorId="325DB968" wp14:editId="3CEBD63E">
            <wp:extent cx="5029200" cy="365760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15C995C" w14:textId="633EB43F" w:rsidR="004D6F2E" w:rsidRPr="002D4B12" w:rsidRDefault="004D6F2E" w:rsidP="004D6F2E">
      <w:pPr>
        <w:pStyle w:val="OdstavecASR"/>
      </w:pPr>
      <w:r w:rsidRPr="002D4B12">
        <w:t>Z krabicového grafu vidíme, že rozdíly mezi soudy se v letech 2018 až 2021 příliš neměnil</w:t>
      </w:r>
      <w:r w:rsidR="006023DD" w:rsidRPr="002D4B12">
        <w:t>y</w:t>
      </w:r>
      <w:r w:rsidRPr="002D4B12">
        <w:t xml:space="preserve">. V roce 2018 však přeci jen došlo ke zlepšení u nejpomalejších soudů, kdy se odlehlé hodnoty přiblížily „ke krabici“. V roce 2019 se z hlediska variability oproti roku 2018 nic nezměnilo. Sice klesla délka řízení u některých nejpomalejších soudů, u jiných soudů ale vzrostla, a tak je zlepšující se soudy vlastně „nahradily“. V roce 2020 došlo k mírnému snížení variability. Několik odlehlých hodnot je nyní v boxu. Pouze jeden soud (OS Děčín) vykazoval délku řízení přes 200 dnů, a jak je vidět na </w:t>
      </w:r>
      <w:r w:rsidRPr="002D4B12">
        <w:lastRenderedPageBreak/>
        <w:t xml:space="preserve">grafu, jedná se o bod, který je zdaleka nejdále od boxu. V roce 2021 pak „odskočily“ dva body (soudy), a to OS Děčín a OS Chomutov, kde se délka řízení v roce 2021 prodloužila. Celkové snížení délky řízení v roce 2022 se odrazilo i v krabicovém grafu, kdy se celý box posunul dolů. Rovněž se k němu značně přiblížily odlehlé hodnoty, což je pozitivní jev ukazující na snižování variability mezi soudy. </w:t>
      </w:r>
    </w:p>
    <w:p w14:paraId="190E94CB" w14:textId="7FAE74EB" w:rsidR="00A568DD" w:rsidRPr="002D4B12" w:rsidRDefault="004D6F2E" w:rsidP="004D6F2E">
      <w:pPr>
        <w:pStyle w:val="OdstavecASR"/>
      </w:pPr>
      <w:r w:rsidRPr="002D4B12">
        <w:t>Stejně jako u civilního řízení se na délky řízení v roce 202</w:t>
      </w:r>
      <w:r w:rsidR="00A568DD" w:rsidRPr="002D4B12">
        <w:t>2</w:t>
      </w:r>
      <w:r w:rsidRPr="002D4B12">
        <w:t xml:space="preserve"> podíváme ještě pomocí histogramu. Šířka jednoho intervalu (sloupce) je 25 dnů. Pro lepší přehlednost uvádíme všechny délky řízení delší než 800 dnů v jednom sloupci (na grafu nejvíce vpravo). Proto je tento sloupec výrazně „vyšší“ než sloupce předchozí. Distribuce délek </w:t>
      </w:r>
      <w:r w:rsidR="00A568DD" w:rsidRPr="002D4B12">
        <w:t>se oproti předchozím letům mírně změnila (lze říc</w:t>
      </w:r>
      <w:r w:rsidR="00D05119" w:rsidRPr="002D4B12">
        <w:t>i</w:t>
      </w:r>
      <w:r w:rsidR="00A568DD" w:rsidRPr="002D4B12">
        <w:t xml:space="preserve"> že se zlepšila).</w:t>
      </w:r>
    </w:p>
    <w:p w14:paraId="30C86075" w14:textId="70E44AD6" w:rsidR="004D6F2E" w:rsidRPr="002D4B12" w:rsidRDefault="004D6F2E" w:rsidP="004D6F2E">
      <w:pPr>
        <w:pStyle w:val="Odstavecseseznamem"/>
        <w:numPr>
          <w:ilvl w:val="0"/>
          <w:numId w:val="9"/>
        </w:numPr>
      </w:pPr>
      <w:r w:rsidRPr="002D4B12">
        <w:t xml:space="preserve">Jen </w:t>
      </w:r>
      <w:r w:rsidR="00A568DD" w:rsidRPr="002D4B12">
        <w:t>4</w:t>
      </w:r>
      <w:r w:rsidRPr="002D4B12">
        <w:t> % věcí bylo vyřízeno za více než 800 dnů.</w:t>
      </w:r>
    </w:p>
    <w:p w14:paraId="12292307" w14:textId="24D6C675" w:rsidR="004D6F2E" w:rsidRPr="002D4B12" w:rsidRDefault="00A568DD" w:rsidP="004D6F2E">
      <w:pPr>
        <w:pStyle w:val="Odstavecseseznamem"/>
        <w:numPr>
          <w:ilvl w:val="0"/>
          <w:numId w:val="8"/>
        </w:numPr>
        <w:ind w:left="714" w:hanging="357"/>
        <w:jc w:val="left"/>
      </w:pPr>
      <w:r w:rsidRPr="002D4B12">
        <w:t>Přes 30 %</w:t>
      </w:r>
      <w:r w:rsidR="004D6F2E" w:rsidRPr="002D4B12">
        <w:t xml:space="preserve"> věcí byl</w:t>
      </w:r>
      <w:r w:rsidRPr="002D4B12">
        <w:t>o</w:t>
      </w:r>
      <w:r w:rsidR="004D6F2E" w:rsidRPr="002D4B12">
        <w:t xml:space="preserve"> vyřízena velice rychle – do 50 dnů ode dne nápadu u soudu</w:t>
      </w:r>
      <w:r w:rsidRPr="002D4B12">
        <w:t xml:space="preserve"> (loni asi 25 %).</w:t>
      </w:r>
    </w:p>
    <w:p w14:paraId="4F3171B3" w14:textId="78B6C8EB" w:rsidR="004D6F2E" w:rsidRPr="002D4B12" w:rsidRDefault="004D6F2E" w:rsidP="004D6F2E">
      <w:pPr>
        <w:pStyle w:val="Odstavecseseznamem"/>
        <w:numPr>
          <w:ilvl w:val="0"/>
          <w:numId w:val="8"/>
        </w:numPr>
        <w:ind w:left="714" w:hanging="357"/>
        <w:jc w:val="left"/>
      </w:pPr>
      <w:r w:rsidRPr="002D4B12">
        <w:t xml:space="preserve">Největší skupina věcí (cca </w:t>
      </w:r>
      <w:r w:rsidR="00A568DD" w:rsidRPr="002D4B12">
        <w:t>21</w:t>
      </w:r>
      <w:r w:rsidRPr="002D4B12">
        <w:t> %</w:t>
      </w:r>
      <w:r w:rsidR="00A568DD" w:rsidRPr="002D4B12">
        <w:t>, loni 17 %</w:t>
      </w:r>
      <w:r w:rsidRPr="002D4B12">
        <w:t>) byla vyřízena za 26 až 50 dnů. S přibývající délkou řízení četnost klesá.</w:t>
      </w:r>
    </w:p>
    <w:p w14:paraId="36E3B5AC" w14:textId="77777777" w:rsidR="004D6F2E" w:rsidRPr="002D4B12" w:rsidRDefault="004D6F2E" w:rsidP="004D6F2E">
      <w:pPr>
        <w:pStyle w:val="Odstavecseseznamem"/>
        <w:numPr>
          <w:ilvl w:val="0"/>
          <w:numId w:val="8"/>
        </w:numPr>
        <w:ind w:left="714" w:hanging="357"/>
        <w:jc w:val="left"/>
      </w:pPr>
      <w:r w:rsidRPr="002D4B12">
        <w:t>Rozdělení délek řízení je celkem podobné rozdělení v civilním řízení. Absolutní hodnoty jsou ale výrazně nižší.</w:t>
      </w:r>
    </w:p>
    <w:p w14:paraId="7215384C" w14:textId="25D0D61C" w:rsidR="004D6F2E" w:rsidRPr="002D4B12" w:rsidRDefault="004D6F2E" w:rsidP="004D6F2E">
      <w:pPr>
        <w:pStyle w:val="Podnadpis"/>
        <w:rPr>
          <w:color w:val="auto"/>
        </w:rPr>
      </w:pPr>
      <w:bookmarkStart w:id="277" w:name="_Toc515871352"/>
      <w:bookmarkStart w:id="278" w:name="_Toc11135087"/>
      <w:bookmarkStart w:id="279" w:name="_Toc43841403"/>
      <w:bookmarkStart w:id="280" w:name="_Toc75952205"/>
      <w:bookmarkStart w:id="281" w:name="_Toc106106658"/>
      <w:bookmarkStart w:id="282" w:name="_Toc144104135"/>
      <w:r w:rsidRPr="002D4B12">
        <w:rPr>
          <w:color w:val="auto"/>
        </w:rPr>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23</w:t>
      </w:r>
      <w:r w:rsidR="009A10E2" w:rsidRPr="002D4B12">
        <w:rPr>
          <w:color w:val="auto"/>
        </w:rPr>
        <w:fldChar w:fldCharType="end"/>
      </w:r>
      <w:r w:rsidRPr="002D4B12">
        <w:rPr>
          <w:color w:val="auto"/>
        </w:rPr>
        <w:t>: OS – distribuce délek trestního řízení</w:t>
      </w:r>
      <w:bookmarkEnd w:id="277"/>
      <w:bookmarkEnd w:id="278"/>
      <w:bookmarkEnd w:id="279"/>
      <w:bookmarkEnd w:id="280"/>
      <w:bookmarkEnd w:id="281"/>
      <w:bookmarkEnd w:id="282"/>
    </w:p>
    <w:p w14:paraId="062808F6" w14:textId="1F5EAED6" w:rsidR="004D6F2E" w:rsidRPr="002D4B12" w:rsidRDefault="00A568DD" w:rsidP="004D6F2E">
      <w:pPr>
        <w:pStyle w:val="OdstavecASR"/>
      </w:pPr>
      <w:r w:rsidRPr="002D4B12">
        <w:rPr>
          <w:noProof/>
          <w:lang w:eastAsia="cs-CZ"/>
        </w:rPr>
        <w:drawing>
          <wp:inline distT="0" distB="0" distL="0" distR="0" wp14:anchorId="70DCE917" wp14:editId="0554C037">
            <wp:extent cx="5029200" cy="36576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C617C80" w14:textId="77777777" w:rsidR="008430BD" w:rsidRPr="002D4B12" w:rsidRDefault="008430BD" w:rsidP="008430BD">
      <w:pPr>
        <w:pStyle w:val="Nadpis3"/>
        <w:numPr>
          <w:ilvl w:val="2"/>
          <w:numId w:val="1"/>
        </w:numPr>
        <w:rPr>
          <w:color w:val="auto"/>
        </w:rPr>
      </w:pPr>
      <w:bookmarkStart w:id="283" w:name="_Toc515871232"/>
      <w:bookmarkStart w:id="284" w:name="_Toc106092729"/>
      <w:bookmarkStart w:id="285" w:name="_Toc144104350"/>
      <w:r w:rsidRPr="002D4B12">
        <w:rPr>
          <w:color w:val="auto"/>
        </w:rPr>
        <w:lastRenderedPageBreak/>
        <w:t>Vyřizování věcí</w:t>
      </w:r>
      <w:bookmarkEnd w:id="283"/>
      <w:bookmarkEnd w:id="284"/>
      <w:bookmarkEnd w:id="285"/>
    </w:p>
    <w:p w14:paraId="1B1B911D" w14:textId="58B892C0" w:rsidR="00F10457" w:rsidRPr="002D4B12" w:rsidRDefault="004A74ED" w:rsidP="004A74ED">
      <w:pPr>
        <w:pStyle w:val="Podnadpis"/>
        <w:numPr>
          <w:ilvl w:val="0"/>
          <w:numId w:val="0"/>
        </w:numPr>
        <w:rPr>
          <w:color w:val="auto"/>
        </w:rPr>
      </w:pPr>
      <w:bookmarkStart w:id="286" w:name="_Toc515871353"/>
      <w:bookmarkStart w:id="287" w:name="_Toc11135088"/>
      <w:bookmarkStart w:id="288" w:name="_Toc43841404"/>
      <w:bookmarkStart w:id="289" w:name="_Toc75952206"/>
      <w:bookmarkStart w:id="290" w:name="_Toc106106659"/>
      <w:bookmarkStart w:id="291" w:name="_Toc144104136"/>
      <w:r w:rsidRPr="002D4B12">
        <w:rPr>
          <w:color w:val="auto"/>
        </w:rPr>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24</w:t>
      </w:r>
      <w:r w:rsidR="009A10E2" w:rsidRPr="002D4B12">
        <w:rPr>
          <w:color w:val="auto"/>
        </w:rPr>
        <w:fldChar w:fldCharType="end"/>
      </w:r>
      <w:r w:rsidRPr="002D4B12">
        <w:rPr>
          <w:color w:val="auto"/>
        </w:rPr>
        <w:t>: OS – vyřizování trestních věcí v letech 2008–</w:t>
      </w:r>
      <w:bookmarkEnd w:id="286"/>
      <w:bookmarkEnd w:id="287"/>
      <w:bookmarkEnd w:id="288"/>
      <w:bookmarkEnd w:id="289"/>
      <w:bookmarkEnd w:id="290"/>
      <w:r w:rsidR="00CD5602" w:rsidRPr="002D4B12">
        <w:rPr>
          <w:color w:val="auto"/>
        </w:rPr>
        <w:t>2022</w:t>
      </w:r>
      <w:bookmarkEnd w:id="291"/>
    </w:p>
    <w:p w14:paraId="428AC31F" w14:textId="4A860118" w:rsidR="00EF3B9C" w:rsidRPr="002D4B12" w:rsidRDefault="00EF3B9C" w:rsidP="00784687">
      <w:pPr>
        <w:pStyle w:val="OdstavecASR"/>
      </w:pPr>
      <w:r w:rsidRPr="002D4B12">
        <w:rPr>
          <w:noProof/>
          <w:lang w:eastAsia="cs-CZ"/>
        </w:rPr>
        <w:drawing>
          <wp:inline distT="0" distB="0" distL="0" distR="0" wp14:anchorId="27FDBC28" wp14:editId="381C7915">
            <wp:extent cx="5029200" cy="365760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38B00A6" w14:textId="677C8083" w:rsidR="004A74ED" w:rsidRPr="002D4B12" w:rsidRDefault="004A74ED" w:rsidP="004A74ED">
      <w:pPr>
        <w:pStyle w:val="OdstavecASR"/>
      </w:pPr>
      <w:r w:rsidRPr="002D4B12">
        <w:t xml:space="preserve">V grafu je na první pohled patrný výrazný a setrvalý pokles v nápadu a počtu vyřízených věcí po roce 2013. Tento trend je opravdu silný a vyplývá z poklesu kriminality na území ČR. Především pokles v nápadu v posledních letech se projevil i v poklesu počtu nevyřízených věcí. Trend se </w:t>
      </w:r>
      <w:r w:rsidR="00D35CFA" w:rsidRPr="002D4B12">
        <w:t xml:space="preserve">přerušil </w:t>
      </w:r>
      <w:r w:rsidRPr="002D4B12">
        <w:t>v roce 2019, kdy byl nápad na úrovni roku 2018. V roce 2020 došlo k prudkému poklesu v počtu příchozích věcí, a to o 13 %. To lze</w:t>
      </w:r>
      <w:r w:rsidR="00145529" w:rsidRPr="002D4B12">
        <w:t xml:space="preserve"> asi</w:t>
      </w:r>
      <w:r w:rsidRPr="002D4B12">
        <w:t xml:space="preserve"> připsat pandemii COVID</w:t>
      </w:r>
      <w:r w:rsidRPr="002D4B12">
        <w:noBreakHyphen/>
        <w:t>19 a vládním opatřením k bránění šíření této pandemie. Během této doby bylo složitější páchat některé druhy trestné činnosti. Dle některých teorií</w:t>
      </w:r>
      <w:r w:rsidRPr="002D4B12">
        <w:rPr>
          <w:rStyle w:val="Znakapoznpodarou"/>
        </w:rPr>
        <w:footnoteReference w:id="8"/>
      </w:r>
      <w:r w:rsidRPr="002D4B12">
        <w:t xml:space="preserve"> mohou pachatele odradit i vyšší tresty. Data ukazují, že během nouzového stavu opravdu byly vyšší tresty ukládány. Vyřízené věci klesly proporcionálně. Stejně jako v civilní agendě se tedy zdá, že COVID</w:t>
      </w:r>
      <w:r w:rsidRPr="002D4B12">
        <w:noBreakHyphen/>
        <w:t>19 snížil nápad (zde dokonce výrazněji), ale nevedl na rozdíl od civilní agendy ke zvýšení v počtu nevyřízených věcí. Lze samozřejmě dovozovat, že s takto nízkým nápadem by za normálního chodu byly soudy schopny snížit počet nedodělků, ale jedná se pouze o spekulaci. V roce 2021 pandemie pokračovala a počet příchozích věcí nezačal stoupat na úroveň před rokem 2020. Právě naopak, dokonce došlo k dalšímu mírnému poklesu o 4 %.</w:t>
      </w:r>
      <w:r w:rsidR="00145529" w:rsidRPr="002D4B12">
        <w:t xml:space="preserve"> V roce 2022 počet příchozích věcí mírně narostl </w:t>
      </w:r>
      <w:bookmarkStart w:id="292" w:name="_Hlk104291227"/>
      <w:r w:rsidR="00145529" w:rsidRPr="002D4B12">
        <w:t xml:space="preserve">a počet vyřízených věcí ho následoval s tím, že ho stále převyšoval. </w:t>
      </w:r>
      <w:r w:rsidRPr="002D4B12">
        <w:t xml:space="preserve">Soudům se </w:t>
      </w:r>
      <w:r w:rsidR="00145529" w:rsidRPr="002D4B12">
        <w:t>tedy podařilo</w:t>
      </w:r>
      <w:r w:rsidRPr="002D4B12">
        <w:t xml:space="preserve"> vyřídit více věcí, než přišlo a počet nevyřízených věcí je tak nejnižší za celé sledované období; od roku 2008 </w:t>
      </w:r>
      <w:r w:rsidR="000C71CB" w:rsidRPr="002D4B12">
        <w:t xml:space="preserve">klesl </w:t>
      </w:r>
      <w:r w:rsidR="00145529" w:rsidRPr="002D4B12">
        <w:t>na méně než</w:t>
      </w:r>
      <w:r w:rsidRPr="002D4B12">
        <w:t xml:space="preserve"> polovinu.</w:t>
      </w:r>
      <w:r w:rsidR="00145529" w:rsidRPr="002D4B12">
        <w:t xml:space="preserve"> Tento trend se konečně také mohl projevit v délkách řízení, jak již bylo zmíněno. </w:t>
      </w:r>
    </w:p>
    <w:p w14:paraId="71001EF4" w14:textId="50C89A82" w:rsidR="00145529" w:rsidRPr="002D4B12" w:rsidRDefault="00145529" w:rsidP="004A74ED">
      <w:pPr>
        <w:pStyle w:val="OdstavecASR"/>
      </w:pPr>
      <w:r w:rsidRPr="002D4B12">
        <w:t>Zajímavé je rovněž, že i po skončení pandemie (zatím?) nenarostl počet příchozích věcí na původní úroveň.</w:t>
      </w:r>
    </w:p>
    <w:p w14:paraId="43025DC2" w14:textId="5E7EDAC5" w:rsidR="00145529" w:rsidRPr="002D4B12" w:rsidRDefault="00145529" w:rsidP="00145529">
      <w:pPr>
        <w:pStyle w:val="Podnadpis"/>
        <w:rPr>
          <w:color w:val="auto"/>
        </w:rPr>
      </w:pPr>
      <w:bookmarkStart w:id="293" w:name="_Toc75952324"/>
      <w:bookmarkStart w:id="294" w:name="_Toc106106783"/>
      <w:bookmarkStart w:id="295" w:name="_Toc144104261"/>
      <w:r w:rsidRPr="002D4B12">
        <w:rPr>
          <w:color w:val="auto"/>
        </w:rPr>
        <w:lastRenderedPageBreak/>
        <w:t xml:space="preserve">Tabulka </w:t>
      </w:r>
      <w:r w:rsidRPr="002D4B12">
        <w:rPr>
          <w:noProof/>
          <w:color w:val="auto"/>
        </w:rPr>
        <w:fldChar w:fldCharType="begin"/>
      </w:r>
      <w:r w:rsidRPr="002D4B12">
        <w:rPr>
          <w:noProof/>
          <w:color w:val="auto"/>
        </w:rPr>
        <w:instrText xml:space="preserve"> SEQ Tabulka \* ARABIC </w:instrText>
      </w:r>
      <w:r w:rsidRPr="002D4B12">
        <w:rPr>
          <w:noProof/>
          <w:color w:val="auto"/>
        </w:rPr>
        <w:fldChar w:fldCharType="separate"/>
      </w:r>
      <w:r w:rsidR="001E1A67">
        <w:rPr>
          <w:noProof/>
          <w:color w:val="auto"/>
        </w:rPr>
        <w:t>22</w:t>
      </w:r>
      <w:r w:rsidRPr="002D4B12">
        <w:rPr>
          <w:noProof/>
          <w:color w:val="auto"/>
        </w:rPr>
        <w:fldChar w:fldCharType="end"/>
      </w:r>
      <w:r w:rsidRPr="002D4B12">
        <w:rPr>
          <w:color w:val="auto"/>
        </w:rPr>
        <w:t>: OS – vyřizování trestních věcí dle krajů</w:t>
      </w:r>
      <w:bookmarkEnd w:id="293"/>
      <w:bookmarkEnd w:id="294"/>
      <w:bookmarkEnd w:id="295"/>
    </w:p>
    <w:tbl>
      <w:tblPr>
        <w:tblW w:w="9140" w:type="dxa"/>
        <w:tblCellMar>
          <w:left w:w="70" w:type="dxa"/>
          <w:right w:w="70" w:type="dxa"/>
        </w:tblCellMar>
        <w:tblLook w:val="04A0" w:firstRow="1" w:lastRow="0" w:firstColumn="1" w:lastColumn="0" w:noHBand="0" w:noVBand="1"/>
      </w:tblPr>
      <w:tblGrid>
        <w:gridCol w:w="2020"/>
        <w:gridCol w:w="1044"/>
        <w:gridCol w:w="835"/>
        <w:gridCol w:w="1044"/>
        <w:gridCol w:w="835"/>
        <w:gridCol w:w="951"/>
        <w:gridCol w:w="872"/>
        <w:gridCol w:w="1539"/>
      </w:tblGrid>
      <w:tr w:rsidR="00F15667" w:rsidRPr="002D4B12" w14:paraId="279B167B" w14:textId="77777777" w:rsidTr="00784687">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0FDAEDA" w14:textId="77777777"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Nadřízený soud</w:t>
            </w:r>
          </w:p>
        </w:tc>
        <w:tc>
          <w:tcPr>
            <w:tcW w:w="5581" w:type="dxa"/>
            <w:gridSpan w:val="6"/>
            <w:tcBorders>
              <w:top w:val="double" w:sz="6" w:space="0" w:color="auto"/>
              <w:left w:val="nil"/>
              <w:bottom w:val="nil"/>
              <w:right w:val="single" w:sz="4" w:space="0" w:color="000000"/>
            </w:tcBorders>
            <w:shd w:val="clear" w:color="auto" w:fill="auto"/>
            <w:noWrap/>
            <w:vAlign w:val="center"/>
            <w:hideMark/>
          </w:tcPr>
          <w:p w14:paraId="5F29A77A" w14:textId="77777777"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14:paraId="5C0ADBB2" w14:textId="77777777"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Míra vyřizování</w:t>
            </w:r>
          </w:p>
        </w:tc>
      </w:tr>
      <w:tr w:rsidR="00F15667" w:rsidRPr="002D4B12" w14:paraId="4383B3DA" w14:textId="77777777" w:rsidTr="00784687">
        <w:trPr>
          <w:trHeight w:val="330"/>
        </w:trPr>
        <w:tc>
          <w:tcPr>
            <w:tcW w:w="2020" w:type="dxa"/>
            <w:vMerge/>
            <w:tcBorders>
              <w:top w:val="double" w:sz="6" w:space="0" w:color="auto"/>
              <w:left w:val="nil"/>
              <w:bottom w:val="double" w:sz="6" w:space="0" w:color="000000"/>
              <w:right w:val="nil"/>
            </w:tcBorders>
            <w:vAlign w:val="center"/>
            <w:hideMark/>
          </w:tcPr>
          <w:p w14:paraId="03BA25DC" w14:textId="77777777" w:rsidR="00145529" w:rsidRPr="002D4B12" w:rsidRDefault="00145529" w:rsidP="00784687">
            <w:pPr>
              <w:spacing w:line="240" w:lineRule="auto"/>
              <w:jc w:val="center"/>
              <w:rPr>
                <w:rFonts w:eastAsia="Times New Roman"/>
                <w:b/>
                <w:bCs/>
                <w:szCs w:val="24"/>
                <w:lang w:eastAsia="cs-CZ"/>
              </w:rPr>
            </w:pPr>
          </w:p>
        </w:tc>
        <w:tc>
          <w:tcPr>
            <w:tcW w:w="1879" w:type="dxa"/>
            <w:gridSpan w:val="2"/>
            <w:tcBorders>
              <w:top w:val="nil"/>
              <w:left w:val="nil"/>
              <w:bottom w:val="double" w:sz="6" w:space="0" w:color="auto"/>
              <w:right w:val="nil"/>
            </w:tcBorders>
            <w:shd w:val="clear" w:color="auto" w:fill="auto"/>
            <w:noWrap/>
            <w:vAlign w:val="center"/>
            <w:hideMark/>
          </w:tcPr>
          <w:p w14:paraId="174B0CBE" w14:textId="77777777"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Nápad + obživa</w:t>
            </w:r>
          </w:p>
        </w:tc>
        <w:tc>
          <w:tcPr>
            <w:tcW w:w="187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53481C2" w14:textId="77777777"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Vyřízeno</w:t>
            </w:r>
          </w:p>
        </w:tc>
        <w:tc>
          <w:tcPr>
            <w:tcW w:w="1823" w:type="dxa"/>
            <w:gridSpan w:val="2"/>
            <w:tcBorders>
              <w:top w:val="nil"/>
              <w:left w:val="nil"/>
              <w:bottom w:val="double" w:sz="6" w:space="0" w:color="auto"/>
              <w:right w:val="single" w:sz="4" w:space="0" w:color="000000"/>
            </w:tcBorders>
            <w:shd w:val="clear" w:color="auto" w:fill="auto"/>
            <w:noWrap/>
            <w:vAlign w:val="center"/>
            <w:hideMark/>
          </w:tcPr>
          <w:p w14:paraId="3A62B3D0" w14:textId="77777777"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14:paraId="7798FF36" w14:textId="77777777" w:rsidR="00145529" w:rsidRPr="002D4B12" w:rsidRDefault="00145529" w:rsidP="00784687">
            <w:pPr>
              <w:spacing w:line="240" w:lineRule="auto"/>
              <w:jc w:val="center"/>
              <w:rPr>
                <w:rFonts w:eastAsia="Times New Roman"/>
                <w:b/>
                <w:bCs/>
                <w:szCs w:val="24"/>
                <w:lang w:eastAsia="cs-CZ"/>
              </w:rPr>
            </w:pPr>
          </w:p>
        </w:tc>
      </w:tr>
      <w:tr w:rsidR="00F15667" w:rsidRPr="002D4B12" w14:paraId="6CC3C098" w14:textId="77777777" w:rsidTr="00784687">
        <w:trPr>
          <w:trHeight w:val="330"/>
        </w:trPr>
        <w:tc>
          <w:tcPr>
            <w:tcW w:w="2020" w:type="dxa"/>
            <w:tcBorders>
              <w:top w:val="single" w:sz="4" w:space="0" w:color="auto"/>
              <w:left w:val="nil"/>
              <w:bottom w:val="single" w:sz="4" w:space="0" w:color="auto"/>
              <w:right w:val="nil"/>
            </w:tcBorders>
            <w:shd w:val="clear" w:color="auto" w:fill="auto"/>
            <w:noWrap/>
            <w:vAlign w:val="center"/>
            <w:hideMark/>
          </w:tcPr>
          <w:p w14:paraId="2E978824" w14:textId="77777777" w:rsidR="00145529" w:rsidRPr="002D4B12" w:rsidRDefault="00145529" w:rsidP="00784687">
            <w:pPr>
              <w:spacing w:line="240" w:lineRule="auto"/>
              <w:jc w:val="left"/>
              <w:rPr>
                <w:rFonts w:eastAsia="Times New Roman"/>
                <w:szCs w:val="24"/>
                <w:lang w:eastAsia="cs-CZ"/>
              </w:rPr>
            </w:pPr>
            <w:r w:rsidRPr="002D4B12">
              <w:rPr>
                <w:rFonts w:eastAsia="Times New Roman"/>
                <w:szCs w:val="24"/>
                <w:lang w:eastAsia="cs-CZ"/>
              </w:rPr>
              <w:t>MS Praha</w:t>
            </w:r>
          </w:p>
        </w:tc>
        <w:tc>
          <w:tcPr>
            <w:tcW w:w="1044" w:type="dxa"/>
            <w:tcBorders>
              <w:top w:val="single" w:sz="4" w:space="0" w:color="auto"/>
              <w:left w:val="nil"/>
              <w:bottom w:val="single" w:sz="4" w:space="0" w:color="auto"/>
              <w:right w:val="nil"/>
            </w:tcBorders>
            <w:shd w:val="clear" w:color="auto" w:fill="auto"/>
            <w:noWrap/>
            <w:vAlign w:val="center"/>
            <w:hideMark/>
          </w:tcPr>
          <w:p w14:paraId="064E8DAC" w14:textId="77777777"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8 705</w:t>
            </w:r>
          </w:p>
        </w:tc>
        <w:tc>
          <w:tcPr>
            <w:tcW w:w="835" w:type="dxa"/>
            <w:tcBorders>
              <w:top w:val="single" w:sz="4" w:space="0" w:color="auto"/>
              <w:left w:val="nil"/>
              <w:bottom w:val="single" w:sz="4" w:space="0" w:color="auto"/>
              <w:right w:val="nil"/>
            </w:tcBorders>
            <w:shd w:val="clear" w:color="auto" w:fill="auto"/>
            <w:noWrap/>
            <w:vAlign w:val="center"/>
            <w:hideMark/>
          </w:tcPr>
          <w:p w14:paraId="0E9DA2A1" w14:textId="52867FAA"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+3 %</w:t>
            </w:r>
          </w:p>
        </w:tc>
        <w:tc>
          <w:tcPr>
            <w:tcW w:w="1044" w:type="dxa"/>
            <w:tcBorders>
              <w:top w:val="single" w:sz="4" w:space="0" w:color="auto"/>
              <w:left w:val="single" w:sz="4" w:space="0" w:color="auto"/>
              <w:bottom w:val="single" w:sz="4" w:space="0" w:color="auto"/>
              <w:right w:val="nil"/>
            </w:tcBorders>
            <w:shd w:val="clear" w:color="auto" w:fill="auto"/>
            <w:noWrap/>
            <w:vAlign w:val="center"/>
            <w:hideMark/>
          </w:tcPr>
          <w:p w14:paraId="5074B53B" w14:textId="77777777"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8 743</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14:paraId="285981DC" w14:textId="0CDC7F5E"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+3 %</w:t>
            </w:r>
          </w:p>
        </w:tc>
        <w:tc>
          <w:tcPr>
            <w:tcW w:w="951" w:type="dxa"/>
            <w:tcBorders>
              <w:top w:val="single" w:sz="4" w:space="0" w:color="auto"/>
              <w:left w:val="nil"/>
              <w:bottom w:val="single" w:sz="4" w:space="0" w:color="auto"/>
              <w:right w:val="nil"/>
            </w:tcBorders>
            <w:shd w:val="clear" w:color="auto" w:fill="auto"/>
            <w:noWrap/>
            <w:vAlign w:val="center"/>
            <w:hideMark/>
          </w:tcPr>
          <w:p w14:paraId="0CD79E35" w14:textId="77777777"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1 121</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14:paraId="46DCFD18" w14:textId="020EEE20"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-3 %</w:t>
            </w:r>
          </w:p>
        </w:tc>
        <w:tc>
          <w:tcPr>
            <w:tcW w:w="1539" w:type="dxa"/>
            <w:tcBorders>
              <w:top w:val="nil"/>
              <w:left w:val="nil"/>
              <w:bottom w:val="single" w:sz="4" w:space="0" w:color="auto"/>
              <w:right w:val="nil"/>
            </w:tcBorders>
            <w:shd w:val="clear" w:color="auto" w:fill="auto"/>
            <w:noWrap/>
            <w:vAlign w:val="center"/>
            <w:hideMark/>
          </w:tcPr>
          <w:p w14:paraId="26E65125" w14:textId="705ABA19"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100</w:t>
            </w:r>
            <w:r w:rsidR="00642B5F" w:rsidRPr="002D4B12">
              <w:rPr>
                <w:rFonts w:eastAsia="Times New Roman"/>
                <w:szCs w:val="24"/>
                <w:lang w:eastAsia="cs-CZ"/>
              </w:rPr>
              <w:t>,</w:t>
            </w:r>
            <w:r w:rsidRPr="002D4B12">
              <w:rPr>
                <w:rFonts w:eastAsia="Times New Roman"/>
                <w:szCs w:val="24"/>
                <w:lang w:eastAsia="cs-CZ"/>
              </w:rPr>
              <w:t>4 %</w:t>
            </w:r>
          </w:p>
        </w:tc>
      </w:tr>
      <w:tr w:rsidR="00F15667" w:rsidRPr="002D4B12" w14:paraId="6DFA214B" w14:textId="77777777" w:rsidTr="00784687">
        <w:trPr>
          <w:trHeight w:val="315"/>
        </w:trPr>
        <w:tc>
          <w:tcPr>
            <w:tcW w:w="2020" w:type="dxa"/>
            <w:tcBorders>
              <w:top w:val="nil"/>
              <w:left w:val="nil"/>
              <w:bottom w:val="single" w:sz="4" w:space="0" w:color="auto"/>
              <w:right w:val="nil"/>
            </w:tcBorders>
            <w:shd w:val="clear" w:color="auto" w:fill="auto"/>
            <w:noWrap/>
            <w:vAlign w:val="center"/>
            <w:hideMark/>
          </w:tcPr>
          <w:p w14:paraId="2CC0845A" w14:textId="77777777" w:rsidR="00145529" w:rsidRPr="002D4B12" w:rsidRDefault="00145529" w:rsidP="00784687">
            <w:pPr>
              <w:spacing w:line="240" w:lineRule="auto"/>
              <w:jc w:val="left"/>
              <w:rPr>
                <w:rFonts w:eastAsia="Times New Roman"/>
                <w:szCs w:val="24"/>
                <w:lang w:eastAsia="cs-CZ"/>
              </w:rPr>
            </w:pPr>
            <w:r w:rsidRPr="002D4B12">
              <w:rPr>
                <w:rFonts w:eastAsia="Times New Roman"/>
                <w:szCs w:val="24"/>
                <w:lang w:eastAsia="cs-CZ"/>
              </w:rPr>
              <w:t>KS Praha</w:t>
            </w:r>
          </w:p>
        </w:tc>
        <w:tc>
          <w:tcPr>
            <w:tcW w:w="1044" w:type="dxa"/>
            <w:tcBorders>
              <w:top w:val="nil"/>
              <w:left w:val="nil"/>
              <w:bottom w:val="single" w:sz="4" w:space="0" w:color="auto"/>
              <w:right w:val="nil"/>
            </w:tcBorders>
            <w:shd w:val="clear" w:color="auto" w:fill="auto"/>
            <w:noWrap/>
            <w:vAlign w:val="center"/>
            <w:hideMark/>
          </w:tcPr>
          <w:p w14:paraId="70A2315B" w14:textId="25AE81D5"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7</w:t>
            </w:r>
            <w:r w:rsidR="00A03BD7" w:rsidRPr="002D4B12">
              <w:rPr>
                <w:rFonts w:eastAsia="Times New Roman"/>
                <w:szCs w:val="24"/>
                <w:lang w:eastAsia="cs-CZ"/>
              </w:rPr>
              <w:t xml:space="preserve"> </w:t>
            </w:r>
            <w:r w:rsidRPr="002D4B12">
              <w:rPr>
                <w:rFonts w:eastAsia="Times New Roman"/>
                <w:szCs w:val="24"/>
                <w:lang w:eastAsia="cs-CZ"/>
              </w:rPr>
              <w:t>436</w:t>
            </w:r>
          </w:p>
        </w:tc>
        <w:tc>
          <w:tcPr>
            <w:tcW w:w="835" w:type="dxa"/>
            <w:tcBorders>
              <w:top w:val="nil"/>
              <w:left w:val="nil"/>
              <w:bottom w:val="single" w:sz="4" w:space="0" w:color="auto"/>
              <w:right w:val="nil"/>
            </w:tcBorders>
            <w:shd w:val="clear" w:color="auto" w:fill="auto"/>
            <w:noWrap/>
            <w:vAlign w:val="center"/>
            <w:hideMark/>
          </w:tcPr>
          <w:p w14:paraId="194C66E6" w14:textId="11D20537"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+6 %</w:t>
            </w:r>
          </w:p>
        </w:tc>
        <w:tc>
          <w:tcPr>
            <w:tcW w:w="1044" w:type="dxa"/>
            <w:tcBorders>
              <w:top w:val="nil"/>
              <w:left w:val="single" w:sz="4" w:space="0" w:color="auto"/>
              <w:bottom w:val="single" w:sz="4" w:space="0" w:color="auto"/>
              <w:right w:val="nil"/>
            </w:tcBorders>
            <w:shd w:val="clear" w:color="auto" w:fill="auto"/>
            <w:noWrap/>
            <w:vAlign w:val="center"/>
            <w:hideMark/>
          </w:tcPr>
          <w:p w14:paraId="23143C54" w14:textId="32B784FF"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7</w:t>
            </w:r>
            <w:r w:rsidR="00A03BD7" w:rsidRPr="002D4B12">
              <w:rPr>
                <w:rFonts w:eastAsia="Times New Roman"/>
                <w:szCs w:val="24"/>
                <w:lang w:eastAsia="cs-CZ"/>
              </w:rPr>
              <w:t xml:space="preserve"> </w:t>
            </w:r>
            <w:r w:rsidRPr="002D4B12">
              <w:rPr>
                <w:rFonts w:eastAsia="Times New Roman"/>
                <w:szCs w:val="24"/>
                <w:lang w:eastAsia="cs-CZ"/>
              </w:rPr>
              <w:t>433</w:t>
            </w:r>
          </w:p>
        </w:tc>
        <w:tc>
          <w:tcPr>
            <w:tcW w:w="835" w:type="dxa"/>
            <w:tcBorders>
              <w:top w:val="nil"/>
              <w:left w:val="nil"/>
              <w:bottom w:val="single" w:sz="4" w:space="0" w:color="auto"/>
              <w:right w:val="single" w:sz="4" w:space="0" w:color="auto"/>
            </w:tcBorders>
            <w:shd w:val="clear" w:color="auto" w:fill="auto"/>
            <w:noWrap/>
            <w:vAlign w:val="center"/>
            <w:hideMark/>
          </w:tcPr>
          <w:p w14:paraId="5A5B33E3" w14:textId="411EBC51"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+3 %</w:t>
            </w:r>
          </w:p>
        </w:tc>
        <w:tc>
          <w:tcPr>
            <w:tcW w:w="951" w:type="dxa"/>
            <w:tcBorders>
              <w:top w:val="nil"/>
              <w:left w:val="nil"/>
              <w:bottom w:val="single" w:sz="4" w:space="0" w:color="auto"/>
              <w:right w:val="nil"/>
            </w:tcBorders>
            <w:shd w:val="clear" w:color="auto" w:fill="auto"/>
            <w:noWrap/>
            <w:vAlign w:val="center"/>
            <w:hideMark/>
          </w:tcPr>
          <w:p w14:paraId="77E26F57" w14:textId="77777777"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484</w:t>
            </w:r>
          </w:p>
        </w:tc>
        <w:tc>
          <w:tcPr>
            <w:tcW w:w="872" w:type="dxa"/>
            <w:tcBorders>
              <w:top w:val="nil"/>
              <w:left w:val="nil"/>
              <w:bottom w:val="single" w:sz="4" w:space="0" w:color="auto"/>
              <w:right w:val="single" w:sz="4" w:space="0" w:color="auto"/>
            </w:tcBorders>
            <w:shd w:val="clear" w:color="auto" w:fill="auto"/>
            <w:noWrap/>
            <w:vAlign w:val="center"/>
            <w:hideMark/>
          </w:tcPr>
          <w:p w14:paraId="44D661AE" w14:textId="532B35C8"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+1 %</w:t>
            </w:r>
          </w:p>
        </w:tc>
        <w:tc>
          <w:tcPr>
            <w:tcW w:w="1539" w:type="dxa"/>
            <w:tcBorders>
              <w:top w:val="nil"/>
              <w:left w:val="nil"/>
              <w:bottom w:val="single" w:sz="4" w:space="0" w:color="auto"/>
              <w:right w:val="nil"/>
            </w:tcBorders>
            <w:shd w:val="clear" w:color="auto" w:fill="auto"/>
            <w:noWrap/>
            <w:vAlign w:val="center"/>
            <w:hideMark/>
          </w:tcPr>
          <w:p w14:paraId="6F6E1A76" w14:textId="61329C03"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100</w:t>
            </w:r>
            <w:r w:rsidR="00642B5F" w:rsidRPr="002D4B12">
              <w:rPr>
                <w:rFonts w:eastAsia="Times New Roman"/>
                <w:szCs w:val="24"/>
                <w:lang w:eastAsia="cs-CZ"/>
              </w:rPr>
              <w:t>,</w:t>
            </w:r>
            <w:r w:rsidRPr="002D4B12">
              <w:rPr>
                <w:rFonts w:eastAsia="Times New Roman"/>
                <w:szCs w:val="24"/>
                <w:lang w:eastAsia="cs-CZ"/>
              </w:rPr>
              <w:t>0 %</w:t>
            </w:r>
          </w:p>
        </w:tc>
      </w:tr>
      <w:tr w:rsidR="00F15667" w:rsidRPr="002D4B12" w14:paraId="0786086A" w14:textId="77777777" w:rsidTr="00784687">
        <w:trPr>
          <w:trHeight w:val="315"/>
        </w:trPr>
        <w:tc>
          <w:tcPr>
            <w:tcW w:w="2020" w:type="dxa"/>
            <w:tcBorders>
              <w:top w:val="nil"/>
              <w:left w:val="nil"/>
              <w:bottom w:val="single" w:sz="4" w:space="0" w:color="auto"/>
              <w:right w:val="nil"/>
            </w:tcBorders>
            <w:shd w:val="clear" w:color="auto" w:fill="auto"/>
            <w:noWrap/>
            <w:vAlign w:val="center"/>
            <w:hideMark/>
          </w:tcPr>
          <w:p w14:paraId="2FDC20F9" w14:textId="77777777" w:rsidR="00145529" w:rsidRPr="002D4B12" w:rsidRDefault="00145529" w:rsidP="00784687">
            <w:pPr>
              <w:spacing w:line="240" w:lineRule="auto"/>
              <w:jc w:val="left"/>
              <w:rPr>
                <w:rFonts w:eastAsia="Times New Roman"/>
                <w:szCs w:val="24"/>
                <w:lang w:eastAsia="cs-CZ"/>
              </w:rPr>
            </w:pPr>
            <w:r w:rsidRPr="002D4B12">
              <w:rPr>
                <w:rFonts w:eastAsia="Times New Roman"/>
                <w:szCs w:val="24"/>
                <w:lang w:eastAsia="cs-CZ"/>
              </w:rPr>
              <w:t>KS Č. Budějovice</w:t>
            </w:r>
          </w:p>
        </w:tc>
        <w:tc>
          <w:tcPr>
            <w:tcW w:w="1044" w:type="dxa"/>
            <w:tcBorders>
              <w:top w:val="nil"/>
              <w:left w:val="nil"/>
              <w:bottom w:val="single" w:sz="4" w:space="0" w:color="auto"/>
              <w:right w:val="nil"/>
            </w:tcBorders>
            <w:shd w:val="clear" w:color="auto" w:fill="auto"/>
            <w:noWrap/>
            <w:vAlign w:val="center"/>
            <w:hideMark/>
          </w:tcPr>
          <w:p w14:paraId="2AE9CB7F" w14:textId="45760274"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4</w:t>
            </w:r>
            <w:r w:rsidR="00A03BD7" w:rsidRPr="002D4B12">
              <w:rPr>
                <w:rFonts w:eastAsia="Times New Roman"/>
                <w:szCs w:val="24"/>
                <w:lang w:eastAsia="cs-CZ"/>
              </w:rPr>
              <w:t xml:space="preserve"> </w:t>
            </w:r>
            <w:r w:rsidRPr="002D4B12">
              <w:rPr>
                <w:rFonts w:eastAsia="Times New Roman"/>
                <w:szCs w:val="24"/>
                <w:lang w:eastAsia="cs-CZ"/>
              </w:rPr>
              <w:t>416</w:t>
            </w:r>
          </w:p>
        </w:tc>
        <w:tc>
          <w:tcPr>
            <w:tcW w:w="835" w:type="dxa"/>
            <w:tcBorders>
              <w:top w:val="nil"/>
              <w:left w:val="nil"/>
              <w:bottom w:val="single" w:sz="4" w:space="0" w:color="auto"/>
              <w:right w:val="nil"/>
            </w:tcBorders>
            <w:shd w:val="clear" w:color="auto" w:fill="auto"/>
            <w:noWrap/>
            <w:vAlign w:val="center"/>
            <w:hideMark/>
          </w:tcPr>
          <w:p w14:paraId="66309536" w14:textId="3BBB2900"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1044" w:type="dxa"/>
            <w:tcBorders>
              <w:top w:val="nil"/>
              <w:left w:val="single" w:sz="4" w:space="0" w:color="auto"/>
              <w:bottom w:val="single" w:sz="4" w:space="0" w:color="auto"/>
              <w:right w:val="nil"/>
            </w:tcBorders>
            <w:shd w:val="clear" w:color="auto" w:fill="auto"/>
            <w:noWrap/>
            <w:vAlign w:val="center"/>
            <w:hideMark/>
          </w:tcPr>
          <w:p w14:paraId="70D91CCB" w14:textId="5B48F17C"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4</w:t>
            </w:r>
            <w:r w:rsidR="00A03BD7" w:rsidRPr="002D4B12">
              <w:rPr>
                <w:rFonts w:eastAsia="Times New Roman"/>
                <w:szCs w:val="24"/>
                <w:lang w:eastAsia="cs-CZ"/>
              </w:rPr>
              <w:t xml:space="preserve"> </w:t>
            </w:r>
            <w:r w:rsidRPr="002D4B12">
              <w:rPr>
                <w:rFonts w:eastAsia="Times New Roman"/>
                <w:szCs w:val="24"/>
                <w:lang w:eastAsia="cs-CZ"/>
              </w:rPr>
              <w:t>464</w:t>
            </w:r>
          </w:p>
        </w:tc>
        <w:tc>
          <w:tcPr>
            <w:tcW w:w="835" w:type="dxa"/>
            <w:tcBorders>
              <w:top w:val="nil"/>
              <w:left w:val="nil"/>
              <w:bottom w:val="single" w:sz="4" w:space="0" w:color="auto"/>
              <w:right w:val="single" w:sz="4" w:space="0" w:color="auto"/>
            </w:tcBorders>
            <w:shd w:val="clear" w:color="auto" w:fill="auto"/>
            <w:noWrap/>
            <w:vAlign w:val="center"/>
            <w:hideMark/>
          </w:tcPr>
          <w:p w14:paraId="54329254" w14:textId="1620BBB2"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+3 %</w:t>
            </w:r>
          </w:p>
        </w:tc>
        <w:tc>
          <w:tcPr>
            <w:tcW w:w="951" w:type="dxa"/>
            <w:tcBorders>
              <w:top w:val="nil"/>
              <w:left w:val="nil"/>
              <w:bottom w:val="single" w:sz="4" w:space="0" w:color="auto"/>
              <w:right w:val="nil"/>
            </w:tcBorders>
            <w:shd w:val="clear" w:color="auto" w:fill="auto"/>
            <w:noWrap/>
            <w:vAlign w:val="center"/>
            <w:hideMark/>
          </w:tcPr>
          <w:p w14:paraId="332480A6" w14:textId="77777777"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492</w:t>
            </w:r>
          </w:p>
        </w:tc>
        <w:tc>
          <w:tcPr>
            <w:tcW w:w="872" w:type="dxa"/>
            <w:tcBorders>
              <w:top w:val="nil"/>
              <w:left w:val="nil"/>
              <w:bottom w:val="single" w:sz="4" w:space="0" w:color="auto"/>
              <w:right w:val="single" w:sz="4" w:space="0" w:color="auto"/>
            </w:tcBorders>
            <w:shd w:val="clear" w:color="auto" w:fill="auto"/>
            <w:noWrap/>
            <w:vAlign w:val="center"/>
            <w:hideMark/>
          </w:tcPr>
          <w:p w14:paraId="1A683BDF" w14:textId="00CD5537"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-9 %</w:t>
            </w:r>
          </w:p>
        </w:tc>
        <w:tc>
          <w:tcPr>
            <w:tcW w:w="1539" w:type="dxa"/>
            <w:tcBorders>
              <w:top w:val="nil"/>
              <w:left w:val="nil"/>
              <w:bottom w:val="single" w:sz="4" w:space="0" w:color="auto"/>
              <w:right w:val="nil"/>
            </w:tcBorders>
            <w:shd w:val="clear" w:color="auto" w:fill="auto"/>
            <w:noWrap/>
            <w:vAlign w:val="center"/>
            <w:hideMark/>
          </w:tcPr>
          <w:p w14:paraId="2BCD8C24" w14:textId="7C26DDC2"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101</w:t>
            </w:r>
            <w:r w:rsidR="00642B5F" w:rsidRPr="002D4B12">
              <w:rPr>
                <w:rFonts w:eastAsia="Times New Roman"/>
                <w:szCs w:val="24"/>
                <w:lang w:eastAsia="cs-CZ"/>
              </w:rPr>
              <w:t>,</w:t>
            </w:r>
            <w:r w:rsidRPr="002D4B12">
              <w:rPr>
                <w:rFonts w:eastAsia="Times New Roman"/>
                <w:szCs w:val="24"/>
                <w:lang w:eastAsia="cs-CZ"/>
              </w:rPr>
              <w:t>1 %</w:t>
            </w:r>
          </w:p>
        </w:tc>
      </w:tr>
      <w:tr w:rsidR="00F15667" w:rsidRPr="002D4B12" w14:paraId="69688BC6" w14:textId="77777777" w:rsidTr="00784687">
        <w:trPr>
          <w:trHeight w:val="315"/>
        </w:trPr>
        <w:tc>
          <w:tcPr>
            <w:tcW w:w="2020" w:type="dxa"/>
            <w:tcBorders>
              <w:top w:val="nil"/>
              <w:left w:val="nil"/>
              <w:bottom w:val="single" w:sz="4" w:space="0" w:color="auto"/>
              <w:right w:val="nil"/>
            </w:tcBorders>
            <w:shd w:val="clear" w:color="auto" w:fill="auto"/>
            <w:noWrap/>
            <w:vAlign w:val="center"/>
            <w:hideMark/>
          </w:tcPr>
          <w:p w14:paraId="3BFD7AFD" w14:textId="77777777" w:rsidR="00145529" w:rsidRPr="002D4B12" w:rsidRDefault="00145529" w:rsidP="00784687">
            <w:pPr>
              <w:spacing w:line="240" w:lineRule="auto"/>
              <w:jc w:val="left"/>
              <w:rPr>
                <w:rFonts w:eastAsia="Times New Roman"/>
                <w:szCs w:val="24"/>
                <w:lang w:eastAsia="cs-CZ"/>
              </w:rPr>
            </w:pPr>
            <w:r w:rsidRPr="002D4B12">
              <w:rPr>
                <w:rFonts w:eastAsia="Times New Roman"/>
                <w:szCs w:val="24"/>
                <w:lang w:eastAsia="cs-CZ"/>
              </w:rPr>
              <w:t>KS Plzeň</w:t>
            </w:r>
          </w:p>
        </w:tc>
        <w:tc>
          <w:tcPr>
            <w:tcW w:w="1044" w:type="dxa"/>
            <w:tcBorders>
              <w:top w:val="nil"/>
              <w:left w:val="nil"/>
              <w:bottom w:val="single" w:sz="4" w:space="0" w:color="auto"/>
              <w:right w:val="nil"/>
            </w:tcBorders>
            <w:shd w:val="clear" w:color="auto" w:fill="auto"/>
            <w:noWrap/>
            <w:vAlign w:val="center"/>
            <w:hideMark/>
          </w:tcPr>
          <w:p w14:paraId="06640365" w14:textId="1864F79E"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5</w:t>
            </w:r>
            <w:r w:rsidR="00A03BD7" w:rsidRPr="002D4B12">
              <w:rPr>
                <w:rFonts w:eastAsia="Times New Roman"/>
                <w:szCs w:val="24"/>
                <w:lang w:eastAsia="cs-CZ"/>
              </w:rPr>
              <w:t xml:space="preserve"> </w:t>
            </w:r>
            <w:r w:rsidRPr="002D4B12">
              <w:rPr>
                <w:rFonts w:eastAsia="Times New Roman"/>
                <w:szCs w:val="24"/>
                <w:lang w:eastAsia="cs-CZ"/>
              </w:rPr>
              <w:t>549</w:t>
            </w:r>
          </w:p>
        </w:tc>
        <w:tc>
          <w:tcPr>
            <w:tcW w:w="835" w:type="dxa"/>
            <w:tcBorders>
              <w:top w:val="nil"/>
              <w:left w:val="nil"/>
              <w:bottom w:val="single" w:sz="4" w:space="0" w:color="auto"/>
              <w:right w:val="nil"/>
            </w:tcBorders>
            <w:shd w:val="clear" w:color="auto" w:fill="auto"/>
            <w:noWrap/>
            <w:vAlign w:val="center"/>
            <w:hideMark/>
          </w:tcPr>
          <w:p w14:paraId="45E2F81B" w14:textId="604ABF46"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1044" w:type="dxa"/>
            <w:tcBorders>
              <w:top w:val="nil"/>
              <w:left w:val="single" w:sz="4" w:space="0" w:color="auto"/>
              <w:bottom w:val="single" w:sz="4" w:space="0" w:color="auto"/>
              <w:right w:val="nil"/>
            </w:tcBorders>
            <w:shd w:val="clear" w:color="auto" w:fill="auto"/>
            <w:noWrap/>
            <w:vAlign w:val="center"/>
            <w:hideMark/>
          </w:tcPr>
          <w:p w14:paraId="2F55096A" w14:textId="747C2C81"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5</w:t>
            </w:r>
            <w:r w:rsidR="00A03BD7" w:rsidRPr="002D4B12">
              <w:rPr>
                <w:rFonts w:eastAsia="Times New Roman"/>
                <w:szCs w:val="24"/>
                <w:lang w:eastAsia="cs-CZ"/>
              </w:rPr>
              <w:t xml:space="preserve"> </w:t>
            </w:r>
            <w:r w:rsidRPr="002D4B12">
              <w:rPr>
                <w:rFonts w:eastAsia="Times New Roman"/>
                <w:szCs w:val="24"/>
                <w:lang w:eastAsia="cs-CZ"/>
              </w:rPr>
              <w:t>628</w:t>
            </w:r>
          </w:p>
        </w:tc>
        <w:tc>
          <w:tcPr>
            <w:tcW w:w="835" w:type="dxa"/>
            <w:tcBorders>
              <w:top w:val="nil"/>
              <w:left w:val="nil"/>
              <w:bottom w:val="single" w:sz="4" w:space="0" w:color="auto"/>
              <w:right w:val="single" w:sz="4" w:space="0" w:color="auto"/>
            </w:tcBorders>
            <w:shd w:val="clear" w:color="auto" w:fill="auto"/>
            <w:noWrap/>
            <w:vAlign w:val="center"/>
            <w:hideMark/>
          </w:tcPr>
          <w:p w14:paraId="6C56E6AC" w14:textId="2E98C549"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+1 %</w:t>
            </w:r>
          </w:p>
        </w:tc>
        <w:tc>
          <w:tcPr>
            <w:tcW w:w="951" w:type="dxa"/>
            <w:tcBorders>
              <w:top w:val="nil"/>
              <w:left w:val="nil"/>
              <w:bottom w:val="single" w:sz="4" w:space="0" w:color="auto"/>
              <w:right w:val="nil"/>
            </w:tcBorders>
            <w:shd w:val="clear" w:color="auto" w:fill="auto"/>
            <w:noWrap/>
            <w:vAlign w:val="center"/>
            <w:hideMark/>
          </w:tcPr>
          <w:p w14:paraId="5CDC330B" w14:textId="77777777"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856</w:t>
            </w:r>
          </w:p>
        </w:tc>
        <w:tc>
          <w:tcPr>
            <w:tcW w:w="872" w:type="dxa"/>
            <w:tcBorders>
              <w:top w:val="nil"/>
              <w:left w:val="nil"/>
              <w:bottom w:val="single" w:sz="4" w:space="0" w:color="auto"/>
              <w:right w:val="single" w:sz="4" w:space="0" w:color="auto"/>
            </w:tcBorders>
            <w:shd w:val="clear" w:color="auto" w:fill="auto"/>
            <w:noWrap/>
            <w:vAlign w:val="center"/>
            <w:hideMark/>
          </w:tcPr>
          <w:p w14:paraId="069F0FD5" w14:textId="35D55331"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-8 %</w:t>
            </w:r>
          </w:p>
        </w:tc>
        <w:tc>
          <w:tcPr>
            <w:tcW w:w="1539" w:type="dxa"/>
            <w:tcBorders>
              <w:top w:val="nil"/>
              <w:left w:val="nil"/>
              <w:bottom w:val="single" w:sz="4" w:space="0" w:color="auto"/>
              <w:right w:val="nil"/>
            </w:tcBorders>
            <w:shd w:val="clear" w:color="auto" w:fill="auto"/>
            <w:noWrap/>
            <w:vAlign w:val="center"/>
            <w:hideMark/>
          </w:tcPr>
          <w:p w14:paraId="1F2F01E6" w14:textId="435E1B46"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101</w:t>
            </w:r>
            <w:r w:rsidR="00642B5F" w:rsidRPr="002D4B12">
              <w:rPr>
                <w:rFonts w:eastAsia="Times New Roman"/>
                <w:szCs w:val="24"/>
                <w:lang w:eastAsia="cs-CZ"/>
              </w:rPr>
              <w:t>,</w:t>
            </w:r>
            <w:r w:rsidRPr="002D4B12">
              <w:rPr>
                <w:rFonts w:eastAsia="Times New Roman"/>
                <w:szCs w:val="24"/>
                <w:lang w:eastAsia="cs-CZ"/>
              </w:rPr>
              <w:t>4 %</w:t>
            </w:r>
          </w:p>
        </w:tc>
      </w:tr>
      <w:tr w:rsidR="00F15667" w:rsidRPr="002D4B12" w14:paraId="21AE736A" w14:textId="77777777" w:rsidTr="00784687">
        <w:trPr>
          <w:trHeight w:val="315"/>
        </w:trPr>
        <w:tc>
          <w:tcPr>
            <w:tcW w:w="2020" w:type="dxa"/>
            <w:tcBorders>
              <w:top w:val="nil"/>
              <w:left w:val="nil"/>
              <w:bottom w:val="single" w:sz="4" w:space="0" w:color="auto"/>
              <w:right w:val="nil"/>
            </w:tcBorders>
            <w:shd w:val="clear" w:color="auto" w:fill="auto"/>
            <w:noWrap/>
            <w:vAlign w:val="center"/>
            <w:hideMark/>
          </w:tcPr>
          <w:p w14:paraId="6AC7261C" w14:textId="77777777" w:rsidR="00145529" w:rsidRPr="002D4B12" w:rsidRDefault="00145529" w:rsidP="00784687">
            <w:pPr>
              <w:spacing w:line="240" w:lineRule="auto"/>
              <w:jc w:val="left"/>
              <w:rPr>
                <w:rFonts w:eastAsia="Times New Roman"/>
                <w:szCs w:val="24"/>
                <w:lang w:eastAsia="cs-CZ"/>
              </w:rPr>
            </w:pPr>
            <w:r w:rsidRPr="002D4B12">
              <w:rPr>
                <w:rFonts w:eastAsia="Times New Roman"/>
                <w:szCs w:val="24"/>
                <w:lang w:eastAsia="cs-CZ"/>
              </w:rPr>
              <w:t>KS Ústí n. Labem</w:t>
            </w:r>
          </w:p>
        </w:tc>
        <w:tc>
          <w:tcPr>
            <w:tcW w:w="1044" w:type="dxa"/>
            <w:tcBorders>
              <w:top w:val="nil"/>
              <w:left w:val="nil"/>
              <w:bottom w:val="single" w:sz="4" w:space="0" w:color="auto"/>
              <w:right w:val="nil"/>
            </w:tcBorders>
            <w:shd w:val="clear" w:color="auto" w:fill="auto"/>
            <w:noWrap/>
            <w:vAlign w:val="center"/>
            <w:hideMark/>
          </w:tcPr>
          <w:p w14:paraId="750DF1AF" w14:textId="5AC45556"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w:t>
            </w:r>
            <w:r w:rsidR="00A03BD7" w:rsidRPr="002D4B12">
              <w:rPr>
                <w:rFonts w:eastAsia="Times New Roman"/>
                <w:szCs w:val="24"/>
                <w:lang w:eastAsia="cs-CZ"/>
              </w:rPr>
              <w:t xml:space="preserve"> </w:t>
            </w:r>
            <w:r w:rsidRPr="002D4B12">
              <w:rPr>
                <w:rFonts w:eastAsia="Times New Roman"/>
                <w:szCs w:val="24"/>
                <w:lang w:eastAsia="cs-CZ"/>
              </w:rPr>
              <w:t>575</w:t>
            </w:r>
          </w:p>
        </w:tc>
        <w:tc>
          <w:tcPr>
            <w:tcW w:w="835" w:type="dxa"/>
            <w:tcBorders>
              <w:top w:val="nil"/>
              <w:left w:val="nil"/>
              <w:bottom w:val="single" w:sz="4" w:space="0" w:color="auto"/>
              <w:right w:val="nil"/>
            </w:tcBorders>
            <w:shd w:val="clear" w:color="auto" w:fill="auto"/>
            <w:noWrap/>
            <w:vAlign w:val="center"/>
            <w:hideMark/>
          </w:tcPr>
          <w:p w14:paraId="32FDCDF9" w14:textId="53E55830"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1044" w:type="dxa"/>
            <w:tcBorders>
              <w:top w:val="nil"/>
              <w:left w:val="single" w:sz="4" w:space="0" w:color="auto"/>
              <w:bottom w:val="single" w:sz="4" w:space="0" w:color="auto"/>
              <w:right w:val="nil"/>
            </w:tcBorders>
            <w:shd w:val="clear" w:color="auto" w:fill="auto"/>
            <w:noWrap/>
            <w:vAlign w:val="center"/>
            <w:hideMark/>
          </w:tcPr>
          <w:p w14:paraId="4DD385A0" w14:textId="390AA37A"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w:t>
            </w:r>
            <w:r w:rsidR="00A03BD7" w:rsidRPr="002D4B12">
              <w:rPr>
                <w:rFonts w:eastAsia="Times New Roman"/>
                <w:szCs w:val="24"/>
                <w:lang w:eastAsia="cs-CZ"/>
              </w:rPr>
              <w:t xml:space="preserve"> </w:t>
            </w:r>
            <w:r w:rsidRPr="002D4B12">
              <w:rPr>
                <w:rFonts w:eastAsia="Times New Roman"/>
                <w:szCs w:val="24"/>
                <w:lang w:eastAsia="cs-CZ"/>
              </w:rPr>
              <w:t>831</w:t>
            </w:r>
          </w:p>
        </w:tc>
        <w:tc>
          <w:tcPr>
            <w:tcW w:w="835" w:type="dxa"/>
            <w:tcBorders>
              <w:top w:val="nil"/>
              <w:left w:val="nil"/>
              <w:bottom w:val="single" w:sz="4" w:space="0" w:color="auto"/>
              <w:right w:val="single" w:sz="4" w:space="0" w:color="auto"/>
            </w:tcBorders>
            <w:shd w:val="clear" w:color="auto" w:fill="auto"/>
            <w:noWrap/>
            <w:vAlign w:val="center"/>
            <w:hideMark/>
          </w:tcPr>
          <w:p w14:paraId="46BA1F7F" w14:textId="20751E07"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+1 %</w:t>
            </w:r>
          </w:p>
        </w:tc>
        <w:tc>
          <w:tcPr>
            <w:tcW w:w="951" w:type="dxa"/>
            <w:tcBorders>
              <w:top w:val="nil"/>
              <w:left w:val="nil"/>
              <w:bottom w:val="single" w:sz="4" w:space="0" w:color="auto"/>
              <w:right w:val="nil"/>
            </w:tcBorders>
            <w:shd w:val="clear" w:color="auto" w:fill="auto"/>
            <w:noWrap/>
            <w:vAlign w:val="center"/>
            <w:hideMark/>
          </w:tcPr>
          <w:p w14:paraId="6D5712D7" w14:textId="682E53FD"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2</w:t>
            </w:r>
            <w:r w:rsidR="00A03BD7" w:rsidRPr="002D4B12">
              <w:rPr>
                <w:rFonts w:eastAsia="Times New Roman"/>
                <w:szCs w:val="24"/>
                <w:lang w:eastAsia="cs-CZ"/>
              </w:rPr>
              <w:t xml:space="preserve"> </w:t>
            </w:r>
            <w:r w:rsidRPr="002D4B12">
              <w:rPr>
                <w:rFonts w:eastAsia="Times New Roman"/>
                <w:szCs w:val="24"/>
                <w:lang w:eastAsia="cs-CZ"/>
              </w:rPr>
              <w:t>537</w:t>
            </w:r>
          </w:p>
        </w:tc>
        <w:tc>
          <w:tcPr>
            <w:tcW w:w="872" w:type="dxa"/>
            <w:tcBorders>
              <w:top w:val="nil"/>
              <w:left w:val="nil"/>
              <w:bottom w:val="single" w:sz="4" w:space="0" w:color="auto"/>
              <w:right w:val="single" w:sz="4" w:space="0" w:color="auto"/>
            </w:tcBorders>
            <w:shd w:val="clear" w:color="auto" w:fill="auto"/>
            <w:noWrap/>
            <w:vAlign w:val="center"/>
            <w:hideMark/>
          </w:tcPr>
          <w:p w14:paraId="407ABBCA" w14:textId="480DBE4C"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-9 %</w:t>
            </w:r>
          </w:p>
        </w:tc>
        <w:tc>
          <w:tcPr>
            <w:tcW w:w="1539" w:type="dxa"/>
            <w:tcBorders>
              <w:top w:val="nil"/>
              <w:left w:val="nil"/>
              <w:bottom w:val="single" w:sz="4" w:space="0" w:color="auto"/>
              <w:right w:val="nil"/>
            </w:tcBorders>
            <w:shd w:val="clear" w:color="auto" w:fill="auto"/>
            <w:noWrap/>
            <w:vAlign w:val="center"/>
            <w:hideMark/>
          </w:tcPr>
          <w:p w14:paraId="3F830D9F" w14:textId="6C51021E"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102</w:t>
            </w:r>
            <w:r w:rsidR="00642B5F" w:rsidRPr="002D4B12">
              <w:rPr>
                <w:rFonts w:eastAsia="Times New Roman"/>
                <w:szCs w:val="24"/>
                <w:lang w:eastAsia="cs-CZ"/>
              </w:rPr>
              <w:t>,</w:t>
            </w:r>
            <w:r w:rsidRPr="002D4B12">
              <w:rPr>
                <w:rFonts w:eastAsia="Times New Roman"/>
                <w:szCs w:val="24"/>
                <w:lang w:eastAsia="cs-CZ"/>
              </w:rPr>
              <w:t>4 %</w:t>
            </w:r>
          </w:p>
        </w:tc>
      </w:tr>
      <w:tr w:rsidR="00F15667" w:rsidRPr="002D4B12" w14:paraId="4721732B" w14:textId="77777777" w:rsidTr="00784687">
        <w:trPr>
          <w:trHeight w:val="315"/>
        </w:trPr>
        <w:tc>
          <w:tcPr>
            <w:tcW w:w="2020" w:type="dxa"/>
            <w:tcBorders>
              <w:top w:val="nil"/>
              <w:left w:val="nil"/>
              <w:bottom w:val="single" w:sz="4" w:space="0" w:color="auto"/>
              <w:right w:val="nil"/>
            </w:tcBorders>
            <w:shd w:val="clear" w:color="auto" w:fill="auto"/>
            <w:noWrap/>
            <w:vAlign w:val="center"/>
            <w:hideMark/>
          </w:tcPr>
          <w:p w14:paraId="3C8E7D81" w14:textId="77777777" w:rsidR="00145529" w:rsidRPr="002D4B12" w:rsidRDefault="00145529" w:rsidP="00784687">
            <w:pPr>
              <w:spacing w:line="240" w:lineRule="auto"/>
              <w:jc w:val="left"/>
              <w:rPr>
                <w:rFonts w:eastAsia="Times New Roman"/>
                <w:szCs w:val="24"/>
                <w:lang w:eastAsia="cs-CZ"/>
              </w:rPr>
            </w:pPr>
            <w:r w:rsidRPr="002D4B12">
              <w:rPr>
                <w:rFonts w:eastAsia="Times New Roman"/>
                <w:szCs w:val="24"/>
                <w:lang w:eastAsia="cs-CZ"/>
              </w:rPr>
              <w:t>KS Hr. Králové</w:t>
            </w:r>
          </w:p>
        </w:tc>
        <w:tc>
          <w:tcPr>
            <w:tcW w:w="1044" w:type="dxa"/>
            <w:tcBorders>
              <w:top w:val="nil"/>
              <w:left w:val="nil"/>
              <w:bottom w:val="single" w:sz="4" w:space="0" w:color="auto"/>
              <w:right w:val="nil"/>
            </w:tcBorders>
            <w:shd w:val="clear" w:color="auto" w:fill="auto"/>
            <w:noWrap/>
            <w:vAlign w:val="center"/>
            <w:hideMark/>
          </w:tcPr>
          <w:p w14:paraId="41718917" w14:textId="5458F47D"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5</w:t>
            </w:r>
            <w:r w:rsidR="00A03BD7" w:rsidRPr="002D4B12">
              <w:rPr>
                <w:rFonts w:eastAsia="Times New Roman"/>
                <w:szCs w:val="24"/>
                <w:lang w:eastAsia="cs-CZ"/>
              </w:rPr>
              <w:t xml:space="preserve"> </w:t>
            </w:r>
            <w:r w:rsidRPr="002D4B12">
              <w:rPr>
                <w:rFonts w:eastAsia="Times New Roman"/>
                <w:szCs w:val="24"/>
                <w:lang w:eastAsia="cs-CZ"/>
              </w:rPr>
              <w:t>742</w:t>
            </w:r>
          </w:p>
        </w:tc>
        <w:tc>
          <w:tcPr>
            <w:tcW w:w="835" w:type="dxa"/>
            <w:tcBorders>
              <w:top w:val="nil"/>
              <w:left w:val="nil"/>
              <w:bottom w:val="single" w:sz="4" w:space="0" w:color="auto"/>
              <w:right w:val="nil"/>
            </w:tcBorders>
            <w:shd w:val="clear" w:color="auto" w:fill="auto"/>
            <w:noWrap/>
            <w:vAlign w:val="center"/>
            <w:hideMark/>
          </w:tcPr>
          <w:p w14:paraId="3BA51F48" w14:textId="524A3596"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+4 %</w:t>
            </w:r>
          </w:p>
        </w:tc>
        <w:tc>
          <w:tcPr>
            <w:tcW w:w="1044" w:type="dxa"/>
            <w:tcBorders>
              <w:top w:val="nil"/>
              <w:left w:val="single" w:sz="4" w:space="0" w:color="auto"/>
              <w:bottom w:val="single" w:sz="4" w:space="0" w:color="auto"/>
              <w:right w:val="nil"/>
            </w:tcBorders>
            <w:shd w:val="clear" w:color="auto" w:fill="auto"/>
            <w:noWrap/>
            <w:vAlign w:val="center"/>
            <w:hideMark/>
          </w:tcPr>
          <w:p w14:paraId="48ADE486" w14:textId="73A8489B"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5</w:t>
            </w:r>
            <w:r w:rsidR="00A03BD7" w:rsidRPr="002D4B12">
              <w:rPr>
                <w:rFonts w:eastAsia="Times New Roman"/>
                <w:szCs w:val="24"/>
                <w:lang w:eastAsia="cs-CZ"/>
              </w:rPr>
              <w:t xml:space="preserve"> </w:t>
            </w:r>
            <w:r w:rsidRPr="002D4B12">
              <w:rPr>
                <w:rFonts w:eastAsia="Times New Roman"/>
                <w:szCs w:val="24"/>
                <w:lang w:eastAsia="cs-CZ"/>
              </w:rPr>
              <w:t>824</w:t>
            </w:r>
          </w:p>
        </w:tc>
        <w:tc>
          <w:tcPr>
            <w:tcW w:w="835" w:type="dxa"/>
            <w:tcBorders>
              <w:top w:val="nil"/>
              <w:left w:val="nil"/>
              <w:bottom w:val="single" w:sz="4" w:space="0" w:color="auto"/>
              <w:right w:val="single" w:sz="4" w:space="0" w:color="auto"/>
            </w:tcBorders>
            <w:shd w:val="clear" w:color="auto" w:fill="auto"/>
            <w:noWrap/>
            <w:vAlign w:val="center"/>
            <w:hideMark/>
          </w:tcPr>
          <w:p w14:paraId="5224BA93" w14:textId="03F69C61"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951" w:type="dxa"/>
            <w:tcBorders>
              <w:top w:val="nil"/>
              <w:left w:val="nil"/>
              <w:bottom w:val="single" w:sz="4" w:space="0" w:color="auto"/>
              <w:right w:val="nil"/>
            </w:tcBorders>
            <w:shd w:val="clear" w:color="auto" w:fill="auto"/>
            <w:noWrap/>
            <w:vAlign w:val="center"/>
            <w:hideMark/>
          </w:tcPr>
          <w:p w14:paraId="661687B2" w14:textId="77777777"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521</w:t>
            </w:r>
          </w:p>
        </w:tc>
        <w:tc>
          <w:tcPr>
            <w:tcW w:w="872" w:type="dxa"/>
            <w:tcBorders>
              <w:top w:val="nil"/>
              <w:left w:val="nil"/>
              <w:bottom w:val="single" w:sz="4" w:space="0" w:color="auto"/>
              <w:right w:val="single" w:sz="4" w:space="0" w:color="auto"/>
            </w:tcBorders>
            <w:shd w:val="clear" w:color="auto" w:fill="auto"/>
            <w:noWrap/>
            <w:vAlign w:val="center"/>
            <w:hideMark/>
          </w:tcPr>
          <w:p w14:paraId="09609FE5" w14:textId="26D9E365"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-14 %</w:t>
            </w:r>
          </w:p>
        </w:tc>
        <w:tc>
          <w:tcPr>
            <w:tcW w:w="1539" w:type="dxa"/>
            <w:tcBorders>
              <w:top w:val="nil"/>
              <w:left w:val="nil"/>
              <w:bottom w:val="single" w:sz="4" w:space="0" w:color="auto"/>
              <w:right w:val="nil"/>
            </w:tcBorders>
            <w:shd w:val="clear" w:color="auto" w:fill="auto"/>
            <w:noWrap/>
            <w:vAlign w:val="center"/>
            <w:hideMark/>
          </w:tcPr>
          <w:p w14:paraId="5AE2BAB4" w14:textId="5E24512E"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101</w:t>
            </w:r>
            <w:r w:rsidR="00642B5F" w:rsidRPr="002D4B12">
              <w:rPr>
                <w:rFonts w:eastAsia="Times New Roman"/>
                <w:szCs w:val="24"/>
                <w:lang w:eastAsia="cs-CZ"/>
              </w:rPr>
              <w:t>,</w:t>
            </w:r>
            <w:r w:rsidRPr="002D4B12">
              <w:rPr>
                <w:rFonts w:eastAsia="Times New Roman"/>
                <w:szCs w:val="24"/>
                <w:lang w:eastAsia="cs-CZ"/>
              </w:rPr>
              <w:t>4 %</w:t>
            </w:r>
          </w:p>
        </w:tc>
      </w:tr>
      <w:tr w:rsidR="00F15667" w:rsidRPr="002D4B12" w14:paraId="34035AE9" w14:textId="77777777" w:rsidTr="00784687">
        <w:trPr>
          <w:trHeight w:val="315"/>
        </w:trPr>
        <w:tc>
          <w:tcPr>
            <w:tcW w:w="2020" w:type="dxa"/>
            <w:tcBorders>
              <w:top w:val="nil"/>
              <w:left w:val="nil"/>
              <w:bottom w:val="single" w:sz="4" w:space="0" w:color="auto"/>
              <w:right w:val="nil"/>
            </w:tcBorders>
            <w:shd w:val="clear" w:color="auto" w:fill="auto"/>
            <w:noWrap/>
            <w:vAlign w:val="center"/>
            <w:hideMark/>
          </w:tcPr>
          <w:p w14:paraId="694C020C" w14:textId="77777777" w:rsidR="00145529" w:rsidRPr="002D4B12" w:rsidRDefault="00145529" w:rsidP="00784687">
            <w:pPr>
              <w:spacing w:line="240" w:lineRule="auto"/>
              <w:jc w:val="left"/>
              <w:rPr>
                <w:rFonts w:eastAsia="Times New Roman"/>
                <w:szCs w:val="24"/>
                <w:lang w:eastAsia="cs-CZ"/>
              </w:rPr>
            </w:pPr>
            <w:r w:rsidRPr="002D4B12">
              <w:rPr>
                <w:rFonts w:eastAsia="Times New Roman"/>
                <w:szCs w:val="24"/>
                <w:lang w:eastAsia="cs-CZ"/>
              </w:rPr>
              <w:t>KS Brno</w:t>
            </w:r>
          </w:p>
        </w:tc>
        <w:tc>
          <w:tcPr>
            <w:tcW w:w="1044" w:type="dxa"/>
            <w:tcBorders>
              <w:top w:val="nil"/>
              <w:left w:val="nil"/>
              <w:bottom w:val="single" w:sz="4" w:space="0" w:color="auto"/>
              <w:right w:val="nil"/>
            </w:tcBorders>
            <w:shd w:val="clear" w:color="auto" w:fill="auto"/>
            <w:noWrap/>
            <w:vAlign w:val="center"/>
            <w:hideMark/>
          </w:tcPr>
          <w:p w14:paraId="23F786DD" w14:textId="19F6636A"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9</w:t>
            </w:r>
            <w:r w:rsidR="00A03BD7" w:rsidRPr="002D4B12">
              <w:rPr>
                <w:rFonts w:eastAsia="Times New Roman"/>
                <w:szCs w:val="24"/>
                <w:lang w:eastAsia="cs-CZ"/>
              </w:rPr>
              <w:t xml:space="preserve"> </w:t>
            </w:r>
            <w:r w:rsidRPr="002D4B12">
              <w:rPr>
                <w:rFonts w:eastAsia="Times New Roman"/>
                <w:szCs w:val="24"/>
                <w:lang w:eastAsia="cs-CZ"/>
              </w:rPr>
              <w:t>584</w:t>
            </w:r>
          </w:p>
        </w:tc>
        <w:tc>
          <w:tcPr>
            <w:tcW w:w="835" w:type="dxa"/>
            <w:tcBorders>
              <w:top w:val="nil"/>
              <w:left w:val="nil"/>
              <w:bottom w:val="single" w:sz="4" w:space="0" w:color="auto"/>
              <w:right w:val="nil"/>
            </w:tcBorders>
            <w:shd w:val="clear" w:color="auto" w:fill="auto"/>
            <w:noWrap/>
            <w:vAlign w:val="center"/>
            <w:hideMark/>
          </w:tcPr>
          <w:p w14:paraId="69FD9377" w14:textId="0FF56F56"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1044" w:type="dxa"/>
            <w:tcBorders>
              <w:top w:val="nil"/>
              <w:left w:val="single" w:sz="4" w:space="0" w:color="auto"/>
              <w:bottom w:val="single" w:sz="4" w:space="0" w:color="auto"/>
              <w:right w:val="nil"/>
            </w:tcBorders>
            <w:shd w:val="clear" w:color="auto" w:fill="auto"/>
            <w:noWrap/>
            <w:vAlign w:val="center"/>
            <w:hideMark/>
          </w:tcPr>
          <w:p w14:paraId="400F2B80" w14:textId="1C508BCA"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9</w:t>
            </w:r>
            <w:r w:rsidR="00A03BD7" w:rsidRPr="002D4B12">
              <w:rPr>
                <w:rFonts w:eastAsia="Times New Roman"/>
                <w:szCs w:val="24"/>
                <w:lang w:eastAsia="cs-CZ"/>
              </w:rPr>
              <w:t xml:space="preserve"> </w:t>
            </w:r>
            <w:r w:rsidRPr="002D4B12">
              <w:rPr>
                <w:rFonts w:eastAsia="Times New Roman"/>
                <w:szCs w:val="24"/>
                <w:lang w:eastAsia="cs-CZ"/>
              </w:rPr>
              <w:t>696</w:t>
            </w:r>
          </w:p>
        </w:tc>
        <w:tc>
          <w:tcPr>
            <w:tcW w:w="835" w:type="dxa"/>
            <w:tcBorders>
              <w:top w:val="nil"/>
              <w:left w:val="nil"/>
              <w:bottom w:val="single" w:sz="4" w:space="0" w:color="auto"/>
              <w:right w:val="single" w:sz="4" w:space="0" w:color="auto"/>
            </w:tcBorders>
            <w:shd w:val="clear" w:color="auto" w:fill="auto"/>
            <w:noWrap/>
            <w:vAlign w:val="center"/>
            <w:hideMark/>
          </w:tcPr>
          <w:p w14:paraId="21049D3A" w14:textId="55BD0152"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951" w:type="dxa"/>
            <w:tcBorders>
              <w:top w:val="nil"/>
              <w:left w:val="nil"/>
              <w:bottom w:val="single" w:sz="4" w:space="0" w:color="auto"/>
              <w:right w:val="nil"/>
            </w:tcBorders>
            <w:shd w:val="clear" w:color="auto" w:fill="auto"/>
            <w:noWrap/>
            <w:vAlign w:val="center"/>
            <w:hideMark/>
          </w:tcPr>
          <w:p w14:paraId="491077BC" w14:textId="590F7349"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w:t>
            </w:r>
            <w:r w:rsidR="00A03BD7" w:rsidRPr="002D4B12">
              <w:rPr>
                <w:rFonts w:eastAsia="Times New Roman"/>
                <w:szCs w:val="24"/>
                <w:lang w:eastAsia="cs-CZ"/>
              </w:rPr>
              <w:t xml:space="preserve"> </w:t>
            </w:r>
            <w:r w:rsidRPr="002D4B12">
              <w:rPr>
                <w:rFonts w:eastAsia="Times New Roman"/>
                <w:szCs w:val="24"/>
                <w:lang w:eastAsia="cs-CZ"/>
              </w:rPr>
              <w:t>361</w:t>
            </w:r>
          </w:p>
        </w:tc>
        <w:tc>
          <w:tcPr>
            <w:tcW w:w="872" w:type="dxa"/>
            <w:tcBorders>
              <w:top w:val="nil"/>
              <w:left w:val="nil"/>
              <w:bottom w:val="single" w:sz="4" w:space="0" w:color="auto"/>
              <w:right w:val="single" w:sz="4" w:space="0" w:color="auto"/>
            </w:tcBorders>
            <w:shd w:val="clear" w:color="auto" w:fill="auto"/>
            <w:noWrap/>
            <w:vAlign w:val="center"/>
            <w:hideMark/>
          </w:tcPr>
          <w:p w14:paraId="17CE53F2" w14:textId="4EE880C7"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-8 %</w:t>
            </w:r>
          </w:p>
        </w:tc>
        <w:tc>
          <w:tcPr>
            <w:tcW w:w="1539" w:type="dxa"/>
            <w:tcBorders>
              <w:top w:val="nil"/>
              <w:left w:val="nil"/>
              <w:bottom w:val="single" w:sz="4" w:space="0" w:color="auto"/>
              <w:right w:val="nil"/>
            </w:tcBorders>
            <w:shd w:val="clear" w:color="auto" w:fill="auto"/>
            <w:noWrap/>
            <w:vAlign w:val="center"/>
            <w:hideMark/>
          </w:tcPr>
          <w:p w14:paraId="61772CED" w14:textId="083758E2"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101</w:t>
            </w:r>
            <w:r w:rsidR="00642B5F" w:rsidRPr="002D4B12">
              <w:rPr>
                <w:rFonts w:eastAsia="Times New Roman"/>
                <w:szCs w:val="24"/>
                <w:lang w:eastAsia="cs-CZ"/>
              </w:rPr>
              <w:t>,</w:t>
            </w:r>
            <w:r w:rsidRPr="002D4B12">
              <w:rPr>
                <w:rFonts w:eastAsia="Times New Roman"/>
                <w:szCs w:val="24"/>
                <w:lang w:eastAsia="cs-CZ"/>
              </w:rPr>
              <w:t>2 %</w:t>
            </w:r>
          </w:p>
        </w:tc>
      </w:tr>
      <w:tr w:rsidR="00F15667" w:rsidRPr="002D4B12" w14:paraId="1E16F1A2" w14:textId="77777777" w:rsidTr="00784687">
        <w:trPr>
          <w:trHeight w:val="330"/>
        </w:trPr>
        <w:tc>
          <w:tcPr>
            <w:tcW w:w="2020" w:type="dxa"/>
            <w:tcBorders>
              <w:top w:val="nil"/>
              <w:left w:val="nil"/>
              <w:bottom w:val="double" w:sz="6" w:space="0" w:color="auto"/>
              <w:right w:val="nil"/>
            </w:tcBorders>
            <w:shd w:val="clear" w:color="auto" w:fill="auto"/>
            <w:noWrap/>
            <w:vAlign w:val="center"/>
            <w:hideMark/>
          </w:tcPr>
          <w:p w14:paraId="7FC37C2D" w14:textId="77777777" w:rsidR="00145529" w:rsidRPr="002D4B12" w:rsidRDefault="00145529" w:rsidP="00784687">
            <w:pPr>
              <w:spacing w:line="240" w:lineRule="auto"/>
              <w:jc w:val="left"/>
              <w:rPr>
                <w:rFonts w:eastAsia="Times New Roman"/>
                <w:szCs w:val="24"/>
                <w:lang w:eastAsia="cs-CZ"/>
              </w:rPr>
            </w:pPr>
            <w:r w:rsidRPr="002D4B12">
              <w:rPr>
                <w:rFonts w:eastAsia="Times New Roman"/>
                <w:szCs w:val="24"/>
                <w:lang w:eastAsia="cs-CZ"/>
              </w:rPr>
              <w:t>KS Ostrava</w:t>
            </w:r>
          </w:p>
        </w:tc>
        <w:tc>
          <w:tcPr>
            <w:tcW w:w="1044" w:type="dxa"/>
            <w:tcBorders>
              <w:top w:val="nil"/>
              <w:left w:val="nil"/>
              <w:bottom w:val="double" w:sz="6" w:space="0" w:color="auto"/>
              <w:right w:val="nil"/>
            </w:tcBorders>
            <w:shd w:val="clear" w:color="auto" w:fill="auto"/>
            <w:noWrap/>
            <w:vAlign w:val="center"/>
            <w:hideMark/>
          </w:tcPr>
          <w:p w14:paraId="097FBAE5" w14:textId="77697035"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12</w:t>
            </w:r>
            <w:r w:rsidR="00A03BD7" w:rsidRPr="002D4B12">
              <w:rPr>
                <w:rFonts w:eastAsia="Times New Roman"/>
                <w:szCs w:val="24"/>
                <w:lang w:eastAsia="cs-CZ"/>
              </w:rPr>
              <w:t xml:space="preserve"> </w:t>
            </w:r>
            <w:r w:rsidRPr="002D4B12">
              <w:rPr>
                <w:rFonts w:eastAsia="Times New Roman"/>
                <w:szCs w:val="24"/>
                <w:lang w:eastAsia="cs-CZ"/>
              </w:rPr>
              <w:t>151</w:t>
            </w:r>
          </w:p>
        </w:tc>
        <w:tc>
          <w:tcPr>
            <w:tcW w:w="835" w:type="dxa"/>
            <w:tcBorders>
              <w:top w:val="nil"/>
              <w:left w:val="nil"/>
              <w:bottom w:val="double" w:sz="6" w:space="0" w:color="auto"/>
              <w:right w:val="nil"/>
            </w:tcBorders>
            <w:shd w:val="clear" w:color="auto" w:fill="auto"/>
            <w:noWrap/>
            <w:vAlign w:val="center"/>
            <w:hideMark/>
          </w:tcPr>
          <w:p w14:paraId="04319014" w14:textId="48A131E7"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1044" w:type="dxa"/>
            <w:tcBorders>
              <w:top w:val="nil"/>
              <w:left w:val="single" w:sz="4" w:space="0" w:color="auto"/>
              <w:bottom w:val="double" w:sz="6" w:space="0" w:color="auto"/>
              <w:right w:val="nil"/>
            </w:tcBorders>
            <w:shd w:val="clear" w:color="auto" w:fill="auto"/>
            <w:noWrap/>
            <w:vAlign w:val="center"/>
            <w:hideMark/>
          </w:tcPr>
          <w:p w14:paraId="7C70FB2C" w14:textId="5556F039"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12</w:t>
            </w:r>
            <w:r w:rsidR="00A03BD7" w:rsidRPr="002D4B12">
              <w:rPr>
                <w:rFonts w:eastAsia="Times New Roman"/>
                <w:szCs w:val="24"/>
                <w:lang w:eastAsia="cs-CZ"/>
              </w:rPr>
              <w:t xml:space="preserve"> </w:t>
            </w:r>
            <w:r w:rsidRPr="002D4B12">
              <w:rPr>
                <w:rFonts w:eastAsia="Times New Roman"/>
                <w:szCs w:val="24"/>
                <w:lang w:eastAsia="cs-CZ"/>
              </w:rPr>
              <w:t>239</w:t>
            </w:r>
          </w:p>
        </w:tc>
        <w:tc>
          <w:tcPr>
            <w:tcW w:w="835" w:type="dxa"/>
            <w:tcBorders>
              <w:top w:val="nil"/>
              <w:left w:val="nil"/>
              <w:bottom w:val="double" w:sz="6" w:space="0" w:color="auto"/>
              <w:right w:val="single" w:sz="4" w:space="0" w:color="auto"/>
            </w:tcBorders>
            <w:shd w:val="clear" w:color="auto" w:fill="auto"/>
            <w:noWrap/>
            <w:vAlign w:val="center"/>
            <w:hideMark/>
          </w:tcPr>
          <w:p w14:paraId="1560B1C3" w14:textId="6B043C10"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+2 %</w:t>
            </w:r>
          </w:p>
        </w:tc>
        <w:tc>
          <w:tcPr>
            <w:tcW w:w="951" w:type="dxa"/>
            <w:tcBorders>
              <w:top w:val="nil"/>
              <w:left w:val="nil"/>
              <w:bottom w:val="double" w:sz="6" w:space="0" w:color="auto"/>
              <w:right w:val="nil"/>
            </w:tcBorders>
            <w:shd w:val="clear" w:color="auto" w:fill="auto"/>
            <w:noWrap/>
            <w:vAlign w:val="center"/>
            <w:hideMark/>
          </w:tcPr>
          <w:p w14:paraId="3990332C" w14:textId="62258E84"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2</w:t>
            </w:r>
            <w:r w:rsidR="00A03BD7" w:rsidRPr="002D4B12">
              <w:rPr>
                <w:rFonts w:eastAsia="Times New Roman"/>
                <w:szCs w:val="24"/>
                <w:lang w:eastAsia="cs-CZ"/>
              </w:rPr>
              <w:t xml:space="preserve"> </w:t>
            </w:r>
            <w:r w:rsidRPr="002D4B12">
              <w:rPr>
                <w:rFonts w:eastAsia="Times New Roman"/>
                <w:szCs w:val="24"/>
                <w:lang w:eastAsia="cs-CZ"/>
              </w:rPr>
              <w:t>158</w:t>
            </w:r>
          </w:p>
        </w:tc>
        <w:tc>
          <w:tcPr>
            <w:tcW w:w="872" w:type="dxa"/>
            <w:tcBorders>
              <w:top w:val="nil"/>
              <w:left w:val="nil"/>
              <w:bottom w:val="double" w:sz="6" w:space="0" w:color="auto"/>
              <w:right w:val="single" w:sz="4" w:space="0" w:color="auto"/>
            </w:tcBorders>
            <w:shd w:val="clear" w:color="auto" w:fill="auto"/>
            <w:noWrap/>
            <w:vAlign w:val="center"/>
            <w:hideMark/>
          </w:tcPr>
          <w:p w14:paraId="6C07F4B3" w14:textId="1C812727" w:rsidR="00145529" w:rsidRPr="002D4B12" w:rsidRDefault="00145529" w:rsidP="00784687">
            <w:pPr>
              <w:spacing w:line="240" w:lineRule="auto"/>
              <w:jc w:val="center"/>
              <w:rPr>
                <w:rFonts w:eastAsia="Times New Roman"/>
                <w:sz w:val="20"/>
                <w:szCs w:val="20"/>
                <w:lang w:eastAsia="cs-CZ"/>
              </w:rPr>
            </w:pPr>
            <w:r w:rsidRPr="002D4B12">
              <w:rPr>
                <w:rFonts w:eastAsia="Times New Roman"/>
                <w:sz w:val="20"/>
                <w:szCs w:val="20"/>
                <w:lang w:eastAsia="cs-CZ"/>
              </w:rPr>
              <w:t>-4 %</w:t>
            </w:r>
          </w:p>
        </w:tc>
        <w:tc>
          <w:tcPr>
            <w:tcW w:w="1539" w:type="dxa"/>
            <w:tcBorders>
              <w:top w:val="nil"/>
              <w:left w:val="nil"/>
              <w:bottom w:val="nil"/>
              <w:right w:val="nil"/>
            </w:tcBorders>
            <w:shd w:val="clear" w:color="auto" w:fill="auto"/>
            <w:noWrap/>
            <w:vAlign w:val="center"/>
            <w:hideMark/>
          </w:tcPr>
          <w:p w14:paraId="08436F71" w14:textId="5AC95267" w:rsidR="00145529" w:rsidRPr="002D4B12" w:rsidRDefault="00145529" w:rsidP="00784687">
            <w:pPr>
              <w:spacing w:line="240" w:lineRule="auto"/>
              <w:jc w:val="center"/>
              <w:rPr>
                <w:rFonts w:eastAsia="Times New Roman"/>
                <w:szCs w:val="24"/>
                <w:lang w:eastAsia="cs-CZ"/>
              </w:rPr>
            </w:pPr>
            <w:r w:rsidRPr="002D4B12">
              <w:rPr>
                <w:rFonts w:eastAsia="Times New Roman"/>
                <w:szCs w:val="24"/>
                <w:lang w:eastAsia="cs-CZ"/>
              </w:rPr>
              <w:t>100</w:t>
            </w:r>
            <w:r w:rsidR="00642B5F" w:rsidRPr="002D4B12">
              <w:rPr>
                <w:rFonts w:eastAsia="Times New Roman"/>
                <w:szCs w:val="24"/>
                <w:lang w:eastAsia="cs-CZ"/>
              </w:rPr>
              <w:t>,</w:t>
            </w:r>
            <w:r w:rsidRPr="002D4B12">
              <w:rPr>
                <w:rFonts w:eastAsia="Times New Roman"/>
                <w:szCs w:val="24"/>
                <w:lang w:eastAsia="cs-CZ"/>
              </w:rPr>
              <w:t>7 %</w:t>
            </w:r>
          </w:p>
        </w:tc>
      </w:tr>
      <w:tr w:rsidR="00F15667" w:rsidRPr="002D4B12" w14:paraId="51256ACF" w14:textId="77777777" w:rsidTr="00784687">
        <w:trPr>
          <w:trHeight w:val="345"/>
        </w:trPr>
        <w:tc>
          <w:tcPr>
            <w:tcW w:w="2020" w:type="dxa"/>
            <w:tcBorders>
              <w:top w:val="nil"/>
              <w:left w:val="nil"/>
              <w:bottom w:val="double" w:sz="6" w:space="0" w:color="auto"/>
              <w:right w:val="nil"/>
            </w:tcBorders>
            <w:shd w:val="clear" w:color="auto" w:fill="auto"/>
            <w:noWrap/>
            <w:vAlign w:val="center"/>
            <w:hideMark/>
          </w:tcPr>
          <w:p w14:paraId="71409470" w14:textId="77777777" w:rsidR="00145529" w:rsidRPr="002D4B12" w:rsidRDefault="00145529" w:rsidP="00784687">
            <w:pPr>
              <w:spacing w:line="240" w:lineRule="auto"/>
              <w:jc w:val="left"/>
              <w:rPr>
                <w:rFonts w:eastAsia="Times New Roman"/>
                <w:b/>
                <w:bCs/>
                <w:szCs w:val="24"/>
                <w:lang w:eastAsia="cs-CZ"/>
              </w:rPr>
            </w:pPr>
            <w:r w:rsidRPr="002D4B12">
              <w:rPr>
                <w:rFonts w:eastAsia="Times New Roman"/>
                <w:b/>
                <w:bCs/>
                <w:szCs w:val="24"/>
                <w:lang w:eastAsia="cs-CZ"/>
              </w:rPr>
              <w:t>Celkem ČR</w:t>
            </w:r>
          </w:p>
        </w:tc>
        <w:tc>
          <w:tcPr>
            <w:tcW w:w="1044" w:type="dxa"/>
            <w:tcBorders>
              <w:top w:val="nil"/>
              <w:left w:val="nil"/>
              <w:bottom w:val="double" w:sz="6" w:space="0" w:color="auto"/>
              <w:right w:val="nil"/>
            </w:tcBorders>
            <w:shd w:val="clear" w:color="auto" w:fill="auto"/>
            <w:noWrap/>
            <w:vAlign w:val="center"/>
            <w:hideMark/>
          </w:tcPr>
          <w:p w14:paraId="558B7C8E" w14:textId="55D9540B"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64</w:t>
            </w:r>
            <w:r w:rsidR="00A03BD7" w:rsidRPr="002D4B12">
              <w:rPr>
                <w:rFonts w:eastAsia="Times New Roman"/>
                <w:b/>
                <w:bCs/>
                <w:szCs w:val="24"/>
                <w:lang w:eastAsia="cs-CZ"/>
              </w:rPr>
              <w:t xml:space="preserve"> </w:t>
            </w:r>
            <w:r w:rsidRPr="002D4B12">
              <w:rPr>
                <w:rFonts w:eastAsia="Times New Roman"/>
                <w:b/>
                <w:bCs/>
                <w:szCs w:val="24"/>
                <w:lang w:eastAsia="cs-CZ"/>
              </w:rPr>
              <w:t>158</w:t>
            </w:r>
          </w:p>
        </w:tc>
        <w:tc>
          <w:tcPr>
            <w:tcW w:w="835" w:type="dxa"/>
            <w:tcBorders>
              <w:top w:val="nil"/>
              <w:left w:val="nil"/>
              <w:bottom w:val="double" w:sz="6" w:space="0" w:color="auto"/>
              <w:right w:val="nil"/>
            </w:tcBorders>
            <w:shd w:val="clear" w:color="auto" w:fill="auto"/>
            <w:noWrap/>
            <w:vAlign w:val="center"/>
            <w:hideMark/>
          </w:tcPr>
          <w:p w14:paraId="633634C4" w14:textId="21C7C807" w:rsidR="00145529" w:rsidRPr="002D4B12" w:rsidRDefault="00145529" w:rsidP="00784687">
            <w:pPr>
              <w:spacing w:line="240" w:lineRule="auto"/>
              <w:jc w:val="center"/>
              <w:rPr>
                <w:rFonts w:eastAsia="Times New Roman"/>
                <w:b/>
                <w:bCs/>
                <w:sz w:val="20"/>
                <w:szCs w:val="20"/>
                <w:lang w:eastAsia="cs-CZ"/>
              </w:rPr>
            </w:pPr>
            <w:r w:rsidRPr="002D4B12">
              <w:rPr>
                <w:rFonts w:eastAsia="Times New Roman"/>
                <w:b/>
                <w:bCs/>
                <w:sz w:val="20"/>
                <w:szCs w:val="20"/>
                <w:lang w:eastAsia="cs-CZ"/>
              </w:rPr>
              <w:t>+5 %</w:t>
            </w:r>
          </w:p>
        </w:tc>
        <w:tc>
          <w:tcPr>
            <w:tcW w:w="1044" w:type="dxa"/>
            <w:tcBorders>
              <w:top w:val="nil"/>
              <w:left w:val="single" w:sz="4" w:space="0" w:color="auto"/>
              <w:bottom w:val="double" w:sz="6" w:space="0" w:color="auto"/>
              <w:right w:val="nil"/>
            </w:tcBorders>
            <w:shd w:val="clear" w:color="auto" w:fill="auto"/>
            <w:noWrap/>
            <w:vAlign w:val="center"/>
            <w:hideMark/>
          </w:tcPr>
          <w:p w14:paraId="31933399" w14:textId="0D79FEAB"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64</w:t>
            </w:r>
            <w:r w:rsidR="00A03BD7" w:rsidRPr="002D4B12">
              <w:rPr>
                <w:rFonts w:eastAsia="Times New Roman"/>
                <w:b/>
                <w:bCs/>
                <w:szCs w:val="24"/>
                <w:lang w:eastAsia="cs-CZ"/>
              </w:rPr>
              <w:t xml:space="preserve"> </w:t>
            </w:r>
            <w:r w:rsidRPr="002D4B12">
              <w:rPr>
                <w:rFonts w:eastAsia="Times New Roman"/>
                <w:b/>
                <w:bCs/>
                <w:szCs w:val="24"/>
                <w:lang w:eastAsia="cs-CZ"/>
              </w:rPr>
              <w:t>858</w:t>
            </w:r>
          </w:p>
        </w:tc>
        <w:tc>
          <w:tcPr>
            <w:tcW w:w="835" w:type="dxa"/>
            <w:tcBorders>
              <w:top w:val="nil"/>
              <w:left w:val="nil"/>
              <w:bottom w:val="double" w:sz="6" w:space="0" w:color="auto"/>
              <w:right w:val="single" w:sz="4" w:space="0" w:color="auto"/>
            </w:tcBorders>
            <w:shd w:val="clear" w:color="auto" w:fill="auto"/>
            <w:noWrap/>
            <w:vAlign w:val="center"/>
            <w:hideMark/>
          </w:tcPr>
          <w:p w14:paraId="772F39BD" w14:textId="08518B9D" w:rsidR="00145529" w:rsidRPr="002D4B12" w:rsidRDefault="00145529" w:rsidP="00784687">
            <w:pPr>
              <w:spacing w:line="240" w:lineRule="auto"/>
              <w:jc w:val="center"/>
              <w:rPr>
                <w:rFonts w:eastAsia="Times New Roman"/>
                <w:b/>
                <w:bCs/>
                <w:sz w:val="20"/>
                <w:szCs w:val="20"/>
                <w:lang w:eastAsia="cs-CZ"/>
              </w:rPr>
            </w:pPr>
            <w:r w:rsidRPr="002D4B12">
              <w:rPr>
                <w:rFonts w:eastAsia="Times New Roman"/>
                <w:b/>
                <w:bCs/>
                <w:sz w:val="20"/>
                <w:szCs w:val="20"/>
                <w:lang w:eastAsia="cs-CZ"/>
              </w:rPr>
              <w:t>+3 %</w:t>
            </w:r>
          </w:p>
        </w:tc>
        <w:tc>
          <w:tcPr>
            <w:tcW w:w="951" w:type="dxa"/>
            <w:tcBorders>
              <w:top w:val="nil"/>
              <w:left w:val="nil"/>
              <w:bottom w:val="double" w:sz="6" w:space="0" w:color="auto"/>
              <w:right w:val="nil"/>
            </w:tcBorders>
            <w:shd w:val="clear" w:color="auto" w:fill="auto"/>
            <w:noWrap/>
            <w:vAlign w:val="center"/>
            <w:hideMark/>
          </w:tcPr>
          <w:p w14:paraId="69C6FA99" w14:textId="1C2BA357"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9</w:t>
            </w:r>
            <w:r w:rsidR="00A03BD7" w:rsidRPr="002D4B12">
              <w:rPr>
                <w:rFonts w:eastAsia="Times New Roman"/>
                <w:b/>
                <w:bCs/>
                <w:szCs w:val="24"/>
                <w:lang w:eastAsia="cs-CZ"/>
              </w:rPr>
              <w:t xml:space="preserve"> </w:t>
            </w:r>
            <w:r w:rsidRPr="002D4B12">
              <w:rPr>
                <w:rFonts w:eastAsia="Times New Roman"/>
                <w:b/>
                <w:bCs/>
                <w:szCs w:val="24"/>
                <w:lang w:eastAsia="cs-CZ"/>
              </w:rPr>
              <w:t>530</w:t>
            </w:r>
          </w:p>
        </w:tc>
        <w:tc>
          <w:tcPr>
            <w:tcW w:w="872" w:type="dxa"/>
            <w:tcBorders>
              <w:top w:val="nil"/>
              <w:left w:val="nil"/>
              <w:bottom w:val="double" w:sz="6" w:space="0" w:color="auto"/>
              <w:right w:val="single" w:sz="4" w:space="0" w:color="auto"/>
            </w:tcBorders>
            <w:shd w:val="clear" w:color="auto" w:fill="auto"/>
            <w:noWrap/>
            <w:vAlign w:val="center"/>
            <w:hideMark/>
          </w:tcPr>
          <w:p w14:paraId="1188B200" w14:textId="3B65BC0F" w:rsidR="00145529" w:rsidRPr="002D4B12" w:rsidRDefault="00145529" w:rsidP="00784687">
            <w:pPr>
              <w:spacing w:line="240" w:lineRule="auto"/>
              <w:jc w:val="center"/>
              <w:rPr>
                <w:rFonts w:eastAsia="Times New Roman"/>
                <w:b/>
                <w:bCs/>
                <w:sz w:val="20"/>
                <w:szCs w:val="20"/>
                <w:lang w:eastAsia="cs-CZ"/>
              </w:rPr>
            </w:pPr>
            <w:r w:rsidRPr="002D4B12">
              <w:rPr>
                <w:rFonts w:eastAsia="Times New Roman"/>
                <w:b/>
                <w:bCs/>
                <w:sz w:val="20"/>
                <w:szCs w:val="20"/>
                <w:lang w:eastAsia="cs-CZ"/>
              </w:rPr>
              <w:t>-7 %</w:t>
            </w:r>
          </w:p>
        </w:tc>
        <w:tc>
          <w:tcPr>
            <w:tcW w:w="1539" w:type="dxa"/>
            <w:tcBorders>
              <w:top w:val="double" w:sz="6" w:space="0" w:color="auto"/>
              <w:left w:val="nil"/>
              <w:bottom w:val="double" w:sz="6" w:space="0" w:color="auto"/>
              <w:right w:val="nil"/>
            </w:tcBorders>
            <w:shd w:val="clear" w:color="auto" w:fill="auto"/>
            <w:noWrap/>
            <w:vAlign w:val="center"/>
            <w:hideMark/>
          </w:tcPr>
          <w:p w14:paraId="44216B7D" w14:textId="4232B598" w:rsidR="00145529" w:rsidRPr="002D4B12" w:rsidRDefault="00145529" w:rsidP="00784687">
            <w:pPr>
              <w:spacing w:line="240" w:lineRule="auto"/>
              <w:jc w:val="center"/>
              <w:rPr>
                <w:rFonts w:eastAsia="Times New Roman"/>
                <w:b/>
                <w:bCs/>
                <w:szCs w:val="24"/>
                <w:lang w:eastAsia="cs-CZ"/>
              </w:rPr>
            </w:pPr>
            <w:r w:rsidRPr="002D4B12">
              <w:rPr>
                <w:rFonts w:eastAsia="Times New Roman"/>
                <w:b/>
                <w:bCs/>
                <w:szCs w:val="24"/>
                <w:lang w:eastAsia="cs-CZ"/>
              </w:rPr>
              <w:t>101</w:t>
            </w:r>
            <w:r w:rsidR="00642B5F" w:rsidRPr="002D4B12">
              <w:rPr>
                <w:rFonts w:eastAsia="Times New Roman"/>
                <w:b/>
                <w:bCs/>
                <w:szCs w:val="24"/>
                <w:lang w:eastAsia="cs-CZ"/>
              </w:rPr>
              <w:t>,</w:t>
            </w:r>
            <w:r w:rsidRPr="002D4B12">
              <w:rPr>
                <w:rFonts w:eastAsia="Times New Roman"/>
                <w:b/>
                <w:bCs/>
                <w:szCs w:val="24"/>
                <w:lang w:eastAsia="cs-CZ"/>
              </w:rPr>
              <w:t>1 %</w:t>
            </w:r>
          </w:p>
        </w:tc>
      </w:tr>
      <w:tr w:rsidR="00F15667" w:rsidRPr="002D4B12" w14:paraId="52FF7419" w14:textId="77777777" w:rsidTr="00784687">
        <w:trPr>
          <w:trHeight w:val="330"/>
        </w:trPr>
        <w:tc>
          <w:tcPr>
            <w:tcW w:w="2020" w:type="dxa"/>
            <w:tcBorders>
              <w:top w:val="nil"/>
              <w:left w:val="nil"/>
              <w:bottom w:val="nil"/>
              <w:right w:val="nil"/>
            </w:tcBorders>
            <w:shd w:val="clear" w:color="auto" w:fill="auto"/>
            <w:noWrap/>
            <w:vAlign w:val="center"/>
            <w:hideMark/>
          </w:tcPr>
          <w:p w14:paraId="237F5D38" w14:textId="77777777" w:rsidR="00145529" w:rsidRPr="002D4B12" w:rsidRDefault="00145529" w:rsidP="00784687">
            <w:pPr>
              <w:spacing w:line="240" w:lineRule="auto"/>
              <w:jc w:val="center"/>
              <w:rPr>
                <w:rFonts w:eastAsia="Times New Roman"/>
                <w:b/>
                <w:bCs/>
                <w:szCs w:val="24"/>
                <w:lang w:eastAsia="cs-CZ"/>
              </w:rPr>
            </w:pPr>
          </w:p>
        </w:tc>
        <w:tc>
          <w:tcPr>
            <w:tcW w:w="1044" w:type="dxa"/>
            <w:tcBorders>
              <w:top w:val="nil"/>
              <w:left w:val="nil"/>
              <w:bottom w:val="nil"/>
              <w:right w:val="nil"/>
            </w:tcBorders>
            <w:shd w:val="clear" w:color="auto" w:fill="auto"/>
            <w:noWrap/>
            <w:vAlign w:val="center"/>
            <w:hideMark/>
          </w:tcPr>
          <w:p w14:paraId="6827F4E6" w14:textId="77777777" w:rsidR="00145529" w:rsidRPr="002D4B12" w:rsidRDefault="00145529" w:rsidP="00784687">
            <w:pPr>
              <w:spacing w:line="240" w:lineRule="auto"/>
              <w:jc w:val="center"/>
              <w:rPr>
                <w:rFonts w:eastAsia="Times New Roman"/>
                <w:sz w:val="20"/>
                <w:szCs w:val="20"/>
                <w:lang w:eastAsia="cs-CZ"/>
              </w:rPr>
            </w:pPr>
          </w:p>
        </w:tc>
        <w:tc>
          <w:tcPr>
            <w:tcW w:w="835" w:type="dxa"/>
            <w:tcBorders>
              <w:top w:val="nil"/>
              <w:left w:val="nil"/>
              <w:bottom w:val="nil"/>
              <w:right w:val="nil"/>
            </w:tcBorders>
            <w:shd w:val="clear" w:color="auto" w:fill="auto"/>
            <w:noWrap/>
            <w:vAlign w:val="center"/>
            <w:hideMark/>
          </w:tcPr>
          <w:p w14:paraId="5FEB074D" w14:textId="77777777" w:rsidR="00145529" w:rsidRPr="002D4B12" w:rsidRDefault="00145529" w:rsidP="00784687">
            <w:pPr>
              <w:spacing w:line="240" w:lineRule="auto"/>
              <w:jc w:val="center"/>
              <w:rPr>
                <w:rFonts w:eastAsia="Times New Roman"/>
                <w:sz w:val="20"/>
                <w:szCs w:val="20"/>
                <w:lang w:eastAsia="cs-CZ"/>
              </w:rPr>
            </w:pPr>
          </w:p>
        </w:tc>
        <w:tc>
          <w:tcPr>
            <w:tcW w:w="1044" w:type="dxa"/>
            <w:tcBorders>
              <w:top w:val="nil"/>
              <w:left w:val="nil"/>
              <w:bottom w:val="nil"/>
              <w:right w:val="nil"/>
            </w:tcBorders>
            <w:shd w:val="clear" w:color="auto" w:fill="auto"/>
            <w:noWrap/>
            <w:vAlign w:val="center"/>
            <w:hideMark/>
          </w:tcPr>
          <w:p w14:paraId="5683F674" w14:textId="77777777" w:rsidR="00145529" w:rsidRPr="002D4B12" w:rsidRDefault="00145529" w:rsidP="00784687">
            <w:pPr>
              <w:spacing w:line="240" w:lineRule="auto"/>
              <w:jc w:val="center"/>
              <w:rPr>
                <w:rFonts w:eastAsia="Times New Roman"/>
                <w:sz w:val="20"/>
                <w:szCs w:val="20"/>
                <w:lang w:eastAsia="cs-CZ"/>
              </w:rPr>
            </w:pPr>
          </w:p>
        </w:tc>
        <w:tc>
          <w:tcPr>
            <w:tcW w:w="835" w:type="dxa"/>
            <w:tcBorders>
              <w:top w:val="nil"/>
              <w:left w:val="nil"/>
              <w:bottom w:val="nil"/>
              <w:right w:val="nil"/>
            </w:tcBorders>
            <w:shd w:val="clear" w:color="auto" w:fill="auto"/>
            <w:noWrap/>
            <w:vAlign w:val="center"/>
            <w:hideMark/>
          </w:tcPr>
          <w:p w14:paraId="1F92A60C" w14:textId="77777777" w:rsidR="00145529" w:rsidRPr="002D4B12" w:rsidRDefault="00145529" w:rsidP="00784687">
            <w:pPr>
              <w:spacing w:line="240" w:lineRule="auto"/>
              <w:jc w:val="center"/>
              <w:rPr>
                <w:rFonts w:eastAsia="Times New Roman"/>
                <w:sz w:val="20"/>
                <w:szCs w:val="20"/>
                <w:lang w:eastAsia="cs-CZ"/>
              </w:rPr>
            </w:pPr>
          </w:p>
        </w:tc>
        <w:tc>
          <w:tcPr>
            <w:tcW w:w="951" w:type="dxa"/>
            <w:tcBorders>
              <w:top w:val="nil"/>
              <w:left w:val="nil"/>
              <w:bottom w:val="nil"/>
              <w:right w:val="nil"/>
            </w:tcBorders>
            <w:shd w:val="clear" w:color="auto" w:fill="auto"/>
            <w:noWrap/>
            <w:vAlign w:val="center"/>
            <w:hideMark/>
          </w:tcPr>
          <w:p w14:paraId="57F8CF08" w14:textId="77777777" w:rsidR="00145529" w:rsidRPr="002D4B12" w:rsidRDefault="00145529" w:rsidP="00784687">
            <w:pPr>
              <w:spacing w:line="240" w:lineRule="auto"/>
              <w:jc w:val="center"/>
              <w:rPr>
                <w:rFonts w:eastAsia="Times New Roman"/>
                <w:sz w:val="20"/>
                <w:szCs w:val="20"/>
                <w:lang w:eastAsia="cs-CZ"/>
              </w:rPr>
            </w:pPr>
          </w:p>
        </w:tc>
        <w:tc>
          <w:tcPr>
            <w:tcW w:w="872" w:type="dxa"/>
            <w:tcBorders>
              <w:top w:val="nil"/>
              <w:left w:val="nil"/>
              <w:bottom w:val="nil"/>
              <w:right w:val="nil"/>
            </w:tcBorders>
            <w:shd w:val="clear" w:color="auto" w:fill="auto"/>
            <w:noWrap/>
            <w:vAlign w:val="center"/>
            <w:hideMark/>
          </w:tcPr>
          <w:p w14:paraId="7F2B5A57" w14:textId="77777777" w:rsidR="00145529" w:rsidRPr="002D4B12" w:rsidRDefault="00145529" w:rsidP="00784687">
            <w:pPr>
              <w:spacing w:line="240" w:lineRule="auto"/>
              <w:jc w:val="center"/>
              <w:rPr>
                <w:rFonts w:eastAsia="Times New Roman"/>
                <w:sz w:val="20"/>
                <w:szCs w:val="20"/>
                <w:lang w:eastAsia="cs-CZ"/>
              </w:rPr>
            </w:pPr>
          </w:p>
        </w:tc>
        <w:tc>
          <w:tcPr>
            <w:tcW w:w="1539" w:type="dxa"/>
            <w:tcBorders>
              <w:top w:val="nil"/>
              <w:left w:val="nil"/>
              <w:bottom w:val="nil"/>
              <w:right w:val="nil"/>
            </w:tcBorders>
            <w:shd w:val="clear" w:color="auto" w:fill="auto"/>
            <w:noWrap/>
            <w:vAlign w:val="center"/>
            <w:hideMark/>
          </w:tcPr>
          <w:p w14:paraId="3D35C626" w14:textId="77777777" w:rsidR="00145529" w:rsidRPr="002D4B12" w:rsidRDefault="00145529" w:rsidP="00784687">
            <w:pPr>
              <w:spacing w:line="240" w:lineRule="auto"/>
              <w:jc w:val="center"/>
              <w:rPr>
                <w:rFonts w:eastAsia="Times New Roman"/>
                <w:sz w:val="20"/>
                <w:szCs w:val="20"/>
                <w:lang w:eastAsia="cs-CZ"/>
              </w:rPr>
            </w:pPr>
          </w:p>
        </w:tc>
      </w:tr>
    </w:tbl>
    <w:p w14:paraId="756973C4" w14:textId="36BA4D33" w:rsidR="00145529" w:rsidRPr="002D4B12" w:rsidRDefault="00145529" w:rsidP="00145529">
      <w:pPr>
        <w:pStyle w:val="OdstavecASR"/>
      </w:pPr>
      <w:bookmarkStart w:id="296" w:name="_Hlk104291263"/>
      <w:r w:rsidRPr="002D4B12">
        <w:t>Stejně jako v roce 2021</w:t>
      </w:r>
      <w:r w:rsidR="00642B5F" w:rsidRPr="002D4B12">
        <w:t xml:space="preserve"> byla míra vyřizování</w:t>
      </w:r>
      <w:r w:rsidRPr="002D4B12">
        <w:t xml:space="preserve"> nad 100 % ve všech krajích.</w:t>
      </w:r>
      <w:bookmarkEnd w:id="296"/>
      <w:r w:rsidRPr="002D4B12">
        <w:t xml:space="preserve"> Soudní kraj Severní Čechy (nadřízený soud KS Ústí nad Labem), tedy kraj, který vykazuje vysoké délky řízení a velké množství nedodělků, m</w:t>
      </w:r>
      <w:r w:rsidR="00642B5F" w:rsidRPr="002D4B12">
        <w:t>ěl</w:t>
      </w:r>
      <w:r w:rsidRPr="002D4B12">
        <w:t xml:space="preserve"> opět nejvyšší míru vyřizování, </w:t>
      </w:r>
      <w:r w:rsidR="00642B5F" w:rsidRPr="002D4B12">
        <w:t xml:space="preserve">i když tentokrát „jen“ 102,4 %. </w:t>
      </w:r>
      <w:r w:rsidRPr="002D4B12">
        <w:t xml:space="preserve"> Situace v tomto kraji se tedy i nadále postupně zlepšuje.</w:t>
      </w:r>
    </w:p>
    <w:p w14:paraId="24829AB1" w14:textId="32BCC920" w:rsidR="008742F2" w:rsidRPr="002D4B12" w:rsidRDefault="008430BD" w:rsidP="008742F2">
      <w:pPr>
        <w:pStyle w:val="Nadpis3"/>
        <w:numPr>
          <w:ilvl w:val="2"/>
          <w:numId w:val="1"/>
        </w:numPr>
        <w:rPr>
          <w:color w:val="auto"/>
        </w:rPr>
      </w:pPr>
      <w:bookmarkStart w:id="297" w:name="_Toc515871233"/>
      <w:bookmarkStart w:id="298" w:name="_Toc41546310"/>
      <w:bookmarkStart w:id="299" w:name="_Toc106092730"/>
      <w:bookmarkStart w:id="300" w:name="_Toc144104351"/>
      <w:bookmarkEnd w:id="292"/>
      <w:r w:rsidRPr="002D4B12">
        <w:rPr>
          <w:color w:val="auto"/>
        </w:rPr>
        <w:t>Vyřizování věcí v přepočtu na soudce</w:t>
      </w:r>
      <w:bookmarkEnd w:id="297"/>
      <w:bookmarkEnd w:id="298"/>
      <w:bookmarkEnd w:id="299"/>
      <w:bookmarkEnd w:id="300"/>
    </w:p>
    <w:p w14:paraId="05281E9A" w14:textId="77777777" w:rsidR="00642B5F" w:rsidRPr="002D4B12" w:rsidRDefault="00642B5F" w:rsidP="00642B5F">
      <w:pPr>
        <w:pStyle w:val="OdstavecASR"/>
      </w:pPr>
      <w:r w:rsidRPr="002D4B12">
        <w:t>Trestní úsek je výrazně menší než úsek civilní. Proto může v přepočtu na soudce docházet k určitým výkyvům, a to především na úrovni jednotlivých soudů. U nejmenších soudů působí na trestním úseku pouze dva soudci. Dočasný pokles nebo nárůst v počtu soudců tedy může vést ke značnému nárůstu nebo poklesu nevyřízených věcí v přepočtu na soudce.</w:t>
      </w:r>
    </w:p>
    <w:p w14:paraId="6F2AA7E0" w14:textId="50265BA3" w:rsidR="00642B5F" w:rsidRPr="002D4B12" w:rsidRDefault="00642B5F" w:rsidP="00642B5F">
      <w:r w:rsidRPr="002D4B12">
        <w:t xml:space="preserve">Stejně jako u civilní agendy má Ministerstvo spravedlnosti za poslední </w:t>
      </w:r>
      <w:r w:rsidR="00096378" w:rsidRPr="002D4B12">
        <w:t>čtyři</w:t>
      </w:r>
      <w:r w:rsidRPr="002D4B12">
        <w:t xml:space="preserve"> roky k dispozici přesnější data o počtu soudců. Detailnější informace lze najít v podkapitole 2.2.3.</w:t>
      </w:r>
    </w:p>
    <w:p w14:paraId="68D9AE0D" w14:textId="49AF639C" w:rsidR="00096378" w:rsidRPr="002D4B12" w:rsidRDefault="00096378" w:rsidP="00096378">
      <w:pPr>
        <w:pStyle w:val="Podnadpis"/>
        <w:rPr>
          <w:color w:val="auto"/>
        </w:rPr>
      </w:pPr>
      <w:bookmarkStart w:id="301" w:name="_Toc515871454"/>
      <w:bookmarkStart w:id="302" w:name="_Toc11133222"/>
      <w:bookmarkStart w:id="303" w:name="_Toc43931195"/>
      <w:bookmarkStart w:id="304" w:name="_Hlk67407410"/>
      <w:bookmarkStart w:id="305" w:name="_Toc75952325"/>
      <w:bookmarkStart w:id="306" w:name="_Toc106106784"/>
      <w:bookmarkStart w:id="307" w:name="_Toc144104262"/>
      <w:r w:rsidRPr="002D4B12">
        <w:rPr>
          <w:color w:val="auto"/>
        </w:rPr>
        <w:t xml:space="preserve">Tabulka </w:t>
      </w:r>
      <w:r w:rsidRPr="002D4B12">
        <w:rPr>
          <w:color w:val="auto"/>
        </w:rPr>
        <w:fldChar w:fldCharType="begin"/>
      </w:r>
      <w:r w:rsidRPr="002D4B12">
        <w:rPr>
          <w:color w:val="auto"/>
        </w:rPr>
        <w:instrText xml:space="preserve"> SEQ Tabulka \* ARABIC </w:instrText>
      </w:r>
      <w:r w:rsidRPr="002D4B12">
        <w:rPr>
          <w:color w:val="auto"/>
        </w:rPr>
        <w:fldChar w:fldCharType="separate"/>
      </w:r>
      <w:r w:rsidR="001E1A67">
        <w:rPr>
          <w:noProof/>
          <w:color w:val="auto"/>
        </w:rPr>
        <w:t>23</w:t>
      </w:r>
      <w:r w:rsidRPr="002D4B12">
        <w:rPr>
          <w:noProof/>
          <w:color w:val="auto"/>
        </w:rPr>
        <w:fldChar w:fldCharType="end"/>
      </w:r>
      <w:r w:rsidRPr="002D4B12">
        <w:rPr>
          <w:color w:val="auto"/>
        </w:rPr>
        <w:t>: OS – vyřizování trestních věcí na skutečný úvazek dle krajů</w:t>
      </w:r>
      <w:bookmarkEnd w:id="301"/>
      <w:bookmarkEnd w:id="302"/>
      <w:bookmarkEnd w:id="303"/>
      <w:bookmarkEnd w:id="304"/>
      <w:bookmarkEnd w:id="305"/>
      <w:bookmarkEnd w:id="306"/>
      <w:bookmarkEnd w:id="307"/>
    </w:p>
    <w:tbl>
      <w:tblPr>
        <w:tblW w:w="9113" w:type="dxa"/>
        <w:tblCellMar>
          <w:left w:w="70" w:type="dxa"/>
          <w:right w:w="70" w:type="dxa"/>
        </w:tblCellMar>
        <w:tblLook w:val="04A0" w:firstRow="1" w:lastRow="0" w:firstColumn="1" w:lastColumn="0" w:noHBand="0" w:noVBand="1"/>
      </w:tblPr>
      <w:tblGrid>
        <w:gridCol w:w="1985"/>
        <w:gridCol w:w="992"/>
        <w:gridCol w:w="1208"/>
        <w:gridCol w:w="918"/>
        <w:gridCol w:w="1134"/>
        <w:gridCol w:w="919"/>
        <w:gridCol w:w="1017"/>
        <w:gridCol w:w="930"/>
        <w:gridCol w:w="10"/>
      </w:tblGrid>
      <w:tr w:rsidR="00F15667" w:rsidRPr="002D4B12" w14:paraId="6D6D426C" w14:textId="77777777" w:rsidTr="00784687">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p w14:paraId="0B6A6A9A" w14:textId="77777777" w:rsidR="00290ABE" w:rsidRPr="002D4B12" w:rsidRDefault="00290ABE" w:rsidP="00784687">
            <w:pPr>
              <w:spacing w:line="240" w:lineRule="auto"/>
              <w:jc w:val="center"/>
              <w:rPr>
                <w:rFonts w:eastAsia="Times New Roman"/>
                <w:b/>
                <w:bCs/>
                <w:szCs w:val="24"/>
                <w:lang w:eastAsia="cs-CZ"/>
              </w:rPr>
            </w:pPr>
            <w:r w:rsidRPr="002D4B12">
              <w:rPr>
                <w:rFonts w:eastAsia="Times New Roman"/>
                <w:b/>
                <w:bCs/>
                <w:szCs w:val="24"/>
                <w:lang w:eastAsia="cs-CZ"/>
              </w:rPr>
              <w:t>Nadřízený soud</w:t>
            </w:r>
          </w:p>
        </w:tc>
        <w:tc>
          <w:tcPr>
            <w:tcW w:w="992" w:type="dxa"/>
            <w:vMerge w:val="restart"/>
            <w:tcBorders>
              <w:top w:val="double" w:sz="6" w:space="0" w:color="auto"/>
              <w:left w:val="nil"/>
              <w:bottom w:val="double" w:sz="6" w:space="0" w:color="000000"/>
              <w:right w:val="nil"/>
            </w:tcBorders>
            <w:shd w:val="clear" w:color="auto" w:fill="auto"/>
            <w:noWrap/>
            <w:vAlign w:val="center"/>
            <w:hideMark/>
          </w:tcPr>
          <w:p w14:paraId="0C8851D1" w14:textId="77777777" w:rsidR="00290ABE" w:rsidRPr="002D4B12" w:rsidRDefault="00290ABE" w:rsidP="00784687">
            <w:pPr>
              <w:spacing w:line="240" w:lineRule="auto"/>
              <w:jc w:val="center"/>
              <w:rPr>
                <w:rFonts w:eastAsia="Times New Roman"/>
                <w:b/>
                <w:bCs/>
                <w:szCs w:val="24"/>
                <w:lang w:eastAsia="cs-CZ"/>
              </w:rPr>
            </w:pPr>
            <w:r w:rsidRPr="002D4B12">
              <w:rPr>
                <w:rFonts w:eastAsia="Times New Roman"/>
                <w:b/>
                <w:bCs/>
                <w:szCs w:val="24"/>
                <w:lang w:eastAsia="cs-CZ"/>
              </w:rPr>
              <w:t>Počet úvazků</w:t>
            </w:r>
          </w:p>
        </w:tc>
        <w:tc>
          <w:tcPr>
            <w:tcW w:w="6136" w:type="dxa"/>
            <w:gridSpan w:val="7"/>
            <w:tcBorders>
              <w:top w:val="double" w:sz="6" w:space="0" w:color="auto"/>
              <w:left w:val="nil"/>
              <w:bottom w:val="nil"/>
              <w:right w:val="nil"/>
            </w:tcBorders>
            <w:shd w:val="clear" w:color="auto" w:fill="auto"/>
            <w:noWrap/>
            <w:vAlign w:val="center"/>
            <w:hideMark/>
          </w:tcPr>
          <w:p w14:paraId="64B7776B" w14:textId="51E7DA9C" w:rsidR="00290ABE" w:rsidRPr="002D4B12" w:rsidRDefault="001B356B" w:rsidP="00784687">
            <w:pPr>
              <w:spacing w:line="240" w:lineRule="auto"/>
              <w:jc w:val="center"/>
              <w:rPr>
                <w:rFonts w:eastAsia="Times New Roman"/>
                <w:b/>
                <w:bCs/>
                <w:szCs w:val="24"/>
                <w:lang w:eastAsia="cs-CZ"/>
              </w:rPr>
            </w:pPr>
            <w:r w:rsidRPr="002D4B12">
              <w:rPr>
                <w:rFonts w:eastAsia="Times New Roman"/>
                <w:b/>
                <w:bCs/>
                <w:szCs w:val="24"/>
                <w:lang w:eastAsia="cs-CZ"/>
              </w:rPr>
              <w:t>Počet věcí na úvazek</w:t>
            </w:r>
          </w:p>
        </w:tc>
      </w:tr>
      <w:tr w:rsidR="00F15667" w:rsidRPr="002D4B12" w14:paraId="10E49AB5" w14:textId="77777777" w:rsidTr="00784687">
        <w:trPr>
          <w:gridAfter w:val="1"/>
          <w:wAfter w:w="14" w:type="dxa"/>
          <w:trHeight w:val="330"/>
        </w:trPr>
        <w:tc>
          <w:tcPr>
            <w:tcW w:w="1985" w:type="dxa"/>
            <w:vMerge/>
            <w:tcBorders>
              <w:top w:val="double" w:sz="6" w:space="0" w:color="auto"/>
              <w:left w:val="nil"/>
              <w:bottom w:val="double" w:sz="6" w:space="0" w:color="000000"/>
              <w:right w:val="nil"/>
            </w:tcBorders>
            <w:vAlign w:val="center"/>
            <w:hideMark/>
          </w:tcPr>
          <w:p w14:paraId="139A216C" w14:textId="77777777" w:rsidR="00290ABE" w:rsidRPr="002D4B12" w:rsidRDefault="00290ABE" w:rsidP="00784687">
            <w:pPr>
              <w:spacing w:line="240" w:lineRule="auto"/>
              <w:jc w:val="center"/>
              <w:rPr>
                <w:rFonts w:eastAsia="Times New Roman"/>
                <w:b/>
                <w:bCs/>
                <w:szCs w:val="24"/>
                <w:lang w:eastAsia="cs-CZ"/>
              </w:rPr>
            </w:pPr>
          </w:p>
        </w:tc>
        <w:tc>
          <w:tcPr>
            <w:tcW w:w="992" w:type="dxa"/>
            <w:vMerge/>
            <w:tcBorders>
              <w:top w:val="double" w:sz="6" w:space="0" w:color="auto"/>
              <w:left w:val="nil"/>
              <w:bottom w:val="double" w:sz="6" w:space="0" w:color="000000"/>
              <w:right w:val="nil"/>
            </w:tcBorders>
            <w:vAlign w:val="center"/>
            <w:hideMark/>
          </w:tcPr>
          <w:p w14:paraId="1B00ED33" w14:textId="77777777" w:rsidR="00290ABE" w:rsidRPr="002D4B12" w:rsidRDefault="00290ABE" w:rsidP="00784687">
            <w:pPr>
              <w:spacing w:line="240" w:lineRule="auto"/>
              <w:jc w:val="center"/>
              <w:rPr>
                <w:rFonts w:eastAsia="Times New Roman"/>
                <w:b/>
                <w:bCs/>
                <w:szCs w:val="24"/>
                <w:lang w:eastAsia="cs-CZ"/>
              </w:rPr>
            </w:pPr>
          </w:p>
        </w:tc>
        <w:tc>
          <w:tcPr>
            <w:tcW w:w="2126" w:type="dxa"/>
            <w:gridSpan w:val="2"/>
            <w:tcBorders>
              <w:top w:val="nil"/>
              <w:left w:val="nil"/>
              <w:bottom w:val="double" w:sz="6" w:space="0" w:color="auto"/>
              <w:right w:val="nil"/>
            </w:tcBorders>
            <w:shd w:val="clear" w:color="auto" w:fill="auto"/>
            <w:noWrap/>
            <w:vAlign w:val="center"/>
            <w:hideMark/>
          </w:tcPr>
          <w:p w14:paraId="0D988384" w14:textId="77777777" w:rsidR="00290ABE" w:rsidRPr="002D4B12" w:rsidRDefault="00290ABE" w:rsidP="00784687">
            <w:pPr>
              <w:spacing w:line="240" w:lineRule="auto"/>
              <w:jc w:val="center"/>
              <w:rPr>
                <w:rFonts w:eastAsia="Times New Roman"/>
                <w:b/>
                <w:bCs/>
                <w:szCs w:val="24"/>
                <w:lang w:eastAsia="cs-CZ"/>
              </w:rPr>
            </w:pPr>
            <w:r w:rsidRPr="002D4B12">
              <w:rPr>
                <w:rFonts w:eastAsia="Times New Roman"/>
                <w:b/>
                <w:bCs/>
                <w:szCs w:val="24"/>
                <w:lang w:eastAsia="cs-CZ"/>
              </w:rPr>
              <w:t>Nápad + obživa</w:t>
            </w:r>
          </w:p>
        </w:tc>
        <w:tc>
          <w:tcPr>
            <w:tcW w:w="204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EFA0518" w14:textId="77777777" w:rsidR="00290ABE" w:rsidRPr="002D4B12" w:rsidRDefault="00290ABE" w:rsidP="00784687">
            <w:pPr>
              <w:spacing w:line="240" w:lineRule="auto"/>
              <w:jc w:val="center"/>
              <w:rPr>
                <w:rFonts w:eastAsia="Times New Roman"/>
                <w:b/>
                <w:bCs/>
                <w:szCs w:val="24"/>
                <w:lang w:eastAsia="cs-CZ"/>
              </w:rPr>
            </w:pPr>
            <w:r w:rsidRPr="002D4B12">
              <w:rPr>
                <w:rFonts w:eastAsia="Times New Roman"/>
                <w:b/>
                <w:bCs/>
                <w:szCs w:val="24"/>
                <w:lang w:eastAsia="cs-CZ"/>
              </w:rPr>
              <w:t>Vyřízeno</w:t>
            </w:r>
          </w:p>
        </w:tc>
        <w:tc>
          <w:tcPr>
            <w:tcW w:w="1947" w:type="dxa"/>
            <w:gridSpan w:val="2"/>
            <w:tcBorders>
              <w:top w:val="nil"/>
              <w:left w:val="nil"/>
              <w:bottom w:val="double" w:sz="6" w:space="0" w:color="auto"/>
              <w:right w:val="nil"/>
            </w:tcBorders>
            <w:shd w:val="clear" w:color="auto" w:fill="auto"/>
            <w:noWrap/>
            <w:vAlign w:val="center"/>
            <w:hideMark/>
          </w:tcPr>
          <w:p w14:paraId="48A22EA7" w14:textId="77777777" w:rsidR="00290ABE" w:rsidRPr="002D4B12" w:rsidRDefault="00290ABE" w:rsidP="00784687">
            <w:pPr>
              <w:spacing w:line="240" w:lineRule="auto"/>
              <w:jc w:val="center"/>
              <w:rPr>
                <w:rFonts w:eastAsia="Times New Roman"/>
                <w:b/>
                <w:bCs/>
                <w:szCs w:val="24"/>
                <w:lang w:eastAsia="cs-CZ"/>
              </w:rPr>
            </w:pPr>
            <w:r w:rsidRPr="002D4B12">
              <w:rPr>
                <w:rFonts w:eastAsia="Times New Roman"/>
                <w:b/>
                <w:bCs/>
                <w:szCs w:val="24"/>
                <w:lang w:eastAsia="cs-CZ"/>
              </w:rPr>
              <w:t>Nevyřízeno</w:t>
            </w:r>
          </w:p>
        </w:tc>
      </w:tr>
      <w:tr w:rsidR="00F15667" w:rsidRPr="002D4B12" w14:paraId="4A43BCC6" w14:textId="77777777" w:rsidTr="00784687">
        <w:trPr>
          <w:gridAfter w:val="1"/>
          <w:wAfter w:w="10" w:type="dxa"/>
          <w:trHeight w:val="330"/>
        </w:trPr>
        <w:tc>
          <w:tcPr>
            <w:tcW w:w="1985" w:type="dxa"/>
            <w:tcBorders>
              <w:top w:val="single" w:sz="4" w:space="0" w:color="auto"/>
              <w:left w:val="nil"/>
              <w:bottom w:val="single" w:sz="4" w:space="0" w:color="auto"/>
              <w:right w:val="nil"/>
            </w:tcBorders>
            <w:shd w:val="clear" w:color="auto" w:fill="auto"/>
            <w:noWrap/>
            <w:vAlign w:val="center"/>
            <w:hideMark/>
          </w:tcPr>
          <w:p w14:paraId="2D0FC3A8" w14:textId="77777777" w:rsidR="00290ABE" w:rsidRPr="002D4B12" w:rsidRDefault="00290ABE" w:rsidP="00784687">
            <w:pPr>
              <w:spacing w:line="240" w:lineRule="auto"/>
              <w:jc w:val="left"/>
              <w:rPr>
                <w:rFonts w:eastAsia="Times New Roman"/>
                <w:szCs w:val="24"/>
                <w:lang w:eastAsia="cs-CZ"/>
              </w:rPr>
            </w:pPr>
            <w:r w:rsidRPr="002D4B12">
              <w:rPr>
                <w:rFonts w:eastAsia="Times New Roman"/>
                <w:szCs w:val="24"/>
                <w:lang w:eastAsia="cs-CZ"/>
              </w:rPr>
              <w:t>MS Praha</w:t>
            </w:r>
          </w:p>
        </w:tc>
        <w:tc>
          <w:tcPr>
            <w:tcW w:w="992" w:type="dxa"/>
            <w:tcBorders>
              <w:top w:val="single" w:sz="4" w:space="0" w:color="auto"/>
              <w:left w:val="nil"/>
              <w:bottom w:val="single" w:sz="4" w:space="0" w:color="auto"/>
              <w:right w:val="nil"/>
            </w:tcBorders>
            <w:shd w:val="clear" w:color="auto" w:fill="auto"/>
            <w:noWrap/>
            <w:vAlign w:val="center"/>
            <w:hideMark/>
          </w:tcPr>
          <w:p w14:paraId="50D1DCD2" w14:textId="6CE385F1"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57,90</w:t>
            </w:r>
          </w:p>
        </w:tc>
        <w:tc>
          <w:tcPr>
            <w:tcW w:w="1208" w:type="dxa"/>
            <w:tcBorders>
              <w:top w:val="single" w:sz="4" w:space="0" w:color="auto"/>
              <w:left w:val="nil"/>
              <w:bottom w:val="single" w:sz="4" w:space="0" w:color="auto"/>
              <w:right w:val="nil"/>
            </w:tcBorders>
            <w:shd w:val="clear" w:color="auto" w:fill="auto"/>
            <w:noWrap/>
            <w:vAlign w:val="center"/>
            <w:hideMark/>
          </w:tcPr>
          <w:p w14:paraId="1E11477F" w14:textId="760D3759"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150,35</w:t>
            </w:r>
          </w:p>
        </w:tc>
        <w:tc>
          <w:tcPr>
            <w:tcW w:w="918" w:type="dxa"/>
            <w:tcBorders>
              <w:top w:val="single" w:sz="4" w:space="0" w:color="auto"/>
              <w:left w:val="nil"/>
              <w:bottom w:val="single" w:sz="4" w:space="0" w:color="auto"/>
              <w:right w:val="nil"/>
            </w:tcBorders>
            <w:shd w:val="clear" w:color="auto" w:fill="auto"/>
            <w:noWrap/>
            <w:vAlign w:val="center"/>
            <w:hideMark/>
          </w:tcPr>
          <w:p w14:paraId="17F0997F" w14:textId="6F6FA23D"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-6 %</w:t>
            </w:r>
          </w:p>
        </w:tc>
        <w:tc>
          <w:tcPr>
            <w:tcW w:w="1134" w:type="dxa"/>
            <w:tcBorders>
              <w:top w:val="nil"/>
              <w:left w:val="single" w:sz="4" w:space="0" w:color="auto"/>
              <w:bottom w:val="single" w:sz="4" w:space="0" w:color="auto"/>
              <w:right w:val="nil"/>
            </w:tcBorders>
            <w:shd w:val="clear" w:color="auto" w:fill="auto"/>
            <w:noWrap/>
            <w:vAlign w:val="center"/>
            <w:hideMark/>
          </w:tcPr>
          <w:p w14:paraId="043D661F" w14:textId="54BFE58E"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151,00</w:t>
            </w:r>
          </w:p>
        </w:tc>
        <w:tc>
          <w:tcPr>
            <w:tcW w:w="919" w:type="dxa"/>
            <w:tcBorders>
              <w:top w:val="nil"/>
              <w:left w:val="nil"/>
              <w:bottom w:val="single" w:sz="4" w:space="0" w:color="auto"/>
              <w:right w:val="single" w:sz="4" w:space="0" w:color="auto"/>
            </w:tcBorders>
            <w:shd w:val="clear" w:color="auto" w:fill="auto"/>
            <w:noWrap/>
            <w:vAlign w:val="center"/>
            <w:hideMark/>
          </w:tcPr>
          <w:p w14:paraId="42836397" w14:textId="28AFFF90"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-6 %</w:t>
            </w:r>
          </w:p>
        </w:tc>
        <w:tc>
          <w:tcPr>
            <w:tcW w:w="1017" w:type="dxa"/>
            <w:tcBorders>
              <w:top w:val="single" w:sz="4" w:space="0" w:color="auto"/>
              <w:left w:val="nil"/>
              <w:bottom w:val="single" w:sz="4" w:space="0" w:color="auto"/>
              <w:right w:val="nil"/>
            </w:tcBorders>
            <w:shd w:val="clear" w:color="auto" w:fill="auto"/>
            <w:noWrap/>
            <w:vAlign w:val="center"/>
            <w:hideMark/>
          </w:tcPr>
          <w:p w14:paraId="459077C3" w14:textId="18DFF460"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19,36</w:t>
            </w:r>
          </w:p>
        </w:tc>
        <w:tc>
          <w:tcPr>
            <w:tcW w:w="930" w:type="dxa"/>
            <w:tcBorders>
              <w:top w:val="single" w:sz="4" w:space="0" w:color="auto"/>
              <w:left w:val="nil"/>
              <w:bottom w:val="single" w:sz="4" w:space="0" w:color="auto"/>
              <w:right w:val="nil"/>
            </w:tcBorders>
            <w:shd w:val="clear" w:color="auto" w:fill="auto"/>
            <w:noWrap/>
            <w:vAlign w:val="center"/>
            <w:hideMark/>
          </w:tcPr>
          <w:p w14:paraId="524F60DC" w14:textId="02EC0577"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-11 %</w:t>
            </w:r>
          </w:p>
        </w:tc>
      </w:tr>
      <w:tr w:rsidR="00F15667" w:rsidRPr="002D4B12" w14:paraId="1A8F52C7" w14:textId="77777777" w:rsidTr="00784687">
        <w:trPr>
          <w:gridAfter w:val="1"/>
          <w:wAfter w:w="10" w:type="dxa"/>
          <w:trHeight w:val="315"/>
        </w:trPr>
        <w:tc>
          <w:tcPr>
            <w:tcW w:w="1985" w:type="dxa"/>
            <w:tcBorders>
              <w:top w:val="nil"/>
              <w:left w:val="nil"/>
              <w:bottom w:val="single" w:sz="4" w:space="0" w:color="auto"/>
              <w:right w:val="nil"/>
            </w:tcBorders>
            <w:shd w:val="clear" w:color="auto" w:fill="auto"/>
            <w:noWrap/>
            <w:vAlign w:val="center"/>
            <w:hideMark/>
          </w:tcPr>
          <w:p w14:paraId="23ADE481" w14:textId="77777777" w:rsidR="00290ABE" w:rsidRPr="002D4B12" w:rsidRDefault="00290ABE" w:rsidP="00784687">
            <w:pPr>
              <w:spacing w:line="240" w:lineRule="auto"/>
              <w:jc w:val="left"/>
              <w:rPr>
                <w:rFonts w:eastAsia="Times New Roman"/>
                <w:szCs w:val="24"/>
                <w:lang w:eastAsia="cs-CZ"/>
              </w:rPr>
            </w:pPr>
            <w:r w:rsidRPr="002D4B12">
              <w:rPr>
                <w:rFonts w:eastAsia="Times New Roman"/>
                <w:szCs w:val="24"/>
                <w:lang w:eastAsia="cs-CZ"/>
              </w:rPr>
              <w:t>KS Praha</w:t>
            </w:r>
          </w:p>
        </w:tc>
        <w:tc>
          <w:tcPr>
            <w:tcW w:w="992" w:type="dxa"/>
            <w:tcBorders>
              <w:top w:val="nil"/>
              <w:left w:val="nil"/>
              <w:bottom w:val="single" w:sz="4" w:space="0" w:color="auto"/>
              <w:right w:val="nil"/>
            </w:tcBorders>
            <w:shd w:val="clear" w:color="auto" w:fill="auto"/>
            <w:noWrap/>
            <w:vAlign w:val="center"/>
            <w:hideMark/>
          </w:tcPr>
          <w:p w14:paraId="6123E3E8" w14:textId="67717ADC"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41,25</w:t>
            </w:r>
          </w:p>
        </w:tc>
        <w:tc>
          <w:tcPr>
            <w:tcW w:w="1208" w:type="dxa"/>
            <w:tcBorders>
              <w:top w:val="nil"/>
              <w:left w:val="nil"/>
              <w:bottom w:val="single" w:sz="4" w:space="0" w:color="auto"/>
              <w:right w:val="nil"/>
            </w:tcBorders>
            <w:shd w:val="clear" w:color="auto" w:fill="auto"/>
            <w:noWrap/>
            <w:vAlign w:val="center"/>
            <w:hideMark/>
          </w:tcPr>
          <w:p w14:paraId="38EB1A37" w14:textId="51CE0A29"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180,27</w:t>
            </w:r>
          </w:p>
        </w:tc>
        <w:tc>
          <w:tcPr>
            <w:tcW w:w="918" w:type="dxa"/>
            <w:tcBorders>
              <w:top w:val="nil"/>
              <w:left w:val="nil"/>
              <w:bottom w:val="single" w:sz="4" w:space="0" w:color="auto"/>
              <w:right w:val="nil"/>
            </w:tcBorders>
            <w:shd w:val="clear" w:color="auto" w:fill="auto"/>
            <w:noWrap/>
            <w:vAlign w:val="center"/>
            <w:hideMark/>
          </w:tcPr>
          <w:p w14:paraId="2E598F24" w14:textId="339A6B04"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+12 %</w:t>
            </w:r>
          </w:p>
        </w:tc>
        <w:tc>
          <w:tcPr>
            <w:tcW w:w="1134" w:type="dxa"/>
            <w:tcBorders>
              <w:top w:val="nil"/>
              <w:left w:val="single" w:sz="4" w:space="0" w:color="auto"/>
              <w:bottom w:val="single" w:sz="4" w:space="0" w:color="auto"/>
              <w:right w:val="nil"/>
            </w:tcBorders>
            <w:shd w:val="clear" w:color="auto" w:fill="auto"/>
            <w:noWrap/>
            <w:vAlign w:val="center"/>
            <w:hideMark/>
          </w:tcPr>
          <w:p w14:paraId="3CD525C7" w14:textId="10FC5D32"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180,19</w:t>
            </w:r>
          </w:p>
        </w:tc>
        <w:tc>
          <w:tcPr>
            <w:tcW w:w="919" w:type="dxa"/>
            <w:tcBorders>
              <w:top w:val="nil"/>
              <w:left w:val="nil"/>
              <w:bottom w:val="single" w:sz="4" w:space="0" w:color="auto"/>
              <w:right w:val="single" w:sz="4" w:space="0" w:color="auto"/>
            </w:tcBorders>
            <w:shd w:val="clear" w:color="auto" w:fill="auto"/>
            <w:noWrap/>
            <w:vAlign w:val="center"/>
            <w:hideMark/>
          </w:tcPr>
          <w:p w14:paraId="58172AFE" w14:textId="4608488E"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+10 %</w:t>
            </w:r>
          </w:p>
        </w:tc>
        <w:tc>
          <w:tcPr>
            <w:tcW w:w="1017" w:type="dxa"/>
            <w:tcBorders>
              <w:top w:val="nil"/>
              <w:left w:val="nil"/>
              <w:bottom w:val="single" w:sz="4" w:space="0" w:color="auto"/>
              <w:right w:val="nil"/>
            </w:tcBorders>
            <w:shd w:val="clear" w:color="auto" w:fill="auto"/>
            <w:noWrap/>
            <w:vAlign w:val="center"/>
            <w:hideMark/>
          </w:tcPr>
          <w:p w14:paraId="0BD93B1A" w14:textId="7C89207C"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11,73</w:t>
            </w:r>
          </w:p>
        </w:tc>
        <w:tc>
          <w:tcPr>
            <w:tcW w:w="930" w:type="dxa"/>
            <w:tcBorders>
              <w:top w:val="nil"/>
              <w:left w:val="nil"/>
              <w:bottom w:val="single" w:sz="4" w:space="0" w:color="auto"/>
              <w:right w:val="nil"/>
            </w:tcBorders>
            <w:shd w:val="clear" w:color="auto" w:fill="auto"/>
            <w:noWrap/>
            <w:vAlign w:val="center"/>
            <w:hideMark/>
          </w:tcPr>
          <w:p w14:paraId="27BD0C58" w14:textId="46D440BC"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+7 %</w:t>
            </w:r>
          </w:p>
        </w:tc>
      </w:tr>
      <w:tr w:rsidR="00F15667" w:rsidRPr="002D4B12" w14:paraId="08A61D77" w14:textId="77777777" w:rsidTr="00784687">
        <w:trPr>
          <w:gridAfter w:val="1"/>
          <w:wAfter w:w="10" w:type="dxa"/>
          <w:trHeight w:val="315"/>
        </w:trPr>
        <w:tc>
          <w:tcPr>
            <w:tcW w:w="1985" w:type="dxa"/>
            <w:tcBorders>
              <w:top w:val="nil"/>
              <w:left w:val="nil"/>
              <w:bottom w:val="single" w:sz="4" w:space="0" w:color="auto"/>
              <w:right w:val="nil"/>
            </w:tcBorders>
            <w:shd w:val="clear" w:color="auto" w:fill="auto"/>
            <w:noWrap/>
            <w:vAlign w:val="center"/>
            <w:hideMark/>
          </w:tcPr>
          <w:p w14:paraId="076768B9" w14:textId="77777777" w:rsidR="00290ABE" w:rsidRPr="002D4B12" w:rsidRDefault="00290ABE" w:rsidP="00784687">
            <w:pPr>
              <w:spacing w:line="240" w:lineRule="auto"/>
              <w:jc w:val="left"/>
              <w:rPr>
                <w:rFonts w:eastAsia="Times New Roman"/>
                <w:szCs w:val="24"/>
                <w:lang w:eastAsia="cs-CZ"/>
              </w:rPr>
            </w:pPr>
            <w:r w:rsidRPr="002D4B12">
              <w:rPr>
                <w:rFonts w:eastAsia="Times New Roman"/>
                <w:szCs w:val="24"/>
                <w:lang w:eastAsia="cs-CZ"/>
              </w:rPr>
              <w:t>KS Č. Budějovice</w:t>
            </w:r>
          </w:p>
        </w:tc>
        <w:tc>
          <w:tcPr>
            <w:tcW w:w="992" w:type="dxa"/>
            <w:tcBorders>
              <w:top w:val="nil"/>
              <w:left w:val="nil"/>
              <w:bottom w:val="single" w:sz="4" w:space="0" w:color="auto"/>
              <w:right w:val="nil"/>
            </w:tcBorders>
            <w:shd w:val="clear" w:color="auto" w:fill="auto"/>
            <w:noWrap/>
            <w:vAlign w:val="center"/>
            <w:hideMark/>
          </w:tcPr>
          <w:p w14:paraId="25293F2D" w14:textId="0A706492"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21,90</w:t>
            </w:r>
          </w:p>
        </w:tc>
        <w:tc>
          <w:tcPr>
            <w:tcW w:w="1208" w:type="dxa"/>
            <w:tcBorders>
              <w:top w:val="nil"/>
              <w:left w:val="nil"/>
              <w:bottom w:val="single" w:sz="4" w:space="0" w:color="auto"/>
              <w:right w:val="nil"/>
            </w:tcBorders>
            <w:shd w:val="clear" w:color="auto" w:fill="auto"/>
            <w:noWrap/>
            <w:vAlign w:val="center"/>
            <w:hideMark/>
          </w:tcPr>
          <w:p w14:paraId="3A695D24" w14:textId="5EC3D841"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201,64</w:t>
            </w:r>
          </w:p>
        </w:tc>
        <w:tc>
          <w:tcPr>
            <w:tcW w:w="918" w:type="dxa"/>
            <w:tcBorders>
              <w:top w:val="nil"/>
              <w:left w:val="nil"/>
              <w:bottom w:val="single" w:sz="4" w:space="0" w:color="auto"/>
              <w:right w:val="nil"/>
            </w:tcBorders>
            <w:shd w:val="clear" w:color="auto" w:fill="auto"/>
            <w:noWrap/>
            <w:vAlign w:val="center"/>
            <w:hideMark/>
          </w:tcPr>
          <w:p w14:paraId="772705F7" w14:textId="57C43B45"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+20 %</w:t>
            </w:r>
          </w:p>
        </w:tc>
        <w:tc>
          <w:tcPr>
            <w:tcW w:w="1134" w:type="dxa"/>
            <w:tcBorders>
              <w:top w:val="nil"/>
              <w:left w:val="single" w:sz="4" w:space="0" w:color="auto"/>
              <w:bottom w:val="single" w:sz="4" w:space="0" w:color="auto"/>
              <w:right w:val="nil"/>
            </w:tcBorders>
            <w:shd w:val="clear" w:color="auto" w:fill="auto"/>
            <w:noWrap/>
            <w:vAlign w:val="center"/>
            <w:hideMark/>
          </w:tcPr>
          <w:p w14:paraId="2F1CD768" w14:textId="778012B1"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203,84</w:t>
            </w:r>
          </w:p>
        </w:tc>
        <w:tc>
          <w:tcPr>
            <w:tcW w:w="919" w:type="dxa"/>
            <w:tcBorders>
              <w:top w:val="nil"/>
              <w:left w:val="nil"/>
              <w:bottom w:val="single" w:sz="4" w:space="0" w:color="auto"/>
              <w:right w:val="single" w:sz="4" w:space="0" w:color="auto"/>
            </w:tcBorders>
            <w:shd w:val="clear" w:color="auto" w:fill="auto"/>
            <w:noWrap/>
            <w:vAlign w:val="center"/>
            <w:hideMark/>
          </w:tcPr>
          <w:p w14:paraId="0080823C" w14:textId="1E22B124"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+18 %</w:t>
            </w:r>
          </w:p>
        </w:tc>
        <w:tc>
          <w:tcPr>
            <w:tcW w:w="1017" w:type="dxa"/>
            <w:tcBorders>
              <w:top w:val="nil"/>
              <w:left w:val="nil"/>
              <w:bottom w:val="single" w:sz="4" w:space="0" w:color="auto"/>
              <w:right w:val="nil"/>
            </w:tcBorders>
            <w:shd w:val="clear" w:color="auto" w:fill="auto"/>
            <w:noWrap/>
            <w:vAlign w:val="center"/>
            <w:hideMark/>
          </w:tcPr>
          <w:p w14:paraId="5D10D5EB" w14:textId="237A6A95"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22,47</w:t>
            </w:r>
          </w:p>
        </w:tc>
        <w:tc>
          <w:tcPr>
            <w:tcW w:w="930" w:type="dxa"/>
            <w:tcBorders>
              <w:top w:val="nil"/>
              <w:left w:val="nil"/>
              <w:bottom w:val="single" w:sz="4" w:space="0" w:color="auto"/>
              <w:right w:val="nil"/>
            </w:tcBorders>
            <w:shd w:val="clear" w:color="auto" w:fill="auto"/>
            <w:noWrap/>
            <w:vAlign w:val="center"/>
            <w:hideMark/>
          </w:tcPr>
          <w:p w14:paraId="69EB72F5" w14:textId="33F27B36"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+4 %</w:t>
            </w:r>
          </w:p>
        </w:tc>
      </w:tr>
      <w:tr w:rsidR="00F15667" w:rsidRPr="002D4B12" w14:paraId="27F55303" w14:textId="77777777" w:rsidTr="00784687">
        <w:trPr>
          <w:gridAfter w:val="1"/>
          <w:wAfter w:w="10" w:type="dxa"/>
          <w:trHeight w:val="315"/>
        </w:trPr>
        <w:tc>
          <w:tcPr>
            <w:tcW w:w="1985" w:type="dxa"/>
            <w:tcBorders>
              <w:top w:val="nil"/>
              <w:left w:val="nil"/>
              <w:bottom w:val="single" w:sz="4" w:space="0" w:color="auto"/>
              <w:right w:val="nil"/>
            </w:tcBorders>
            <w:shd w:val="clear" w:color="auto" w:fill="auto"/>
            <w:noWrap/>
            <w:vAlign w:val="center"/>
            <w:hideMark/>
          </w:tcPr>
          <w:p w14:paraId="67C50664" w14:textId="77777777" w:rsidR="00290ABE" w:rsidRPr="002D4B12" w:rsidRDefault="00290ABE" w:rsidP="00784687">
            <w:pPr>
              <w:spacing w:line="240" w:lineRule="auto"/>
              <w:jc w:val="left"/>
              <w:rPr>
                <w:rFonts w:eastAsia="Times New Roman"/>
                <w:szCs w:val="24"/>
                <w:lang w:eastAsia="cs-CZ"/>
              </w:rPr>
            </w:pPr>
            <w:r w:rsidRPr="002D4B12">
              <w:rPr>
                <w:rFonts w:eastAsia="Times New Roman"/>
                <w:szCs w:val="24"/>
                <w:lang w:eastAsia="cs-CZ"/>
              </w:rPr>
              <w:t>KS Plzeň</w:t>
            </w:r>
          </w:p>
        </w:tc>
        <w:tc>
          <w:tcPr>
            <w:tcW w:w="992" w:type="dxa"/>
            <w:tcBorders>
              <w:top w:val="nil"/>
              <w:left w:val="nil"/>
              <w:bottom w:val="single" w:sz="4" w:space="0" w:color="auto"/>
              <w:right w:val="nil"/>
            </w:tcBorders>
            <w:shd w:val="clear" w:color="auto" w:fill="auto"/>
            <w:noWrap/>
            <w:vAlign w:val="center"/>
            <w:hideMark/>
          </w:tcPr>
          <w:p w14:paraId="0C9311F5" w14:textId="7EF2C6B0"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36,32</w:t>
            </w:r>
          </w:p>
        </w:tc>
        <w:tc>
          <w:tcPr>
            <w:tcW w:w="1208" w:type="dxa"/>
            <w:tcBorders>
              <w:top w:val="nil"/>
              <w:left w:val="nil"/>
              <w:bottom w:val="single" w:sz="4" w:space="0" w:color="auto"/>
              <w:right w:val="nil"/>
            </w:tcBorders>
            <w:shd w:val="clear" w:color="auto" w:fill="auto"/>
            <w:noWrap/>
            <w:vAlign w:val="center"/>
            <w:hideMark/>
          </w:tcPr>
          <w:p w14:paraId="01249F80" w14:textId="729F75EE"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152,78</w:t>
            </w:r>
          </w:p>
        </w:tc>
        <w:tc>
          <w:tcPr>
            <w:tcW w:w="918" w:type="dxa"/>
            <w:tcBorders>
              <w:top w:val="nil"/>
              <w:left w:val="nil"/>
              <w:bottom w:val="single" w:sz="4" w:space="0" w:color="auto"/>
              <w:right w:val="nil"/>
            </w:tcBorders>
            <w:shd w:val="clear" w:color="auto" w:fill="auto"/>
            <w:noWrap/>
            <w:vAlign w:val="center"/>
            <w:hideMark/>
          </w:tcPr>
          <w:p w14:paraId="7507AD84" w14:textId="786D84E1"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1134" w:type="dxa"/>
            <w:tcBorders>
              <w:top w:val="nil"/>
              <w:left w:val="single" w:sz="4" w:space="0" w:color="auto"/>
              <w:bottom w:val="single" w:sz="4" w:space="0" w:color="auto"/>
              <w:right w:val="nil"/>
            </w:tcBorders>
            <w:shd w:val="clear" w:color="auto" w:fill="auto"/>
            <w:noWrap/>
            <w:vAlign w:val="center"/>
            <w:hideMark/>
          </w:tcPr>
          <w:p w14:paraId="42988DC0" w14:textId="366DA40F"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154,96</w:t>
            </w:r>
          </w:p>
        </w:tc>
        <w:tc>
          <w:tcPr>
            <w:tcW w:w="919" w:type="dxa"/>
            <w:tcBorders>
              <w:top w:val="nil"/>
              <w:left w:val="nil"/>
              <w:bottom w:val="single" w:sz="4" w:space="0" w:color="auto"/>
              <w:right w:val="single" w:sz="4" w:space="0" w:color="auto"/>
            </w:tcBorders>
            <w:shd w:val="clear" w:color="auto" w:fill="auto"/>
            <w:noWrap/>
            <w:vAlign w:val="center"/>
            <w:hideMark/>
          </w:tcPr>
          <w:p w14:paraId="7182DA3C" w14:textId="1C8FA9C5"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+0 %</w:t>
            </w:r>
          </w:p>
        </w:tc>
        <w:tc>
          <w:tcPr>
            <w:tcW w:w="1017" w:type="dxa"/>
            <w:tcBorders>
              <w:top w:val="nil"/>
              <w:left w:val="nil"/>
              <w:bottom w:val="single" w:sz="4" w:space="0" w:color="auto"/>
              <w:right w:val="nil"/>
            </w:tcBorders>
            <w:shd w:val="clear" w:color="auto" w:fill="auto"/>
            <w:noWrap/>
            <w:vAlign w:val="center"/>
            <w:hideMark/>
          </w:tcPr>
          <w:p w14:paraId="43FB27AF" w14:textId="34A801C2"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23,57</w:t>
            </w:r>
          </w:p>
        </w:tc>
        <w:tc>
          <w:tcPr>
            <w:tcW w:w="930" w:type="dxa"/>
            <w:tcBorders>
              <w:top w:val="nil"/>
              <w:left w:val="nil"/>
              <w:bottom w:val="single" w:sz="4" w:space="0" w:color="auto"/>
              <w:right w:val="nil"/>
            </w:tcBorders>
            <w:shd w:val="clear" w:color="auto" w:fill="auto"/>
            <w:noWrap/>
            <w:vAlign w:val="center"/>
            <w:hideMark/>
          </w:tcPr>
          <w:p w14:paraId="152E3008" w14:textId="4E70B21F"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-9 %</w:t>
            </w:r>
          </w:p>
        </w:tc>
      </w:tr>
      <w:tr w:rsidR="00F15667" w:rsidRPr="002D4B12" w14:paraId="70D4C012" w14:textId="77777777" w:rsidTr="00784687">
        <w:trPr>
          <w:gridAfter w:val="1"/>
          <w:wAfter w:w="10" w:type="dxa"/>
          <w:trHeight w:val="315"/>
        </w:trPr>
        <w:tc>
          <w:tcPr>
            <w:tcW w:w="1985" w:type="dxa"/>
            <w:tcBorders>
              <w:top w:val="nil"/>
              <w:left w:val="nil"/>
              <w:bottom w:val="single" w:sz="4" w:space="0" w:color="auto"/>
              <w:right w:val="nil"/>
            </w:tcBorders>
            <w:shd w:val="clear" w:color="auto" w:fill="auto"/>
            <w:noWrap/>
            <w:vAlign w:val="center"/>
            <w:hideMark/>
          </w:tcPr>
          <w:p w14:paraId="097E6519" w14:textId="77777777" w:rsidR="00290ABE" w:rsidRPr="002D4B12" w:rsidRDefault="00290ABE" w:rsidP="00784687">
            <w:pPr>
              <w:spacing w:line="240" w:lineRule="auto"/>
              <w:jc w:val="left"/>
              <w:rPr>
                <w:rFonts w:eastAsia="Times New Roman"/>
                <w:szCs w:val="24"/>
                <w:lang w:eastAsia="cs-CZ"/>
              </w:rPr>
            </w:pPr>
            <w:r w:rsidRPr="002D4B12">
              <w:rPr>
                <w:rFonts w:eastAsia="Times New Roman"/>
                <w:szCs w:val="24"/>
                <w:lang w:eastAsia="cs-CZ"/>
              </w:rPr>
              <w:t>KS Ústí n. Labem</w:t>
            </w:r>
          </w:p>
        </w:tc>
        <w:tc>
          <w:tcPr>
            <w:tcW w:w="992" w:type="dxa"/>
            <w:tcBorders>
              <w:top w:val="nil"/>
              <w:left w:val="nil"/>
              <w:bottom w:val="single" w:sz="4" w:space="0" w:color="auto"/>
              <w:right w:val="nil"/>
            </w:tcBorders>
            <w:shd w:val="clear" w:color="auto" w:fill="auto"/>
            <w:noWrap/>
            <w:vAlign w:val="center"/>
            <w:hideMark/>
          </w:tcPr>
          <w:p w14:paraId="50F91CBD" w14:textId="507D6B8E"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62,07</w:t>
            </w:r>
          </w:p>
        </w:tc>
        <w:tc>
          <w:tcPr>
            <w:tcW w:w="1208" w:type="dxa"/>
            <w:tcBorders>
              <w:top w:val="nil"/>
              <w:left w:val="nil"/>
              <w:bottom w:val="single" w:sz="4" w:space="0" w:color="auto"/>
              <w:right w:val="nil"/>
            </w:tcBorders>
            <w:shd w:val="clear" w:color="auto" w:fill="auto"/>
            <w:noWrap/>
            <w:vAlign w:val="center"/>
            <w:hideMark/>
          </w:tcPr>
          <w:p w14:paraId="7FD06263" w14:textId="29B2A6CF"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170,37</w:t>
            </w:r>
          </w:p>
        </w:tc>
        <w:tc>
          <w:tcPr>
            <w:tcW w:w="918" w:type="dxa"/>
            <w:tcBorders>
              <w:top w:val="nil"/>
              <w:left w:val="nil"/>
              <w:bottom w:val="single" w:sz="4" w:space="0" w:color="auto"/>
              <w:right w:val="nil"/>
            </w:tcBorders>
            <w:shd w:val="clear" w:color="auto" w:fill="auto"/>
            <w:noWrap/>
            <w:vAlign w:val="center"/>
            <w:hideMark/>
          </w:tcPr>
          <w:p w14:paraId="785B6719" w14:textId="546E3B02"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1134" w:type="dxa"/>
            <w:tcBorders>
              <w:top w:val="nil"/>
              <w:left w:val="single" w:sz="4" w:space="0" w:color="auto"/>
              <w:bottom w:val="single" w:sz="4" w:space="0" w:color="auto"/>
              <w:right w:val="nil"/>
            </w:tcBorders>
            <w:shd w:val="clear" w:color="auto" w:fill="auto"/>
            <w:noWrap/>
            <w:vAlign w:val="center"/>
            <w:hideMark/>
          </w:tcPr>
          <w:p w14:paraId="658F2317" w14:textId="7912E87E"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174,50</w:t>
            </w:r>
          </w:p>
        </w:tc>
        <w:tc>
          <w:tcPr>
            <w:tcW w:w="919" w:type="dxa"/>
            <w:tcBorders>
              <w:top w:val="nil"/>
              <w:left w:val="nil"/>
              <w:bottom w:val="single" w:sz="4" w:space="0" w:color="auto"/>
              <w:right w:val="single" w:sz="4" w:space="0" w:color="auto"/>
            </w:tcBorders>
            <w:shd w:val="clear" w:color="auto" w:fill="auto"/>
            <w:noWrap/>
            <w:vAlign w:val="center"/>
            <w:hideMark/>
          </w:tcPr>
          <w:p w14:paraId="3F4210AF" w14:textId="23DA9D36"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+1 %</w:t>
            </w:r>
          </w:p>
        </w:tc>
        <w:tc>
          <w:tcPr>
            <w:tcW w:w="1017" w:type="dxa"/>
            <w:tcBorders>
              <w:top w:val="nil"/>
              <w:left w:val="nil"/>
              <w:bottom w:val="single" w:sz="4" w:space="0" w:color="auto"/>
              <w:right w:val="nil"/>
            </w:tcBorders>
            <w:shd w:val="clear" w:color="auto" w:fill="auto"/>
            <w:noWrap/>
            <w:vAlign w:val="center"/>
            <w:hideMark/>
          </w:tcPr>
          <w:p w14:paraId="6486CF8E" w14:textId="4B564FB5"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40,87</w:t>
            </w:r>
          </w:p>
        </w:tc>
        <w:tc>
          <w:tcPr>
            <w:tcW w:w="930" w:type="dxa"/>
            <w:tcBorders>
              <w:top w:val="nil"/>
              <w:left w:val="nil"/>
              <w:bottom w:val="single" w:sz="4" w:space="0" w:color="auto"/>
              <w:right w:val="nil"/>
            </w:tcBorders>
            <w:shd w:val="clear" w:color="auto" w:fill="auto"/>
            <w:noWrap/>
            <w:vAlign w:val="center"/>
            <w:hideMark/>
          </w:tcPr>
          <w:p w14:paraId="22D56D74" w14:textId="14CDE029"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-9 %</w:t>
            </w:r>
          </w:p>
        </w:tc>
      </w:tr>
      <w:tr w:rsidR="00F15667" w:rsidRPr="002D4B12" w14:paraId="210C2F98" w14:textId="77777777" w:rsidTr="00784687">
        <w:trPr>
          <w:gridAfter w:val="1"/>
          <w:wAfter w:w="10" w:type="dxa"/>
          <w:trHeight w:val="315"/>
        </w:trPr>
        <w:tc>
          <w:tcPr>
            <w:tcW w:w="1985" w:type="dxa"/>
            <w:tcBorders>
              <w:top w:val="nil"/>
              <w:left w:val="nil"/>
              <w:bottom w:val="single" w:sz="4" w:space="0" w:color="auto"/>
              <w:right w:val="nil"/>
            </w:tcBorders>
            <w:shd w:val="clear" w:color="auto" w:fill="auto"/>
            <w:noWrap/>
            <w:vAlign w:val="center"/>
            <w:hideMark/>
          </w:tcPr>
          <w:p w14:paraId="2CD976F0" w14:textId="77777777" w:rsidR="00290ABE" w:rsidRPr="002D4B12" w:rsidRDefault="00290ABE" w:rsidP="00784687">
            <w:pPr>
              <w:spacing w:line="240" w:lineRule="auto"/>
              <w:jc w:val="left"/>
              <w:rPr>
                <w:rFonts w:eastAsia="Times New Roman"/>
                <w:szCs w:val="24"/>
                <w:lang w:eastAsia="cs-CZ"/>
              </w:rPr>
            </w:pPr>
            <w:r w:rsidRPr="002D4B12">
              <w:rPr>
                <w:rFonts w:eastAsia="Times New Roman"/>
                <w:szCs w:val="24"/>
                <w:lang w:eastAsia="cs-CZ"/>
              </w:rPr>
              <w:t>KS Hr. Králové</w:t>
            </w:r>
          </w:p>
        </w:tc>
        <w:tc>
          <w:tcPr>
            <w:tcW w:w="992" w:type="dxa"/>
            <w:tcBorders>
              <w:top w:val="nil"/>
              <w:left w:val="nil"/>
              <w:bottom w:val="single" w:sz="4" w:space="0" w:color="auto"/>
              <w:right w:val="nil"/>
            </w:tcBorders>
            <w:shd w:val="clear" w:color="auto" w:fill="auto"/>
            <w:noWrap/>
            <w:vAlign w:val="center"/>
            <w:hideMark/>
          </w:tcPr>
          <w:p w14:paraId="2DB4AD88" w14:textId="3AC111D8"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35,50</w:t>
            </w:r>
          </w:p>
        </w:tc>
        <w:tc>
          <w:tcPr>
            <w:tcW w:w="1208" w:type="dxa"/>
            <w:tcBorders>
              <w:top w:val="nil"/>
              <w:left w:val="nil"/>
              <w:bottom w:val="single" w:sz="4" w:space="0" w:color="auto"/>
              <w:right w:val="nil"/>
            </w:tcBorders>
            <w:shd w:val="clear" w:color="auto" w:fill="auto"/>
            <w:noWrap/>
            <w:vAlign w:val="center"/>
            <w:hideMark/>
          </w:tcPr>
          <w:p w14:paraId="0771F3CE" w14:textId="0A444186"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161,75</w:t>
            </w:r>
          </w:p>
        </w:tc>
        <w:tc>
          <w:tcPr>
            <w:tcW w:w="918" w:type="dxa"/>
            <w:tcBorders>
              <w:top w:val="nil"/>
              <w:left w:val="nil"/>
              <w:bottom w:val="single" w:sz="4" w:space="0" w:color="auto"/>
              <w:right w:val="nil"/>
            </w:tcBorders>
            <w:shd w:val="clear" w:color="auto" w:fill="auto"/>
            <w:noWrap/>
            <w:vAlign w:val="center"/>
            <w:hideMark/>
          </w:tcPr>
          <w:p w14:paraId="39A2DE8F" w14:textId="391D3992"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+6 %</w:t>
            </w:r>
          </w:p>
        </w:tc>
        <w:tc>
          <w:tcPr>
            <w:tcW w:w="1134" w:type="dxa"/>
            <w:tcBorders>
              <w:top w:val="nil"/>
              <w:left w:val="single" w:sz="4" w:space="0" w:color="auto"/>
              <w:bottom w:val="single" w:sz="4" w:space="0" w:color="auto"/>
              <w:right w:val="nil"/>
            </w:tcBorders>
            <w:shd w:val="clear" w:color="auto" w:fill="auto"/>
            <w:noWrap/>
            <w:vAlign w:val="center"/>
            <w:hideMark/>
          </w:tcPr>
          <w:p w14:paraId="3840DAAF" w14:textId="44D8315E"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164,06</w:t>
            </w:r>
          </w:p>
        </w:tc>
        <w:tc>
          <w:tcPr>
            <w:tcW w:w="919" w:type="dxa"/>
            <w:tcBorders>
              <w:top w:val="nil"/>
              <w:left w:val="nil"/>
              <w:bottom w:val="single" w:sz="4" w:space="0" w:color="auto"/>
              <w:right w:val="single" w:sz="4" w:space="0" w:color="auto"/>
            </w:tcBorders>
            <w:shd w:val="clear" w:color="auto" w:fill="auto"/>
            <w:noWrap/>
            <w:vAlign w:val="center"/>
            <w:hideMark/>
          </w:tcPr>
          <w:p w14:paraId="2B123109" w14:textId="3136641E"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+7 %</w:t>
            </w:r>
          </w:p>
        </w:tc>
        <w:tc>
          <w:tcPr>
            <w:tcW w:w="1017" w:type="dxa"/>
            <w:tcBorders>
              <w:top w:val="nil"/>
              <w:left w:val="nil"/>
              <w:bottom w:val="single" w:sz="4" w:space="0" w:color="auto"/>
              <w:right w:val="nil"/>
            </w:tcBorders>
            <w:shd w:val="clear" w:color="auto" w:fill="auto"/>
            <w:noWrap/>
            <w:vAlign w:val="center"/>
            <w:hideMark/>
          </w:tcPr>
          <w:p w14:paraId="73EFE85A" w14:textId="2EC82BE8"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14,68</w:t>
            </w:r>
          </w:p>
        </w:tc>
        <w:tc>
          <w:tcPr>
            <w:tcW w:w="930" w:type="dxa"/>
            <w:tcBorders>
              <w:top w:val="nil"/>
              <w:left w:val="nil"/>
              <w:bottom w:val="single" w:sz="4" w:space="0" w:color="auto"/>
              <w:right w:val="nil"/>
            </w:tcBorders>
            <w:shd w:val="clear" w:color="auto" w:fill="auto"/>
            <w:noWrap/>
            <w:vAlign w:val="center"/>
            <w:hideMark/>
          </w:tcPr>
          <w:p w14:paraId="55B1CCD7" w14:textId="0EAB90B8"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-12 %</w:t>
            </w:r>
          </w:p>
        </w:tc>
      </w:tr>
      <w:tr w:rsidR="00F15667" w:rsidRPr="002D4B12" w14:paraId="7DC4C564" w14:textId="77777777" w:rsidTr="00784687">
        <w:trPr>
          <w:gridAfter w:val="1"/>
          <w:wAfter w:w="10" w:type="dxa"/>
          <w:trHeight w:val="315"/>
        </w:trPr>
        <w:tc>
          <w:tcPr>
            <w:tcW w:w="1985" w:type="dxa"/>
            <w:tcBorders>
              <w:top w:val="nil"/>
              <w:left w:val="nil"/>
              <w:bottom w:val="single" w:sz="4" w:space="0" w:color="auto"/>
              <w:right w:val="nil"/>
            </w:tcBorders>
            <w:shd w:val="clear" w:color="auto" w:fill="auto"/>
            <w:noWrap/>
            <w:vAlign w:val="center"/>
            <w:hideMark/>
          </w:tcPr>
          <w:p w14:paraId="6B8AABBD" w14:textId="77777777" w:rsidR="00290ABE" w:rsidRPr="002D4B12" w:rsidRDefault="00290ABE" w:rsidP="00784687">
            <w:pPr>
              <w:spacing w:line="240" w:lineRule="auto"/>
              <w:jc w:val="left"/>
              <w:rPr>
                <w:rFonts w:eastAsia="Times New Roman"/>
                <w:szCs w:val="24"/>
                <w:lang w:eastAsia="cs-CZ"/>
              </w:rPr>
            </w:pPr>
            <w:r w:rsidRPr="002D4B12">
              <w:rPr>
                <w:rFonts w:eastAsia="Times New Roman"/>
                <w:szCs w:val="24"/>
                <w:lang w:eastAsia="cs-CZ"/>
              </w:rPr>
              <w:t>KS Brno</w:t>
            </w:r>
          </w:p>
        </w:tc>
        <w:tc>
          <w:tcPr>
            <w:tcW w:w="992" w:type="dxa"/>
            <w:tcBorders>
              <w:top w:val="nil"/>
              <w:left w:val="nil"/>
              <w:bottom w:val="single" w:sz="4" w:space="0" w:color="auto"/>
              <w:right w:val="nil"/>
            </w:tcBorders>
            <w:shd w:val="clear" w:color="auto" w:fill="auto"/>
            <w:noWrap/>
            <w:vAlign w:val="center"/>
            <w:hideMark/>
          </w:tcPr>
          <w:p w14:paraId="41EB637A" w14:textId="24BA9FF0"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52,84</w:t>
            </w:r>
          </w:p>
        </w:tc>
        <w:tc>
          <w:tcPr>
            <w:tcW w:w="1208" w:type="dxa"/>
            <w:tcBorders>
              <w:top w:val="nil"/>
              <w:left w:val="nil"/>
              <w:bottom w:val="single" w:sz="4" w:space="0" w:color="auto"/>
              <w:right w:val="nil"/>
            </w:tcBorders>
            <w:shd w:val="clear" w:color="auto" w:fill="auto"/>
            <w:noWrap/>
            <w:vAlign w:val="center"/>
            <w:hideMark/>
          </w:tcPr>
          <w:p w14:paraId="7E5415DC" w14:textId="73E8A534"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181,38</w:t>
            </w:r>
          </w:p>
        </w:tc>
        <w:tc>
          <w:tcPr>
            <w:tcW w:w="918" w:type="dxa"/>
            <w:tcBorders>
              <w:top w:val="nil"/>
              <w:left w:val="nil"/>
              <w:bottom w:val="single" w:sz="4" w:space="0" w:color="auto"/>
              <w:right w:val="nil"/>
            </w:tcBorders>
            <w:shd w:val="clear" w:color="auto" w:fill="auto"/>
            <w:noWrap/>
            <w:vAlign w:val="center"/>
            <w:hideMark/>
          </w:tcPr>
          <w:p w14:paraId="7AD79141" w14:textId="66DB90B3"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1134" w:type="dxa"/>
            <w:tcBorders>
              <w:top w:val="nil"/>
              <w:left w:val="single" w:sz="4" w:space="0" w:color="auto"/>
              <w:bottom w:val="single" w:sz="4" w:space="0" w:color="auto"/>
              <w:right w:val="nil"/>
            </w:tcBorders>
            <w:shd w:val="clear" w:color="auto" w:fill="auto"/>
            <w:noWrap/>
            <w:vAlign w:val="center"/>
            <w:hideMark/>
          </w:tcPr>
          <w:p w14:paraId="3AEC6007" w14:textId="641E4EC7"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183,50</w:t>
            </w:r>
          </w:p>
        </w:tc>
        <w:tc>
          <w:tcPr>
            <w:tcW w:w="919" w:type="dxa"/>
            <w:tcBorders>
              <w:top w:val="nil"/>
              <w:left w:val="nil"/>
              <w:bottom w:val="single" w:sz="4" w:space="0" w:color="auto"/>
              <w:right w:val="single" w:sz="4" w:space="0" w:color="auto"/>
            </w:tcBorders>
            <w:shd w:val="clear" w:color="auto" w:fill="auto"/>
            <w:noWrap/>
            <w:vAlign w:val="center"/>
            <w:hideMark/>
          </w:tcPr>
          <w:p w14:paraId="192CB84C" w14:textId="104B032A"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+5 %</w:t>
            </w:r>
          </w:p>
        </w:tc>
        <w:tc>
          <w:tcPr>
            <w:tcW w:w="1017" w:type="dxa"/>
            <w:tcBorders>
              <w:top w:val="nil"/>
              <w:left w:val="nil"/>
              <w:bottom w:val="single" w:sz="4" w:space="0" w:color="auto"/>
              <w:right w:val="nil"/>
            </w:tcBorders>
            <w:shd w:val="clear" w:color="auto" w:fill="auto"/>
            <w:noWrap/>
            <w:vAlign w:val="center"/>
            <w:hideMark/>
          </w:tcPr>
          <w:p w14:paraId="63A70796" w14:textId="7E952BD6"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25,76</w:t>
            </w:r>
          </w:p>
        </w:tc>
        <w:tc>
          <w:tcPr>
            <w:tcW w:w="930" w:type="dxa"/>
            <w:tcBorders>
              <w:top w:val="nil"/>
              <w:left w:val="nil"/>
              <w:bottom w:val="single" w:sz="4" w:space="0" w:color="auto"/>
              <w:right w:val="nil"/>
            </w:tcBorders>
            <w:shd w:val="clear" w:color="auto" w:fill="auto"/>
            <w:noWrap/>
            <w:vAlign w:val="center"/>
            <w:hideMark/>
          </w:tcPr>
          <w:p w14:paraId="19DAE661" w14:textId="28C51775"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-8 %</w:t>
            </w:r>
          </w:p>
        </w:tc>
      </w:tr>
      <w:tr w:rsidR="00F15667" w:rsidRPr="002D4B12" w14:paraId="35239E35" w14:textId="77777777" w:rsidTr="00784687">
        <w:trPr>
          <w:gridAfter w:val="1"/>
          <w:wAfter w:w="10" w:type="dxa"/>
          <w:trHeight w:val="330"/>
        </w:trPr>
        <w:tc>
          <w:tcPr>
            <w:tcW w:w="1985" w:type="dxa"/>
            <w:tcBorders>
              <w:top w:val="nil"/>
              <w:left w:val="nil"/>
              <w:bottom w:val="double" w:sz="6" w:space="0" w:color="auto"/>
              <w:right w:val="nil"/>
            </w:tcBorders>
            <w:shd w:val="clear" w:color="auto" w:fill="auto"/>
            <w:noWrap/>
            <w:vAlign w:val="center"/>
            <w:hideMark/>
          </w:tcPr>
          <w:p w14:paraId="00D58957" w14:textId="77777777" w:rsidR="00290ABE" w:rsidRPr="002D4B12" w:rsidRDefault="00290ABE" w:rsidP="00784687">
            <w:pPr>
              <w:spacing w:line="240" w:lineRule="auto"/>
              <w:jc w:val="left"/>
              <w:rPr>
                <w:rFonts w:eastAsia="Times New Roman"/>
                <w:szCs w:val="24"/>
                <w:lang w:eastAsia="cs-CZ"/>
              </w:rPr>
            </w:pPr>
            <w:r w:rsidRPr="002D4B12">
              <w:rPr>
                <w:rFonts w:eastAsia="Times New Roman"/>
                <w:szCs w:val="24"/>
                <w:lang w:eastAsia="cs-CZ"/>
              </w:rPr>
              <w:t>KS Ostrava</w:t>
            </w:r>
          </w:p>
        </w:tc>
        <w:tc>
          <w:tcPr>
            <w:tcW w:w="992" w:type="dxa"/>
            <w:tcBorders>
              <w:top w:val="nil"/>
              <w:left w:val="nil"/>
              <w:bottom w:val="double" w:sz="6" w:space="0" w:color="auto"/>
              <w:right w:val="nil"/>
            </w:tcBorders>
            <w:shd w:val="clear" w:color="auto" w:fill="auto"/>
            <w:noWrap/>
            <w:vAlign w:val="center"/>
            <w:hideMark/>
          </w:tcPr>
          <w:p w14:paraId="1B027366" w14:textId="43644C21"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70,35</w:t>
            </w:r>
          </w:p>
        </w:tc>
        <w:tc>
          <w:tcPr>
            <w:tcW w:w="1208" w:type="dxa"/>
            <w:tcBorders>
              <w:top w:val="nil"/>
              <w:left w:val="nil"/>
              <w:bottom w:val="double" w:sz="6" w:space="0" w:color="auto"/>
              <w:right w:val="nil"/>
            </w:tcBorders>
            <w:shd w:val="clear" w:color="auto" w:fill="auto"/>
            <w:noWrap/>
            <w:vAlign w:val="center"/>
            <w:hideMark/>
          </w:tcPr>
          <w:p w14:paraId="4811CAA6" w14:textId="3BFD8014"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172,72</w:t>
            </w:r>
          </w:p>
        </w:tc>
        <w:tc>
          <w:tcPr>
            <w:tcW w:w="918" w:type="dxa"/>
            <w:tcBorders>
              <w:top w:val="nil"/>
              <w:left w:val="nil"/>
              <w:bottom w:val="double" w:sz="6" w:space="0" w:color="auto"/>
              <w:right w:val="nil"/>
            </w:tcBorders>
            <w:shd w:val="clear" w:color="auto" w:fill="auto"/>
            <w:noWrap/>
            <w:vAlign w:val="center"/>
            <w:hideMark/>
          </w:tcPr>
          <w:p w14:paraId="6D98294B" w14:textId="2C21BBFF"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+3 %</w:t>
            </w:r>
          </w:p>
        </w:tc>
        <w:tc>
          <w:tcPr>
            <w:tcW w:w="1134" w:type="dxa"/>
            <w:tcBorders>
              <w:top w:val="nil"/>
              <w:left w:val="single" w:sz="4" w:space="0" w:color="auto"/>
              <w:bottom w:val="double" w:sz="6" w:space="0" w:color="auto"/>
              <w:right w:val="nil"/>
            </w:tcBorders>
            <w:shd w:val="clear" w:color="auto" w:fill="auto"/>
            <w:noWrap/>
            <w:vAlign w:val="center"/>
            <w:hideMark/>
          </w:tcPr>
          <w:p w14:paraId="01750275" w14:textId="0CEB22F7"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173,97</w:t>
            </w:r>
          </w:p>
        </w:tc>
        <w:tc>
          <w:tcPr>
            <w:tcW w:w="919" w:type="dxa"/>
            <w:tcBorders>
              <w:top w:val="nil"/>
              <w:left w:val="nil"/>
              <w:bottom w:val="double" w:sz="6" w:space="0" w:color="auto"/>
              <w:right w:val="single" w:sz="4" w:space="0" w:color="auto"/>
            </w:tcBorders>
            <w:shd w:val="clear" w:color="auto" w:fill="auto"/>
            <w:noWrap/>
            <w:vAlign w:val="center"/>
            <w:hideMark/>
          </w:tcPr>
          <w:p w14:paraId="00EBFEAD" w14:textId="2535ECF8"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+0 %</w:t>
            </w:r>
          </w:p>
        </w:tc>
        <w:tc>
          <w:tcPr>
            <w:tcW w:w="1017" w:type="dxa"/>
            <w:tcBorders>
              <w:top w:val="nil"/>
              <w:left w:val="nil"/>
              <w:bottom w:val="double" w:sz="6" w:space="0" w:color="auto"/>
              <w:right w:val="nil"/>
            </w:tcBorders>
            <w:shd w:val="clear" w:color="auto" w:fill="auto"/>
            <w:noWrap/>
            <w:vAlign w:val="center"/>
            <w:hideMark/>
          </w:tcPr>
          <w:p w14:paraId="7895E0DA" w14:textId="7895A975" w:rsidR="00290ABE" w:rsidRPr="002D4B12" w:rsidRDefault="00290ABE" w:rsidP="00784687">
            <w:pPr>
              <w:spacing w:line="240" w:lineRule="auto"/>
              <w:jc w:val="center"/>
              <w:rPr>
                <w:rFonts w:eastAsia="Times New Roman"/>
                <w:szCs w:val="24"/>
                <w:lang w:eastAsia="cs-CZ"/>
              </w:rPr>
            </w:pPr>
            <w:r w:rsidRPr="002D4B12">
              <w:rPr>
                <w:rFonts w:eastAsia="Times New Roman"/>
                <w:szCs w:val="24"/>
                <w:lang w:eastAsia="cs-CZ"/>
              </w:rPr>
              <w:t>30,68</w:t>
            </w:r>
          </w:p>
        </w:tc>
        <w:tc>
          <w:tcPr>
            <w:tcW w:w="930" w:type="dxa"/>
            <w:tcBorders>
              <w:top w:val="nil"/>
              <w:left w:val="nil"/>
              <w:bottom w:val="double" w:sz="6" w:space="0" w:color="auto"/>
              <w:right w:val="nil"/>
            </w:tcBorders>
            <w:shd w:val="clear" w:color="auto" w:fill="auto"/>
            <w:noWrap/>
            <w:vAlign w:val="center"/>
            <w:hideMark/>
          </w:tcPr>
          <w:p w14:paraId="28E004C4" w14:textId="20D0BCF0" w:rsidR="00290ABE" w:rsidRPr="002D4B12" w:rsidRDefault="00290ABE" w:rsidP="00784687">
            <w:pPr>
              <w:spacing w:line="240" w:lineRule="auto"/>
              <w:jc w:val="center"/>
              <w:rPr>
                <w:rFonts w:eastAsia="Times New Roman"/>
                <w:sz w:val="20"/>
                <w:szCs w:val="20"/>
                <w:lang w:eastAsia="cs-CZ"/>
              </w:rPr>
            </w:pPr>
            <w:r w:rsidRPr="002D4B12">
              <w:rPr>
                <w:rFonts w:eastAsia="Times New Roman"/>
                <w:sz w:val="20"/>
                <w:szCs w:val="20"/>
                <w:lang w:eastAsia="cs-CZ"/>
              </w:rPr>
              <w:t>-6 %</w:t>
            </w:r>
          </w:p>
        </w:tc>
      </w:tr>
      <w:tr w:rsidR="00F15667" w:rsidRPr="002D4B12" w14:paraId="55665B35" w14:textId="77777777" w:rsidTr="00784687">
        <w:trPr>
          <w:gridAfter w:val="1"/>
          <w:wAfter w:w="10" w:type="dxa"/>
          <w:trHeight w:val="345"/>
        </w:trPr>
        <w:tc>
          <w:tcPr>
            <w:tcW w:w="1985" w:type="dxa"/>
            <w:tcBorders>
              <w:top w:val="nil"/>
              <w:left w:val="nil"/>
              <w:bottom w:val="double" w:sz="6" w:space="0" w:color="auto"/>
              <w:right w:val="nil"/>
            </w:tcBorders>
            <w:shd w:val="clear" w:color="auto" w:fill="auto"/>
            <w:noWrap/>
            <w:vAlign w:val="center"/>
            <w:hideMark/>
          </w:tcPr>
          <w:p w14:paraId="32792A47" w14:textId="77777777" w:rsidR="00290ABE" w:rsidRPr="002D4B12" w:rsidRDefault="00290ABE" w:rsidP="00784687">
            <w:pPr>
              <w:spacing w:line="240" w:lineRule="auto"/>
              <w:jc w:val="left"/>
              <w:rPr>
                <w:rFonts w:eastAsia="Times New Roman"/>
                <w:b/>
                <w:bCs/>
                <w:szCs w:val="24"/>
                <w:lang w:eastAsia="cs-CZ"/>
              </w:rPr>
            </w:pPr>
            <w:r w:rsidRPr="002D4B12">
              <w:rPr>
                <w:rFonts w:eastAsia="Times New Roman"/>
                <w:b/>
                <w:bCs/>
                <w:szCs w:val="24"/>
                <w:lang w:eastAsia="cs-CZ"/>
              </w:rPr>
              <w:t>Celkem ČR</w:t>
            </w:r>
          </w:p>
        </w:tc>
        <w:tc>
          <w:tcPr>
            <w:tcW w:w="992" w:type="dxa"/>
            <w:tcBorders>
              <w:top w:val="nil"/>
              <w:left w:val="nil"/>
              <w:bottom w:val="double" w:sz="6" w:space="0" w:color="auto"/>
              <w:right w:val="nil"/>
            </w:tcBorders>
            <w:shd w:val="clear" w:color="auto" w:fill="auto"/>
            <w:noWrap/>
            <w:vAlign w:val="center"/>
            <w:hideMark/>
          </w:tcPr>
          <w:p w14:paraId="6D57A328" w14:textId="3D82A3D9" w:rsidR="00290ABE" w:rsidRPr="002D4B12" w:rsidRDefault="00290ABE" w:rsidP="00784687">
            <w:pPr>
              <w:spacing w:line="240" w:lineRule="auto"/>
              <w:jc w:val="center"/>
              <w:rPr>
                <w:rFonts w:eastAsia="Times New Roman"/>
                <w:b/>
                <w:bCs/>
                <w:szCs w:val="24"/>
                <w:lang w:eastAsia="cs-CZ"/>
              </w:rPr>
            </w:pPr>
            <w:r w:rsidRPr="002D4B12">
              <w:rPr>
                <w:rFonts w:eastAsia="Times New Roman"/>
                <w:b/>
                <w:bCs/>
                <w:szCs w:val="24"/>
                <w:lang w:eastAsia="cs-CZ"/>
              </w:rPr>
              <w:t>378,13</w:t>
            </w:r>
          </w:p>
        </w:tc>
        <w:tc>
          <w:tcPr>
            <w:tcW w:w="1208" w:type="dxa"/>
            <w:tcBorders>
              <w:top w:val="nil"/>
              <w:left w:val="nil"/>
              <w:bottom w:val="double" w:sz="6" w:space="0" w:color="auto"/>
              <w:right w:val="nil"/>
            </w:tcBorders>
            <w:shd w:val="clear" w:color="auto" w:fill="auto"/>
            <w:noWrap/>
            <w:vAlign w:val="center"/>
            <w:hideMark/>
          </w:tcPr>
          <w:p w14:paraId="561B2CAB" w14:textId="12C94A49" w:rsidR="00290ABE" w:rsidRPr="002D4B12" w:rsidRDefault="00290ABE" w:rsidP="00784687">
            <w:pPr>
              <w:spacing w:line="240" w:lineRule="auto"/>
              <w:jc w:val="center"/>
              <w:rPr>
                <w:rFonts w:eastAsia="Times New Roman"/>
                <w:b/>
                <w:bCs/>
                <w:szCs w:val="24"/>
                <w:lang w:eastAsia="cs-CZ"/>
              </w:rPr>
            </w:pPr>
            <w:r w:rsidRPr="002D4B12">
              <w:rPr>
                <w:rFonts w:eastAsia="Times New Roman"/>
                <w:b/>
                <w:bCs/>
                <w:szCs w:val="24"/>
                <w:lang w:eastAsia="cs-CZ"/>
              </w:rPr>
              <w:t>169,67</w:t>
            </w:r>
          </w:p>
        </w:tc>
        <w:tc>
          <w:tcPr>
            <w:tcW w:w="918" w:type="dxa"/>
            <w:tcBorders>
              <w:top w:val="nil"/>
              <w:left w:val="nil"/>
              <w:bottom w:val="double" w:sz="6" w:space="0" w:color="auto"/>
              <w:right w:val="nil"/>
            </w:tcBorders>
            <w:shd w:val="clear" w:color="auto" w:fill="auto"/>
            <w:noWrap/>
            <w:vAlign w:val="center"/>
            <w:hideMark/>
          </w:tcPr>
          <w:p w14:paraId="6B8D6EC4" w14:textId="02ED0AAC" w:rsidR="00290ABE" w:rsidRPr="002D4B12" w:rsidRDefault="00290ABE" w:rsidP="00784687">
            <w:pPr>
              <w:spacing w:line="240" w:lineRule="auto"/>
              <w:jc w:val="center"/>
              <w:rPr>
                <w:rFonts w:eastAsia="Times New Roman"/>
                <w:b/>
                <w:bCs/>
                <w:sz w:val="20"/>
                <w:szCs w:val="20"/>
                <w:lang w:eastAsia="cs-CZ"/>
              </w:rPr>
            </w:pPr>
            <w:r w:rsidRPr="002D4B12">
              <w:rPr>
                <w:rFonts w:eastAsia="Times New Roman"/>
                <w:b/>
                <w:bCs/>
                <w:sz w:val="20"/>
                <w:szCs w:val="20"/>
                <w:lang w:eastAsia="cs-CZ"/>
              </w:rPr>
              <w:t>+5 %</w:t>
            </w:r>
          </w:p>
        </w:tc>
        <w:tc>
          <w:tcPr>
            <w:tcW w:w="1134" w:type="dxa"/>
            <w:tcBorders>
              <w:top w:val="nil"/>
              <w:left w:val="single" w:sz="4" w:space="0" w:color="auto"/>
              <w:bottom w:val="double" w:sz="6" w:space="0" w:color="auto"/>
              <w:right w:val="nil"/>
            </w:tcBorders>
            <w:shd w:val="clear" w:color="auto" w:fill="auto"/>
            <w:noWrap/>
            <w:vAlign w:val="center"/>
            <w:hideMark/>
          </w:tcPr>
          <w:p w14:paraId="2BDF3C75" w14:textId="0A4E8F48" w:rsidR="00290ABE" w:rsidRPr="002D4B12" w:rsidRDefault="00290ABE" w:rsidP="00784687">
            <w:pPr>
              <w:spacing w:line="240" w:lineRule="auto"/>
              <w:jc w:val="center"/>
              <w:rPr>
                <w:rFonts w:eastAsia="Times New Roman"/>
                <w:b/>
                <w:bCs/>
                <w:szCs w:val="24"/>
                <w:lang w:eastAsia="cs-CZ"/>
              </w:rPr>
            </w:pPr>
            <w:r w:rsidRPr="002D4B12">
              <w:rPr>
                <w:rFonts w:eastAsia="Times New Roman"/>
                <w:b/>
                <w:bCs/>
                <w:szCs w:val="24"/>
                <w:lang w:eastAsia="cs-CZ"/>
              </w:rPr>
              <w:t>171,52</w:t>
            </w:r>
          </w:p>
        </w:tc>
        <w:tc>
          <w:tcPr>
            <w:tcW w:w="919" w:type="dxa"/>
            <w:tcBorders>
              <w:top w:val="nil"/>
              <w:left w:val="nil"/>
              <w:bottom w:val="double" w:sz="6" w:space="0" w:color="auto"/>
              <w:right w:val="single" w:sz="4" w:space="0" w:color="auto"/>
            </w:tcBorders>
            <w:shd w:val="clear" w:color="auto" w:fill="auto"/>
            <w:noWrap/>
            <w:vAlign w:val="center"/>
            <w:hideMark/>
          </w:tcPr>
          <w:p w14:paraId="2E1F13AB" w14:textId="5ABF26E6" w:rsidR="00290ABE" w:rsidRPr="002D4B12" w:rsidRDefault="00290ABE" w:rsidP="00784687">
            <w:pPr>
              <w:spacing w:line="240" w:lineRule="auto"/>
              <w:jc w:val="center"/>
              <w:rPr>
                <w:rFonts w:eastAsia="Times New Roman"/>
                <w:b/>
                <w:bCs/>
                <w:sz w:val="20"/>
                <w:szCs w:val="20"/>
                <w:lang w:eastAsia="cs-CZ"/>
              </w:rPr>
            </w:pPr>
            <w:r w:rsidRPr="002D4B12">
              <w:rPr>
                <w:rFonts w:eastAsia="Times New Roman"/>
                <w:b/>
                <w:bCs/>
                <w:sz w:val="20"/>
                <w:szCs w:val="20"/>
                <w:lang w:eastAsia="cs-CZ"/>
              </w:rPr>
              <w:t>+3 %</w:t>
            </w:r>
          </w:p>
        </w:tc>
        <w:tc>
          <w:tcPr>
            <w:tcW w:w="1017" w:type="dxa"/>
            <w:tcBorders>
              <w:top w:val="nil"/>
              <w:left w:val="nil"/>
              <w:bottom w:val="double" w:sz="6" w:space="0" w:color="auto"/>
              <w:right w:val="nil"/>
            </w:tcBorders>
            <w:shd w:val="clear" w:color="auto" w:fill="auto"/>
            <w:noWrap/>
            <w:vAlign w:val="center"/>
            <w:hideMark/>
          </w:tcPr>
          <w:p w14:paraId="794265AD" w14:textId="37ECE37B" w:rsidR="00290ABE" w:rsidRPr="002D4B12" w:rsidRDefault="00290ABE" w:rsidP="00784687">
            <w:pPr>
              <w:spacing w:line="240" w:lineRule="auto"/>
              <w:jc w:val="center"/>
              <w:rPr>
                <w:rFonts w:eastAsia="Times New Roman"/>
                <w:b/>
                <w:bCs/>
                <w:szCs w:val="24"/>
                <w:lang w:eastAsia="cs-CZ"/>
              </w:rPr>
            </w:pPr>
            <w:r w:rsidRPr="002D4B12">
              <w:rPr>
                <w:rFonts w:eastAsia="Times New Roman"/>
                <w:b/>
                <w:bCs/>
                <w:szCs w:val="24"/>
                <w:lang w:eastAsia="cs-CZ"/>
              </w:rPr>
              <w:t>25,20</w:t>
            </w:r>
          </w:p>
        </w:tc>
        <w:tc>
          <w:tcPr>
            <w:tcW w:w="930" w:type="dxa"/>
            <w:tcBorders>
              <w:top w:val="nil"/>
              <w:left w:val="nil"/>
              <w:bottom w:val="double" w:sz="6" w:space="0" w:color="auto"/>
              <w:right w:val="nil"/>
            </w:tcBorders>
            <w:shd w:val="clear" w:color="auto" w:fill="auto"/>
            <w:noWrap/>
            <w:vAlign w:val="center"/>
            <w:hideMark/>
          </w:tcPr>
          <w:p w14:paraId="0343A6E5" w14:textId="72442B28" w:rsidR="00290ABE" w:rsidRPr="002D4B12" w:rsidRDefault="00290ABE" w:rsidP="00784687">
            <w:pPr>
              <w:spacing w:line="240" w:lineRule="auto"/>
              <w:jc w:val="center"/>
              <w:rPr>
                <w:rFonts w:eastAsia="Times New Roman"/>
                <w:b/>
                <w:bCs/>
                <w:sz w:val="20"/>
                <w:szCs w:val="20"/>
                <w:lang w:eastAsia="cs-CZ"/>
              </w:rPr>
            </w:pPr>
            <w:r w:rsidRPr="002D4B12">
              <w:rPr>
                <w:rFonts w:eastAsia="Times New Roman"/>
                <w:b/>
                <w:bCs/>
                <w:sz w:val="20"/>
                <w:szCs w:val="20"/>
                <w:lang w:eastAsia="cs-CZ"/>
              </w:rPr>
              <w:t>-7 %</w:t>
            </w:r>
          </w:p>
        </w:tc>
      </w:tr>
      <w:tr w:rsidR="00F15667" w:rsidRPr="002D4B12" w14:paraId="3E70A7C3" w14:textId="77777777" w:rsidTr="00784687">
        <w:trPr>
          <w:gridAfter w:val="1"/>
          <w:wAfter w:w="10" w:type="dxa"/>
          <w:trHeight w:val="330"/>
        </w:trPr>
        <w:tc>
          <w:tcPr>
            <w:tcW w:w="1985" w:type="dxa"/>
            <w:tcBorders>
              <w:top w:val="nil"/>
              <w:left w:val="nil"/>
              <w:bottom w:val="nil"/>
              <w:right w:val="nil"/>
            </w:tcBorders>
            <w:shd w:val="clear" w:color="auto" w:fill="auto"/>
            <w:noWrap/>
            <w:vAlign w:val="center"/>
            <w:hideMark/>
          </w:tcPr>
          <w:p w14:paraId="52C5ED0D" w14:textId="77777777" w:rsidR="00290ABE" w:rsidRPr="002D4B12" w:rsidRDefault="00290ABE" w:rsidP="00784687">
            <w:pPr>
              <w:spacing w:line="240" w:lineRule="auto"/>
              <w:jc w:val="center"/>
              <w:rPr>
                <w:rFonts w:eastAsia="Times New Roman"/>
                <w:b/>
                <w:bCs/>
                <w:sz w:val="20"/>
                <w:szCs w:val="20"/>
                <w:lang w:eastAsia="cs-CZ"/>
              </w:rPr>
            </w:pPr>
          </w:p>
        </w:tc>
        <w:tc>
          <w:tcPr>
            <w:tcW w:w="992" w:type="dxa"/>
            <w:tcBorders>
              <w:top w:val="nil"/>
              <w:left w:val="nil"/>
              <w:bottom w:val="nil"/>
              <w:right w:val="nil"/>
            </w:tcBorders>
            <w:shd w:val="clear" w:color="auto" w:fill="auto"/>
            <w:noWrap/>
            <w:vAlign w:val="center"/>
            <w:hideMark/>
          </w:tcPr>
          <w:p w14:paraId="0E23F2AD" w14:textId="77777777" w:rsidR="00290ABE" w:rsidRPr="002D4B12" w:rsidRDefault="00290ABE" w:rsidP="00784687">
            <w:pPr>
              <w:spacing w:line="240" w:lineRule="auto"/>
              <w:jc w:val="center"/>
              <w:rPr>
                <w:rFonts w:eastAsia="Times New Roman"/>
                <w:sz w:val="20"/>
                <w:szCs w:val="20"/>
                <w:lang w:eastAsia="cs-CZ"/>
              </w:rPr>
            </w:pPr>
          </w:p>
        </w:tc>
        <w:tc>
          <w:tcPr>
            <w:tcW w:w="1208" w:type="dxa"/>
            <w:tcBorders>
              <w:top w:val="nil"/>
              <w:left w:val="nil"/>
              <w:bottom w:val="nil"/>
              <w:right w:val="nil"/>
            </w:tcBorders>
            <w:shd w:val="clear" w:color="auto" w:fill="auto"/>
            <w:noWrap/>
            <w:vAlign w:val="center"/>
            <w:hideMark/>
          </w:tcPr>
          <w:p w14:paraId="1421A05B" w14:textId="77777777" w:rsidR="00290ABE" w:rsidRPr="002D4B12" w:rsidRDefault="00290ABE" w:rsidP="00784687">
            <w:pPr>
              <w:spacing w:line="240" w:lineRule="auto"/>
              <w:jc w:val="center"/>
              <w:rPr>
                <w:rFonts w:eastAsia="Times New Roman"/>
                <w:sz w:val="20"/>
                <w:szCs w:val="20"/>
                <w:lang w:eastAsia="cs-CZ"/>
              </w:rPr>
            </w:pPr>
          </w:p>
        </w:tc>
        <w:tc>
          <w:tcPr>
            <w:tcW w:w="918" w:type="dxa"/>
            <w:tcBorders>
              <w:top w:val="nil"/>
              <w:left w:val="nil"/>
              <w:bottom w:val="nil"/>
              <w:right w:val="nil"/>
            </w:tcBorders>
            <w:shd w:val="clear" w:color="auto" w:fill="auto"/>
            <w:noWrap/>
            <w:vAlign w:val="center"/>
            <w:hideMark/>
          </w:tcPr>
          <w:p w14:paraId="69117DCD" w14:textId="77777777" w:rsidR="00290ABE" w:rsidRPr="002D4B12" w:rsidRDefault="00290ABE" w:rsidP="00784687">
            <w:pPr>
              <w:spacing w:line="240" w:lineRule="auto"/>
              <w:jc w:val="center"/>
              <w:rPr>
                <w:rFonts w:eastAsia="Times New Roman"/>
                <w:sz w:val="20"/>
                <w:szCs w:val="20"/>
                <w:lang w:eastAsia="cs-CZ"/>
              </w:rPr>
            </w:pPr>
          </w:p>
        </w:tc>
        <w:tc>
          <w:tcPr>
            <w:tcW w:w="1134" w:type="dxa"/>
            <w:tcBorders>
              <w:top w:val="nil"/>
              <w:left w:val="nil"/>
              <w:bottom w:val="nil"/>
              <w:right w:val="nil"/>
            </w:tcBorders>
            <w:shd w:val="clear" w:color="auto" w:fill="auto"/>
            <w:noWrap/>
            <w:vAlign w:val="center"/>
            <w:hideMark/>
          </w:tcPr>
          <w:p w14:paraId="5F140AE5" w14:textId="77777777" w:rsidR="00290ABE" w:rsidRPr="002D4B12" w:rsidRDefault="00290ABE" w:rsidP="00784687">
            <w:pPr>
              <w:spacing w:line="240" w:lineRule="auto"/>
              <w:jc w:val="center"/>
              <w:rPr>
                <w:rFonts w:eastAsia="Times New Roman"/>
                <w:sz w:val="20"/>
                <w:szCs w:val="20"/>
                <w:lang w:eastAsia="cs-CZ"/>
              </w:rPr>
            </w:pPr>
          </w:p>
        </w:tc>
        <w:tc>
          <w:tcPr>
            <w:tcW w:w="919" w:type="dxa"/>
            <w:tcBorders>
              <w:top w:val="nil"/>
              <w:left w:val="nil"/>
              <w:bottom w:val="nil"/>
              <w:right w:val="nil"/>
            </w:tcBorders>
            <w:shd w:val="clear" w:color="auto" w:fill="auto"/>
            <w:noWrap/>
            <w:vAlign w:val="center"/>
            <w:hideMark/>
          </w:tcPr>
          <w:p w14:paraId="1EF2E2D6" w14:textId="77777777" w:rsidR="00290ABE" w:rsidRPr="002D4B12" w:rsidRDefault="00290ABE" w:rsidP="00784687">
            <w:pPr>
              <w:spacing w:line="240" w:lineRule="auto"/>
              <w:jc w:val="center"/>
              <w:rPr>
                <w:rFonts w:eastAsia="Times New Roman"/>
                <w:sz w:val="20"/>
                <w:szCs w:val="20"/>
                <w:lang w:eastAsia="cs-CZ"/>
              </w:rPr>
            </w:pPr>
          </w:p>
        </w:tc>
        <w:tc>
          <w:tcPr>
            <w:tcW w:w="1017" w:type="dxa"/>
            <w:tcBorders>
              <w:top w:val="nil"/>
              <w:left w:val="nil"/>
              <w:bottom w:val="nil"/>
              <w:right w:val="nil"/>
            </w:tcBorders>
            <w:shd w:val="clear" w:color="auto" w:fill="auto"/>
            <w:noWrap/>
            <w:vAlign w:val="center"/>
            <w:hideMark/>
          </w:tcPr>
          <w:p w14:paraId="66F4F7F1" w14:textId="77777777" w:rsidR="00290ABE" w:rsidRPr="002D4B12" w:rsidRDefault="00290ABE" w:rsidP="00784687">
            <w:pPr>
              <w:spacing w:line="240" w:lineRule="auto"/>
              <w:jc w:val="center"/>
              <w:rPr>
                <w:rFonts w:eastAsia="Times New Roman"/>
                <w:sz w:val="20"/>
                <w:szCs w:val="20"/>
                <w:lang w:eastAsia="cs-CZ"/>
              </w:rPr>
            </w:pPr>
          </w:p>
        </w:tc>
        <w:tc>
          <w:tcPr>
            <w:tcW w:w="930" w:type="dxa"/>
            <w:tcBorders>
              <w:top w:val="nil"/>
              <w:left w:val="nil"/>
              <w:bottom w:val="nil"/>
              <w:right w:val="nil"/>
            </w:tcBorders>
            <w:shd w:val="clear" w:color="auto" w:fill="auto"/>
            <w:noWrap/>
            <w:vAlign w:val="center"/>
            <w:hideMark/>
          </w:tcPr>
          <w:p w14:paraId="5ED8CE56" w14:textId="77777777" w:rsidR="00290ABE" w:rsidRPr="002D4B12" w:rsidRDefault="00290ABE" w:rsidP="00784687">
            <w:pPr>
              <w:spacing w:line="240" w:lineRule="auto"/>
              <w:jc w:val="center"/>
              <w:rPr>
                <w:rFonts w:eastAsia="Times New Roman"/>
                <w:sz w:val="20"/>
                <w:szCs w:val="20"/>
                <w:lang w:eastAsia="cs-CZ"/>
              </w:rPr>
            </w:pPr>
          </w:p>
        </w:tc>
      </w:tr>
    </w:tbl>
    <w:p w14:paraId="4F7DE512" w14:textId="77777777" w:rsidR="00DE6D6A" w:rsidRPr="002D4B12" w:rsidRDefault="00DE6D6A" w:rsidP="00DE6D6A">
      <w:pPr>
        <w:pStyle w:val="OdstavecASR"/>
      </w:pPr>
      <w:r w:rsidRPr="002D4B12">
        <w:t>V tabulce vidíme, že výsledky (počty nevyřízených věcí na soudce) opět přibližně odpovídají délkám řízení – nejhorší situace je zatím ještě stále u OS, které spadají pod KS Ústí nad Labem.</w:t>
      </w:r>
    </w:p>
    <w:p w14:paraId="2BC9B716" w14:textId="77777777" w:rsidR="00DE6D6A" w:rsidRPr="002D4B12" w:rsidRDefault="00DE6D6A" w:rsidP="00DE6D6A">
      <w:pPr>
        <w:pStyle w:val="OdstavecASR"/>
      </w:pPr>
      <w:r w:rsidRPr="002D4B12">
        <w:lastRenderedPageBreak/>
        <w:t>Počet úvazků se za rok téměř nezměnil, takže změny v počtu příchozích, vyřízených a nevyřízených věcí na soudce odpovídají vývoji v absolutních počtech.</w:t>
      </w:r>
    </w:p>
    <w:p w14:paraId="2EC2C833" w14:textId="6BFB13EA" w:rsidR="00593C03" w:rsidRPr="002D4B12" w:rsidRDefault="00593C03" w:rsidP="00593C03">
      <w:pPr>
        <w:pStyle w:val="Podnadpis"/>
        <w:rPr>
          <w:color w:val="auto"/>
        </w:rPr>
      </w:pPr>
      <w:bookmarkStart w:id="308" w:name="_Toc515871354"/>
      <w:bookmarkStart w:id="309" w:name="_Toc11135089"/>
      <w:bookmarkStart w:id="310" w:name="_Toc43841405"/>
      <w:bookmarkStart w:id="311" w:name="_Toc75952208"/>
      <w:bookmarkStart w:id="312" w:name="_Toc106106660"/>
      <w:bookmarkStart w:id="313" w:name="_Toc144104137"/>
      <w:r w:rsidRPr="002D4B12">
        <w:rPr>
          <w:color w:val="auto"/>
        </w:rPr>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25</w:t>
      </w:r>
      <w:r w:rsidR="009A10E2" w:rsidRPr="002D4B12">
        <w:rPr>
          <w:color w:val="auto"/>
        </w:rPr>
        <w:fldChar w:fldCharType="end"/>
      </w:r>
      <w:r w:rsidRPr="002D4B12">
        <w:rPr>
          <w:color w:val="auto"/>
        </w:rPr>
        <w:t>: OS – počet nevyříz. trestních věcí na úvazek u jednotlivých soudů</w:t>
      </w:r>
      <w:bookmarkEnd w:id="308"/>
      <w:bookmarkEnd w:id="309"/>
      <w:bookmarkEnd w:id="310"/>
      <w:bookmarkEnd w:id="311"/>
      <w:bookmarkEnd w:id="312"/>
      <w:bookmarkEnd w:id="313"/>
    </w:p>
    <w:p w14:paraId="0F7CA705" w14:textId="4DB7F24A" w:rsidR="00642B5F" w:rsidRPr="002D4B12" w:rsidRDefault="00917F3F" w:rsidP="00784687">
      <w:pPr>
        <w:pStyle w:val="OdstavecASR"/>
      </w:pPr>
      <w:r w:rsidRPr="002D4B12">
        <w:rPr>
          <w:noProof/>
          <w:lang w:eastAsia="cs-CZ"/>
        </w:rPr>
        <w:drawing>
          <wp:anchor distT="0" distB="0" distL="114300" distR="114300" simplePos="0" relativeHeight="251670528" behindDoc="0" locked="0" layoutInCell="1" allowOverlap="1" wp14:anchorId="5090B1C2" wp14:editId="7EF6E1AA">
            <wp:simplePos x="0" y="0"/>
            <wp:positionH relativeFrom="margin">
              <wp:posOffset>4389120</wp:posOffset>
            </wp:positionH>
            <wp:positionV relativeFrom="paragraph">
              <wp:posOffset>48260</wp:posOffset>
            </wp:positionV>
            <wp:extent cx="1343660" cy="977265"/>
            <wp:effectExtent l="0" t="0" r="8890" b="0"/>
            <wp:wrapNone/>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43660" cy="977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4411" w:rsidRPr="002D4B12">
        <w:rPr>
          <w:noProof/>
          <w:lang w:eastAsia="cs-CZ"/>
        </w:rPr>
        <w:drawing>
          <wp:inline distT="0" distB="0" distL="0" distR="0" wp14:anchorId="69CEBCC8" wp14:editId="5C771D92">
            <wp:extent cx="5759450" cy="3296285"/>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539D629F" w14:textId="2F2ED6C1" w:rsidR="00593C03" w:rsidRPr="002D4B12" w:rsidRDefault="00593C03" w:rsidP="00593C03">
      <w:pPr>
        <w:pStyle w:val="OdstavecASR"/>
      </w:pPr>
      <w:r w:rsidRPr="002D4B12">
        <w:t>Soudy s nejmenším počtem nevyřízených věcí v přepočtu na soudce jsou OS Praha-východ, OS</w:t>
      </w:r>
      <w:r w:rsidR="00784687" w:rsidRPr="002D4B12">
        <w:t> </w:t>
      </w:r>
      <w:r w:rsidRPr="002D4B12">
        <w:t>Jičín (oba 8 věcí) a OS Havlíčkův Brod (9). Naopak soudy s nejvyšším počtem nevyřízených věcí na soudce jsou OS Liberec (48), OS Hodonín (50) a na posledním místě OS Děčín s počtem 58</w:t>
      </w:r>
      <w:r w:rsidR="00784687" w:rsidRPr="002D4B12">
        <w:t> </w:t>
      </w:r>
      <w:r w:rsidRPr="002D4B12">
        <w:t>nevyřízených věcí na soudce (stejně jako tři roky předtím), nicméně zde dochází k významnému zlepšení.</w:t>
      </w:r>
    </w:p>
    <w:p w14:paraId="479BB0DB" w14:textId="3556E7FE" w:rsidR="008430BD" w:rsidRPr="002D4B12" w:rsidRDefault="008430BD" w:rsidP="008430BD">
      <w:pPr>
        <w:pStyle w:val="Nadpis3"/>
        <w:numPr>
          <w:ilvl w:val="2"/>
          <w:numId w:val="1"/>
        </w:numPr>
        <w:rPr>
          <w:color w:val="auto"/>
        </w:rPr>
      </w:pPr>
      <w:bookmarkStart w:id="314" w:name="_Toc515871234"/>
      <w:bookmarkStart w:id="315" w:name="_Toc106092731"/>
      <w:bookmarkStart w:id="316" w:name="_Toc144104352"/>
      <w:r w:rsidRPr="002D4B12">
        <w:rPr>
          <w:color w:val="auto"/>
        </w:rPr>
        <w:t>Disposition time</w:t>
      </w:r>
      <w:bookmarkEnd w:id="314"/>
      <w:r w:rsidRPr="002D4B12">
        <w:rPr>
          <w:color w:val="auto"/>
        </w:rPr>
        <w:t xml:space="preserve"> (dispoziční čas)</w:t>
      </w:r>
      <w:bookmarkEnd w:id="315"/>
      <w:bookmarkEnd w:id="316"/>
    </w:p>
    <w:p w14:paraId="620EDE7A" w14:textId="0F83B2D1" w:rsidR="009A4411" w:rsidRPr="002D4B12" w:rsidRDefault="009A4411" w:rsidP="009A4411">
      <w:bookmarkStart w:id="317" w:name="_Hlk160430111"/>
      <w:r w:rsidRPr="002D4B12">
        <w:t>Základní popis způsobu výpočtu a účelu tohoto ukazatele se nachází v části věnované civilnímu řízení u OS. Výsledky DT velmi silně korespondují s výsledky z předchozích podkapitol.</w:t>
      </w:r>
    </w:p>
    <w:p w14:paraId="12E47A8D" w14:textId="59995012" w:rsidR="009A4411" w:rsidRPr="002D4B12" w:rsidRDefault="009A4411" w:rsidP="009A4411">
      <w:pPr>
        <w:pStyle w:val="OdstavecASR"/>
      </w:pPr>
      <w:r w:rsidRPr="002D4B12">
        <w:t xml:space="preserve">Zajímavý je určitý pokles DT v roce 2013. Ten byl způsoben nárůstem v počtu napadlých (a tedy i vyřízených věcí) v tomto roce. Od roku 2013 je DT velmi stabilní. Pokles počtu vyřízených i nevyřízených věcí za celou ČR pokračoval přibližně stejným tempem. V roce 2020 významně poklesl nápad (o 13 %), logicky tak poklesl i počet vyřízených věcí (také o 13 %), ale počet nevyřízených věcí poklesl jen nepatrně o 1 % oproti roku 2019. To pak vedlo k růstu DT. V roce 2021 se poměrně významně podařilo snížit počet nevyřízených věcí. To se pak samozřejmě odrazilo v poklesu DT.  Totéž platí i pro rok 2022. Díky tomu klesl DT na nejnižší hodnotu za celé sledované období. </w:t>
      </w:r>
    </w:p>
    <w:p w14:paraId="572CB188" w14:textId="07BE2298" w:rsidR="00DE6D6A" w:rsidRPr="002D4B12" w:rsidRDefault="00593C03" w:rsidP="00593C03">
      <w:pPr>
        <w:pStyle w:val="Podnadpis"/>
        <w:numPr>
          <w:ilvl w:val="0"/>
          <w:numId w:val="0"/>
        </w:numPr>
        <w:rPr>
          <w:color w:val="auto"/>
        </w:rPr>
      </w:pPr>
      <w:bookmarkStart w:id="318" w:name="_Toc515871358"/>
      <w:bookmarkStart w:id="319" w:name="_Toc11135092"/>
      <w:bookmarkStart w:id="320" w:name="_Toc43841406"/>
      <w:bookmarkStart w:id="321" w:name="_Toc75952209"/>
      <w:bookmarkStart w:id="322" w:name="_Toc106106661"/>
      <w:bookmarkStart w:id="323" w:name="_Toc144104138"/>
      <w:bookmarkStart w:id="324" w:name="_Hlk160430424"/>
      <w:bookmarkEnd w:id="317"/>
      <w:r w:rsidRPr="002D4B12">
        <w:rPr>
          <w:color w:val="auto"/>
        </w:rPr>
        <w:lastRenderedPageBreak/>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26</w:t>
      </w:r>
      <w:r w:rsidR="009A10E2" w:rsidRPr="002D4B12">
        <w:rPr>
          <w:color w:val="auto"/>
        </w:rPr>
        <w:fldChar w:fldCharType="end"/>
      </w:r>
      <w:r w:rsidRPr="002D4B12">
        <w:rPr>
          <w:color w:val="auto"/>
        </w:rPr>
        <w:t>: OS – disposition time trestního řízení v letech 2008–</w:t>
      </w:r>
      <w:bookmarkEnd w:id="318"/>
      <w:bookmarkEnd w:id="319"/>
      <w:bookmarkEnd w:id="320"/>
      <w:bookmarkEnd w:id="321"/>
      <w:bookmarkEnd w:id="322"/>
      <w:r w:rsidR="00DC266D" w:rsidRPr="002D4B12">
        <w:rPr>
          <w:color w:val="auto"/>
        </w:rPr>
        <w:t>2022</w:t>
      </w:r>
      <w:bookmarkEnd w:id="323"/>
    </w:p>
    <w:bookmarkEnd w:id="324"/>
    <w:p w14:paraId="320C9AF2" w14:textId="49A98C28" w:rsidR="00D26314" w:rsidRPr="002D4B12" w:rsidRDefault="00593C03" w:rsidP="00784687">
      <w:pPr>
        <w:pStyle w:val="OdstavecASR"/>
      </w:pPr>
      <w:r w:rsidRPr="002D4B12">
        <w:rPr>
          <w:noProof/>
          <w:lang w:eastAsia="cs-CZ"/>
        </w:rPr>
        <w:drawing>
          <wp:inline distT="0" distB="0" distL="0" distR="0" wp14:anchorId="36EF5254" wp14:editId="36D6669F">
            <wp:extent cx="5029200" cy="3657600"/>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A547F15" w14:textId="3729CAE8" w:rsidR="00D26314" w:rsidRPr="002D4B12" w:rsidRDefault="00D26314" w:rsidP="00D26314">
      <w:pPr>
        <w:pStyle w:val="Podnadpis"/>
        <w:rPr>
          <w:color w:val="auto"/>
        </w:rPr>
      </w:pPr>
      <w:bookmarkStart w:id="325" w:name="_Toc43931196"/>
      <w:bookmarkStart w:id="326" w:name="_Toc75952326"/>
      <w:bookmarkStart w:id="327" w:name="_Toc106106785"/>
      <w:bookmarkStart w:id="328" w:name="_Toc109802108"/>
      <w:bookmarkStart w:id="329" w:name="_Toc144104263"/>
      <w:bookmarkStart w:id="330" w:name="_Hlk160431464"/>
      <w:r w:rsidRPr="002D4B12">
        <w:rPr>
          <w:color w:val="auto"/>
        </w:rPr>
        <w:t xml:space="preserve">Tabulka </w:t>
      </w:r>
      <w:r w:rsidRPr="002D4B12">
        <w:rPr>
          <w:color w:val="auto"/>
        </w:rPr>
        <w:fldChar w:fldCharType="begin"/>
      </w:r>
      <w:r w:rsidRPr="002D4B12">
        <w:rPr>
          <w:color w:val="auto"/>
        </w:rPr>
        <w:instrText xml:space="preserve"> SEQ Tabulka \* ARABIC </w:instrText>
      </w:r>
      <w:r w:rsidRPr="002D4B12">
        <w:rPr>
          <w:color w:val="auto"/>
        </w:rPr>
        <w:fldChar w:fldCharType="separate"/>
      </w:r>
      <w:r w:rsidR="001E1A67">
        <w:rPr>
          <w:noProof/>
          <w:color w:val="auto"/>
        </w:rPr>
        <w:t>24</w:t>
      </w:r>
      <w:r w:rsidRPr="002D4B12">
        <w:rPr>
          <w:noProof/>
          <w:color w:val="auto"/>
        </w:rPr>
        <w:fldChar w:fldCharType="end"/>
      </w:r>
      <w:r w:rsidRPr="002D4B12">
        <w:rPr>
          <w:color w:val="auto"/>
        </w:rPr>
        <w:t>: OS – disposition time trestního řízení dle krajů</w:t>
      </w:r>
      <w:bookmarkEnd w:id="325"/>
      <w:bookmarkEnd w:id="326"/>
      <w:bookmarkEnd w:id="327"/>
      <w:bookmarkEnd w:id="328"/>
      <w:bookmarkEnd w:id="329"/>
    </w:p>
    <w:tbl>
      <w:tblPr>
        <w:tblW w:w="5535" w:type="dxa"/>
        <w:tblCellMar>
          <w:left w:w="70" w:type="dxa"/>
          <w:right w:w="70" w:type="dxa"/>
        </w:tblCellMar>
        <w:tblLook w:val="04A0" w:firstRow="1" w:lastRow="0" w:firstColumn="1" w:lastColumn="0" w:noHBand="0" w:noVBand="1"/>
      </w:tblPr>
      <w:tblGrid>
        <w:gridCol w:w="2780"/>
        <w:gridCol w:w="1473"/>
        <w:gridCol w:w="1276"/>
        <w:gridCol w:w="6"/>
      </w:tblGrid>
      <w:tr w:rsidR="00F15667" w:rsidRPr="002D4B12" w14:paraId="1FBA265A" w14:textId="77777777" w:rsidTr="00784687">
        <w:trPr>
          <w:trHeight w:val="345"/>
        </w:trPr>
        <w:tc>
          <w:tcPr>
            <w:tcW w:w="2780" w:type="dxa"/>
            <w:tcBorders>
              <w:top w:val="double" w:sz="6" w:space="0" w:color="auto"/>
              <w:left w:val="nil"/>
              <w:bottom w:val="double" w:sz="6" w:space="0" w:color="auto"/>
              <w:right w:val="nil"/>
            </w:tcBorders>
            <w:shd w:val="clear" w:color="auto" w:fill="auto"/>
            <w:noWrap/>
            <w:vAlign w:val="center"/>
            <w:hideMark/>
          </w:tcPr>
          <w:bookmarkEnd w:id="330"/>
          <w:p w14:paraId="690334CF" w14:textId="77777777" w:rsidR="00BD2BAE" w:rsidRPr="002D4B12" w:rsidRDefault="00BD2BAE" w:rsidP="00784687">
            <w:pPr>
              <w:spacing w:line="240" w:lineRule="auto"/>
              <w:jc w:val="center"/>
              <w:rPr>
                <w:rFonts w:eastAsia="Times New Roman"/>
                <w:b/>
                <w:bCs/>
                <w:szCs w:val="24"/>
                <w:lang w:eastAsia="cs-CZ"/>
              </w:rPr>
            </w:pPr>
            <w:r w:rsidRPr="002D4B12">
              <w:rPr>
                <w:rFonts w:eastAsia="Times New Roman"/>
                <w:b/>
                <w:bCs/>
                <w:szCs w:val="24"/>
                <w:lang w:eastAsia="cs-CZ"/>
              </w:rPr>
              <w:t>Nadřízený soud</w:t>
            </w:r>
          </w:p>
        </w:tc>
        <w:tc>
          <w:tcPr>
            <w:tcW w:w="2755" w:type="dxa"/>
            <w:gridSpan w:val="3"/>
            <w:tcBorders>
              <w:top w:val="double" w:sz="6" w:space="0" w:color="auto"/>
              <w:left w:val="nil"/>
              <w:bottom w:val="double" w:sz="6" w:space="0" w:color="auto"/>
              <w:right w:val="nil"/>
            </w:tcBorders>
            <w:shd w:val="clear" w:color="auto" w:fill="auto"/>
            <w:noWrap/>
            <w:vAlign w:val="center"/>
            <w:hideMark/>
          </w:tcPr>
          <w:p w14:paraId="3B0DE941" w14:textId="77777777" w:rsidR="00BD2BAE" w:rsidRPr="002D4B12" w:rsidRDefault="00BD2BAE" w:rsidP="00784687">
            <w:pPr>
              <w:spacing w:line="240" w:lineRule="auto"/>
              <w:jc w:val="center"/>
              <w:rPr>
                <w:rFonts w:eastAsia="Times New Roman"/>
                <w:b/>
                <w:bCs/>
                <w:szCs w:val="24"/>
                <w:lang w:eastAsia="cs-CZ"/>
              </w:rPr>
            </w:pPr>
            <w:r w:rsidRPr="002D4B12">
              <w:rPr>
                <w:rFonts w:eastAsia="Times New Roman"/>
                <w:b/>
                <w:bCs/>
                <w:szCs w:val="24"/>
                <w:lang w:eastAsia="cs-CZ"/>
              </w:rPr>
              <w:t>Disposition time</w:t>
            </w:r>
          </w:p>
        </w:tc>
      </w:tr>
      <w:tr w:rsidR="00F15667" w:rsidRPr="002D4B12" w14:paraId="7ADA278B" w14:textId="77777777" w:rsidTr="00784687">
        <w:trPr>
          <w:gridAfter w:val="1"/>
          <w:wAfter w:w="6" w:type="dxa"/>
          <w:trHeight w:val="330"/>
        </w:trPr>
        <w:tc>
          <w:tcPr>
            <w:tcW w:w="2780" w:type="dxa"/>
            <w:tcBorders>
              <w:top w:val="nil"/>
              <w:left w:val="nil"/>
              <w:bottom w:val="single" w:sz="4" w:space="0" w:color="auto"/>
              <w:right w:val="nil"/>
            </w:tcBorders>
            <w:shd w:val="clear" w:color="auto" w:fill="auto"/>
            <w:noWrap/>
            <w:vAlign w:val="center"/>
            <w:hideMark/>
          </w:tcPr>
          <w:p w14:paraId="435E05F7" w14:textId="77777777" w:rsidR="00BD2BAE" w:rsidRPr="002D4B12" w:rsidRDefault="00BD2BAE" w:rsidP="00784687">
            <w:pPr>
              <w:spacing w:line="240" w:lineRule="auto"/>
              <w:jc w:val="left"/>
              <w:rPr>
                <w:rFonts w:eastAsia="Times New Roman"/>
                <w:szCs w:val="24"/>
                <w:lang w:eastAsia="cs-CZ"/>
              </w:rPr>
            </w:pPr>
            <w:r w:rsidRPr="002D4B12">
              <w:rPr>
                <w:rFonts w:eastAsia="Times New Roman"/>
                <w:szCs w:val="24"/>
                <w:lang w:eastAsia="cs-CZ"/>
              </w:rPr>
              <w:t>MS Praha</w:t>
            </w:r>
          </w:p>
        </w:tc>
        <w:tc>
          <w:tcPr>
            <w:tcW w:w="1473" w:type="dxa"/>
            <w:tcBorders>
              <w:top w:val="nil"/>
              <w:left w:val="nil"/>
              <w:bottom w:val="single" w:sz="4" w:space="0" w:color="auto"/>
              <w:right w:val="nil"/>
            </w:tcBorders>
            <w:shd w:val="clear" w:color="auto" w:fill="auto"/>
            <w:noWrap/>
            <w:vAlign w:val="center"/>
            <w:hideMark/>
          </w:tcPr>
          <w:p w14:paraId="0917A236" w14:textId="77777777" w:rsidR="00BD2BAE" w:rsidRPr="002D4B12" w:rsidRDefault="00BD2BAE" w:rsidP="00784687">
            <w:pPr>
              <w:spacing w:line="240" w:lineRule="auto"/>
              <w:jc w:val="center"/>
              <w:rPr>
                <w:rFonts w:eastAsia="Times New Roman"/>
                <w:szCs w:val="24"/>
                <w:lang w:eastAsia="cs-CZ"/>
              </w:rPr>
            </w:pPr>
            <w:r w:rsidRPr="002D4B12">
              <w:rPr>
                <w:rFonts w:eastAsia="Times New Roman"/>
                <w:szCs w:val="24"/>
                <w:lang w:eastAsia="cs-CZ"/>
              </w:rPr>
              <w:t>47</w:t>
            </w:r>
          </w:p>
        </w:tc>
        <w:tc>
          <w:tcPr>
            <w:tcW w:w="1276" w:type="dxa"/>
            <w:tcBorders>
              <w:top w:val="nil"/>
              <w:left w:val="nil"/>
              <w:bottom w:val="single" w:sz="4" w:space="0" w:color="auto"/>
              <w:right w:val="nil"/>
            </w:tcBorders>
            <w:shd w:val="clear" w:color="auto" w:fill="auto"/>
            <w:noWrap/>
            <w:vAlign w:val="center"/>
            <w:hideMark/>
          </w:tcPr>
          <w:p w14:paraId="6AB69E0C" w14:textId="662DB7D3" w:rsidR="00BD2BAE" w:rsidRPr="002D4B12" w:rsidRDefault="00BD2BAE" w:rsidP="00784687">
            <w:pPr>
              <w:spacing w:line="240" w:lineRule="auto"/>
              <w:jc w:val="center"/>
              <w:rPr>
                <w:rFonts w:eastAsia="Times New Roman"/>
                <w:sz w:val="20"/>
                <w:szCs w:val="20"/>
                <w:lang w:eastAsia="cs-CZ"/>
              </w:rPr>
            </w:pPr>
            <w:r w:rsidRPr="002D4B12">
              <w:rPr>
                <w:rFonts w:eastAsia="Times New Roman"/>
                <w:sz w:val="20"/>
                <w:szCs w:val="20"/>
                <w:lang w:eastAsia="cs-CZ"/>
              </w:rPr>
              <w:t>-6 %</w:t>
            </w:r>
          </w:p>
        </w:tc>
      </w:tr>
      <w:tr w:rsidR="00F15667" w:rsidRPr="002D4B12" w14:paraId="70BA44E8" w14:textId="77777777" w:rsidTr="00784687">
        <w:trPr>
          <w:gridAfter w:val="1"/>
          <w:wAfter w:w="6" w:type="dxa"/>
          <w:trHeight w:val="315"/>
        </w:trPr>
        <w:tc>
          <w:tcPr>
            <w:tcW w:w="2780" w:type="dxa"/>
            <w:tcBorders>
              <w:top w:val="nil"/>
              <w:left w:val="nil"/>
              <w:bottom w:val="single" w:sz="4" w:space="0" w:color="auto"/>
              <w:right w:val="nil"/>
            </w:tcBorders>
            <w:shd w:val="clear" w:color="auto" w:fill="auto"/>
            <w:noWrap/>
            <w:vAlign w:val="center"/>
            <w:hideMark/>
          </w:tcPr>
          <w:p w14:paraId="1E2C02FF" w14:textId="77777777" w:rsidR="00BD2BAE" w:rsidRPr="002D4B12" w:rsidRDefault="00BD2BAE" w:rsidP="00784687">
            <w:pPr>
              <w:spacing w:line="240" w:lineRule="auto"/>
              <w:jc w:val="left"/>
              <w:rPr>
                <w:rFonts w:eastAsia="Times New Roman"/>
                <w:szCs w:val="24"/>
                <w:lang w:eastAsia="cs-CZ"/>
              </w:rPr>
            </w:pPr>
            <w:r w:rsidRPr="002D4B12">
              <w:rPr>
                <w:rFonts w:eastAsia="Times New Roman"/>
                <w:szCs w:val="24"/>
                <w:lang w:eastAsia="cs-CZ"/>
              </w:rPr>
              <w:t>KS Praha</w:t>
            </w:r>
          </w:p>
        </w:tc>
        <w:tc>
          <w:tcPr>
            <w:tcW w:w="1473" w:type="dxa"/>
            <w:tcBorders>
              <w:top w:val="nil"/>
              <w:left w:val="nil"/>
              <w:bottom w:val="single" w:sz="4" w:space="0" w:color="auto"/>
              <w:right w:val="nil"/>
            </w:tcBorders>
            <w:shd w:val="clear" w:color="auto" w:fill="auto"/>
            <w:noWrap/>
            <w:vAlign w:val="center"/>
            <w:hideMark/>
          </w:tcPr>
          <w:p w14:paraId="197BC216" w14:textId="77777777" w:rsidR="00BD2BAE" w:rsidRPr="002D4B12" w:rsidRDefault="00BD2BAE" w:rsidP="00784687">
            <w:pPr>
              <w:spacing w:line="240" w:lineRule="auto"/>
              <w:jc w:val="center"/>
              <w:rPr>
                <w:rFonts w:eastAsia="Times New Roman"/>
                <w:szCs w:val="24"/>
                <w:lang w:eastAsia="cs-CZ"/>
              </w:rPr>
            </w:pPr>
            <w:r w:rsidRPr="002D4B12">
              <w:rPr>
                <w:rFonts w:eastAsia="Times New Roman"/>
                <w:szCs w:val="24"/>
                <w:lang w:eastAsia="cs-CZ"/>
              </w:rPr>
              <w:t>24</w:t>
            </w:r>
          </w:p>
        </w:tc>
        <w:tc>
          <w:tcPr>
            <w:tcW w:w="1276" w:type="dxa"/>
            <w:tcBorders>
              <w:top w:val="nil"/>
              <w:left w:val="nil"/>
              <w:bottom w:val="single" w:sz="4" w:space="0" w:color="auto"/>
              <w:right w:val="nil"/>
            </w:tcBorders>
            <w:shd w:val="clear" w:color="auto" w:fill="auto"/>
            <w:noWrap/>
            <w:vAlign w:val="center"/>
            <w:hideMark/>
          </w:tcPr>
          <w:p w14:paraId="3BD18A7A" w14:textId="02F20A80" w:rsidR="00BD2BAE" w:rsidRPr="002D4B12" w:rsidRDefault="00BD2BAE" w:rsidP="00784687">
            <w:pPr>
              <w:spacing w:line="240" w:lineRule="auto"/>
              <w:jc w:val="center"/>
              <w:rPr>
                <w:rFonts w:eastAsia="Times New Roman"/>
                <w:sz w:val="20"/>
                <w:szCs w:val="20"/>
                <w:lang w:eastAsia="cs-CZ"/>
              </w:rPr>
            </w:pPr>
            <w:r w:rsidRPr="002D4B12">
              <w:rPr>
                <w:rFonts w:eastAsia="Times New Roman"/>
                <w:sz w:val="20"/>
                <w:szCs w:val="20"/>
                <w:lang w:eastAsia="cs-CZ"/>
              </w:rPr>
              <w:t>+0 %</w:t>
            </w:r>
          </w:p>
        </w:tc>
      </w:tr>
      <w:tr w:rsidR="00F15667" w:rsidRPr="002D4B12" w14:paraId="4DBADCDC" w14:textId="77777777" w:rsidTr="00784687">
        <w:trPr>
          <w:gridAfter w:val="1"/>
          <w:wAfter w:w="6" w:type="dxa"/>
          <w:trHeight w:val="315"/>
        </w:trPr>
        <w:tc>
          <w:tcPr>
            <w:tcW w:w="2780" w:type="dxa"/>
            <w:tcBorders>
              <w:top w:val="nil"/>
              <w:left w:val="nil"/>
              <w:bottom w:val="single" w:sz="4" w:space="0" w:color="auto"/>
              <w:right w:val="nil"/>
            </w:tcBorders>
            <w:shd w:val="clear" w:color="auto" w:fill="auto"/>
            <w:noWrap/>
            <w:vAlign w:val="center"/>
            <w:hideMark/>
          </w:tcPr>
          <w:p w14:paraId="34F26946" w14:textId="77777777" w:rsidR="00BD2BAE" w:rsidRPr="002D4B12" w:rsidRDefault="00BD2BAE" w:rsidP="00784687">
            <w:pPr>
              <w:spacing w:line="240" w:lineRule="auto"/>
              <w:jc w:val="left"/>
              <w:rPr>
                <w:rFonts w:eastAsia="Times New Roman"/>
                <w:szCs w:val="24"/>
                <w:lang w:eastAsia="cs-CZ"/>
              </w:rPr>
            </w:pPr>
            <w:r w:rsidRPr="002D4B12">
              <w:rPr>
                <w:rFonts w:eastAsia="Times New Roman"/>
                <w:szCs w:val="24"/>
                <w:lang w:eastAsia="cs-CZ"/>
              </w:rPr>
              <w:t>KS Č. Budějovice</w:t>
            </w:r>
          </w:p>
        </w:tc>
        <w:tc>
          <w:tcPr>
            <w:tcW w:w="1473" w:type="dxa"/>
            <w:tcBorders>
              <w:top w:val="nil"/>
              <w:left w:val="nil"/>
              <w:bottom w:val="single" w:sz="4" w:space="0" w:color="auto"/>
              <w:right w:val="nil"/>
            </w:tcBorders>
            <w:shd w:val="clear" w:color="auto" w:fill="auto"/>
            <w:noWrap/>
            <w:vAlign w:val="center"/>
            <w:hideMark/>
          </w:tcPr>
          <w:p w14:paraId="52BD78F9" w14:textId="77777777" w:rsidR="00BD2BAE" w:rsidRPr="002D4B12" w:rsidRDefault="00BD2BAE" w:rsidP="00784687">
            <w:pPr>
              <w:spacing w:line="240" w:lineRule="auto"/>
              <w:jc w:val="center"/>
              <w:rPr>
                <w:rFonts w:eastAsia="Times New Roman"/>
                <w:szCs w:val="24"/>
                <w:lang w:eastAsia="cs-CZ"/>
              </w:rPr>
            </w:pPr>
            <w:r w:rsidRPr="002D4B12">
              <w:rPr>
                <w:rFonts w:eastAsia="Times New Roman"/>
                <w:szCs w:val="24"/>
                <w:lang w:eastAsia="cs-CZ"/>
              </w:rPr>
              <w:t>40</w:t>
            </w:r>
          </w:p>
        </w:tc>
        <w:tc>
          <w:tcPr>
            <w:tcW w:w="1276" w:type="dxa"/>
            <w:tcBorders>
              <w:top w:val="nil"/>
              <w:left w:val="nil"/>
              <w:bottom w:val="single" w:sz="4" w:space="0" w:color="auto"/>
              <w:right w:val="nil"/>
            </w:tcBorders>
            <w:shd w:val="clear" w:color="auto" w:fill="auto"/>
            <w:noWrap/>
            <w:vAlign w:val="center"/>
            <w:hideMark/>
          </w:tcPr>
          <w:p w14:paraId="49D6BA6E" w14:textId="1A8972BF" w:rsidR="00BD2BAE" w:rsidRPr="002D4B12" w:rsidRDefault="00BD2BAE" w:rsidP="00784687">
            <w:pPr>
              <w:spacing w:line="240" w:lineRule="auto"/>
              <w:jc w:val="center"/>
              <w:rPr>
                <w:rFonts w:eastAsia="Times New Roman"/>
                <w:sz w:val="20"/>
                <w:szCs w:val="20"/>
                <w:lang w:eastAsia="cs-CZ"/>
              </w:rPr>
            </w:pPr>
            <w:r w:rsidRPr="002D4B12">
              <w:rPr>
                <w:rFonts w:eastAsia="Times New Roman"/>
                <w:sz w:val="20"/>
                <w:szCs w:val="20"/>
                <w:lang w:eastAsia="cs-CZ"/>
              </w:rPr>
              <w:t>-11 %</w:t>
            </w:r>
          </w:p>
        </w:tc>
      </w:tr>
      <w:tr w:rsidR="00F15667" w:rsidRPr="002D4B12" w14:paraId="19943431" w14:textId="77777777" w:rsidTr="00784687">
        <w:trPr>
          <w:gridAfter w:val="1"/>
          <w:wAfter w:w="6" w:type="dxa"/>
          <w:trHeight w:val="315"/>
        </w:trPr>
        <w:tc>
          <w:tcPr>
            <w:tcW w:w="2780" w:type="dxa"/>
            <w:tcBorders>
              <w:top w:val="nil"/>
              <w:left w:val="nil"/>
              <w:bottom w:val="single" w:sz="4" w:space="0" w:color="auto"/>
              <w:right w:val="nil"/>
            </w:tcBorders>
            <w:shd w:val="clear" w:color="auto" w:fill="auto"/>
            <w:noWrap/>
            <w:vAlign w:val="center"/>
            <w:hideMark/>
          </w:tcPr>
          <w:p w14:paraId="14B7C807" w14:textId="77777777" w:rsidR="00BD2BAE" w:rsidRPr="002D4B12" w:rsidRDefault="00BD2BAE" w:rsidP="00784687">
            <w:pPr>
              <w:spacing w:line="240" w:lineRule="auto"/>
              <w:jc w:val="left"/>
              <w:rPr>
                <w:rFonts w:eastAsia="Times New Roman"/>
                <w:szCs w:val="24"/>
                <w:lang w:eastAsia="cs-CZ"/>
              </w:rPr>
            </w:pPr>
            <w:r w:rsidRPr="002D4B12">
              <w:rPr>
                <w:rFonts w:eastAsia="Times New Roman"/>
                <w:szCs w:val="24"/>
                <w:lang w:eastAsia="cs-CZ"/>
              </w:rPr>
              <w:t>KS Plzeň</w:t>
            </w:r>
          </w:p>
        </w:tc>
        <w:tc>
          <w:tcPr>
            <w:tcW w:w="1473" w:type="dxa"/>
            <w:tcBorders>
              <w:top w:val="nil"/>
              <w:left w:val="nil"/>
              <w:bottom w:val="single" w:sz="4" w:space="0" w:color="auto"/>
              <w:right w:val="nil"/>
            </w:tcBorders>
            <w:shd w:val="clear" w:color="auto" w:fill="auto"/>
            <w:noWrap/>
            <w:vAlign w:val="center"/>
            <w:hideMark/>
          </w:tcPr>
          <w:p w14:paraId="698181CB" w14:textId="77777777" w:rsidR="00BD2BAE" w:rsidRPr="002D4B12" w:rsidRDefault="00BD2BAE" w:rsidP="00784687">
            <w:pPr>
              <w:spacing w:line="240" w:lineRule="auto"/>
              <w:jc w:val="center"/>
              <w:rPr>
                <w:rFonts w:eastAsia="Times New Roman"/>
                <w:szCs w:val="24"/>
                <w:lang w:eastAsia="cs-CZ"/>
              </w:rPr>
            </w:pPr>
            <w:r w:rsidRPr="002D4B12">
              <w:rPr>
                <w:rFonts w:eastAsia="Times New Roman"/>
                <w:szCs w:val="24"/>
                <w:lang w:eastAsia="cs-CZ"/>
              </w:rPr>
              <w:t>56</w:t>
            </w:r>
          </w:p>
        </w:tc>
        <w:tc>
          <w:tcPr>
            <w:tcW w:w="1276" w:type="dxa"/>
            <w:tcBorders>
              <w:top w:val="nil"/>
              <w:left w:val="nil"/>
              <w:bottom w:val="single" w:sz="4" w:space="0" w:color="auto"/>
              <w:right w:val="nil"/>
            </w:tcBorders>
            <w:shd w:val="clear" w:color="auto" w:fill="auto"/>
            <w:noWrap/>
            <w:vAlign w:val="center"/>
            <w:hideMark/>
          </w:tcPr>
          <w:p w14:paraId="285D2D00" w14:textId="2603BD3E" w:rsidR="00BD2BAE" w:rsidRPr="002D4B12" w:rsidRDefault="00BD2BAE" w:rsidP="00784687">
            <w:pPr>
              <w:spacing w:line="240" w:lineRule="auto"/>
              <w:jc w:val="center"/>
              <w:rPr>
                <w:rFonts w:eastAsia="Times New Roman"/>
                <w:sz w:val="20"/>
                <w:szCs w:val="20"/>
                <w:lang w:eastAsia="cs-CZ"/>
              </w:rPr>
            </w:pPr>
            <w:r w:rsidRPr="002D4B12">
              <w:rPr>
                <w:rFonts w:eastAsia="Times New Roman"/>
                <w:sz w:val="20"/>
                <w:szCs w:val="20"/>
                <w:lang w:eastAsia="cs-CZ"/>
              </w:rPr>
              <w:t>-8 %</w:t>
            </w:r>
          </w:p>
        </w:tc>
      </w:tr>
      <w:tr w:rsidR="00F15667" w:rsidRPr="002D4B12" w14:paraId="087575DF" w14:textId="77777777" w:rsidTr="00784687">
        <w:trPr>
          <w:gridAfter w:val="1"/>
          <w:wAfter w:w="6" w:type="dxa"/>
          <w:trHeight w:val="315"/>
        </w:trPr>
        <w:tc>
          <w:tcPr>
            <w:tcW w:w="2780" w:type="dxa"/>
            <w:tcBorders>
              <w:top w:val="nil"/>
              <w:left w:val="nil"/>
              <w:bottom w:val="single" w:sz="4" w:space="0" w:color="auto"/>
              <w:right w:val="nil"/>
            </w:tcBorders>
            <w:shd w:val="clear" w:color="auto" w:fill="auto"/>
            <w:noWrap/>
            <w:vAlign w:val="center"/>
            <w:hideMark/>
          </w:tcPr>
          <w:p w14:paraId="65A2F173" w14:textId="77777777" w:rsidR="00BD2BAE" w:rsidRPr="002D4B12" w:rsidRDefault="00BD2BAE" w:rsidP="00784687">
            <w:pPr>
              <w:spacing w:line="240" w:lineRule="auto"/>
              <w:jc w:val="left"/>
              <w:rPr>
                <w:rFonts w:eastAsia="Times New Roman"/>
                <w:szCs w:val="24"/>
                <w:lang w:eastAsia="cs-CZ"/>
              </w:rPr>
            </w:pPr>
            <w:r w:rsidRPr="002D4B12">
              <w:rPr>
                <w:rFonts w:eastAsia="Times New Roman"/>
                <w:szCs w:val="24"/>
                <w:lang w:eastAsia="cs-CZ"/>
              </w:rPr>
              <w:t>KS Ústí n. Labem</w:t>
            </w:r>
          </w:p>
        </w:tc>
        <w:tc>
          <w:tcPr>
            <w:tcW w:w="1473" w:type="dxa"/>
            <w:tcBorders>
              <w:top w:val="nil"/>
              <w:left w:val="nil"/>
              <w:bottom w:val="single" w:sz="4" w:space="0" w:color="auto"/>
              <w:right w:val="nil"/>
            </w:tcBorders>
            <w:shd w:val="clear" w:color="auto" w:fill="auto"/>
            <w:noWrap/>
            <w:vAlign w:val="center"/>
            <w:hideMark/>
          </w:tcPr>
          <w:p w14:paraId="3715A4B7" w14:textId="77777777" w:rsidR="00BD2BAE" w:rsidRPr="002D4B12" w:rsidRDefault="00BD2BAE" w:rsidP="00784687">
            <w:pPr>
              <w:spacing w:line="240" w:lineRule="auto"/>
              <w:jc w:val="center"/>
              <w:rPr>
                <w:rFonts w:eastAsia="Times New Roman"/>
                <w:szCs w:val="24"/>
                <w:lang w:eastAsia="cs-CZ"/>
              </w:rPr>
            </w:pPr>
            <w:r w:rsidRPr="002D4B12">
              <w:rPr>
                <w:rFonts w:eastAsia="Times New Roman"/>
                <w:szCs w:val="24"/>
                <w:lang w:eastAsia="cs-CZ"/>
              </w:rPr>
              <w:t>85</w:t>
            </w:r>
          </w:p>
        </w:tc>
        <w:tc>
          <w:tcPr>
            <w:tcW w:w="1276" w:type="dxa"/>
            <w:tcBorders>
              <w:top w:val="nil"/>
              <w:left w:val="nil"/>
              <w:bottom w:val="single" w:sz="4" w:space="0" w:color="auto"/>
              <w:right w:val="nil"/>
            </w:tcBorders>
            <w:shd w:val="clear" w:color="auto" w:fill="auto"/>
            <w:noWrap/>
            <w:vAlign w:val="center"/>
            <w:hideMark/>
          </w:tcPr>
          <w:p w14:paraId="545CD573" w14:textId="787FB24F" w:rsidR="00BD2BAE" w:rsidRPr="002D4B12" w:rsidRDefault="00BD2BAE" w:rsidP="00784687">
            <w:pPr>
              <w:spacing w:line="240" w:lineRule="auto"/>
              <w:jc w:val="center"/>
              <w:rPr>
                <w:rFonts w:eastAsia="Times New Roman"/>
                <w:sz w:val="20"/>
                <w:szCs w:val="20"/>
                <w:lang w:eastAsia="cs-CZ"/>
              </w:rPr>
            </w:pPr>
            <w:r w:rsidRPr="002D4B12">
              <w:rPr>
                <w:rFonts w:eastAsia="Times New Roman"/>
                <w:sz w:val="20"/>
                <w:szCs w:val="20"/>
                <w:lang w:eastAsia="cs-CZ"/>
              </w:rPr>
              <w:t>-11 %</w:t>
            </w:r>
          </w:p>
        </w:tc>
      </w:tr>
      <w:tr w:rsidR="00F15667" w:rsidRPr="002D4B12" w14:paraId="7B6B4E26" w14:textId="77777777" w:rsidTr="00784687">
        <w:trPr>
          <w:gridAfter w:val="1"/>
          <w:wAfter w:w="6" w:type="dxa"/>
          <w:trHeight w:val="315"/>
        </w:trPr>
        <w:tc>
          <w:tcPr>
            <w:tcW w:w="2780" w:type="dxa"/>
            <w:tcBorders>
              <w:top w:val="nil"/>
              <w:left w:val="nil"/>
              <w:bottom w:val="single" w:sz="4" w:space="0" w:color="auto"/>
              <w:right w:val="nil"/>
            </w:tcBorders>
            <w:shd w:val="clear" w:color="auto" w:fill="auto"/>
            <w:noWrap/>
            <w:vAlign w:val="center"/>
            <w:hideMark/>
          </w:tcPr>
          <w:p w14:paraId="1D379E5E" w14:textId="77777777" w:rsidR="00BD2BAE" w:rsidRPr="002D4B12" w:rsidRDefault="00BD2BAE" w:rsidP="00784687">
            <w:pPr>
              <w:spacing w:line="240" w:lineRule="auto"/>
              <w:jc w:val="left"/>
              <w:rPr>
                <w:rFonts w:eastAsia="Times New Roman"/>
                <w:szCs w:val="24"/>
                <w:lang w:eastAsia="cs-CZ"/>
              </w:rPr>
            </w:pPr>
            <w:r w:rsidRPr="002D4B12">
              <w:rPr>
                <w:rFonts w:eastAsia="Times New Roman"/>
                <w:szCs w:val="24"/>
                <w:lang w:eastAsia="cs-CZ"/>
              </w:rPr>
              <w:t>KS Hr. Králové</w:t>
            </w:r>
          </w:p>
        </w:tc>
        <w:tc>
          <w:tcPr>
            <w:tcW w:w="1473" w:type="dxa"/>
            <w:tcBorders>
              <w:top w:val="nil"/>
              <w:left w:val="nil"/>
              <w:bottom w:val="single" w:sz="4" w:space="0" w:color="auto"/>
              <w:right w:val="nil"/>
            </w:tcBorders>
            <w:shd w:val="clear" w:color="auto" w:fill="auto"/>
            <w:noWrap/>
            <w:vAlign w:val="center"/>
            <w:hideMark/>
          </w:tcPr>
          <w:p w14:paraId="79C33205" w14:textId="77777777" w:rsidR="00BD2BAE" w:rsidRPr="002D4B12" w:rsidRDefault="00BD2BAE" w:rsidP="00784687">
            <w:pPr>
              <w:spacing w:line="240" w:lineRule="auto"/>
              <w:jc w:val="center"/>
              <w:rPr>
                <w:rFonts w:eastAsia="Times New Roman"/>
                <w:szCs w:val="24"/>
                <w:lang w:eastAsia="cs-CZ"/>
              </w:rPr>
            </w:pPr>
            <w:r w:rsidRPr="002D4B12">
              <w:rPr>
                <w:rFonts w:eastAsia="Times New Roman"/>
                <w:szCs w:val="24"/>
                <w:lang w:eastAsia="cs-CZ"/>
              </w:rPr>
              <w:t>33</w:t>
            </w:r>
          </w:p>
        </w:tc>
        <w:tc>
          <w:tcPr>
            <w:tcW w:w="1276" w:type="dxa"/>
            <w:tcBorders>
              <w:top w:val="nil"/>
              <w:left w:val="nil"/>
              <w:bottom w:val="single" w:sz="4" w:space="0" w:color="auto"/>
              <w:right w:val="nil"/>
            </w:tcBorders>
            <w:shd w:val="clear" w:color="auto" w:fill="auto"/>
            <w:noWrap/>
            <w:vAlign w:val="center"/>
            <w:hideMark/>
          </w:tcPr>
          <w:p w14:paraId="5062DAA8" w14:textId="55E88925" w:rsidR="00BD2BAE" w:rsidRPr="002D4B12" w:rsidRDefault="00BD2BAE" w:rsidP="00784687">
            <w:pPr>
              <w:spacing w:line="240" w:lineRule="auto"/>
              <w:jc w:val="center"/>
              <w:rPr>
                <w:rFonts w:eastAsia="Times New Roman"/>
                <w:sz w:val="20"/>
                <w:szCs w:val="20"/>
                <w:lang w:eastAsia="cs-CZ"/>
              </w:rPr>
            </w:pPr>
            <w:r w:rsidRPr="002D4B12">
              <w:rPr>
                <w:rFonts w:eastAsia="Times New Roman"/>
                <w:sz w:val="20"/>
                <w:szCs w:val="20"/>
                <w:lang w:eastAsia="cs-CZ"/>
              </w:rPr>
              <w:t>-18 %</w:t>
            </w:r>
          </w:p>
        </w:tc>
      </w:tr>
      <w:tr w:rsidR="00F15667" w:rsidRPr="002D4B12" w14:paraId="311B3655" w14:textId="77777777" w:rsidTr="00784687">
        <w:trPr>
          <w:gridAfter w:val="1"/>
          <w:wAfter w:w="6" w:type="dxa"/>
          <w:trHeight w:val="315"/>
        </w:trPr>
        <w:tc>
          <w:tcPr>
            <w:tcW w:w="2780" w:type="dxa"/>
            <w:tcBorders>
              <w:top w:val="nil"/>
              <w:left w:val="nil"/>
              <w:bottom w:val="single" w:sz="4" w:space="0" w:color="auto"/>
              <w:right w:val="nil"/>
            </w:tcBorders>
            <w:shd w:val="clear" w:color="auto" w:fill="auto"/>
            <w:noWrap/>
            <w:vAlign w:val="center"/>
            <w:hideMark/>
          </w:tcPr>
          <w:p w14:paraId="5EA1EFF4" w14:textId="77777777" w:rsidR="00BD2BAE" w:rsidRPr="002D4B12" w:rsidRDefault="00BD2BAE" w:rsidP="00784687">
            <w:pPr>
              <w:spacing w:line="240" w:lineRule="auto"/>
              <w:jc w:val="left"/>
              <w:rPr>
                <w:rFonts w:eastAsia="Times New Roman"/>
                <w:szCs w:val="24"/>
                <w:lang w:eastAsia="cs-CZ"/>
              </w:rPr>
            </w:pPr>
            <w:r w:rsidRPr="002D4B12">
              <w:rPr>
                <w:rFonts w:eastAsia="Times New Roman"/>
                <w:szCs w:val="24"/>
                <w:lang w:eastAsia="cs-CZ"/>
              </w:rPr>
              <w:t>KS Brno</w:t>
            </w:r>
          </w:p>
        </w:tc>
        <w:tc>
          <w:tcPr>
            <w:tcW w:w="1473" w:type="dxa"/>
            <w:tcBorders>
              <w:top w:val="nil"/>
              <w:left w:val="nil"/>
              <w:bottom w:val="single" w:sz="4" w:space="0" w:color="auto"/>
              <w:right w:val="nil"/>
            </w:tcBorders>
            <w:shd w:val="clear" w:color="auto" w:fill="auto"/>
            <w:noWrap/>
            <w:vAlign w:val="center"/>
            <w:hideMark/>
          </w:tcPr>
          <w:p w14:paraId="057F5011" w14:textId="77777777" w:rsidR="00BD2BAE" w:rsidRPr="002D4B12" w:rsidRDefault="00BD2BAE" w:rsidP="00784687">
            <w:pPr>
              <w:spacing w:line="240" w:lineRule="auto"/>
              <w:jc w:val="center"/>
              <w:rPr>
                <w:rFonts w:eastAsia="Times New Roman"/>
                <w:szCs w:val="24"/>
                <w:lang w:eastAsia="cs-CZ"/>
              </w:rPr>
            </w:pPr>
            <w:r w:rsidRPr="002D4B12">
              <w:rPr>
                <w:rFonts w:eastAsia="Times New Roman"/>
                <w:szCs w:val="24"/>
                <w:lang w:eastAsia="cs-CZ"/>
              </w:rPr>
              <w:t>51</w:t>
            </w:r>
          </w:p>
        </w:tc>
        <w:tc>
          <w:tcPr>
            <w:tcW w:w="1276" w:type="dxa"/>
            <w:tcBorders>
              <w:top w:val="nil"/>
              <w:left w:val="nil"/>
              <w:bottom w:val="single" w:sz="4" w:space="0" w:color="auto"/>
              <w:right w:val="nil"/>
            </w:tcBorders>
            <w:shd w:val="clear" w:color="auto" w:fill="auto"/>
            <w:noWrap/>
            <w:vAlign w:val="center"/>
            <w:hideMark/>
          </w:tcPr>
          <w:p w14:paraId="002F4949" w14:textId="54E22170" w:rsidR="00BD2BAE" w:rsidRPr="002D4B12" w:rsidRDefault="00BD2BAE" w:rsidP="00784687">
            <w:pPr>
              <w:spacing w:line="240" w:lineRule="auto"/>
              <w:jc w:val="center"/>
              <w:rPr>
                <w:rFonts w:eastAsia="Times New Roman"/>
                <w:sz w:val="20"/>
                <w:szCs w:val="20"/>
                <w:lang w:eastAsia="cs-CZ"/>
              </w:rPr>
            </w:pPr>
            <w:r w:rsidRPr="002D4B12">
              <w:rPr>
                <w:rFonts w:eastAsia="Times New Roman"/>
                <w:sz w:val="20"/>
                <w:szCs w:val="20"/>
                <w:lang w:eastAsia="cs-CZ"/>
              </w:rPr>
              <w:t>-12 %</w:t>
            </w:r>
          </w:p>
        </w:tc>
      </w:tr>
      <w:tr w:rsidR="00F15667" w:rsidRPr="002D4B12" w14:paraId="7D076A70" w14:textId="77777777" w:rsidTr="00784687">
        <w:trPr>
          <w:gridAfter w:val="1"/>
          <w:wAfter w:w="6" w:type="dxa"/>
          <w:trHeight w:val="330"/>
        </w:trPr>
        <w:tc>
          <w:tcPr>
            <w:tcW w:w="2780" w:type="dxa"/>
            <w:tcBorders>
              <w:top w:val="nil"/>
              <w:left w:val="nil"/>
              <w:bottom w:val="double" w:sz="6" w:space="0" w:color="auto"/>
              <w:right w:val="nil"/>
            </w:tcBorders>
            <w:shd w:val="clear" w:color="auto" w:fill="auto"/>
            <w:noWrap/>
            <w:vAlign w:val="center"/>
            <w:hideMark/>
          </w:tcPr>
          <w:p w14:paraId="7C003949" w14:textId="77777777" w:rsidR="00BD2BAE" w:rsidRPr="002D4B12" w:rsidRDefault="00BD2BAE" w:rsidP="00784687">
            <w:pPr>
              <w:spacing w:line="240" w:lineRule="auto"/>
              <w:jc w:val="left"/>
              <w:rPr>
                <w:rFonts w:eastAsia="Times New Roman"/>
                <w:szCs w:val="24"/>
                <w:lang w:eastAsia="cs-CZ"/>
              </w:rPr>
            </w:pPr>
            <w:r w:rsidRPr="002D4B12">
              <w:rPr>
                <w:rFonts w:eastAsia="Times New Roman"/>
                <w:szCs w:val="24"/>
                <w:lang w:eastAsia="cs-CZ"/>
              </w:rPr>
              <w:t>KS Ostrava</w:t>
            </w:r>
          </w:p>
        </w:tc>
        <w:tc>
          <w:tcPr>
            <w:tcW w:w="1473" w:type="dxa"/>
            <w:tcBorders>
              <w:top w:val="nil"/>
              <w:left w:val="nil"/>
              <w:bottom w:val="double" w:sz="6" w:space="0" w:color="auto"/>
              <w:right w:val="nil"/>
            </w:tcBorders>
            <w:shd w:val="clear" w:color="auto" w:fill="auto"/>
            <w:noWrap/>
            <w:vAlign w:val="center"/>
            <w:hideMark/>
          </w:tcPr>
          <w:p w14:paraId="2FA2AF04" w14:textId="77777777" w:rsidR="00BD2BAE" w:rsidRPr="002D4B12" w:rsidRDefault="00BD2BAE" w:rsidP="00784687">
            <w:pPr>
              <w:spacing w:line="240" w:lineRule="auto"/>
              <w:jc w:val="center"/>
              <w:rPr>
                <w:rFonts w:eastAsia="Times New Roman"/>
                <w:szCs w:val="24"/>
                <w:lang w:eastAsia="cs-CZ"/>
              </w:rPr>
            </w:pPr>
            <w:r w:rsidRPr="002D4B12">
              <w:rPr>
                <w:rFonts w:eastAsia="Times New Roman"/>
                <w:szCs w:val="24"/>
                <w:lang w:eastAsia="cs-CZ"/>
              </w:rPr>
              <w:t>64</w:t>
            </w:r>
          </w:p>
        </w:tc>
        <w:tc>
          <w:tcPr>
            <w:tcW w:w="1276" w:type="dxa"/>
            <w:tcBorders>
              <w:top w:val="nil"/>
              <w:left w:val="nil"/>
              <w:bottom w:val="double" w:sz="6" w:space="0" w:color="auto"/>
              <w:right w:val="nil"/>
            </w:tcBorders>
            <w:shd w:val="clear" w:color="auto" w:fill="auto"/>
            <w:noWrap/>
            <w:vAlign w:val="center"/>
            <w:hideMark/>
          </w:tcPr>
          <w:p w14:paraId="0F20EBEC" w14:textId="0229AD18" w:rsidR="00BD2BAE" w:rsidRPr="002D4B12" w:rsidRDefault="00BD2BAE" w:rsidP="00784687">
            <w:pPr>
              <w:spacing w:line="240" w:lineRule="auto"/>
              <w:jc w:val="center"/>
              <w:rPr>
                <w:rFonts w:eastAsia="Times New Roman"/>
                <w:sz w:val="20"/>
                <w:szCs w:val="20"/>
                <w:lang w:eastAsia="cs-CZ"/>
              </w:rPr>
            </w:pPr>
            <w:r w:rsidRPr="002D4B12">
              <w:rPr>
                <w:rFonts w:eastAsia="Times New Roman"/>
                <w:sz w:val="20"/>
                <w:szCs w:val="20"/>
                <w:lang w:eastAsia="cs-CZ"/>
              </w:rPr>
              <w:t>-6 %</w:t>
            </w:r>
          </w:p>
        </w:tc>
      </w:tr>
      <w:tr w:rsidR="00F15667" w:rsidRPr="002D4B12" w14:paraId="53324743" w14:textId="77777777" w:rsidTr="00784687">
        <w:trPr>
          <w:gridAfter w:val="1"/>
          <w:wAfter w:w="6" w:type="dxa"/>
          <w:trHeight w:val="345"/>
        </w:trPr>
        <w:tc>
          <w:tcPr>
            <w:tcW w:w="2780" w:type="dxa"/>
            <w:tcBorders>
              <w:top w:val="nil"/>
              <w:left w:val="nil"/>
              <w:bottom w:val="double" w:sz="6" w:space="0" w:color="auto"/>
              <w:right w:val="nil"/>
            </w:tcBorders>
            <w:shd w:val="clear" w:color="auto" w:fill="auto"/>
            <w:noWrap/>
            <w:vAlign w:val="center"/>
            <w:hideMark/>
          </w:tcPr>
          <w:p w14:paraId="208B4340" w14:textId="77777777" w:rsidR="00BD2BAE" w:rsidRPr="002D4B12" w:rsidRDefault="00BD2BAE" w:rsidP="00784687">
            <w:pPr>
              <w:spacing w:line="240" w:lineRule="auto"/>
              <w:jc w:val="left"/>
              <w:rPr>
                <w:rFonts w:eastAsia="Times New Roman"/>
                <w:b/>
                <w:bCs/>
                <w:szCs w:val="24"/>
                <w:lang w:eastAsia="cs-CZ"/>
              </w:rPr>
            </w:pPr>
            <w:r w:rsidRPr="002D4B12">
              <w:rPr>
                <w:rFonts w:eastAsia="Times New Roman"/>
                <w:b/>
                <w:bCs/>
                <w:szCs w:val="24"/>
                <w:lang w:eastAsia="cs-CZ"/>
              </w:rPr>
              <w:t>Celkem ČR</w:t>
            </w:r>
          </w:p>
        </w:tc>
        <w:tc>
          <w:tcPr>
            <w:tcW w:w="1473" w:type="dxa"/>
            <w:tcBorders>
              <w:top w:val="nil"/>
              <w:left w:val="nil"/>
              <w:bottom w:val="double" w:sz="6" w:space="0" w:color="auto"/>
              <w:right w:val="nil"/>
            </w:tcBorders>
            <w:shd w:val="clear" w:color="auto" w:fill="auto"/>
            <w:noWrap/>
            <w:vAlign w:val="center"/>
            <w:hideMark/>
          </w:tcPr>
          <w:p w14:paraId="199FABC5" w14:textId="77777777" w:rsidR="00BD2BAE" w:rsidRPr="002D4B12" w:rsidRDefault="00BD2BAE" w:rsidP="00784687">
            <w:pPr>
              <w:spacing w:line="240" w:lineRule="auto"/>
              <w:jc w:val="center"/>
              <w:rPr>
                <w:rFonts w:eastAsia="Times New Roman"/>
                <w:b/>
                <w:bCs/>
                <w:szCs w:val="24"/>
                <w:lang w:eastAsia="cs-CZ"/>
              </w:rPr>
            </w:pPr>
            <w:r w:rsidRPr="002D4B12">
              <w:rPr>
                <w:rFonts w:eastAsia="Times New Roman"/>
                <w:b/>
                <w:bCs/>
                <w:szCs w:val="24"/>
                <w:lang w:eastAsia="cs-CZ"/>
              </w:rPr>
              <w:t>54</w:t>
            </w:r>
          </w:p>
        </w:tc>
        <w:tc>
          <w:tcPr>
            <w:tcW w:w="1276" w:type="dxa"/>
            <w:tcBorders>
              <w:top w:val="nil"/>
              <w:left w:val="nil"/>
              <w:bottom w:val="double" w:sz="6" w:space="0" w:color="auto"/>
              <w:right w:val="nil"/>
            </w:tcBorders>
            <w:shd w:val="clear" w:color="auto" w:fill="auto"/>
            <w:noWrap/>
            <w:vAlign w:val="center"/>
            <w:hideMark/>
          </w:tcPr>
          <w:p w14:paraId="1D8D5CEA" w14:textId="13E2184F" w:rsidR="00BD2BAE" w:rsidRPr="002D4B12" w:rsidRDefault="00BD2BAE" w:rsidP="00784687">
            <w:pPr>
              <w:spacing w:line="240" w:lineRule="auto"/>
              <w:jc w:val="center"/>
              <w:rPr>
                <w:rFonts w:eastAsia="Times New Roman"/>
                <w:b/>
                <w:bCs/>
                <w:sz w:val="20"/>
                <w:szCs w:val="20"/>
                <w:lang w:eastAsia="cs-CZ"/>
              </w:rPr>
            </w:pPr>
            <w:r w:rsidRPr="002D4B12">
              <w:rPr>
                <w:rFonts w:eastAsia="Times New Roman"/>
                <w:b/>
                <w:bCs/>
                <w:sz w:val="20"/>
                <w:szCs w:val="20"/>
                <w:lang w:eastAsia="cs-CZ"/>
              </w:rPr>
              <w:t>-8 %</w:t>
            </w:r>
          </w:p>
        </w:tc>
      </w:tr>
      <w:tr w:rsidR="00F15667" w:rsidRPr="002D4B12" w14:paraId="0A4F881C" w14:textId="77777777" w:rsidTr="00784687">
        <w:trPr>
          <w:gridAfter w:val="1"/>
          <w:wAfter w:w="6" w:type="dxa"/>
          <w:trHeight w:val="330"/>
        </w:trPr>
        <w:tc>
          <w:tcPr>
            <w:tcW w:w="2780" w:type="dxa"/>
            <w:tcBorders>
              <w:top w:val="nil"/>
              <w:left w:val="nil"/>
              <w:bottom w:val="nil"/>
              <w:right w:val="nil"/>
            </w:tcBorders>
            <w:shd w:val="clear" w:color="auto" w:fill="auto"/>
            <w:noWrap/>
            <w:vAlign w:val="center"/>
            <w:hideMark/>
          </w:tcPr>
          <w:p w14:paraId="4AE4AF67" w14:textId="77777777" w:rsidR="00BD2BAE" w:rsidRPr="002D4B12" w:rsidRDefault="00BD2BAE" w:rsidP="00784687">
            <w:pPr>
              <w:spacing w:line="240" w:lineRule="auto"/>
              <w:jc w:val="center"/>
              <w:rPr>
                <w:rFonts w:eastAsia="Times New Roman"/>
                <w:b/>
                <w:bCs/>
                <w:sz w:val="20"/>
                <w:szCs w:val="20"/>
                <w:lang w:eastAsia="cs-CZ"/>
              </w:rPr>
            </w:pPr>
          </w:p>
        </w:tc>
        <w:tc>
          <w:tcPr>
            <w:tcW w:w="1473" w:type="dxa"/>
            <w:tcBorders>
              <w:top w:val="nil"/>
              <w:left w:val="nil"/>
              <w:bottom w:val="nil"/>
              <w:right w:val="nil"/>
            </w:tcBorders>
            <w:shd w:val="clear" w:color="auto" w:fill="auto"/>
            <w:noWrap/>
            <w:vAlign w:val="center"/>
            <w:hideMark/>
          </w:tcPr>
          <w:p w14:paraId="4229E8FF" w14:textId="77777777" w:rsidR="00BD2BAE" w:rsidRPr="002D4B12" w:rsidRDefault="00BD2BAE" w:rsidP="00784687">
            <w:pPr>
              <w:spacing w:line="240" w:lineRule="auto"/>
              <w:jc w:val="center"/>
              <w:rPr>
                <w:rFonts w:eastAsia="Times New Roman"/>
                <w:sz w:val="20"/>
                <w:szCs w:val="20"/>
                <w:lang w:eastAsia="cs-CZ"/>
              </w:rPr>
            </w:pPr>
          </w:p>
        </w:tc>
        <w:tc>
          <w:tcPr>
            <w:tcW w:w="1276" w:type="dxa"/>
            <w:tcBorders>
              <w:top w:val="nil"/>
              <w:left w:val="nil"/>
              <w:bottom w:val="nil"/>
              <w:right w:val="nil"/>
            </w:tcBorders>
            <w:shd w:val="clear" w:color="auto" w:fill="auto"/>
            <w:noWrap/>
            <w:vAlign w:val="center"/>
            <w:hideMark/>
          </w:tcPr>
          <w:p w14:paraId="5CDC4BA9" w14:textId="77777777" w:rsidR="00BD2BAE" w:rsidRPr="002D4B12" w:rsidRDefault="00BD2BAE" w:rsidP="00784687">
            <w:pPr>
              <w:spacing w:line="240" w:lineRule="auto"/>
              <w:jc w:val="center"/>
              <w:rPr>
                <w:rFonts w:eastAsia="Times New Roman"/>
                <w:sz w:val="20"/>
                <w:szCs w:val="20"/>
                <w:lang w:eastAsia="cs-CZ"/>
              </w:rPr>
            </w:pPr>
          </w:p>
        </w:tc>
      </w:tr>
    </w:tbl>
    <w:p w14:paraId="347AFC6F" w14:textId="79321F8C" w:rsidR="00BD2BAE" w:rsidRPr="002D4B12" w:rsidRDefault="00BD2BAE" w:rsidP="00BD2BAE">
      <w:pPr>
        <w:pStyle w:val="OdstavecASR"/>
      </w:pPr>
      <w:bookmarkStart w:id="331" w:name="_Hlk160431585"/>
      <w:r w:rsidRPr="002D4B12">
        <w:t xml:space="preserve">DT dle krajů víceméně odpovídá výsledkům dle počtu nevyřízených věcí na soudce. Nejvyšší DT má Severočeský kraj, nejnižší kraj Středočeský. DT v tomto roce klesl ve všech krajích s výjimkou kraje Středočeského. </w:t>
      </w:r>
    </w:p>
    <w:p w14:paraId="6438CFDC" w14:textId="06702ACB" w:rsidR="00DE6D6A" w:rsidRPr="002D4B12" w:rsidRDefault="00BD2BAE" w:rsidP="00BD2BAE">
      <w:pPr>
        <w:pStyle w:val="Podnadpis"/>
        <w:rPr>
          <w:color w:val="auto"/>
        </w:rPr>
      </w:pPr>
      <w:bookmarkStart w:id="332" w:name="_Toc515871359"/>
      <w:bookmarkStart w:id="333" w:name="_Toc11135093"/>
      <w:bookmarkStart w:id="334" w:name="_Toc43841407"/>
      <w:bookmarkStart w:id="335" w:name="_Toc75952210"/>
      <w:bookmarkStart w:id="336" w:name="_Toc106106662"/>
      <w:bookmarkStart w:id="337" w:name="_Toc109801986"/>
      <w:bookmarkStart w:id="338" w:name="_Toc144104139"/>
      <w:bookmarkStart w:id="339" w:name="_Hlk160430702"/>
      <w:bookmarkEnd w:id="331"/>
      <w:r w:rsidRPr="002D4B12">
        <w:rPr>
          <w:color w:val="auto"/>
        </w:rPr>
        <w:lastRenderedPageBreak/>
        <w:t xml:space="preserve">Graf </w:t>
      </w:r>
      <w:r w:rsidR="002310B1" w:rsidRPr="002D4B12">
        <w:rPr>
          <w:noProof/>
          <w:color w:val="auto"/>
        </w:rPr>
        <w:fldChar w:fldCharType="begin"/>
      </w:r>
      <w:r w:rsidR="002310B1" w:rsidRPr="002D4B12">
        <w:rPr>
          <w:noProof/>
          <w:color w:val="auto"/>
        </w:rPr>
        <w:instrText xml:space="preserve"> SEQ Graf \* ARABIC </w:instrText>
      </w:r>
      <w:r w:rsidR="002310B1" w:rsidRPr="002D4B12">
        <w:rPr>
          <w:noProof/>
          <w:color w:val="auto"/>
        </w:rPr>
        <w:fldChar w:fldCharType="separate"/>
      </w:r>
      <w:r w:rsidR="001E1A67">
        <w:rPr>
          <w:noProof/>
          <w:color w:val="auto"/>
        </w:rPr>
        <w:t>27</w:t>
      </w:r>
      <w:r w:rsidR="002310B1" w:rsidRPr="002D4B12">
        <w:rPr>
          <w:noProof/>
          <w:color w:val="auto"/>
        </w:rPr>
        <w:fldChar w:fldCharType="end"/>
      </w:r>
      <w:r w:rsidRPr="002D4B12">
        <w:rPr>
          <w:color w:val="auto"/>
        </w:rPr>
        <w:t>: OS – disposition time trestního řízení u jednotlivých soudů</w:t>
      </w:r>
      <w:bookmarkEnd w:id="332"/>
      <w:bookmarkEnd w:id="333"/>
      <w:bookmarkEnd w:id="334"/>
      <w:bookmarkEnd w:id="335"/>
      <w:bookmarkEnd w:id="336"/>
      <w:bookmarkEnd w:id="337"/>
      <w:bookmarkEnd w:id="338"/>
    </w:p>
    <w:bookmarkEnd w:id="339"/>
    <w:p w14:paraId="240CFFD3" w14:textId="57FFC8D7" w:rsidR="00BD2BAE" w:rsidRPr="002D4B12" w:rsidRDefault="00131C29" w:rsidP="00784687">
      <w:pPr>
        <w:pStyle w:val="OdstavecASR"/>
      </w:pPr>
      <w:r w:rsidRPr="002D4B12">
        <w:rPr>
          <w:noProof/>
          <w:lang w:eastAsia="cs-CZ"/>
        </w:rPr>
        <w:drawing>
          <wp:anchor distT="0" distB="0" distL="114300" distR="114300" simplePos="0" relativeHeight="251671552" behindDoc="0" locked="0" layoutInCell="1" allowOverlap="1" wp14:anchorId="3C7A1F36" wp14:editId="738C884A">
            <wp:simplePos x="0" y="0"/>
            <wp:positionH relativeFrom="margin">
              <wp:posOffset>4464050</wp:posOffset>
            </wp:positionH>
            <wp:positionV relativeFrom="paragraph">
              <wp:posOffset>43815</wp:posOffset>
            </wp:positionV>
            <wp:extent cx="1270800" cy="925200"/>
            <wp:effectExtent l="0" t="0" r="5715" b="8255"/>
            <wp:wrapNone/>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70800" cy="92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4B12">
        <w:rPr>
          <w:noProof/>
          <w:lang w:eastAsia="cs-CZ"/>
        </w:rPr>
        <w:drawing>
          <wp:inline distT="0" distB="0" distL="0" distR="0" wp14:anchorId="626E9D18" wp14:editId="203990DC">
            <wp:extent cx="5759450" cy="3296285"/>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032D9F92" w14:textId="77777777" w:rsidR="007E17E2" w:rsidRPr="002D4B12" w:rsidRDefault="007E17E2" w:rsidP="007E17E2">
      <w:pPr>
        <w:pStyle w:val="OdstavecASR"/>
      </w:pPr>
      <w:r w:rsidRPr="002D4B12">
        <w:t>Data v kartogramu potvrzují závěry z předchozích podkapitol věnovaných délkám řízení a vyřizování věcí.</w:t>
      </w:r>
    </w:p>
    <w:p w14:paraId="56438409" w14:textId="22F01592" w:rsidR="00DE6D6A" w:rsidRPr="002D4B12" w:rsidRDefault="00DE6D6A" w:rsidP="00DE6D6A">
      <w:pPr>
        <w:pStyle w:val="Podnadpis"/>
        <w:rPr>
          <w:color w:val="auto"/>
        </w:rPr>
      </w:pPr>
      <w:bookmarkStart w:id="340" w:name="_Toc43841408"/>
      <w:bookmarkStart w:id="341" w:name="_Toc75952211"/>
      <w:bookmarkStart w:id="342" w:name="_Toc106106663"/>
      <w:bookmarkStart w:id="343" w:name="_Toc144104140"/>
      <w:r w:rsidRPr="002D4B12">
        <w:rPr>
          <w:color w:val="auto"/>
        </w:rPr>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28</w:t>
      </w:r>
      <w:r w:rsidR="009A10E2" w:rsidRPr="002D4B12">
        <w:rPr>
          <w:color w:val="auto"/>
        </w:rPr>
        <w:fldChar w:fldCharType="end"/>
      </w:r>
      <w:r w:rsidRPr="002D4B12">
        <w:rPr>
          <w:color w:val="auto"/>
        </w:rPr>
        <w:t>: OS – krabicové grafy, DT trestního řízení</w:t>
      </w:r>
      <w:bookmarkEnd w:id="340"/>
      <w:bookmarkEnd w:id="341"/>
      <w:bookmarkEnd w:id="342"/>
      <w:bookmarkEnd w:id="343"/>
    </w:p>
    <w:p w14:paraId="7A04C6D9" w14:textId="5D26BA2D" w:rsidR="00DE6D6A" w:rsidRPr="002D4B12" w:rsidRDefault="002A1835" w:rsidP="00784687">
      <w:pPr>
        <w:pStyle w:val="OdstavecASR"/>
      </w:pPr>
      <w:r w:rsidRPr="002D4B12">
        <w:rPr>
          <w:noProof/>
          <w:lang w:eastAsia="cs-CZ"/>
        </w:rPr>
        <w:drawing>
          <wp:inline distT="0" distB="0" distL="0" distR="0" wp14:anchorId="0C118854" wp14:editId="2CA08C05">
            <wp:extent cx="5029200" cy="3657600"/>
            <wp:effectExtent l="0" t="0" r="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0E25927" w14:textId="63F0F609" w:rsidR="007E17E2" w:rsidRPr="002D4B12" w:rsidRDefault="007E17E2" w:rsidP="007E17E2">
      <w:pPr>
        <w:pStyle w:val="OdstavecASR"/>
      </w:pPr>
      <w:bookmarkStart w:id="344" w:name="_Hlk160431999"/>
      <w:r w:rsidRPr="002D4B12">
        <w:t xml:space="preserve">Na krabicových grafech opět registrujeme snížení variability – „vousy“ jsou kratší. Nejodlehlejší hodnota DT na grafu je </w:t>
      </w:r>
      <w:r w:rsidR="001A5E4B" w:rsidRPr="002D4B12">
        <w:t>několik let za sebou</w:t>
      </w:r>
      <w:r w:rsidRPr="002D4B12">
        <w:t xml:space="preserve"> OS Děčín. To spolu se značnými délkami řízení a vysokým počtem nevyřízených věcí na soudce v posledních letech ukazuje, že OS Děčín má s vyřizováním trestní agendy dlouhodobější problém. </w:t>
      </w:r>
      <w:r w:rsidR="001A5E4B" w:rsidRPr="002D4B12">
        <w:t xml:space="preserve">V letech 2021 a 2022 ale došlo ke zlepšení. </w:t>
      </w:r>
      <w:r w:rsidR="001A5E4B" w:rsidRPr="002D4B12">
        <w:lastRenderedPageBreak/>
        <w:t>V roce 2022 dokonce výrazně klesly disposition time, délka řízení</w:t>
      </w:r>
      <w:r w:rsidR="004644AA" w:rsidRPr="002D4B12">
        <w:t xml:space="preserve">, </w:t>
      </w:r>
      <w:r w:rsidR="001A5E4B" w:rsidRPr="002D4B12">
        <w:t>i počet nevyřízených věcí na soudce.</w:t>
      </w:r>
    </w:p>
    <w:p w14:paraId="72FECD01" w14:textId="0EEAA17D" w:rsidR="008430BD" w:rsidRPr="002D4B12" w:rsidRDefault="008430BD" w:rsidP="008430BD">
      <w:pPr>
        <w:pStyle w:val="Nadpis3"/>
        <w:numPr>
          <w:ilvl w:val="2"/>
          <w:numId w:val="1"/>
        </w:numPr>
        <w:rPr>
          <w:color w:val="auto"/>
        </w:rPr>
      </w:pPr>
      <w:bookmarkStart w:id="345" w:name="_Toc515871235"/>
      <w:bookmarkStart w:id="346" w:name="_Toc106092732"/>
      <w:bookmarkStart w:id="347" w:name="_Toc144104353"/>
      <w:bookmarkEnd w:id="344"/>
      <w:r w:rsidRPr="002D4B12">
        <w:rPr>
          <w:color w:val="auto"/>
        </w:rPr>
        <w:t>Další statistiky</w:t>
      </w:r>
      <w:bookmarkEnd w:id="345"/>
      <w:bookmarkEnd w:id="346"/>
      <w:bookmarkEnd w:id="347"/>
    </w:p>
    <w:p w14:paraId="2DE9564D" w14:textId="3FE938A5" w:rsidR="002A77E3" w:rsidRPr="002D4B12" w:rsidRDefault="002A77E3" w:rsidP="002A77E3">
      <w:pPr>
        <w:pStyle w:val="OdstavecASR"/>
      </w:pPr>
      <w:bookmarkStart w:id="348" w:name="_Hlk160432311"/>
      <w:r w:rsidRPr="002D4B12">
        <w:t>Data pochází ze statistických listů, zkoumáme tedy agendy T a Tm. I zde uvádíme několik příkladů dalších sledovaných statistik. Podobně jako u civilního řízení je to míra odvolání a míra změny rozsudku. Dále se v</w:t>
      </w:r>
      <w:r w:rsidR="00737F4F" w:rsidRPr="002D4B12">
        <w:t> této kapitole zabýváme</w:t>
      </w:r>
      <w:r w:rsidRPr="002D4B12">
        <w:t xml:space="preserve"> vývojem ukládání peněžitých trestů od roku 2008</w:t>
      </w:r>
      <w:r w:rsidR="00737F4F" w:rsidRPr="002D4B12">
        <w:t>.</w:t>
      </w:r>
      <w:r w:rsidRPr="002D4B12">
        <w:t xml:space="preserve"> </w:t>
      </w:r>
      <w:r w:rsidR="00737F4F" w:rsidRPr="002D4B12">
        <w:t>Připomínáme, že jsme u trestních statistik vyřadili věci vyřízené trestním příkazem, jejichž podíl na celkovém počtu věcí však v této podkapitole také zkoumáme. Také se zaměřujeme na domácí násilí a odsouzené osoby za něj, a nakonec se díváme na to, za jaké trestné činy jsou nejvíce ukládány tresty nepodmíněného odnětí svobody.</w:t>
      </w:r>
    </w:p>
    <w:bookmarkEnd w:id="348"/>
    <w:p w14:paraId="4DCCD3F5" w14:textId="77777777" w:rsidR="002A77E3" w:rsidRPr="002D4B12" w:rsidRDefault="002A77E3" w:rsidP="002A77E3">
      <w:pPr>
        <w:pStyle w:val="OdstavecASR"/>
        <w:keepNext/>
        <w:outlineLvl w:val="3"/>
        <w:rPr>
          <w:b/>
          <w:bCs/>
        </w:rPr>
      </w:pPr>
      <w:r w:rsidRPr="002D4B12">
        <w:rPr>
          <w:b/>
          <w:bCs/>
        </w:rPr>
        <w:t>Míra odvolání</w:t>
      </w:r>
    </w:p>
    <w:p w14:paraId="7DFC31A3" w14:textId="35EC6432" w:rsidR="001A4657" w:rsidRPr="002D4B12" w:rsidRDefault="001A4657" w:rsidP="001A4657">
      <w:pPr>
        <w:pStyle w:val="Podnadpis"/>
        <w:rPr>
          <w:color w:val="auto"/>
        </w:rPr>
      </w:pPr>
      <w:bookmarkStart w:id="349" w:name="_Toc144104264"/>
      <w:bookmarkStart w:id="350" w:name="_Hlk160432893"/>
      <w:bookmarkStart w:id="351" w:name="_Hlk129769868"/>
      <w:r w:rsidRPr="002D4B12">
        <w:rPr>
          <w:color w:val="auto"/>
        </w:rPr>
        <w:t xml:space="preserve">Tabulka </w:t>
      </w:r>
      <w:r w:rsidR="002310B1" w:rsidRPr="002D4B12">
        <w:rPr>
          <w:noProof/>
          <w:color w:val="auto"/>
        </w:rPr>
        <w:fldChar w:fldCharType="begin"/>
      </w:r>
      <w:r w:rsidR="002310B1" w:rsidRPr="002D4B12">
        <w:rPr>
          <w:noProof/>
          <w:color w:val="auto"/>
        </w:rPr>
        <w:instrText xml:space="preserve"> SEQ Tabulka \* ARABIC </w:instrText>
      </w:r>
      <w:r w:rsidR="002310B1" w:rsidRPr="002D4B12">
        <w:rPr>
          <w:noProof/>
          <w:color w:val="auto"/>
        </w:rPr>
        <w:fldChar w:fldCharType="separate"/>
      </w:r>
      <w:r w:rsidR="001E1A67">
        <w:rPr>
          <w:noProof/>
          <w:color w:val="auto"/>
        </w:rPr>
        <w:t>25</w:t>
      </w:r>
      <w:r w:rsidR="002310B1" w:rsidRPr="002D4B12">
        <w:rPr>
          <w:noProof/>
          <w:color w:val="auto"/>
        </w:rPr>
        <w:fldChar w:fldCharType="end"/>
      </w:r>
      <w:r w:rsidRPr="002D4B12">
        <w:rPr>
          <w:color w:val="auto"/>
        </w:rPr>
        <w:t>: OS – míra odvolání dle krajů v trestním řízení</w:t>
      </w:r>
      <w:bookmarkEnd w:id="349"/>
    </w:p>
    <w:tbl>
      <w:tblPr>
        <w:tblW w:w="6096" w:type="dxa"/>
        <w:tblCellMar>
          <w:left w:w="70" w:type="dxa"/>
          <w:right w:w="70" w:type="dxa"/>
        </w:tblCellMar>
        <w:tblLook w:val="04A0" w:firstRow="1" w:lastRow="0" w:firstColumn="1" w:lastColumn="0" w:noHBand="0" w:noVBand="1"/>
      </w:tblPr>
      <w:tblGrid>
        <w:gridCol w:w="2780"/>
        <w:gridCol w:w="2040"/>
        <w:gridCol w:w="1276"/>
      </w:tblGrid>
      <w:tr w:rsidR="00F15667" w:rsidRPr="002D4B12" w14:paraId="34D0F86C" w14:textId="77777777" w:rsidTr="002D4B12">
        <w:trPr>
          <w:trHeight w:val="345"/>
        </w:trPr>
        <w:tc>
          <w:tcPr>
            <w:tcW w:w="2780" w:type="dxa"/>
            <w:tcBorders>
              <w:top w:val="double" w:sz="6" w:space="0" w:color="auto"/>
              <w:left w:val="nil"/>
              <w:bottom w:val="double" w:sz="6" w:space="0" w:color="auto"/>
              <w:right w:val="nil"/>
            </w:tcBorders>
            <w:shd w:val="clear" w:color="auto" w:fill="auto"/>
            <w:noWrap/>
            <w:vAlign w:val="center"/>
            <w:hideMark/>
          </w:tcPr>
          <w:bookmarkEnd w:id="350"/>
          <w:p w14:paraId="7F81A21D" w14:textId="77777777" w:rsidR="006D088B" w:rsidRPr="002D4B12" w:rsidRDefault="006D088B" w:rsidP="002D4B12">
            <w:pPr>
              <w:spacing w:line="240" w:lineRule="auto"/>
              <w:jc w:val="center"/>
              <w:rPr>
                <w:rFonts w:eastAsia="Times New Roman"/>
                <w:b/>
                <w:bCs/>
                <w:szCs w:val="24"/>
                <w:lang w:eastAsia="cs-CZ"/>
              </w:rPr>
            </w:pPr>
            <w:r w:rsidRPr="002D4B12">
              <w:rPr>
                <w:rFonts w:eastAsia="Times New Roman"/>
                <w:b/>
                <w:bCs/>
                <w:szCs w:val="24"/>
                <w:lang w:eastAsia="cs-CZ"/>
              </w:rPr>
              <w:t>Nadřízený soud</w:t>
            </w:r>
          </w:p>
        </w:tc>
        <w:tc>
          <w:tcPr>
            <w:tcW w:w="3316" w:type="dxa"/>
            <w:gridSpan w:val="2"/>
            <w:tcBorders>
              <w:top w:val="double" w:sz="6" w:space="0" w:color="auto"/>
              <w:left w:val="nil"/>
              <w:bottom w:val="double" w:sz="6" w:space="0" w:color="auto"/>
              <w:right w:val="nil"/>
            </w:tcBorders>
            <w:shd w:val="clear" w:color="auto" w:fill="auto"/>
            <w:noWrap/>
            <w:vAlign w:val="center"/>
            <w:hideMark/>
          </w:tcPr>
          <w:p w14:paraId="2B353F7A" w14:textId="28234AAB" w:rsidR="006D088B" w:rsidRPr="002D4B12" w:rsidRDefault="006D088B" w:rsidP="002D4B12">
            <w:pPr>
              <w:spacing w:line="240" w:lineRule="auto"/>
              <w:jc w:val="center"/>
              <w:rPr>
                <w:rFonts w:eastAsia="Times New Roman"/>
                <w:b/>
                <w:bCs/>
                <w:szCs w:val="24"/>
                <w:lang w:eastAsia="cs-CZ"/>
              </w:rPr>
            </w:pPr>
            <w:r w:rsidRPr="002D4B12">
              <w:rPr>
                <w:rFonts w:eastAsia="Times New Roman"/>
                <w:b/>
                <w:bCs/>
                <w:szCs w:val="24"/>
                <w:lang w:eastAsia="cs-CZ"/>
              </w:rPr>
              <w:t>Míra odvolání</w:t>
            </w:r>
          </w:p>
        </w:tc>
      </w:tr>
      <w:tr w:rsidR="00F15667" w:rsidRPr="002D4B12" w14:paraId="02DDFF72" w14:textId="77777777" w:rsidTr="002D4B12">
        <w:trPr>
          <w:trHeight w:val="330"/>
        </w:trPr>
        <w:tc>
          <w:tcPr>
            <w:tcW w:w="2780" w:type="dxa"/>
            <w:tcBorders>
              <w:top w:val="nil"/>
              <w:left w:val="nil"/>
              <w:bottom w:val="single" w:sz="4" w:space="0" w:color="auto"/>
              <w:right w:val="nil"/>
            </w:tcBorders>
            <w:shd w:val="clear" w:color="auto" w:fill="auto"/>
            <w:noWrap/>
            <w:vAlign w:val="center"/>
            <w:hideMark/>
          </w:tcPr>
          <w:p w14:paraId="4FD71D8D" w14:textId="77777777" w:rsidR="006D088B" w:rsidRPr="002D4B12" w:rsidRDefault="006D088B" w:rsidP="002D4B12">
            <w:pPr>
              <w:spacing w:line="240" w:lineRule="auto"/>
              <w:jc w:val="left"/>
              <w:rPr>
                <w:rFonts w:eastAsia="Times New Roman"/>
                <w:szCs w:val="24"/>
                <w:lang w:eastAsia="cs-CZ"/>
              </w:rPr>
            </w:pPr>
            <w:r w:rsidRPr="002D4B12">
              <w:rPr>
                <w:rFonts w:eastAsia="Times New Roman"/>
                <w:szCs w:val="24"/>
                <w:lang w:eastAsia="cs-CZ"/>
              </w:rPr>
              <w:t>MS Praha</w:t>
            </w:r>
          </w:p>
        </w:tc>
        <w:tc>
          <w:tcPr>
            <w:tcW w:w="2040" w:type="dxa"/>
            <w:tcBorders>
              <w:top w:val="nil"/>
              <w:left w:val="nil"/>
              <w:bottom w:val="single" w:sz="4" w:space="0" w:color="auto"/>
              <w:right w:val="nil"/>
            </w:tcBorders>
            <w:shd w:val="clear" w:color="auto" w:fill="auto"/>
            <w:noWrap/>
            <w:vAlign w:val="center"/>
            <w:hideMark/>
          </w:tcPr>
          <w:p w14:paraId="0A958DA8" w14:textId="23A80EDC" w:rsidR="006D088B" w:rsidRPr="002D4B12" w:rsidRDefault="006D088B" w:rsidP="002D4B12">
            <w:pPr>
              <w:spacing w:line="240" w:lineRule="auto"/>
              <w:jc w:val="center"/>
              <w:rPr>
                <w:rFonts w:eastAsia="Times New Roman"/>
                <w:szCs w:val="24"/>
                <w:lang w:eastAsia="cs-CZ"/>
              </w:rPr>
            </w:pPr>
            <w:r w:rsidRPr="002D4B12">
              <w:rPr>
                <w:rFonts w:eastAsia="Times New Roman"/>
                <w:szCs w:val="24"/>
                <w:lang w:eastAsia="cs-CZ"/>
              </w:rPr>
              <w:t>24</w:t>
            </w:r>
            <w:r w:rsidR="00883D9B" w:rsidRPr="002D4B12">
              <w:rPr>
                <w:rFonts w:eastAsia="Times New Roman"/>
                <w:szCs w:val="24"/>
                <w:lang w:eastAsia="cs-CZ"/>
              </w:rPr>
              <w:t>,</w:t>
            </w:r>
            <w:r w:rsidRPr="002D4B12">
              <w:rPr>
                <w:rFonts w:eastAsia="Times New Roman"/>
                <w:szCs w:val="24"/>
                <w:lang w:eastAsia="cs-CZ"/>
              </w:rPr>
              <w:t>45</w:t>
            </w:r>
            <w:r w:rsidR="00AB70E4" w:rsidRPr="002D4B12">
              <w:rPr>
                <w:rFonts w:eastAsia="Times New Roman"/>
                <w:szCs w:val="24"/>
                <w:lang w:eastAsia="cs-CZ"/>
              </w:rPr>
              <w:t xml:space="preserve"> %</w:t>
            </w:r>
          </w:p>
        </w:tc>
        <w:tc>
          <w:tcPr>
            <w:tcW w:w="1276" w:type="dxa"/>
            <w:tcBorders>
              <w:top w:val="nil"/>
              <w:left w:val="nil"/>
              <w:bottom w:val="single" w:sz="4" w:space="0" w:color="auto"/>
              <w:right w:val="nil"/>
            </w:tcBorders>
            <w:shd w:val="clear" w:color="auto" w:fill="auto"/>
            <w:noWrap/>
            <w:vAlign w:val="center"/>
            <w:hideMark/>
          </w:tcPr>
          <w:p w14:paraId="26681AEF" w14:textId="41A469F5" w:rsidR="006D088B" w:rsidRPr="002D4B12" w:rsidRDefault="006D088B" w:rsidP="002D4B12">
            <w:pPr>
              <w:spacing w:line="240" w:lineRule="auto"/>
              <w:jc w:val="center"/>
              <w:rPr>
                <w:rFonts w:eastAsia="Times New Roman"/>
                <w:sz w:val="20"/>
                <w:szCs w:val="20"/>
                <w:lang w:eastAsia="cs-CZ"/>
              </w:rPr>
            </w:pPr>
            <w:r w:rsidRPr="002D4B12">
              <w:rPr>
                <w:rFonts w:eastAsia="Times New Roman"/>
                <w:sz w:val="20"/>
                <w:szCs w:val="20"/>
                <w:lang w:eastAsia="cs-CZ"/>
              </w:rPr>
              <w:t>-4</w:t>
            </w:r>
            <w:r w:rsidR="00883D9B" w:rsidRPr="002D4B12">
              <w:rPr>
                <w:rFonts w:eastAsia="Times New Roman"/>
                <w:sz w:val="20"/>
                <w:szCs w:val="20"/>
                <w:lang w:eastAsia="cs-CZ"/>
              </w:rPr>
              <w:t>,</w:t>
            </w:r>
            <w:r w:rsidRPr="002D4B12">
              <w:rPr>
                <w:rFonts w:eastAsia="Times New Roman"/>
                <w:sz w:val="20"/>
                <w:szCs w:val="20"/>
                <w:lang w:eastAsia="cs-CZ"/>
              </w:rPr>
              <w:t>0 p.b.</w:t>
            </w:r>
          </w:p>
        </w:tc>
      </w:tr>
      <w:tr w:rsidR="00F15667" w:rsidRPr="002D4B12" w14:paraId="19DC79E1"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199D69DF" w14:textId="77777777" w:rsidR="006D088B" w:rsidRPr="002D4B12" w:rsidRDefault="006D088B" w:rsidP="002D4B12">
            <w:pPr>
              <w:spacing w:line="240" w:lineRule="auto"/>
              <w:jc w:val="left"/>
              <w:rPr>
                <w:rFonts w:eastAsia="Times New Roman"/>
                <w:szCs w:val="24"/>
                <w:lang w:eastAsia="cs-CZ"/>
              </w:rPr>
            </w:pPr>
            <w:r w:rsidRPr="002D4B12">
              <w:rPr>
                <w:rFonts w:eastAsia="Times New Roman"/>
                <w:szCs w:val="24"/>
                <w:lang w:eastAsia="cs-CZ"/>
              </w:rPr>
              <w:t>KS Praha</w:t>
            </w:r>
          </w:p>
        </w:tc>
        <w:tc>
          <w:tcPr>
            <w:tcW w:w="2040" w:type="dxa"/>
            <w:tcBorders>
              <w:top w:val="nil"/>
              <w:left w:val="nil"/>
              <w:bottom w:val="single" w:sz="4" w:space="0" w:color="auto"/>
              <w:right w:val="nil"/>
            </w:tcBorders>
            <w:shd w:val="clear" w:color="auto" w:fill="auto"/>
            <w:noWrap/>
            <w:vAlign w:val="center"/>
            <w:hideMark/>
          </w:tcPr>
          <w:p w14:paraId="46F33EFE" w14:textId="489172DE" w:rsidR="006D088B" w:rsidRPr="002D4B12" w:rsidRDefault="006D088B" w:rsidP="002D4B12">
            <w:pPr>
              <w:spacing w:line="240" w:lineRule="auto"/>
              <w:jc w:val="center"/>
              <w:rPr>
                <w:rFonts w:eastAsia="Times New Roman"/>
                <w:szCs w:val="24"/>
                <w:lang w:eastAsia="cs-CZ"/>
              </w:rPr>
            </w:pPr>
            <w:r w:rsidRPr="002D4B12">
              <w:rPr>
                <w:rFonts w:eastAsia="Times New Roman"/>
                <w:szCs w:val="24"/>
                <w:lang w:eastAsia="cs-CZ"/>
              </w:rPr>
              <w:t>28</w:t>
            </w:r>
            <w:r w:rsidR="00883D9B" w:rsidRPr="002D4B12">
              <w:rPr>
                <w:rFonts w:eastAsia="Times New Roman"/>
                <w:szCs w:val="24"/>
                <w:lang w:eastAsia="cs-CZ"/>
              </w:rPr>
              <w:t>,</w:t>
            </w:r>
            <w:r w:rsidRPr="002D4B12">
              <w:rPr>
                <w:rFonts w:eastAsia="Times New Roman"/>
                <w:szCs w:val="24"/>
                <w:lang w:eastAsia="cs-CZ"/>
              </w:rPr>
              <w:t>55</w:t>
            </w:r>
            <w:r w:rsidR="00AB70E4" w:rsidRPr="002D4B12">
              <w:rPr>
                <w:rFonts w:eastAsia="Times New Roman"/>
                <w:szCs w:val="24"/>
                <w:lang w:eastAsia="cs-CZ"/>
              </w:rPr>
              <w:t xml:space="preserve"> %</w:t>
            </w:r>
          </w:p>
        </w:tc>
        <w:tc>
          <w:tcPr>
            <w:tcW w:w="1276" w:type="dxa"/>
            <w:tcBorders>
              <w:top w:val="nil"/>
              <w:left w:val="nil"/>
              <w:bottom w:val="single" w:sz="4" w:space="0" w:color="auto"/>
              <w:right w:val="nil"/>
            </w:tcBorders>
            <w:shd w:val="clear" w:color="auto" w:fill="auto"/>
            <w:noWrap/>
            <w:vAlign w:val="center"/>
            <w:hideMark/>
          </w:tcPr>
          <w:p w14:paraId="7CC482D7" w14:textId="1B0FE6CC" w:rsidR="006D088B" w:rsidRPr="002D4B12" w:rsidRDefault="006D088B" w:rsidP="002D4B12">
            <w:pPr>
              <w:spacing w:line="240" w:lineRule="auto"/>
              <w:jc w:val="center"/>
              <w:rPr>
                <w:rFonts w:eastAsia="Times New Roman"/>
                <w:sz w:val="20"/>
                <w:szCs w:val="20"/>
                <w:lang w:eastAsia="cs-CZ"/>
              </w:rPr>
            </w:pPr>
            <w:r w:rsidRPr="002D4B12">
              <w:rPr>
                <w:rFonts w:eastAsia="Times New Roman"/>
                <w:sz w:val="20"/>
                <w:szCs w:val="20"/>
                <w:lang w:eastAsia="cs-CZ"/>
              </w:rPr>
              <w:t>-0</w:t>
            </w:r>
            <w:r w:rsidR="00883D9B" w:rsidRPr="002D4B12">
              <w:rPr>
                <w:rFonts w:eastAsia="Times New Roman"/>
                <w:sz w:val="20"/>
                <w:szCs w:val="20"/>
                <w:lang w:eastAsia="cs-CZ"/>
              </w:rPr>
              <w:t>,</w:t>
            </w:r>
            <w:r w:rsidRPr="002D4B12">
              <w:rPr>
                <w:rFonts w:eastAsia="Times New Roman"/>
                <w:sz w:val="20"/>
                <w:szCs w:val="20"/>
                <w:lang w:eastAsia="cs-CZ"/>
              </w:rPr>
              <w:t>5 p.b.</w:t>
            </w:r>
          </w:p>
        </w:tc>
      </w:tr>
      <w:tr w:rsidR="00F15667" w:rsidRPr="002D4B12" w14:paraId="66206276"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3A3C654F" w14:textId="77777777" w:rsidR="006D088B" w:rsidRPr="002D4B12" w:rsidRDefault="006D088B" w:rsidP="002D4B12">
            <w:pPr>
              <w:spacing w:line="240" w:lineRule="auto"/>
              <w:jc w:val="left"/>
              <w:rPr>
                <w:rFonts w:eastAsia="Times New Roman"/>
                <w:szCs w:val="24"/>
                <w:lang w:eastAsia="cs-CZ"/>
              </w:rPr>
            </w:pPr>
            <w:r w:rsidRPr="002D4B12">
              <w:rPr>
                <w:rFonts w:eastAsia="Times New Roman"/>
                <w:szCs w:val="24"/>
                <w:lang w:eastAsia="cs-CZ"/>
              </w:rPr>
              <w:t>KS Č. Budějovice</w:t>
            </w:r>
          </w:p>
        </w:tc>
        <w:tc>
          <w:tcPr>
            <w:tcW w:w="2040" w:type="dxa"/>
            <w:tcBorders>
              <w:top w:val="nil"/>
              <w:left w:val="nil"/>
              <w:bottom w:val="single" w:sz="4" w:space="0" w:color="auto"/>
              <w:right w:val="nil"/>
            </w:tcBorders>
            <w:shd w:val="clear" w:color="auto" w:fill="auto"/>
            <w:noWrap/>
            <w:vAlign w:val="center"/>
            <w:hideMark/>
          </w:tcPr>
          <w:p w14:paraId="3A0766DC" w14:textId="3ED607D8" w:rsidR="006D088B" w:rsidRPr="002D4B12" w:rsidRDefault="006D088B" w:rsidP="002D4B12">
            <w:pPr>
              <w:spacing w:line="240" w:lineRule="auto"/>
              <w:jc w:val="center"/>
              <w:rPr>
                <w:rFonts w:eastAsia="Times New Roman"/>
                <w:szCs w:val="24"/>
                <w:lang w:eastAsia="cs-CZ"/>
              </w:rPr>
            </w:pPr>
            <w:r w:rsidRPr="002D4B12">
              <w:rPr>
                <w:rFonts w:eastAsia="Times New Roman"/>
                <w:szCs w:val="24"/>
                <w:lang w:eastAsia="cs-CZ"/>
              </w:rPr>
              <w:t>20</w:t>
            </w:r>
            <w:r w:rsidR="00883D9B" w:rsidRPr="002D4B12">
              <w:rPr>
                <w:rFonts w:eastAsia="Times New Roman"/>
                <w:szCs w:val="24"/>
                <w:lang w:eastAsia="cs-CZ"/>
              </w:rPr>
              <w:t>,</w:t>
            </w:r>
            <w:r w:rsidRPr="002D4B12">
              <w:rPr>
                <w:rFonts w:eastAsia="Times New Roman"/>
                <w:szCs w:val="24"/>
                <w:lang w:eastAsia="cs-CZ"/>
              </w:rPr>
              <w:t>65</w:t>
            </w:r>
            <w:r w:rsidR="00AB70E4" w:rsidRPr="002D4B12">
              <w:rPr>
                <w:rFonts w:eastAsia="Times New Roman"/>
                <w:szCs w:val="24"/>
                <w:lang w:eastAsia="cs-CZ"/>
              </w:rPr>
              <w:t xml:space="preserve"> %</w:t>
            </w:r>
          </w:p>
        </w:tc>
        <w:tc>
          <w:tcPr>
            <w:tcW w:w="1276" w:type="dxa"/>
            <w:tcBorders>
              <w:top w:val="nil"/>
              <w:left w:val="nil"/>
              <w:bottom w:val="single" w:sz="4" w:space="0" w:color="auto"/>
              <w:right w:val="nil"/>
            </w:tcBorders>
            <w:shd w:val="clear" w:color="auto" w:fill="auto"/>
            <w:noWrap/>
            <w:vAlign w:val="center"/>
            <w:hideMark/>
          </w:tcPr>
          <w:p w14:paraId="4901D39F" w14:textId="7EA79909" w:rsidR="006D088B" w:rsidRPr="002D4B12" w:rsidRDefault="006D088B" w:rsidP="002D4B12">
            <w:pPr>
              <w:spacing w:line="240" w:lineRule="auto"/>
              <w:jc w:val="center"/>
              <w:rPr>
                <w:rFonts w:eastAsia="Times New Roman"/>
                <w:sz w:val="20"/>
                <w:szCs w:val="20"/>
                <w:lang w:eastAsia="cs-CZ"/>
              </w:rPr>
            </w:pPr>
            <w:r w:rsidRPr="002D4B12">
              <w:rPr>
                <w:rFonts w:eastAsia="Times New Roman"/>
                <w:sz w:val="20"/>
                <w:szCs w:val="20"/>
                <w:lang w:eastAsia="cs-CZ"/>
              </w:rPr>
              <w:t>-0</w:t>
            </w:r>
            <w:r w:rsidR="00883D9B" w:rsidRPr="002D4B12">
              <w:rPr>
                <w:rFonts w:eastAsia="Times New Roman"/>
                <w:sz w:val="20"/>
                <w:szCs w:val="20"/>
                <w:lang w:eastAsia="cs-CZ"/>
              </w:rPr>
              <w:t>,</w:t>
            </w:r>
            <w:r w:rsidRPr="002D4B12">
              <w:rPr>
                <w:rFonts w:eastAsia="Times New Roman"/>
                <w:sz w:val="20"/>
                <w:szCs w:val="20"/>
                <w:lang w:eastAsia="cs-CZ"/>
              </w:rPr>
              <w:t>8 p.b.</w:t>
            </w:r>
          </w:p>
        </w:tc>
      </w:tr>
      <w:tr w:rsidR="00F15667" w:rsidRPr="002D4B12" w14:paraId="1D3EF9B1"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036E31B2" w14:textId="77777777" w:rsidR="006D088B" w:rsidRPr="002D4B12" w:rsidRDefault="006D088B" w:rsidP="002D4B12">
            <w:pPr>
              <w:spacing w:line="240" w:lineRule="auto"/>
              <w:jc w:val="left"/>
              <w:rPr>
                <w:rFonts w:eastAsia="Times New Roman"/>
                <w:szCs w:val="24"/>
                <w:lang w:eastAsia="cs-CZ"/>
              </w:rPr>
            </w:pPr>
            <w:r w:rsidRPr="002D4B12">
              <w:rPr>
                <w:rFonts w:eastAsia="Times New Roman"/>
                <w:szCs w:val="24"/>
                <w:lang w:eastAsia="cs-CZ"/>
              </w:rPr>
              <w:t>KS Plzeň</w:t>
            </w:r>
          </w:p>
        </w:tc>
        <w:tc>
          <w:tcPr>
            <w:tcW w:w="2040" w:type="dxa"/>
            <w:tcBorders>
              <w:top w:val="nil"/>
              <w:left w:val="nil"/>
              <w:bottom w:val="single" w:sz="4" w:space="0" w:color="auto"/>
              <w:right w:val="nil"/>
            </w:tcBorders>
            <w:shd w:val="clear" w:color="auto" w:fill="auto"/>
            <w:noWrap/>
            <w:vAlign w:val="center"/>
            <w:hideMark/>
          </w:tcPr>
          <w:p w14:paraId="35753190" w14:textId="448DAE0B" w:rsidR="006D088B" w:rsidRPr="002D4B12" w:rsidRDefault="006D088B" w:rsidP="002D4B12">
            <w:pPr>
              <w:spacing w:line="240" w:lineRule="auto"/>
              <w:jc w:val="center"/>
              <w:rPr>
                <w:rFonts w:eastAsia="Times New Roman"/>
                <w:szCs w:val="24"/>
                <w:lang w:eastAsia="cs-CZ"/>
              </w:rPr>
            </w:pPr>
            <w:r w:rsidRPr="002D4B12">
              <w:rPr>
                <w:rFonts w:eastAsia="Times New Roman"/>
                <w:szCs w:val="24"/>
                <w:lang w:eastAsia="cs-CZ"/>
              </w:rPr>
              <w:t>25</w:t>
            </w:r>
            <w:r w:rsidR="00883D9B" w:rsidRPr="002D4B12">
              <w:rPr>
                <w:rFonts w:eastAsia="Times New Roman"/>
                <w:szCs w:val="24"/>
                <w:lang w:eastAsia="cs-CZ"/>
              </w:rPr>
              <w:t>,</w:t>
            </w:r>
            <w:r w:rsidRPr="002D4B12">
              <w:rPr>
                <w:rFonts w:eastAsia="Times New Roman"/>
                <w:szCs w:val="24"/>
                <w:lang w:eastAsia="cs-CZ"/>
              </w:rPr>
              <w:t>17</w:t>
            </w:r>
            <w:r w:rsidR="00AB70E4" w:rsidRPr="002D4B12">
              <w:rPr>
                <w:rFonts w:eastAsia="Times New Roman"/>
                <w:szCs w:val="24"/>
                <w:lang w:eastAsia="cs-CZ"/>
              </w:rPr>
              <w:t xml:space="preserve"> %</w:t>
            </w:r>
          </w:p>
        </w:tc>
        <w:tc>
          <w:tcPr>
            <w:tcW w:w="1276" w:type="dxa"/>
            <w:tcBorders>
              <w:top w:val="nil"/>
              <w:left w:val="nil"/>
              <w:bottom w:val="single" w:sz="4" w:space="0" w:color="auto"/>
              <w:right w:val="nil"/>
            </w:tcBorders>
            <w:shd w:val="clear" w:color="auto" w:fill="auto"/>
            <w:noWrap/>
            <w:vAlign w:val="center"/>
            <w:hideMark/>
          </w:tcPr>
          <w:p w14:paraId="6BFB281E" w14:textId="66C0D690" w:rsidR="006D088B" w:rsidRPr="002D4B12" w:rsidRDefault="006D088B" w:rsidP="002D4B12">
            <w:pPr>
              <w:spacing w:line="240" w:lineRule="auto"/>
              <w:jc w:val="center"/>
              <w:rPr>
                <w:rFonts w:eastAsia="Times New Roman"/>
                <w:sz w:val="20"/>
                <w:szCs w:val="20"/>
                <w:lang w:eastAsia="cs-CZ"/>
              </w:rPr>
            </w:pPr>
            <w:r w:rsidRPr="002D4B12">
              <w:rPr>
                <w:rFonts w:eastAsia="Times New Roman"/>
                <w:sz w:val="20"/>
                <w:szCs w:val="20"/>
                <w:lang w:eastAsia="cs-CZ"/>
              </w:rPr>
              <w:t>-1</w:t>
            </w:r>
            <w:r w:rsidR="00883D9B" w:rsidRPr="002D4B12">
              <w:rPr>
                <w:rFonts w:eastAsia="Times New Roman"/>
                <w:sz w:val="20"/>
                <w:szCs w:val="20"/>
                <w:lang w:eastAsia="cs-CZ"/>
              </w:rPr>
              <w:t>,</w:t>
            </w:r>
            <w:r w:rsidRPr="002D4B12">
              <w:rPr>
                <w:rFonts w:eastAsia="Times New Roman"/>
                <w:sz w:val="20"/>
                <w:szCs w:val="20"/>
                <w:lang w:eastAsia="cs-CZ"/>
              </w:rPr>
              <w:t>8 p.b.</w:t>
            </w:r>
          </w:p>
        </w:tc>
      </w:tr>
      <w:tr w:rsidR="00F15667" w:rsidRPr="002D4B12" w14:paraId="1A6DF9E0"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13FDB945" w14:textId="77777777" w:rsidR="006D088B" w:rsidRPr="002D4B12" w:rsidRDefault="006D088B" w:rsidP="002D4B12">
            <w:pPr>
              <w:spacing w:line="240" w:lineRule="auto"/>
              <w:jc w:val="left"/>
              <w:rPr>
                <w:rFonts w:eastAsia="Times New Roman"/>
                <w:szCs w:val="24"/>
                <w:lang w:eastAsia="cs-CZ"/>
              </w:rPr>
            </w:pPr>
            <w:r w:rsidRPr="002D4B12">
              <w:rPr>
                <w:rFonts w:eastAsia="Times New Roman"/>
                <w:szCs w:val="24"/>
                <w:lang w:eastAsia="cs-CZ"/>
              </w:rPr>
              <w:t>KS Ústí n. Labem</w:t>
            </w:r>
          </w:p>
        </w:tc>
        <w:tc>
          <w:tcPr>
            <w:tcW w:w="2040" w:type="dxa"/>
            <w:tcBorders>
              <w:top w:val="nil"/>
              <w:left w:val="nil"/>
              <w:bottom w:val="single" w:sz="4" w:space="0" w:color="auto"/>
              <w:right w:val="nil"/>
            </w:tcBorders>
            <w:shd w:val="clear" w:color="auto" w:fill="auto"/>
            <w:noWrap/>
            <w:vAlign w:val="center"/>
            <w:hideMark/>
          </w:tcPr>
          <w:p w14:paraId="07B947DD" w14:textId="52A8BF50" w:rsidR="006D088B" w:rsidRPr="002D4B12" w:rsidRDefault="006D088B" w:rsidP="002D4B12">
            <w:pPr>
              <w:spacing w:line="240" w:lineRule="auto"/>
              <w:jc w:val="center"/>
              <w:rPr>
                <w:rFonts w:eastAsia="Times New Roman"/>
                <w:szCs w:val="24"/>
                <w:lang w:eastAsia="cs-CZ"/>
              </w:rPr>
            </w:pPr>
            <w:r w:rsidRPr="002D4B12">
              <w:rPr>
                <w:rFonts w:eastAsia="Times New Roman"/>
                <w:szCs w:val="24"/>
                <w:lang w:eastAsia="cs-CZ"/>
              </w:rPr>
              <w:t>16</w:t>
            </w:r>
            <w:r w:rsidR="00883D9B" w:rsidRPr="002D4B12">
              <w:rPr>
                <w:rFonts w:eastAsia="Times New Roman"/>
                <w:szCs w:val="24"/>
                <w:lang w:eastAsia="cs-CZ"/>
              </w:rPr>
              <w:t>,</w:t>
            </w:r>
            <w:r w:rsidRPr="002D4B12">
              <w:rPr>
                <w:rFonts w:eastAsia="Times New Roman"/>
                <w:szCs w:val="24"/>
                <w:lang w:eastAsia="cs-CZ"/>
              </w:rPr>
              <w:t>13</w:t>
            </w:r>
            <w:r w:rsidR="00AB70E4" w:rsidRPr="002D4B12">
              <w:rPr>
                <w:rFonts w:eastAsia="Times New Roman"/>
                <w:szCs w:val="24"/>
                <w:lang w:eastAsia="cs-CZ"/>
              </w:rPr>
              <w:t xml:space="preserve"> %</w:t>
            </w:r>
          </w:p>
        </w:tc>
        <w:tc>
          <w:tcPr>
            <w:tcW w:w="1276" w:type="dxa"/>
            <w:tcBorders>
              <w:top w:val="nil"/>
              <w:left w:val="nil"/>
              <w:bottom w:val="single" w:sz="4" w:space="0" w:color="auto"/>
              <w:right w:val="nil"/>
            </w:tcBorders>
            <w:shd w:val="clear" w:color="auto" w:fill="auto"/>
            <w:noWrap/>
            <w:vAlign w:val="center"/>
            <w:hideMark/>
          </w:tcPr>
          <w:p w14:paraId="6A069ACF" w14:textId="49E113BC" w:rsidR="006D088B" w:rsidRPr="002D4B12" w:rsidRDefault="006D088B" w:rsidP="002D4B12">
            <w:pPr>
              <w:spacing w:line="240" w:lineRule="auto"/>
              <w:jc w:val="center"/>
              <w:rPr>
                <w:rFonts w:eastAsia="Times New Roman"/>
                <w:sz w:val="20"/>
                <w:szCs w:val="20"/>
                <w:lang w:eastAsia="cs-CZ"/>
              </w:rPr>
            </w:pPr>
            <w:r w:rsidRPr="002D4B12">
              <w:rPr>
                <w:rFonts w:eastAsia="Times New Roman"/>
                <w:sz w:val="20"/>
                <w:szCs w:val="20"/>
                <w:lang w:eastAsia="cs-CZ"/>
              </w:rPr>
              <w:t>-0</w:t>
            </w:r>
            <w:r w:rsidR="00883D9B" w:rsidRPr="002D4B12">
              <w:rPr>
                <w:rFonts w:eastAsia="Times New Roman"/>
                <w:sz w:val="20"/>
                <w:szCs w:val="20"/>
                <w:lang w:eastAsia="cs-CZ"/>
              </w:rPr>
              <w:t>,</w:t>
            </w:r>
            <w:r w:rsidRPr="002D4B12">
              <w:rPr>
                <w:rFonts w:eastAsia="Times New Roman"/>
                <w:sz w:val="20"/>
                <w:szCs w:val="20"/>
                <w:lang w:eastAsia="cs-CZ"/>
              </w:rPr>
              <w:t>9 p.b.</w:t>
            </w:r>
          </w:p>
        </w:tc>
      </w:tr>
      <w:tr w:rsidR="00F15667" w:rsidRPr="002D4B12" w14:paraId="15C17DF8"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0817D7D3" w14:textId="77777777" w:rsidR="006D088B" w:rsidRPr="002D4B12" w:rsidRDefault="006D088B" w:rsidP="002D4B12">
            <w:pPr>
              <w:spacing w:line="240" w:lineRule="auto"/>
              <w:jc w:val="left"/>
              <w:rPr>
                <w:rFonts w:eastAsia="Times New Roman"/>
                <w:szCs w:val="24"/>
                <w:lang w:eastAsia="cs-CZ"/>
              </w:rPr>
            </w:pPr>
            <w:r w:rsidRPr="002D4B12">
              <w:rPr>
                <w:rFonts w:eastAsia="Times New Roman"/>
                <w:szCs w:val="24"/>
                <w:lang w:eastAsia="cs-CZ"/>
              </w:rPr>
              <w:t>KS Hr. Králové</w:t>
            </w:r>
          </w:p>
        </w:tc>
        <w:tc>
          <w:tcPr>
            <w:tcW w:w="2040" w:type="dxa"/>
            <w:tcBorders>
              <w:top w:val="nil"/>
              <w:left w:val="nil"/>
              <w:bottom w:val="single" w:sz="4" w:space="0" w:color="auto"/>
              <w:right w:val="nil"/>
            </w:tcBorders>
            <w:shd w:val="clear" w:color="auto" w:fill="auto"/>
            <w:noWrap/>
            <w:vAlign w:val="center"/>
            <w:hideMark/>
          </w:tcPr>
          <w:p w14:paraId="15BF7E24" w14:textId="2162CE9B" w:rsidR="006D088B" w:rsidRPr="002D4B12" w:rsidRDefault="006D088B" w:rsidP="002D4B12">
            <w:pPr>
              <w:spacing w:line="240" w:lineRule="auto"/>
              <w:jc w:val="center"/>
              <w:rPr>
                <w:rFonts w:eastAsia="Times New Roman"/>
                <w:szCs w:val="24"/>
                <w:lang w:eastAsia="cs-CZ"/>
              </w:rPr>
            </w:pPr>
            <w:r w:rsidRPr="002D4B12">
              <w:rPr>
                <w:rFonts w:eastAsia="Times New Roman"/>
                <w:szCs w:val="24"/>
                <w:lang w:eastAsia="cs-CZ"/>
              </w:rPr>
              <w:t>23</w:t>
            </w:r>
            <w:r w:rsidR="00883D9B" w:rsidRPr="002D4B12">
              <w:rPr>
                <w:rFonts w:eastAsia="Times New Roman"/>
                <w:szCs w:val="24"/>
                <w:lang w:eastAsia="cs-CZ"/>
              </w:rPr>
              <w:t>,</w:t>
            </w:r>
            <w:r w:rsidRPr="002D4B12">
              <w:rPr>
                <w:rFonts w:eastAsia="Times New Roman"/>
                <w:szCs w:val="24"/>
                <w:lang w:eastAsia="cs-CZ"/>
              </w:rPr>
              <w:t>82</w:t>
            </w:r>
            <w:r w:rsidR="00AB70E4" w:rsidRPr="002D4B12">
              <w:rPr>
                <w:rFonts w:eastAsia="Times New Roman"/>
                <w:szCs w:val="24"/>
                <w:lang w:eastAsia="cs-CZ"/>
              </w:rPr>
              <w:t xml:space="preserve"> %</w:t>
            </w:r>
          </w:p>
        </w:tc>
        <w:tc>
          <w:tcPr>
            <w:tcW w:w="1276" w:type="dxa"/>
            <w:tcBorders>
              <w:top w:val="nil"/>
              <w:left w:val="nil"/>
              <w:bottom w:val="single" w:sz="4" w:space="0" w:color="auto"/>
              <w:right w:val="nil"/>
            </w:tcBorders>
            <w:shd w:val="clear" w:color="auto" w:fill="auto"/>
            <w:noWrap/>
            <w:vAlign w:val="center"/>
            <w:hideMark/>
          </w:tcPr>
          <w:p w14:paraId="6E56DF4D" w14:textId="4CB02695" w:rsidR="006D088B" w:rsidRPr="002D4B12" w:rsidRDefault="006D088B" w:rsidP="002D4B12">
            <w:pPr>
              <w:spacing w:line="240" w:lineRule="auto"/>
              <w:jc w:val="center"/>
              <w:rPr>
                <w:rFonts w:eastAsia="Times New Roman"/>
                <w:sz w:val="20"/>
                <w:szCs w:val="20"/>
                <w:lang w:eastAsia="cs-CZ"/>
              </w:rPr>
            </w:pPr>
            <w:r w:rsidRPr="002D4B12">
              <w:rPr>
                <w:rFonts w:eastAsia="Times New Roman"/>
                <w:sz w:val="20"/>
                <w:szCs w:val="20"/>
                <w:lang w:eastAsia="cs-CZ"/>
              </w:rPr>
              <w:t>+2</w:t>
            </w:r>
            <w:r w:rsidR="00883D9B" w:rsidRPr="002D4B12">
              <w:rPr>
                <w:rFonts w:eastAsia="Times New Roman"/>
                <w:sz w:val="20"/>
                <w:szCs w:val="20"/>
                <w:lang w:eastAsia="cs-CZ"/>
              </w:rPr>
              <w:t>,</w:t>
            </w:r>
            <w:r w:rsidRPr="002D4B12">
              <w:rPr>
                <w:rFonts w:eastAsia="Times New Roman"/>
                <w:sz w:val="20"/>
                <w:szCs w:val="20"/>
                <w:lang w:eastAsia="cs-CZ"/>
              </w:rPr>
              <w:t>0 p.b.</w:t>
            </w:r>
          </w:p>
        </w:tc>
      </w:tr>
      <w:tr w:rsidR="00F15667" w:rsidRPr="002D4B12" w14:paraId="75BAE387"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3B0A4346" w14:textId="77777777" w:rsidR="006D088B" w:rsidRPr="002D4B12" w:rsidRDefault="006D088B" w:rsidP="002D4B12">
            <w:pPr>
              <w:spacing w:line="240" w:lineRule="auto"/>
              <w:jc w:val="left"/>
              <w:rPr>
                <w:rFonts w:eastAsia="Times New Roman"/>
                <w:szCs w:val="24"/>
                <w:lang w:eastAsia="cs-CZ"/>
              </w:rPr>
            </w:pPr>
            <w:r w:rsidRPr="002D4B12">
              <w:rPr>
                <w:rFonts w:eastAsia="Times New Roman"/>
                <w:szCs w:val="24"/>
                <w:lang w:eastAsia="cs-CZ"/>
              </w:rPr>
              <w:t>KS Brno</w:t>
            </w:r>
          </w:p>
        </w:tc>
        <w:tc>
          <w:tcPr>
            <w:tcW w:w="2040" w:type="dxa"/>
            <w:tcBorders>
              <w:top w:val="nil"/>
              <w:left w:val="nil"/>
              <w:bottom w:val="single" w:sz="4" w:space="0" w:color="auto"/>
              <w:right w:val="nil"/>
            </w:tcBorders>
            <w:shd w:val="clear" w:color="auto" w:fill="auto"/>
            <w:noWrap/>
            <w:vAlign w:val="center"/>
            <w:hideMark/>
          </w:tcPr>
          <w:p w14:paraId="13C3A667" w14:textId="2B3D1795" w:rsidR="006D088B" w:rsidRPr="002D4B12" w:rsidRDefault="006D088B" w:rsidP="002D4B12">
            <w:pPr>
              <w:spacing w:line="240" w:lineRule="auto"/>
              <w:jc w:val="center"/>
              <w:rPr>
                <w:rFonts w:eastAsia="Times New Roman"/>
                <w:szCs w:val="24"/>
                <w:lang w:eastAsia="cs-CZ"/>
              </w:rPr>
            </w:pPr>
            <w:r w:rsidRPr="002D4B12">
              <w:rPr>
                <w:rFonts w:eastAsia="Times New Roman"/>
                <w:szCs w:val="24"/>
                <w:lang w:eastAsia="cs-CZ"/>
              </w:rPr>
              <w:t>22</w:t>
            </w:r>
            <w:r w:rsidR="00883D9B" w:rsidRPr="002D4B12">
              <w:rPr>
                <w:rFonts w:eastAsia="Times New Roman"/>
                <w:szCs w:val="24"/>
                <w:lang w:eastAsia="cs-CZ"/>
              </w:rPr>
              <w:t>,</w:t>
            </w:r>
            <w:r w:rsidRPr="002D4B12">
              <w:rPr>
                <w:rFonts w:eastAsia="Times New Roman"/>
                <w:szCs w:val="24"/>
                <w:lang w:eastAsia="cs-CZ"/>
              </w:rPr>
              <w:t>01</w:t>
            </w:r>
            <w:r w:rsidR="00AB70E4" w:rsidRPr="002D4B12">
              <w:rPr>
                <w:rFonts w:eastAsia="Times New Roman"/>
                <w:szCs w:val="24"/>
                <w:lang w:eastAsia="cs-CZ"/>
              </w:rPr>
              <w:t xml:space="preserve"> %</w:t>
            </w:r>
          </w:p>
        </w:tc>
        <w:tc>
          <w:tcPr>
            <w:tcW w:w="1276" w:type="dxa"/>
            <w:tcBorders>
              <w:top w:val="nil"/>
              <w:left w:val="nil"/>
              <w:bottom w:val="single" w:sz="4" w:space="0" w:color="auto"/>
              <w:right w:val="nil"/>
            </w:tcBorders>
            <w:shd w:val="clear" w:color="auto" w:fill="auto"/>
            <w:noWrap/>
            <w:vAlign w:val="center"/>
            <w:hideMark/>
          </w:tcPr>
          <w:p w14:paraId="53D38C51" w14:textId="4A487EAE" w:rsidR="006D088B" w:rsidRPr="002D4B12" w:rsidRDefault="006D088B" w:rsidP="002D4B12">
            <w:pPr>
              <w:spacing w:line="240" w:lineRule="auto"/>
              <w:jc w:val="center"/>
              <w:rPr>
                <w:rFonts w:eastAsia="Times New Roman"/>
                <w:sz w:val="20"/>
                <w:szCs w:val="20"/>
                <w:lang w:eastAsia="cs-CZ"/>
              </w:rPr>
            </w:pPr>
            <w:r w:rsidRPr="002D4B12">
              <w:rPr>
                <w:rFonts w:eastAsia="Times New Roman"/>
                <w:sz w:val="20"/>
                <w:szCs w:val="20"/>
                <w:lang w:eastAsia="cs-CZ"/>
              </w:rPr>
              <w:t>-1</w:t>
            </w:r>
            <w:r w:rsidR="00883D9B" w:rsidRPr="002D4B12">
              <w:rPr>
                <w:rFonts w:eastAsia="Times New Roman"/>
                <w:sz w:val="20"/>
                <w:szCs w:val="20"/>
                <w:lang w:eastAsia="cs-CZ"/>
              </w:rPr>
              <w:t>,</w:t>
            </w:r>
            <w:r w:rsidRPr="002D4B12">
              <w:rPr>
                <w:rFonts w:eastAsia="Times New Roman"/>
                <w:sz w:val="20"/>
                <w:szCs w:val="20"/>
                <w:lang w:eastAsia="cs-CZ"/>
              </w:rPr>
              <w:t>9 p.b.</w:t>
            </w:r>
          </w:p>
        </w:tc>
      </w:tr>
      <w:tr w:rsidR="00F15667" w:rsidRPr="002D4B12" w14:paraId="1023B6A9" w14:textId="77777777" w:rsidTr="002D4B12">
        <w:trPr>
          <w:trHeight w:val="330"/>
        </w:trPr>
        <w:tc>
          <w:tcPr>
            <w:tcW w:w="2780" w:type="dxa"/>
            <w:tcBorders>
              <w:top w:val="nil"/>
              <w:left w:val="nil"/>
              <w:bottom w:val="double" w:sz="6" w:space="0" w:color="auto"/>
              <w:right w:val="nil"/>
            </w:tcBorders>
            <w:shd w:val="clear" w:color="auto" w:fill="auto"/>
            <w:noWrap/>
            <w:vAlign w:val="center"/>
            <w:hideMark/>
          </w:tcPr>
          <w:p w14:paraId="1DB7A5A9" w14:textId="77777777" w:rsidR="006D088B" w:rsidRPr="002D4B12" w:rsidRDefault="006D088B" w:rsidP="002D4B12">
            <w:pPr>
              <w:spacing w:line="240" w:lineRule="auto"/>
              <w:jc w:val="left"/>
              <w:rPr>
                <w:rFonts w:eastAsia="Times New Roman"/>
                <w:szCs w:val="24"/>
                <w:lang w:eastAsia="cs-CZ"/>
              </w:rPr>
            </w:pPr>
            <w:r w:rsidRPr="002D4B12">
              <w:rPr>
                <w:rFonts w:eastAsia="Times New Roman"/>
                <w:szCs w:val="24"/>
                <w:lang w:eastAsia="cs-CZ"/>
              </w:rPr>
              <w:t>KS Ostrava</w:t>
            </w:r>
          </w:p>
        </w:tc>
        <w:tc>
          <w:tcPr>
            <w:tcW w:w="2040" w:type="dxa"/>
            <w:tcBorders>
              <w:top w:val="nil"/>
              <w:left w:val="nil"/>
              <w:bottom w:val="double" w:sz="6" w:space="0" w:color="auto"/>
              <w:right w:val="nil"/>
            </w:tcBorders>
            <w:shd w:val="clear" w:color="auto" w:fill="auto"/>
            <w:noWrap/>
            <w:vAlign w:val="center"/>
            <w:hideMark/>
          </w:tcPr>
          <w:p w14:paraId="295B025D" w14:textId="65C1A1F4" w:rsidR="006D088B" w:rsidRPr="002D4B12" w:rsidRDefault="006D088B" w:rsidP="002D4B12">
            <w:pPr>
              <w:spacing w:line="240" w:lineRule="auto"/>
              <w:jc w:val="center"/>
              <w:rPr>
                <w:rFonts w:eastAsia="Times New Roman"/>
                <w:szCs w:val="24"/>
                <w:lang w:eastAsia="cs-CZ"/>
              </w:rPr>
            </w:pPr>
            <w:r w:rsidRPr="002D4B12">
              <w:rPr>
                <w:rFonts w:eastAsia="Times New Roman"/>
                <w:szCs w:val="24"/>
                <w:lang w:eastAsia="cs-CZ"/>
              </w:rPr>
              <w:t>20</w:t>
            </w:r>
            <w:r w:rsidR="00883D9B" w:rsidRPr="002D4B12">
              <w:rPr>
                <w:rFonts w:eastAsia="Times New Roman"/>
                <w:szCs w:val="24"/>
                <w:lang w:eastAsia="cs-CZ"/>
              </w:rPr>
              <w:t>,</w:t>
            </w:r>
            <w:r w:rsidRPr="002D4B12">
              <w:rPr>
                <w:rFonts w:eastAsia="Times New Roman"/>
                <w:szCs w:val="24"/>
                <w:lang w:eastAsia="cs-CZ"/>
              </w:rPr>
              <w:t>81</w:t>
            </w:r>
            <w:r w:rsidR="00AB70E4" w:rsidRPr="002D4B12">
              <w:rPr>
                <w:rFonts w:eastAsia="Times New Roman"/>
                <w:szCs w:val="24"/>
                <w:lang w:eastAsia="cs-CZ"/>
              </w:rPr>
              <w:t xml:space="preserve"> %</w:t>
            </w:r>
          </w:p>
        </w:tc>
        <w:tc>
          <w:tcPr>
            <w:tcW w:w="1276" w:type="dxa"/>
            <w:tcBorders>
              <w:top w:val="nil"/>
              <w:left w:val="nil"/>
              <w:bottom w:val="double" w:sz="6" w:space="0" w:color="auto"/>
              <w:right w:val="nil"/>
            </w:tcBorders>
            <w:shd w:val="clear" w:color="auto" w:fill="auto"/>
            <w:noWrap/>
            <w:vAlign w:val="center"/>
            <w:hideMark/>
          </w:tcPr>
          <w:p w14:paraId="23766594" w14:textId="1C5FA838" w:rsidR="006D088B" w:rsidRPr="002D4B12" w:rsidRDefault="006D088B" w:rsidP="002D4B12">
            <w:pPr>
              <w:spacing w:line="240" w:lineRule="auto"/>
              <w:jc w:val="center"/>
              <w:rPr>
                <w:rFonts w:eastAsia="Times New Roman"/>
                <w:sz w:val="20"/>
                <w:szCs w:val="20"/>
                <w:lang w:eastAsia="cs-CZ"/>
              </w:rPr>
            </w:pPr>
            <w:r w:rsidRPr="002D4B12">
              <w:rPr>
                <w:rFonts w:eastAsia="Times New Roman"/>
                <w:sz w:val="20"/>
                <w:szCs w:val="20"/>
                <w:lang w:eastAsia="cs-CZ"/>
              </w:rPr>
              <w:t>-0</w:t>
            </w:r>
            <w:r w:rsidR="00883D9B" w:rsidRPr="002D4B12">
              <w:rPr>
                <w:rFonts w:eastAsia="Times New Roman"/>
                <w:sz w:val="20"/>
                <w:szCs w:val="20"/>
                <w:lang w:eastAsia="cs-CZ"/>
              </w:rPr>
              <w:t>,</w:t>
            </w:r>
            <w:r w:rsidRPr="002D4B12">
              <w:rPr>
                <w:rFonts w:eastAsia="Times New Roman"/>
                <w:sz w:val="20"/>
                <w:szCs w:val="20"/>
                <w:lang w:eastAsia="cs-CZ"/>
              </w:rPr>
              <w:t>4 p.b.</w:t>
            </w:r>
          </w:p>
        </w:tc>
      </w:tr>
      <w:tr w:rsidR="00F15667" w:rsidRPr="002D4B12" w14:paraId="694E82CB" w14:textId="77777777" w:rsidTr="002D4B12">
        <w:trPr>
          <w:trHeight w:val="345"/>
        </w:trPr>
        <w:tc>
          <w:tcPr>
            <w:tcW w:w="2780" w:type="dxa"/>
            <w:tcBorders>
              <w:top w:val="nil"/>
              <w:left w:val="nil"/>
              <w:bottom w:val="double" w:sz="6" w:space="0" w:color="auto"/>
              <w:right w:val="nil"/>
            </w:tcBorders>
            <w:shd w:val="clear" w:color="auto" w:fill="auto"/>
            <w:noWrap/>
            <w:vAlign w:val="center"/>
            <w:hideMark/>
          </w:tcPr>
          <w:p w14:paraId="45232758" w14:textId="77777777" w:rsidR="006D088B" w:rsidRPr="002D4B12" w:rsidRDefault="006D088B" w:rsidP="002D4B12">
            <w:pPr>
              <w:spacing w:line="240" w:lineRule="auto"/>
              <w:jc w:val="left"/>
              <w:rPr>
                <w:rFonts w:eastAsia="Times New Roman"/>
                <w:b/>
                <w:bCs/>
                <w:szCs w:val="24"/>
                <w:lang w:eastAsia="cs-CZ"/>
              </w:rPr>
            </w:pPr>
            <w:r w:rsidRPr="002D4B12">
              <w:rPr>
                <w:rFonts w:eastAsia="Times New Roman"/>
                <w:b/>
                <w:bCs/>
                <w:szCs w:val="24"/>
                <w:lang w:eastAsia="cs-CZ"/>
              </w:rPr>
              <w:t>Celkem ČR</w:t>
            </w:r>
          </w:p>
        </w:tc>
        <w:tc>
          <w:tcPr>
            <w:tcW w:w="2040" w:type="dxa"/>
            <w:tcBorders>
              <w:top w:val="nil"/>
              <w:left w:val="nil"/>
              <w:bottom w:val="double" w:sz="6" w:space="0" w:color="auto"/>
              <w:right w:val="nil"/>
            </w:tcBorders>
            <w:shd w:val="clear" w:color="auto" w:fill="auto"/>
            <w:noWrap/>
            <w:vAlign w:val="center"/>
            <w:hideMark/>
          </w:tcPr>
          <w:p w14:paraId="70A92C6A" w14:textId="4C7C0B48" w:rsidR="006D088B" w:rsidRPr="002D4B12" w:rsidRDefault="006D088B" w:rsidP="002D4B12">
            <w:pPr>
              <w:spacing w:line="240" w:lineRule="auto"/>
              <w:jc w:val="center"/>
              <w:rPr>
                <w:rFonts w:eastAsia="Times New Roman"/>
                <w:b/>
                <w:bCs/>
                <w:szCs w:val="24"/>
                <w:lang w:eastAsia="cs-CZ"/>
              </w:rPr>
            </w:pPr>
            <w:r w:rsidRPr="002D4B12">
              <w:rPr>
                <w:rFonts w:eastAsia="Times New Roman"/>
                <w:b/>
                <w:bCs/>
                <w:szCs w:val="24"/>
                <w:lang w:eastAsia="cs-CZ"/>
              </w:rPr>
              <w:t>21</w:t>
            </w:r>
            <w:r w:rsidR="00883D9B" w:rsidRPr="002D4B12">
              <w:rPr>
                <w:rFonts w:eastAsia="Times New Roman"/>
                <w:b/>
                <w:bCs/>
                <w:szCs w:val="24"/>
                <w:lang w:eastAsia="cs-CZ"/>
              </w:rPr>
              <w:t>,</w:t>
            </w:r>
            <w:r w:rsidRPr="002D4B12">
              <w:rPr>
                <w:rFonts w:eastAsia="Times New Roman"/>
                <w:b/>
                <w:bCs/>
                <w:szCs w:val="24"/>
                <w:lang w:eastAsia="cs-CZ"/>
              </w:rPr>
              <w:t>94</w:t>
            </w:r>
            <w:r w:rsidR="00AB70E4" w:rsidRPr="002D4B12">
              <w:rPr>
                <w:rFonts w:eastAsia="Times New Roman"/>
                <w:b/>
                <w:bCs/>
                <w:szCs w:val="24"/>
                <w:lang w:eastAsia="cs-CZ"/>
              </w:rPr>
              <w:t xml:space="preserve"> %</w:t>
            </w:r>
          </w:p>
        </w:tc>
        <w:tc>
          <w:tcPr>
            <w:tcW w:w="1276" w:type="dxa"/>
            <w:tcBorders>
              <w:top w:val="nil"/>
              <w:left w:val="nil"/>
              <w:bottom w:val="double" w:sz="6" w:space="0" w:color="auto"/>
              <w:right w:val="nil"/>
            </w:tcBorders>
            <w:shd w:val="clear" w:color="auto" w:fill="auto"/>
            <w:noWrap/>
            <w:vAlign w:val="center"/>
            <w:hideMark/>
          </w:tcPr>
          <w:p w14:paraId="2519C95C" w14:textId="3F93B676" w:rsidR="006D088B" w:rsidRPr="002D4B12" w:rsidRDefault="006D088B" w:rsidP="002D4B12">
            <w:pPr>
              <w:spacing w:line="240" w:lineRule="auto"/>
              <w:jc w:val="center"/>
              <w:rPr>
                <w:rFonts w:eastAsia="Times New Roman"/>
                <w:b/>
                <w:bCs/>
                <w:sz w:val="20"/>
                <w:szCs w:val="20"/>
                <w:lang w:eastAsia="cs-CZ"/>
              </w:rPr>
            </w:pPr>
            <w:r w:rsidRPr="002D4B12">
              <w:rPr>
                <w:rFonts w:eastAsia="Times New Roman"/>
                <w:b/>
                <w:bCs/>
                <w:sz w:val="20"/>
                <w:szCs w:val="20"/>
                <w:lang w:eastAsia="cs-CZ"/>
              </w:rPr>
              <w:t>-1.2 p.b.</w:t>
            </w:r>
          </w:p>
        </w:tc>
      </w:tr>
      <w:tr w:rsidR="002D4B12" w:rsidRPr="002D4B12" w14:paraId="02FC67B5" w14:textId="77777777" w:rsidTr="002D4B12">
        <w:trPr>
          <w:trHeight w:val="345"/>
        </w:trPr>
        <w:tc>
          <w:tcPr>
            <w:tcW w:w="2780" w:type="dxa"/>
            <w:tcBorders>
              <w:top w:val="double" w:sz="6" w:space="0" w:color="auto"/>
              <w:left w:val="nil"/>
              <w:right w:val="nil"/>
            </w:tcBorders>
            <w:shd w:val="clear" w:color="auto" w:fill="auto"/>
            <w:noWrap/>
            <w:vAlign w:val="center"/>
          </w:tcPr>
          <w:p w14:paraId="2D8DB1E4" w14:textId="77777777" w:rsidR="002D4B12" w:rsidRPr="002D4B12" w:rsidRDefault="002D4B12" w:rsidP="002D4B12">
            <w:pPr>
              <w:spacing w:line="240" w:lineRule="auto"/>
              <w:jc w:val="center"/>
              <w:rPr>
                <w:rFonts w:eastAsia="Times New Roman"/>
                <w:b/>
                <w:bCs/>
                <w:szCs w:val="24"/>
                <w:lang w:eastAsia="cs-CZ"/>
              </w:rPr>
            </w:pPr>
          </w:p>
        </w:tc>
        <w:tc>
          <w:tcPr>
            <w:tcW w:w="2040" w:type="dxa"/>
            <w:tcBorders>
              <w:top w:val="double" w:sz="6" w:space="0" w:color="auto"/>
              <w:left w:val="nil"/>
              <w:right w:val="nil"/>
            </w:tcBorders>
            <w:shd w:val="clear" w:color="auto" w:fill="auto"/>
            <w:noWrap/>
            <w:vAlign w:val="center"/>
          </w:tcPr>
          <w:p w14:paraId="2FEE3F76" w14:textId="77777777" w:rsidR="002D4B12" w:rsidRPr="002D4B12" w:rsidRDefault="002D4B12" w:rsidP="002D4B12">
            <w:pPr>
              <w:spacing w:line="240" w:lineRule="auto"/>
              <w:jc w:val="center"/>
              <w:rPr>
                <w:rFonts w:eastAsia="Times New Roman"/>
                <w:b/>
                <w:bCs/>
                <w:szCs w:val="24"/>
                <w:lang w:eastAsia="cs-CZ"/>
              </w:rPr>
            </w:pPr>
          </w:p>
        </w:tc>
        <w:tc>
          <w:tcPr>
            <w:tcW w:w="1276" w:type="dxa"/>
            <w:tcBorders>
              <w:top w:val="double" w:sz="6" w:space="0" w:color="auto"/>
              <w:left w:val="nil"/>
              <w:right w:val="nil"/>
            </w:tcBorders>
            <w:shd w:val="clear" w:color="auto" w:fill="auto"/>
            <w:noWrap/>
            <w:vAlign w:val="center"/>
          </w:tcPr>
          <w:p w14:paraId="62055E38" w14:textId="77777777" w:rsidR="002D4B12" w:rsidRPr="002D4B12" w:rsidRDefault="002D4B12" w:rsidP="002D4B12">
            <w:pPr>
              <w:spacing w:line="240" w:lineRule="auto"/>
              <w:jc w:val="center"/>
              <w:rPr>
                <w:rFonts w:eastAsia="Times New Roman"/>
                <w:b/>
                <w:bCs/>
                <w:sz w:val="20"/>
                <w:szCs w:val="20"/>
                <w:lang w:eastAsia="cs-CZ"/>
              </w:rPr>
            </w:pPr>
          </w:p>
        </w:tc>
      </w:tr>
    </w:tbl>
    <w:p w14:paraId="2D276AEB" w14:textId="642AD5FF" w:rsidR="0057086C" w:rsidRPr="002D4B12" w:rsidRDefault="0057086C" w:rsidP="0057086C">
      <w:pPr>
        <w:pStyle w:val="Podnadpis"/>
        <w:rPr>
          <w:color w:val="auto"/>
        </w:rPr>
      </w:pPr>
      <w:bookmarkStart w:id="352" w:name="_Toc515871361"/>
      <w:bookmarkStart w:id="353" w:name="_Toc11135095"/>
      <w:bookmarkStart w:id="354" w:name="_Toc43841409"/>
      <w:bookmarkStart w:id="355" w:name="_Toc75952212"/>
      <w:bookmarkStart w:id="356" w:name="_Toc106106664"/>
      <w:bookmarkStart w:id="357" w:name="_Toc109801988"/>
      <w:bookmarkStart w:id="358" w:name="_Toc144104141"/>
      <w:bookmarkStart w:id="359" w:name="_Hlk160433378"/>
      <w:bookmarkEnd w:id="351"/>
      <w:r w:rsidRPr="002D4B12">
        <w:rPr>
          <w:color w:val="auto"/>
        </w:rPr>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29</w:t>
      </w:r>
      <w:r w:rsidR="009A10E2" w:rsidRPr="002D4B12">
        <w:rPr>
          <w:color w:val="auto"/>
        </w:rPr>
        <w:fldChar w:fldCharType="end"/>
      </w:r>
      <w:r w:rsidRPr="002D4B12">
        <w:rPr>
          <w:color w:val="auto"/>
        </w:rPr>
        <w:t>: OS – míra odvolání u jednotlivých soudů v trestním řízení</w:t>
      </w:r>
      <w:bookmarkEnd w:id="352"/>
      <w:bookmarkEnd w:id="353"/>
      <w:bookmarkEnd w:id="354"/>
      <w:bookmarkEnd w:id="355"/>
      <w:bookmarkEnd w:id="356"/>
      <w:bookmarkEnd w:id="357"/>
      <w:bookmarkEnd w:id="358"/>
    </w:p>
    <w:bookmarkEnd w:id="359"/>
    <w:p w14:paraId="20BA02D2" w14:textId="5CEC205F" w:rsidR="0057086C" w:rsidRPr="002D4B12" w:rsidRDefault="002D4B12" w:rsidP="002D4B12">
      <w:pPr>
        <w:pStyle w:val="OdstavecASR"/>
      </w:pPr>
      <w:r w:rsidRPr="002D4B12">
        <w:rPr>
          <w:noProof/>
          <w:lang w:eastAsia="cs-CZ"/>
        </w:rPr>
        <w:drawing>
          <wp:anchor distT="0" distB="0" distL="114300" distR="114300" simplePos="0" relativeHeight="251672576" behindDoc="0" locked="0" layoutInCell="1" allowOverlap="1" wp14:anchorId="03889B90" wp14:editId="06A47FB5">
            <wp:simplePos x="0" y="0"/>
            <wp:positionH relativeFrom="margin">
              <wp:posOffset>4473575</wp:posOffset>
            </wp:positionH>
            <wp:positionV relativeFrom="paragraph">
              <wp:posOffset>49530</wp:posOffset>
            </wp:positionV>
            <wp:extent cx="1260475" cy="916305"/>
            <wp:effectExtent l="0" t="0" r="0" b="0"/>
            <wp:wrapNone/>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60475" cy="916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737" w:rsidRPr="002D4B12">
        <w:rPr>
          <w:noProof/>
          <w:lang w:eastAsia="cs-CZ"/>
        </w:rPr>
        <w:drawing>
          <wp:inline distT="0" distB="0" distL="0" distR="0" wp14:anchorId="3DAC6182" wp14:editId="0E7F524D">
            <wp:extent cx="5759450" cy="3296285"/>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5E3FFEBC" w14:textId="76DBC566" w:rsidR="00F61C0D" w:rsidRPr="002D4B12" w:rsidRDefault="00F61C0D" w:rsidP="00F61C0D">
      <w:pPr>
        <w:pStyle w:val="OdstavecASR"/>
      </w:pPr>
      <w:bookmarkStart w:id="360" w:name="_Hlk160434115"/>
      <w:r w:rsidRPr="002D4B12">
        <w:lastRenderedPageBreak/>
        <w:t xml:space="preserve">Soudy s nejnižší mírou odvolání v roce </w:t>
      </w:r>
      <w:r w:rsidR="008B11FD" w:rsidRPr="002D4B12">
        <w:t xml:space="preserve">2022 </w:t>
      </w:r>
      <w:r w:rsidRPr="002D4B12">
        <w:t>jsou OS Most (4,99 %), OS Jičín (9,51 %) a OS</w:t>
      </w:r>
      <w:r w:rsidR="002D4B12">
        <w:t> </w:t>
      </w:r>
      <w:r w:rsidRPr="002D4B12">
        <w:t>Chrudim (10,29 %). Nejvyšší míra odvolání naopak je u OS Rychnov nad Kněžnou (36,22 %), OS Svitavy</w:t>
      </w:r>
      <w:r w:rsidRPr="002D4B12" w:rsidDel="00D42872">
        <w:t xml:space="preserve"> </w:t>
      </w:r>
      <w:r w:rsidRPr="002D4B12">
        <w:t>(36,77 %) a OS Praha</w:t>
      </w:r>
      <w:r w:rsidRPr="002D4B12">
        <w:noBreakHyphen/>
        <w:t>západ (42,80 %).</w:t>
      </w:r>
    </w:p>
    <w:p w14:paraId="5640F9C7" w14:textId="77777777" w:rsidR="007A2737" w:rsidRPr="002D4B12" w:rsidRDefault="007A2737" w:rsidP="007A2737">
      <w:pPr>
        <w:pStyle w:val="OdstavecASR"/>
        <w:keepNext/>
      </w:pPr>
      <w:bookmarkStart w:id="361" w:name="_Hlk160435176"/>
      <w:bookmarkEnd w:id="360"/>
      <w:r w:rsidRPr="002D4B12">
        <w:t>Při pohledu na data o míře odvolání je třeba poukázat na několik věcí:</w:t>
      </w:r>
    </w:p>
    <w:p w14:paraId="15BB3AD6" w14:textId="77777777" w:rsidR="007A2737" w:rsidRPr="002D4B12" w:rsidRDefault="007A2737" w:rsidP="007A2737">
      <w:pPr>
        <w:pStyle w:val="OdstavecASR"/>
        <w:numPr>
          <w:ilvl w:val="0"/>
          <w:numId w:val="11"/>
        </w:numPr>
      </w:pPr>
      <w:r w:rsidRPr="002D4B12">
        <w:t>Míra odvolání v trestním řízení je vysoká – asi třikrát vyšší než v řízení občanskoprávním. Odvolání je podáno přibližně v každém čtvrtém trestním řízení u okresního soudu.</w:t>
      </w:r>
    </w:p>
    <w:p w14:paraId="4ACCDAAA" w14:textId="77777777" w:rsidR="007A2737" w:rsidRPr="002D4B12" w:rsidRDefault="007A2737" w:rsidP="007A2737">
      <w:pPr>
        <w:pStyle w:val="OdstavecASR"/>
        <w:numPr>
          <w:ilvl w:val="0"/>
          <w:numId w:val="11"/>
        </w:numPr>
      </w:pPr>
      <w:r w:rsidRPr="002D4B12">
        <w:t>Na celorepublikové úrovni je míra odvolání stabilní, na úrovni krajů jsou patrné větší odchylky, stále však nijak zásadní. Tento rok ovšem došlo k poklesu v sedmi krajích. U jednotlivých soudů se míra odvolání může mezi roky lišit nejvýrazněji.</w:t>
      </w:r>
    </w:p>
    <w:p w14:paraId="2FED8B11" w14:textId="77777777" w:rsidR="007A2737" w:rsidRPr="002D4B12" w:rsidRDefault="007A2737" w:rsidP="007A2737">
      <w:pPr>
        <w:pStyle w:val="OdstavecASR"/>
        <w:numPr>
          <w:ilvl w:val="0"/>
          <w:numId w:val="11"/>
        </w:numPr>
      </w:pPr>
      <w:r w:rsidRPr="002D4B12">
        <w:t>V míře odvolání jsou mezi jednotlivými soudy velké rozdíly – až šestinásobek u soudů s nejvyšší mírou odvolání oproti soudům s nejnižší mírou odvolání.</w:t>
      </w:r>
    </w:p>
    <w:p w14:paraId="46FCE6D0" w14:textId="77777777" w:rsidR="007A2737" w:rsidRPr="002D4B12" w:rsidRDefault="007A2737" w:rsidP="007A2737">
      <w:pPr>
        <w:pStyle w:val="OdstavecASR"/>
        <w:numPr>
          <w:ilvl w:val="0"/>
          <w:numId w:val="11"/>
        </w:numPr>
      </w:pPr>
      <w:r w:rsidRPr="002D4B12">
        <w:t>Nejvyšší míra odvolání je ve Středočeském kraji a suverénně nejnižší v Severočeském kraji. Částečně to zřejmě souvisí s rozdílnou agendou a s rozdíly v socioekonomických ukazatelích, uspokojivé vysvětlení pro takto markantní rozdíl to však není. Rozdíly jsou totiž někdy značné i v rámci jednoho kraje.</w:t>
      </w:r>
    </w:p>
    <w:bookmarkEnd w:id="361"/>
    <w:p w14:paraId="14AC2406" w14:textId="77777777" w:rsidR="006D088B" w:rsidRPr="002D4B12" w:rsidRDefault="006D088B" w:rsidP="006D088B">
      <w:pPr>
        <w:pStyle w:val="OdstavecASR"/>
        <w:keepNext/>
        <w:outlineLvl w:val="3"/>
        <w:rPr>
          <w:b/>
          <w:bCs/>
        </w:rPr>
      </w:pPr>
      <w:r w:rsidRPr="002D4B12">
        <w:rPr>
          <w:b/>
          <w:bCs/>
        </w:rPr>
        <w:t>Míra změny rozsudku</w:t>
      </w:r>
    </w:p>
    <w:p w14:paraId="2AEEC483" w14:textId="77777777" w:rsidR="006D088B" w:rsidRPr="002D4B12" w:rsidRDefault="006D088B" w:rsidP="006D088B">
      <w:pPr>
        <w:pStyle w:val="OdstavecASR"/>
      </w:pPr>
      <w:bookmarkStart w:id="362" w:name="_Hlk160435352"/>
      <w:r w:rsidRPr="002D4B12">
        <w:t>Dalším sledovaným ukazatelem je míra změny rozsudku. Jedná se o podíl věcí v procentech, ve kterých odvolací soud na základě odvolání změnil rozhodnutí soudu I. stupně. Jako změna rozsudku jsou započítány věci, v nichž bylo odvolání vyhověno, ale i případy, kdy bylo rozhodnutí soudu I. stupně odvolacím soudem zrušeno a vráceno soudu I. stupně.</w:t>
      </w:r>
    </w:p>
    <w:p w14:paraId="7BAC166E" w14:textId="58A8DAEC" w:rsidR="006D088B" w:rsidRPr="002D4B12" w:rsidRDefault="006D088B" w:rsidP="006D088B">
      <w:pPr>
        <w:pStyle w:val="Podnadpis"/>
        <w:rPr>
          <w:color w:val="auto"/>
        </w:rPr>
      </w:pPr>
      <w:bookmarkStart w:id="363" w:name="_Toc75952328"/>
      <w:bookmarkStart w:id="364" w:name="_Toc106106786"/>
      <w:bookmarkStart w:id="365" w:name="_Toc109802109"/>
      <w:bookmarkStart w:id="366" w:name="_Toc144104265"/>
      <w:bookmarkStart w:id="367" w:name="_Hlk160433766"/>
      <w:bookmarkEnd w:id="362"/>
      <w:r w:rsidRPr="002D4B12">
        <w:rPr>
          <w:color w:val="auto"/>
        </w:rPr>
        <w:t xml:space="preserve">Tabulka </w:t>
      </w:r>
      <w:r w:rsidRPr="002D4B12">
        <w:rPr>
          <w:color w:val="auto"/>
        </w:rPr>
        <w:fldChar w:fldCharType="begin"/>
      </w:r>
      <w:r w:rsidRPr="002D4B12">
        <w:rPr>
          <w:color w:val="auto"/>
        </w:rPr>
        <w:instrText xml:space="preserve"> SEQ Tabulka \* ARABIC </w:instrText>
      </w:r>
      <w:r w:rsidRPr="002D4B12">
        <w:rPr>
          <w:color w:val="auto"/>
        </w:rPr>
        <w:fldChar w:fldCharType="separate"/>
      </w:r>
      <w:r w:rsidR="001E1A67">
        <w:rPr>
          <w:noProof/>
          <w:color w:val="auto"/>
        </w:rPr>
        <w:t>26</w:t>
      </w:r>
      <w:r w:rsidRPr="002D4B12">
        <w:rPr>
          <w:noProof/>
          <w:color w:val="auto"/>
        </w:rPr>
        <w:fldChar w:fldCharType="end"/>
      </w:r>
      <w:r w:rsidRPr="002D4B12">
        <w:rPr>
          <w:color w:val="auto"/>
        </w:rPr>
        <w:t>: OS – míra změny rozsudku dle krajů v trestním řízení</w:t>
      </w:r>
      <w:bookmarkEnd w:id="363"/>
      <w:bookmarkEnd w:id="364"/>
      <w:bookmarkEnd w:id="365"/>
      <w:bookmarkEnd w:id="366"/>
    </w:p>
    <w:tbl>
      <w:tblPr>
        <w:tblW w:w="6237" w:type="dxa"/>
        <w:tblCellMar>
          <w:left w:w="70" w:type="dxa"/>
          <w:right w:w="70" w:type="dxa"/>
        </w:tblCellMar>
        <w:tblLook w:val="04A0" w:firstRow="1" w:lastRow="0" w:firstColumn="1" w:lastColumn="0" w:noHBand="0" w:noVBand="1"/>
      </w:tblPr>
      <w:tblGrid>
        <w:gridCol w:w="2780"/>
        <w:gridCol w:w="1898"/>
        <w:gridCol w:w="1559"/>
      </w:tblGrid>
      <w:tr w:rsidR="00F15667" w:rsidRPr="002D4B12" w14:paraId="1C6C85C5" w14:textId="77777777" w:rsidTr="002D4B12">
        <w:trPr>
          <w:trHeight w:val="345"/>
        </w:trPr>
        <w:tc>
          <w:tcPr>
            <w:tcW w:w="2780" w:type="dxa"/>
            <w:tcBorders>
              <w:top w:val="double" w:sz="6" w:space="0" w:color="auto"/>
              <w:left w:val="nil"/>
              <w:bottom w:val="double" w:sz="6" w:space="0" w:color="auto"/>
              <w:right w:val="nil"/>
            </w:tcBorders>
            <w:shd w:val="clear" w:color="auto" w:fill="auto"/>
            <w:noWrap/>
            <w:vAlign w:val="center"/>
            <w:hideMark/>
          </w:tcPr>
          <w:bookmarkEnd w:id="367"/>
          <w:p w14:paraId="04D0C6A3" w14:textId="77777777" w:rsidR="00883D9B" w:rsidRPr="002D4B12" w:rsidRDefault="00883D9B" w:rsidP="002D4B12">
            <w:pPr>
              <w:spacing w:line="240" w:lineRule="auto"/>
              <w:jc w:val="center"/>
              <w:rPr>
                <w:rFonts w:eastAsia="Times New Roman"/>
                <w:b/>
                <w:bCs/>
                <w:szCs w:val="24"/>
                <w:lang w:eastAsia="cs-CZ"/>
              </w:rPr>
            </w:pPr>
            <w:r w:rsidRPr="002D4B12">
              <w:rPr>
                <w:rFonts w:eastAsia="Times New Roman"/>
                <w:b/>
                <w:bCs/>
                <w:szCs w:val="24"/>
                <w:lang w:eastAsia="cs-CZ"/>
              </w:rPr>
              <w:t>Nadřízený soud</w:t>
            </w:r>
          </w:p>
        </w:tc>
        <w:tc>
          <w:tcPr>
            <w:tcW w:w="3457" w:type="dxa"/>
            <w:gridSpan w:val="2"/>
            <w:tcBorders>
              <w:top w:val="double" w:sz="6" w:space="0" w:color="auto"/>
              <w:left w:val="nil"/>
              <w:bottom w:val="double" w:sz="6" w:space="0" w:color="auto"/>
              <w:right w:val="nil"/>
            </w:tcBorders>
            <w:shd w:val="clear" w:color="auto" w:fill="auto"/>
            <w:noWrap/>
            <w:vAlign w:val="center"/>
            <w:hideMark/>
          </w:tcPr>
          <w:p w14:paraId="586100E7" w14:textId="6830DB27" w:rsidR="00883D9B" w:rsidRPr="002D4B12" w:rsidRDefault="00883D9B" w:rsidP="002D4B12">
            <w:pPr>
              <w:spacing w:line="240" w:lineRule="auto"/>
              <w:jc w:val="center"/>
              <w:rPr>
                <w:rFonts w:eastAsia="Times New Roman"/>
                <w:b/>
                <w:bCs/>
                <w:szCs w:val="24"/>
                <w:lang w:eastAsia="cs-CZ"/>
              </w:rPr>
            </w:pPr>
            <w:r w:rsidRPr="002D4B12">
              <w:rPr>
                <w:rFonts w:eastAsia="Times New Roman"/>
                <w:b/>
                <w:bCs/>
                <w:szCs w:val="24"/>
                <w:lang w:eastAsia="cs-CZ"/>
              </w:rPr>
              <w:t>Míra změny rozsudku (v %)</w:t>
            </w:r>
          </w:p>
        </w:tc>
      </w:tr>
      <w:tr w:rsidR="00F15667" w:rsidRPr="002D4B12" w14:paraId="59CE7428" w14:textId="77777777" w:rsidTr="002D4B12">
        <w:trPr>
          <w:trHeight w:val="330"/>
        </w:trPr>
        <w:tc>
          <w:tcPr>
            <w:tcW w:w="2780" w:type="dxa"/>
            <w:tcBorders>
              <w:top w:val="nil"/>
              <w:left w:val="nil"/>
              <w:bottom w:val="single" w:sz="4" w:space="0" w:color="auto"/>
              <w:right w:val="nil"/>
            </w:tcBorders>
            <w:shd w:val="clear" w:color="auto" w:fill="auto"/>
            <w:noWrap/>
            <w:vAlign w:val="center"/>
            <w:hideMark/>
          </w:tcPr>
          <w:p w14:paraId="0A54A6F8" w14:textId="77777777" w:rsidR="00883D9B" w:rsidRPr="002D4B12" w:rsidRDefault="00883D9B" w:rsidP="002D4B12">
            <w:pPr>
              <w:spacing w:line="240" w:lineRule="auto"/>
              <w:jc w:val="left"/>
              <w:rPr>
                <w:rFonts w:eastAsia="Times New Roman"/>
                <w:szCs w:val="24"/>
                <w:lang w:eastAsia="cs-CZ"/>
              </w:rPr>
            </w:pPr>
            <w:r w:rsidRPr="002D4B12">
              <w:rPr>
                <w:rFonts w:eastAsia="Times New Roman"/>
                <w:szCs w:val="24"/>
                <w:lang w:eastAsia="cs-CZ"/>
              </w:rPr>
              <w:t>MS Praha</w:t>
            </w:r>
          </w:p>
        </w:tc>
        <w:tc>
          <w:tcPr>
            <w:tcW w:w="1898" w:type="dxa"/>
            <w:tcBorders>
              <w:top w:val="nil"/>
              <w:left w:val="nil"/>
              <w:bottom w:val="single" w:sz="4" w:space="0" w:color="auto"/>
              <w:right w:val="nil"/>
            </w:tcBorders>
            <w:shd w:val="clear" w:color="auto" w:fill="auto"/>
            <w:noWrap/>
            <w:vAlign w:val="center"/>
            <w:hideMark/>
          </w:tcPr>
          <w:p w14:paraId="6C9627BF" w14:textId="4D7E8B4A" w:rsidR="00883D9B" w:rsidRPr="002D4B12" w:rsidRDefault="00883D9B" w:rsidP="002D4B12">
            <w:pPr>
              <w:spacing w:line="240" w:lineRule="auto"/>
              <w:jc w:val="center"/>
              <w:rPr>
                <w:rFonts w:eastAsia="Times New Roman"/>
                <w:szCs w:val="24"/>
                <w:lang w:eastAsia="cs-CZ"/>
              </w:rPr>
            </w:pPr>
            <w:r w:rsidRPr="002D4B12">
              <w:rPr>
                <w:rFonts w:eastAsia="Times New Roman"/>
                <w:szCs w:val="24"/>
                <w:lang w:eastAsia="cs-CZ"/>
              </w:rPr>
              <w:t>44,52</w:t>
            </w:r>
            <w:r w:rsidR="00AB70E4" w:rsidRPr="002D4B12">
              <w:rPr>
                <w:rFonts w:eastAsia="Times New Roman"/>
                <w:szCs w:val="24"/>
                <w:lang w:eastAsia="cs-CZ"/>
              </w:rPr>
              <w:t xml:space="preserve"> %</w:t>
            </w:r>
          </w:p>
        </w:tc>
        <w:tc>
          <w:tcPr>
            <w:tcW w:w="1559" w:type="dxa"/>
            <w:tcBorders>
              <w:top w:val="nil"/>
              <w:left w:val="nil"/>
              <w:bottom w:val="single" w:sz="4" w:space="0" w:color="auto"/>
              <w:right w:val="nil"/>
            </w:tcBorders>
            <w:shd w:val="clear" w:color="auto" w:fill="auto"/>
            <w:noWrap/>
            <w:vAlign w:val="center"/>
            <w:hideMark/>
          </w:tcPr>
          <w:p w14:paraId="577FB84E" w14:textId="23B81DFC" w:rsidR="00883D9B" w:rsidRPr="002D4B12" w:rsidRDefault="00883D9B" w:rsidP="002D4B12">
            <w:pPr>
              <w:spacing w:line="240" w:lineRule="auto"/>
              <w:jc w:val="center"/>
              <w:rPr>
                <w:rFonts w:eastAsia="Times New Roman"/>
                <w:sz w:val="20"/>
                <w:szCs w:val="20"/>
                <w:lang w:eastAsia="cs-CZ"/>
              </w:rPr>
            </w:pPr>
            <w:r w:rsidRPr="002D4B12">
              <w:rPr>
                <w:rFonts w:eastAsia="Times New Roman"/>
                <w:sz w:val="20"/>
                <w:szCs w:val="20"/>
                <w:lang w:eastAsia="cs-CZ"/>
              </w:rPr>
              <w:t>-2,2 p.b.</w:t>
            </w:r>
          </w:p>
        </w:tc>
      </w:tr>
      <w:tr w:rsidR="00F15667" w:rsidRPr="002D4B12" w14:paraId="463C78FF"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604B0AFB" w14:textId="77777777" w:rsidR="00883D9B" w:rsidRPr="002D4B12" w:rsidRDefault="00883D9B" w:rsidP="002D4B12">
            <w:pPr>
              <w:spacing w:line="240" w:lineRule="auto"/>
              <w:jc w:val="left"/>
              <w:rPr>
                <w:rFonts w:eastAsia="Times New Roman"/>
                <w:szCs w:val="24"/>
                <w:lang w:eastAsia="cs-CZ"/>
              </w:rPr>
            </w:pPr>
            <w:r w:rsidRPr="002D4B12">
              <w:rPr>
                <w:rFonts w:eastAsia="Times New Roman"/>
                <w:szCs w:val="24"/>
                <w:lang w:eastAsia="cs-CZ"/>
              </w:rPr>
              <w:t>KS Praha</w:t>
            </w:r>
          </w:p>
        </w:tc>
        <w:tc>
          <w:tcPr>
            <w:tcW w:w="1898" w:type="dxa"/>
            <w:tcBorders>
              <w:top w:val="nil"/>
              <w:left w:val="nil"/>
              <w:bottom w:val="single" w:sz="4" w:space="0" w:color="auto"/>
              <w:right w:val="nil"/>
            </w:tcBorders>
            <w:shd w:val="clear" w:color="auto" w:fill="auto"/>
            <w:noWrap/>
            <w:vAlign w:val="center"/>
            <w:hideMark/>
          </w:tcPr>
          <w:p w14:paraId="39F120F7" w14:textId="79B166AB" w:rsidR="00883D9B" w:rsidRPr="002D4B12" w:rsidRDefault="00883D9B" w:rsidP="002D4B12">
            <w:pPr>
              <w:spacing w:line="240" w:lineRule="auto"/>
              <w:jc w:val="center"/>
              <w:rPr>
                <w:rFonts w:eastAsia="Times New Roman"/>
                <w:szCs w:val="24"/>
                <w:lang w:eastAsia="cs-CZ"/>
              </w:rPr>
            </w:pPr>
            <w:r w:rsidRPr="002D4B12">
              <w:rPr>
                <w:rFonts w:eastAsia="Times New Roman"/>
                <w:szCs w:val="24"/>
                <w:lang w:eastAsia="cs-CZ"/>
              </w:rPr>
              <w:t>36,73</w:t>
            </w:r>
            <w:r w:rsidR="00AB70E4" w:rsidRPr="002D4B12">
              <w:rPr>
                <w:rFonts w:eastAsia="Times New Roman"/>
                <w:szCs w:val="24"/>
                <w:lang w:eastAsia="cs-CZ"/>
              </w:rPr>
              <w:t xml:space="preserve"> %</w:t>
            </w:r>
          </w:p>
        </w:tc>
        <w:tc>
          <w:tcPr>
            <w:tcW w:w="1559" w:type="dxa"/>
            <w:tcBorders>
              <w:top w:val="nil"/>
              <w:left w:val="nil"/>
              <w:bottom w:val="single" w:sz="4" w:space="0" w:color="auto"/>
              <w:right w:val="nil"/>
            </w:tcBorders>
            <w:shd w:val="clear" w:color="auto" w:fill="auto"/>
            <w:noWrap/>
            <w:vAlign w:val="center"/>
            <w:hideMark/>
          </w:tcPr>
          <w:p w14:paraId="728A7F24" w14:textId="1632B5C9" w:rsidR="00883D9B" w:rsidRPr="002D4B12" w:rsidRDefault="00883D9B" w:rsidP="002D4B12">
            <w:pPr>
              <w:spacing w:line="240" w:lineRule="auto"/>
              <w:jc w:val="center"/>
              <w:rPr>
                <w:rFonts w:eastAsia="Times New Roman"/>
                <w:sz w:val="20"/>
                <w:szCs w:val="20"/>
                <w:lang w:eastAsia="cs-CZ"/>
              </w:rPr>
            </w:pPr>
            <w:r w:rsidRPr="002D4B12">
              <w:rPr>
                <w:rFonts w:eastAsia="Times New Roman"/>
                <w:sz w:val="20"/>
                <w:szCs w:val="20"/>
                <w:lang w:eastAsia="cs-CZ"/>
              </w:rPr>
              <w:t>-3,1 p.b.</w:t>
            </w:r>
          </w:p>
        </w:tc>
      </w:tr>
      <w:tr w:rsidR="00F15667" w:rsidRPr="002D4B12" w14:paraId="7AB53A67"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18FA9E4A" w14:textId="77777777" w:rsidR="00883D9B" w:rsidRPr="002D4B12" w:rsidRDefault="00883D9B" w:rsidP="002D4B12">
            <w:pPr>
              <w:spacing w:line="240" w:lineRule="auto"/>
              <w:jc w:val="left"/>
              <w:rPr>
                <w:rFonts w:eastAsia="Times New Roman"/>
                <w:szCs w:val="24"/>
                <w:lang w:eastAsia="cs-CZ"/>
              </w:rPr>
            </w:pPr>
            <w:r w:rsidRPr="002D4B12">
              <w:rPr>
                <w:rFonts w:eastAsia="Times New Roman"/>
                <w:szCs w:val="24"/>
                <w:lang w:eastAsia="cs-CZ"/>
              </w:rPr>
              <w:t>KS Č. Budějovice</w:t>
            </w:r>
          </w:p>
        </w:tc>
        <w:tc>
          <w:tcPr>
            <w:tcW w:w="1898" w:type="dxa"/>
            <w:tcBorders>
              <w:top w:val="nil"/>
              <w:left w:val="nil"/>
              <w:bottom w:val="single" w:sz="4" w:space="0" w:color="auto"/>
              <w:right w:val="nil"/>
            </w:tcBorders>
            <w:shd w:val="clear" w:color="auto" w:fill="auto"/>
            <w:noWrap/>
            <w:vAlign w:val="center"/>
            <w:hideMark/>
          </w:tcPr>
          <w:p w14:paraId="61973394" w14:textId="5427A480" w:rsidR="00883D9B" w:rsidRPr="002D4B12" w:rsidRDefault="00883D9B" w:rsidP="002D4B12">
            <w:pPr>
              <w:spacing w:line="240" w:lineRule="auto"/>
              <w:jc w:val="center"/>
              <w:rPr>
                <w:rFonts w:eastAsia="Times New Roman"/>
                <w:szCs w:val="24"/>
                <w:lang w:eastAsia="cs-CZ"/>
              </w:rPr>
            </w:pPr>
            <w:r w:rsidRPr="002D4B12">
              <w:rPr>
                <w:rFonts w:eastAsia="Times New Roman"/>
                <w:szCs w:val="24"/>
                <w:lang w:eastAsia="cs-CZ"/>
              </w:rPr>
              <w:t>32,15</w:t>
            </w:r>
            <w:r w:rsidR="00AB70E4" w:rsidRPr="002D4B12">
              <w:rPr>
                <w:rFonts w:eastAsia="Times New Roman"/>
                <w:szCs w:val="24"/>
                <w:lang w:eastAsia="cs-CZ"/>
              </w:rPr>
              <w:t xml:space="preserve"> %</w:t>
            </w:r>
          </w:p>
        </w:tc>
        <w:tc>
          <w:tcPr>
            <w:tcW w:w="1559" w:type="dxa"/>
            <w:tcBorders>
              <w:top w:val="nil"/>
              <w:left w:val="nil"/>
              <w:bottom w:val="single" w:sz="4" w:space="0" w:color="auto"/>
              <w:right w:val="nil"/>
            </w:tcBorders>
            <w:shd w:val="clear" w:color="auto" w:fill="auto"/>
            <w:noWrap/>
            <w:vAlign w:val="center"/>
            <w:hideMark/>
          </w:tcPr>
          <w:p w14:paraId="00A2A589" w14:textId="3ED7EEF6" w:rsidR="00883D9B" w:rsidRPr="002D4B12" w:rsidRDefault="00883D9B" w:rsidP="002D4B12">
            <w:pPr>
              <w:spacing w:line="240" w:lineRule="auto"/>
              <w:jc w:val="center"/>
              <w:rPr>
                <w:rFonts w:eastAsia="Times New Roman"/>
                <w:sz w:val="20"/>
                <w:szCs w:val="20"/>
                <w:lang w:eastAsia="cs-CZ"/>
              </w:rPr>
            </w:pPr>
            <w:r w:rsidRPr="002D4B12">
              <w:rPr>
                <w:rFonts w:eastAsia="Times New Roman"/>
                <w:sz w:val="20"/>
                <w:szCs w:val="20"/>
                <w:lang w:eastAsia="cs-CZ"/>
              </w:rPr>
              <w:t>-6,5 p.b.</w:t>
            </w:r>
          </w:p>
        </w:tc>
      </w:tr>
      <w:tr w:rsidR="00F15667" w:rsidRPr="002D4B12" w14:paraId="6BCBE4EC"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158E861F" w14:textId="77777777" w:rsidR="00883D9B" w:rsidRPr="002D4B12" w:rsidRDefault="00883D9B" w:rsidP="002D4B12">
            <w:pPr>
              <w:spacing w:line="240" w:lineRule="auto"/>
              <w:jc w:val="left"/>
              <w:rPr>
                <w:rFonts w:eastAsia="Times New Roman"/>
                <w:szCs w:val="24"/>
                <w:lang w:eastAsia="cs-CZ"/>
              </w:rPr>
            </w:pPr>
            <w:r w:rsidRPr="002D4B12">
              <w:rPr>
                <w:rFonts w:eastAsia="Times New Roman"/>
                <w:szCs w:val="24"/>
                <w:lang w:eastAsia="cs-CZ"/>
              </w:rPr>
              <w:t>KS Plzeň</w:t>
            </w:r>
          </w:p>
        </w:tc>
        <w:tc>
          <w:tcPr>
            <w:tcW w:w="1898" w:type="dxa"/>
            <w:tcBorders>
              <w:top w:val="nil"/>
              <w:left w:val="nil"/>
              <w:bottom w:val="single" w:sz="4" w:space="0" w:color="auto"/>
              <w:right w:val="nil"/>
            </w:tcBorders>
            <w:shd w:val="clear" w:color="auto" w:fill="auto"/>
            <w:noWrap/>
            <w:vAlign w:val="center"/>
            <w:hideMark/>
          </w:tcPr>
          <w:p w14:paraId="17BC064A" w14:textId="6A73E386" w:rsidR="00883D9B" w:rsidRPr="002D4B12" w:rsidRDefault="00883D9B" w:rsidP="002D4B12">
            <w:pPr>
              <w:spacing w:line="240" w:lineRule="auto"/>
              <w:jc w:val="center"/>
              <w:rPr>
                <w:rFonts w:eastAsia="Times New Roman"/>
                <w:szCs w:val="24"/>
                <w:lang w:eastAsia="cs-CZ"/>
              </w:rPr>
            </w:pPr>
            <w:r w:rsidRPr="002D4B12">
              <w:rPr>
                <w:rFonts w:eastAsia="Times New Roman"/>
                <w:szCs w:val="24"/>
                <w:lang w:eastAsia="cs-CZ"/>
              </w:rPr>
              <w:t>47,93</w:t>
            </w:r>
            <w:r w:rsidR="00AB70E4" w:rsidRPr="002D4B12">
              <w:rPr>
                <w:rFonts w:eastAsia="Times New Roman"/>
                <w:szCs w:val="24"/>
                <w:lang w:eastAsia="cs-CZ"/>
              </w:rPr>
              <w:t xml:space="preserve"> %</w:t>
            </w:r>
          </w:p>
        </w:tc>
        <w:tc>
          <w:tcPr>
            <w:tcW w:w="1559" w:type="dxa"/>
            <w:tcBorders>
              <w:top w:val="nil"/>
              <w:left w:val="nil"/>
              <w:bottom w:val="single" w:sz="4" w:space="0" w:color="auto"/>
              <w:right w:val="nil"/>
            </w:tcBorders>
            <w:shd w:val="clear" w:color="auto" w:fill="auto"/>
            <w:noWrap/>
            <w:vAlign w:val="center"/>
            <w:hideMark/>
          </w:tcPr>
          <w:p w14:paraId="234A131C" w14:textId="327F9110" w:rsidR="00883D9B" w:rsidRPr="002D4B12" w:rsidRDefault="00883D9B" w:rsidP="002D4B12">
            <w:pPr>
              <w:spacing w:line="240" w:lineRule="auto"/>
              <w:jc w:val="center"/>
              <w:rPr>
                <w:rFonts w:eastAsia="Times New Roman"/>
                <w:sz w:val="20"/>
                <w:szCs w:val="20"/>
                <w:lang w:eastAsia="cs-CZ"/>
              </w:rPr>
            </w:pPr>
            <w:r w:rsidRPr="002D4B12">
              <w:rPr>
                <w:rFonts w:eastAsia="Times New Roman"/>
                <w:sz w:val="20"/>
                <w:szCs w:val="20"/>
                <w:lang w:eastAsia="cs-CZ"/>
              </w:rPr>
              <w:t>-6,3 p.b.</w:t>
            </w:r>
          </w:p>
        </w:tc>
      </w:tr>
      <w:tr w:rsidR="00F15667" w:rsidRPr="002D4B12" w14:paraId="58EA93B5"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081A2414" w14:textId="77777777" w:rsidR="00883D9B" w:rsidRPr="002D4B12" w:rsidRDefault="00883D9B" w:rsidP="002D4B12">
            <w:pPr>
              <w:spacing w:line="240" w:lineRule="auto"/>
              <w:jc w:val="left"/>
              <w:rPr>
                <w:rFonts w:eastAsia="Times New Roman"/>
                <w:szCs w:val="24"/>
                <w:lang w:eastAsia="cs-CZ"/>
              </w:rPr>
            </w:pPr>
            <w:r w:rsidRPr="002D4B12">
              <w:rPr>
                <w:rFonts w:eastAsia="Times New Roman"/>
                <w:szCs w:val="24"/>
                <w:lang w:eastAsia="cs-CZ"/>
              </w:rPr>
              <w:t>KS Ústí n. Labem</w:t>
            </w:r>
          </w:p>
        </w:tc>
        <w:tc>
          <w:tcPr>
            <w:tcW w:w="1898" w:type="dxa"/>
            <w:tcBorders>
              <w:top w:val="nil"/>
              <w:left w:val="nil"/>
              <w:bottom w:val="single" w:sz="4" w:space="0" w:color="auto"/>
              <w:right w:val="nil"/>
            </w:tcBorders>
            <w:shd w:val="clear" w:color="auto" w:fill="auto"/>
            <w:noWrap/>
            <w:vAlign w:val="center"/>
            <w:hideMark/>
          </w:tcPr>
          <w:p w14:paraId="6DE6CDEF" w14:textId="5F04572E" w:rsidR="00883D9B" w:rsidRPr="002D4B12" w:rsidRDefault="00883D9B" w:rsidP="002D4B12">
            <w:pPr>
              <w:spacing w:line="240" w:lineRule="auto"/>
              <w:jc w:val="center"/>
              <w:rPr>
                <w:rFonts w:eastAsia="Times New Roman"/>
                <w:szCs w:val="24"/>
                <w:lang w:eastAsia="cs-CZ"/>
              </w:rPr>
            </w:pPr>
            <w:r w:rsidRPr="002D4B12">
              <w:rPr>
                <w:rFonts w:eastAsia="Times New Roman"/>
                <w:szCs w:val="24"/>
                <w:lang w:eastAsia="cs-CZ"/>
              </w:rPr>
              <w:t>52,91</w:t>
            </w:r>
            <w:r w:rsidR="00AB70E4" w:rsidRPr="002D4B12">
              <w:rPr>
                <w:rFonts w:eastAsia="Times New Roman"/>
                <w:szCs w:val="24"/>
                <w:lang w:eastAsia="cs-CZ"/>
              </w:rPr>
              <w:t xml:space="preserve"> %</w:t>
            </w:r>
          </w:p>
        </w:tc>
        <w:tc>
          <w:tcPr>
            <w:tcW w:w="1559" w:type="dxa"/>
            <w:tcBorders>
              <w:top w:val="nil"/>
              <w:left w:val="nil"/>
              <w:bottom w:val="single" w:sz="4" w:space="0" w:color="auto"/>
              <w:right w:val="nil"/>
            </w:tcBorders>
            <w:shd w:val="clear" w:color="auto" w:fill="auto"/>
            <w:noWrap/>
            <w:vAlign w:val="center"/>
            <w:hideMark/>
          </w:tcPr>
          <w:p w14:paraId="4A772C48" w14:textId="36119669" w:rsidR="00883D9B" w:rsidRPr="002D4B12" w:rsidRDefault="00883D9B" w:rsidP="002D4B12">
            <w:pPr>
              <w:spacing w:line="240" w:lineRule="auto"/>
              <w:jc w:val="center"/>
              <w:rPr>
                <w:rFonts w:eastAsia="Times New Roman"/>
                <w:sz w:val="20"/>
                <w:szCs w:val="20"/>
                <w:lang w:eastAsia="cs-CZ"/>
              </w:rPr>
            </w:pPr>
            <w:r w:rsidRPr="002D4B12">
              <w:rPr>
                <w:rFonts w:eastAsia="Times New Roman"/>
                <w:sz w:val="20"/>
                <w:szCs w:val="20"/>
                <w:lang w:eastAsia="cs-CZ"/>
              </w:rPr>
              <w:t>-2,9 p.b.</w:t>
            </w:r>
          </w:p>
        </w:tc>
      </w:tr>
      <w:tr w:rsidR="00F15667" w:rsidRPr="002D4B12" w14:paraId="46968E5E"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3A316085" w14:textId="77777777" w:rsidR="00883D9B" w:rsidRPr="002D4B12" w:rsidRDefault="00883D9B" w:rsidP="002D4B12">
            <w:pPr>
              <w:spacing w:line="240" w:lineRule="auto"/>
              <w:jc w:val="left"/>
              <w:rPr>
                <w:rFonts w:eastAsia="Times New Roman"/>
                <w:szCs w:val="24"/>
                <w:lang w:eastAsia="cs-CZ"/>
              </w:rPr>
            </w:pPr>
            <w:r w:rsidRPr="002D4B12">
              <w:rPr>
                <w:rFonts w:eastAsia="Times New Roman"/>
                <w:szCs w:val="24"/>
                <w:lang w:eastAsia="cs-CZ"/>
              </w:rPr>
              <w:t>KS Hr. Králové</w:t>
            </w:r>
          </w:p>
        </w:tc>
        <w:tc>
          <w:tcPr>
            <w:tcW w:w="1898" w:type="dxa"/>
            <w:tcBorders>
              <w:top w:val="nil"/>
              <w:left w:val="nil"/>
              <w:bottom w:val="single" w:sz="4" w:space="0" w:color="auto"/>
              <w:right w:val="nil"/>
            </w:tcBorders>
            <w:shd w:val="clear" w:color="auto" w:fill="auto"/>
            <w:noWrap/>
            <w:vAlign w:val="center"/>
            <w:hideMark/>
          </w:tcPr>
          <w:p w14:paraId="13509906" w14:textId="16FD09B5" w:rsidR="00883D9B" w:rsidRPr="002D4B12" w:rsidRDefault="00883D9B" w:rsidP="002D4B12">
            <w:pPr>
              <w:spacing w:line="240" w:lineRule="auto"/>
              <w:jc w:val="center"/>
              <w:rPr>
                <w:rFonts w:eastAsia="Times New Roman"/>
                <w:szCs w:val="24"/>
                <w:lang w:eastAsia="cs-CZ"/>
              </w:rPr>
            </w:pPr>
            <w:r w:rsidRPr="002D4B12">
              <w:rPr>
                <w:rFonts w:eastAsia="Times New Roman"/>
                <w:szCs w:val="24"/>
                <w:lang w:eastAsia="cs-CZ"/>
              </w:rPr>
              <w:t>25,75</w:t>
            </w:r>
            <w:r w:rsidR="00AB70E4" w:rsidRPr="002D4B12">
              <w:rPr>
                <w:rFonts w:eastAsia="Times New Roman"/>
                <w:szCs w:val="24"/>
                <w:lang w:eastAsia="cs-CZ"/>
              </w:rPr>
              <w:t xml:space="preserve"> %</w:t>
            </w:r>
          </w:p>
        </w:tc>
        <w:tc>
          <w:tcPr>
            <w:tcW w:w="1559" w:type="dxa"/>
            <w:tcBorders>
              <w:top w:val="nil"/>
              <w:left w:val="nil"/>
              <w:bottom w:val="single" w:sz="4" w:space="0" w:color="auto"/>
              <w:right w:val="nil"/>
            </w:tcBorders>
            <w:shd w:val="clear" w:color="auto" w:fill="auto"/>
            <w:noWrap/>
            <w:vAlign w:val="center"/>
            <w:hideMark/>
          </w:tcPr>
          <w:p w14:paraId="160B3254" w14:textId="0A904F9F" w:rsidR="00883D9B" w:rsidRPr="002D4B12" w:rsidRDefault="00883D9B" w:rsidP="002D4B12">
            <w:pPr>
              <w:spacing w:line="240" w:lineRule="auto"/>
              <w:jc w:val="center"/>
              <w:rPr>
                <w:rFonts w:eastAsia="Times New Roman"/>
                <w:sz w:val="20"/>
                <w:szCs w:val="20"/>
                <w:lang w:eastAsia="cs-CZ"/>
              </w:rPr>
            </w:pPr>
            <w:r w:rsidRPr="002D4B12">
              <w:rPr>
                <w:rFonts w:eastAsia="Times New Roman"/>
                <w:sz w:val="20"/>
                <w:szCs w:val="20"/>
                <w:lang w:eastAsia="cs-CZ"/>
              </w:rPr>
              <w:t>-5,2 p.b.</w:t>
            </w:r>
          </w:p>
        </w:tc>
      </w:tr>
      <w:tr w:rsidR="00F15667" w:rsidRPr="002D4B12" w14:paraId="35BC54F4" w14:textId="77777777" w:rsidTr="002D4B12">
        <w:trPr>
          <w:trHeight w:val="315"/>
        </w:trPr>
        <w:tc>
          <w:tcPr>
            <w:tcW w:w="2780" w:type="dxa"/>
            <w:tcBorders>
              <w:top w:val="nil"/>
              <w:left w:val="nil"/>
              <w:bottom w:val="single" w:sz="4" w:space="0" w:color="auto"/>
              <w:right w:val="nil"/>
            </w:tcBorders>
            <w:shd w:val="clear" w:color="auto" w:fill="auto"/>
            <w:noWrap/>
            <w:vAlign w:val="center"/>
            <w:hideMark/>
          </w:tcPr>
          <w:p w14:paraId="18E07B6D" w14:textId="77777777" w:rsidR="00883D9B" w:rsidRPr="002D4B12" w:rsidRDefault="00883D9B" w:rsidP="002D4B12">
            <w:pPr>
              <w:spacing w:line="240" w:lineRule="auto"/>
              <w:jc w:val="left"/>
              <w:rPr>
                <w:rFonts w:eastAsia="Times New Roman"/>
                <w:szCs w:val="24"/>
                <w:lang w:eastAsia="cs-CZ"/>
              </w:rPr>
            </w:pPr>
            <w:r w:rsidRPr="002D4B12">
              <w:rPr>
                <w:rFonts w:eastAsia="Times New Roman"/>
                <w:szCs w:val="24"/>
                <w:lang w:eastAsia="cs-CZ"/>
              </w:rPr>
              <w:t>KS Brno</w:t>
            </w:r>
          </w:p>
        </w:tc>
        <w:tc>
          <w:tcPr>
            <w:tcW w:w="1898" w:type="dxa"/>
            <w:tcBorders>
              <w:top w:val="nil"/>
              <w:left w:val="nil"/>
              <w:bottom w:val="single" w:sz="4" w:space="0" w:color="auto"/>
              <w:right w:val="nil"/>
            </w:tcBorders>
            <w:shd w:val="clear" w:color="auto" w:fill="auto"/>
            <w:noWrap/>
            <w:vAlign w:val="center"/>
            <w:hideMark/>
          </w:tcPr>
          <w:p w14:paraId="76EBBED0" w14:textId="7804C083" w:rsidR="00883D9B" w:rsidRPr="002D4B12" w:rsidRDefault="00883D9B" w:rsidP="002D4B12">
            <w:pPr>
              <w:spacing w:line="240" w:lineRule="auto"/>
              <w:jc w:val="center"/>
              <w:rPr>
                <w:rFonts w:eastAsia="Times New Roman"/>
                <w:szCs w:val="24"/>
                <w:lang w:eastAsia="cs-CZ"/>
              </w:rPr>
            </w:pPr>
            <w:r w:rsidRPr="002D4B12">
              <w:rPr>
                <w:rFonts w:eastAsia="Times New Roman"/>
                <w:szCs w:val="24"/>
                <w:lang w:eastAsia="cs-CZ"/>
              </w:rPr>
              <w:t>27,88</w:t>
            </w:r>
            <w:r w:rsidR="00AB70E4" w:rsidRPr="002D4B12">
              <w:rPr>
                <w:rFonts w:eastAsia="Times New Roman"/>
                <w:szCs w:val="24"/>
                <w:lang w:eastAsia="cs-CZ"/>
              </w:rPr>
              <w:t xml:space="preserve"> %</w:t>
            </w:r>
          </w:p>
        </w:tc>
        <w:tc>
          <w:tcPr>
            <w:tcW w:w="1559" w:type="dxa"/>
            <w:tcBorders>
              <w:top w:val="nil"/>
              <w:left w:val="nil"/>
              <w:bottom w:val="single" w:sz="4" w:space="0" w:color="auto"/>
              <w:right w:val="nil"/>
            </w:tcBorders>
            <w:shd w:val="clear" w:color="auto" w:fill="auto"/>
            <w:noWrap/>
            <w:vAlign w:val="center"/>
            <w:hideMark/>
          </w:tcPr>
          <w:p w14:paraId="4D0436EF" w14:textId="2A9B811C" w:rsidR="00883D9B" w:rsidRPr="002D4B12" w:rsidRDefault="00883D9B" w:rsidP="002D4B12">
            <w:pPr>
              <w:spacing w:line="240" w:lineRule="auto"/>
              <w:jc w:val="center"/>
              <w:rPr>
                <w:rFonts w:eastAsia="Times New Roman"/>
                <w:sz w:val="20"/>
                <w:szCs w:val="20"/>
                <w:lang w:eastAsia="cs-CZ"/>
              </w:rPr>
            </w:pPr>
            <w:r w:rsidRPr="002D4B12">
              <w:rPr>
                <w:rFonts w:eastAsia="Times New Roman"/>
                <w:sz w:val="20"/>
                <w:szCs w:val="20"/>
                <w:lang w:eastAsia="cs-CZ"/>
              </w:rPr>
              <w:t>-5,8 p.b.</w:t>
            </w:r>
          </w:p>
        </w:tc>
      </w:tr>
      <w:tr w:rsidR="00F15667" w:rsidRPr="002D4B12" w14:paraId="59920000" w14:textId="77777777" w:rsidTr="002D4B12">
        <w:trPr>
          <w:trHeight w:val="330"/>
        </w:trPr>
        <w:tc>
          <w:tcPr>
            <w:tcW w:w="2780" w:type="dxa"/>
            <w:tcBorders>
              <w:top w:val="nil"/>
              <w:left w:val="nil"/>
              <w:bottom w:val="double" w:sz="6" w:space="0" w:color="auto"/>
              <w:right w:val="nil"/>
            </w:tcBorders>
            <w:shd w:val="clear" w:color="auto" w:fill="auto"/>
            <w:noWrap/>
            <w:vAlign w:val="center"/>
            <w:hideMark/>
          </w:tcPr>
          <w:p w14:paraId="1513DE39" w14:textId="77777777" w:rsidR="00883D9B" w:rsidRPr="002D4B12" w:rsidRDefault="00883D9B" w:rsidP="002D4B12">
            <w:pPr>
              <w:spacing w:line="240" w:lineRule="auto"/>
              <w:jc w:val="left"/>
              <w:rPr>
                <w:rFonts w:eastAsia="Times New Roman"/>
                <w:szCs w:val="24"/>
                <w:lang w:eastAsia="cs-CZ"/>
              </w:rPr>
            </w:pPr>
            <w:r w:rsidRPr="002D4B12">
              <w:rPr>
                <w:rFonts w:eastAsia="Times New Roman"/>
                <w:szCs w:val="24"/>
                <w:lang w:eastAsia="cs-CZ"/>
              </w:rPr>
              <w:t>KS Ostrava</w:t>
            </w:r>
          </w:p>
        </w:tc>
        <w:tc>
          <w:tcPr>
            <w:tcW w:w="1898" w:type="dxa"/>
            <w:tcBorders>
              <w:top w:val="nil"/>
              <w:left w:val="nil"/>
              <w:bottom w:val="double" w:sz="6" w:space="0" w:color="auto"/>
              <w:right w:val="nil"/>
            </w:tcBorders>
            <w:shd w:val="clear" w:color="auto" w:fill="auto"/>
            <w:noWrap/>
            <w:vAlign w:val="center"/>
            <w:hideMark/>
          </w:tcPr>
          <w:p w14:paraId="3640F26C" w14:textId="4AEDBFED" w:rsidR="00883D9B" w:rsidRPr="002D4B12" w:rsidRDefault="00883D9B" w:rsidP="002D4B12">
            <w:pPr>
              <w:spacing w:line="240" w:lineRule="auto"/>
              <w:jc w:val="center"/>
              <w:rPr>
                <w:rFonts w:eastAsia="Times New Roman"/>
                <w:szCs w:val="24"/>
                <w:lang w:eastAsia="cs-CZ"/>
              </w:rPr>
            </w:pPr>
            <w:r w:rsidRPr="002D4B12">
              <w:rPr>
                <w:rFonts w:eastAsia="Times New Roman"/>
                <w:szCs w:val="24"/>
                <w:lang w:eastAsia="cs-CZ"/>
              </w:rPr>
              <w:t>44,15</w:t>
            </w:r>
            <w:r w:rsidR="00AB70E4" w:rsidRPr="002D4B12">
              <w:rPr>
                <w:rFonts w:eastAsia="Times New Roman"/>
                <w:szCs w:val="24"/>
                <w:lang w:eastAsia="cs-CZ"/>
              </w:rPr>
              <w:t xml:space="preserve"> %</w:t>
            </w:r>
          </w:p>
        </w:tc>
        <w:tc>
          <w:tcPr>
            <w:tcW w:w="1559" w:type="dxa"/>
            <w:tcBorders>
              <w:top w:val="nil"/>
              <w:left w:val="nil"/>
              <w:bottom w:val="double" w:sz="6" w:space="0" w:color="auto"/>
              <w:right w:val="nil"/>
            </w:tcBorders>
            <w:shd w:val="clear" w:color="auto" w:fill="auto"/>
            <w:noWrap/>
            <w:vAlign w:val="center"/>
            <w:hideMark/>
          </w:tcPr>
          <w:p w14:paraId="74A0D82C" w14:textId="75EC5155" w:rsidR="00883D9B" w:rsidRPr="002D4B12" w:rsidRDefault="00883D9B" w:rsidP="002D4B12">
            <w:pPr>
              <w:spacing w:line="240" w:lineRule="auto"/>
              <w:jc w:val="center"/>
              <w:rPr>
                <w:rFonts w:eastAsia="Times New Roman"/>
                <w:sz w:val="20"/>
                <w:szCs w:val="20"/>
                <w:lang w:eastAsia="cs-CZ"/>
              </w:rPr>
            </w:pPr>
            <w:r w:rsidRPr="002D4B12">
              <w:rPr>
                <w:rFonts w:eastAsia="Times New Roman"/>
                <w:sz w:val="20"/>
                <w:szCs w:val="20"/>
                <w:lang w:eastAsia="cs-CZ"/>
              </w:rPr>
              <w:t>-1,0 p.b.</w:t>
            </w:r>
          </w:p>
        </w:tc>
      </w:tr>
      <w:tr w:rsidR="00F15667" w:rsidRPr="002D4B12" w14:paraId="0EAD6E77" w14:textId="77777777" w:rsidTr="002D4B12">
        <w:trPr>
          <w:trHeight w:val="345"/>
        </w:trPr>
        <w:tc>
          <w:tcPr>
            <w:tcW w:w="2780" w:type="dxa"/>
            <w:tcBorders>
              <w:top w:val="nil"/>
              <w:left w:val="nil"/>
              <w:bottom w:val="double" w:sz="6" w:space="0" w:color="auto"/>
              <w:right w:val="nil"/>
            </w:tcBorders>
            <w:shd w:val="clear" w:color="auto" w:fill="auto"/>
            <w:noWrap/>
            <w:vAlign w:val="center"/>
            <w:hideMark/>
          </w:tcPr>
          <w:p w14:paraId="5116EF1E" w14:textId="77777777" w:rsidR="00883D9B" w:rsidRPr="002D4B12" w:rsidRDefault="00883D9B" w:rsidP="002D4B12">
            <w:pPr>
              <w:spacing w:line="240" w:lineRule="auto"/>
              <w:jc w:val="left"/>
              <w:rPr>
                <w:rFonts w:eastAsia="Times New Roman"/>
                <w:b/>
                <w:bCs/>
                <w:szCs w:val="24"/>
                <w:lang w:eastAsia="cs-CZ"/>
              </w:rPr>
            </w:pPr>
            <w:r w:rsidRPr="002D4B12">
              <w:rPr>
                <w:rFonts w:eastAsia="Times New Roman"/>
                <w:b/>
                <w:bCs/>
                <w:szCs w:val="24"/>
                <w:lang w:eastAsia="cs-CZ"/>
              </w:rPr>
              <w:t>Celkem ČR</w:t>
            </w:r>
          </w:p>
        </w:tc>
        <w:tc>
          <w:tcPr>
            <w:tcW w:w="1898" w:type="dxa"/>
            <w:tcBorders>
              <w:top w:val="nil"/>
              <w:left w:val="nil"/>
              <w:bottom w:val="double" w:sz="6" w:space="0" w:color="auto"/>
              <w:right w:val="nil"/>
            </w:tcBorders>
            <w:shd w:val="clear" w:color="auto" w:fill="auto"/>
            <w:noWrap/>
            <w:vAlign w:val="center"/>
            <w:hideMark/>
          </w:tcPr>
          <w:p w14:paraId="77E03A0C" w14:textId="0369FDF2" w:rsidR="00883D9B" w:rsidRPr="002D4B12" w:rsidRDefault="00883D9B" w:rsidP="002D4B12">
            <w:pPr>
              <w:spacing w:line="240" w:lineRule="auto"/>
              <w:jc w:val="center"/>
              <w:rPr>
                <w:rFonts w:eastAsia="Times New Roman"/>
                <w:b/>
                <w:bCs/>
                <w:szCs w:val="24"/>
                <w:lang w:eastAsia="cs-CZ"/>
              </w:rPr>
            </w:pPr>
            <w:r w:rsidRPr="002D4B12">
              <w:rPr>
                <w:rFonts w:eastAsia="Times New Roman"/>
                <w:b/>
                <w:bCs/>
                <w:szCs w:val="24"/>
                <w:lang w:eastAsia="cs-CZ"/>
              </w:rPr>
              <w:t>39,89</w:t>
            </w:r>
            <w:r w:rsidR="00AB70E4" w:rsidRPr="002D4B12">
              <w:rPr>
                <w:rFonts w:eastAsia="Times New Roman"/>
                <w:b/>
                <w:bCs/>
                <w:szCs w:val="24"/>
                <w:lang w:eastAsia="cs-CZ"/>
              </w:rPr>
              <w:t xml:space="preserve"> %</w:t>
            </w:r>
          </w:p>
        </w:tc>
        <w:tc>
          <w:tcPr>
            <w:tcW w:w="1559" w:type="dxa"/>
            <w:tcBorders>
              <w:top w:val="nil"/>
              <w:left w:val="nil"/>
              <w:bottom w:val="double" w:sz="6" w:space="0" w:color="auto"/>
              <w:right w:val="nil"/>
            </w:tcBorders>
            <w:shd w:val="clear" w:color="auto" w:fill="auto"/>
            <w:noWrap/>
            <w:vAlign w:val="center"/>
            <w:hideMark/>
          </w:tcPr>
          <w:p w14:paraId="701FCAA1" w14:textId="420142B0" w:rsidR="00883D9B" w:rsidRPr="002D4B12" w:rsidRDefault="00883D9B" w:rsidP="002D4B12">
            <w:pPr>
              <w:spacing w:line="240" w:lineRule="auto"/>
              <w:jc w:val="center"/>
              <w:rPr>
                <w:rFonts w:eastAsia="Times New Roman"/>
                <w:b/>
                <w:bCs/>
                <w:sz w:val="20"/>
                <w:szCs w:val="20"/>
                <w:lang w:eastAsia="cs-CZ"/>
              </w:rPr>
            </w:pPr>
            <w:r w:rsidRPr="002D4B12">
              <w:rPr>
                <w:rFonts w:eastAsia="Times New Roman"/>
                <w:b/>
                <w:bCs/>
                <w:sz w:val="20"/>
                <w:szCs w:val="20"/>
                <w:lang w:eastAsia="cs-CZ"/>
              </w:rPr>
              <w:t>-4,2 p.b.</w:t>
            </w:r>
          </w:p>
        </w:tc>
      </w:tr>
      <w:tr w:rsidR="00F15667" w:rsidRPr="002D4B12" w14:paraId="37DA62C7" w14:textId="77777777" w:rsidTr="002D4B12">
        <w:trPr>
          <w:trHeight w:val="330"/>
        </w:trPr>
        <w:tc>
          <w:tcPr>
            <w:tcW w:w="2780" w:type="dxa"/>
            <w:tcBorders>
              <w:top w:val="nil"/>
              <w:left w:val="nil"/>
              <w:bottom w:val="nil"/>
              <w:right w:val="nil"/>
            </w:tcBorders>
            <w:shd w:val="clear" w:color="auto" w:fill="auto"/>
            <w:noWrap/>
            <w:vAlign w:val="center"/>
            <w:hideMark/>
          </w:tcPr>
          <w:p w14:paraId="2E7374F8" w14:textId="77777777" w:rsidR="00883D9B" w:rsidRPr="002D4B12" w:rsidRDefault="00883D9B" w:rsidP="002D4B12">
            <w:pPr>
              <w:spacing w:line="240" w:lineRule="auto"/>
              <w:jc w:val="center"/>
              <w:rPr>
                <w:rFonts w:eastAsia="Times New Roman"/>
                <w:b/>
                <w:bCs/>
                <w:sz w:val="20"/>
                <w:szCs w:val="20"/>
                <w:lang w:eastAsia="cs-CZ"/>
              </w:rPr>
            </w:pPr>
          </w:p>
        </w:tc>
        <w:tc>
          <w:tcPr>
            <w:tcW w:w="1898" w:type="dxa"/>
            <w:tcBorders>
              <w:top w:val="nil"/>
              <w:left w:val="nil"/>
              <w:bottom w:val="nil"/>
              <w:right w:val="nil"/>
            </w:tcBorders>
            <w:shd w:val="clear" w:color="auto" w:fill="auto"/>
            <w:noWrap/>
            <w:vAlign w:val="center"/>
            <w:hideMark/>
          </w:tcPr>
          <w:p w14:paraId="1E5B083E" w14:textId="77777777" w:rsidR="00883D9B" w:rsidRPr="002D4B12" w:rsidRDefault="00883D9B" w:rsidP="002D4B12">
            <w:pPr>
              <w:spacing w:line="240" w:lineRule="auto"/>
              <w:jc w:val="center"/>
              <w:rPr>
                <w:rFonts w:eastAsia="Times New Roman"/>
                <w:sz w:val="20"/>
                <w:szCs w:val="20"/>
                <w:lang w:eastAsia="cs-CZ"/>
              </w:rPr>
            </w:pPr>
          </w:p>
        </w:tc>
        <w:tc>
          <w:tcPr>
            <w:tcW w:w="1559" w:type="dxa"/>
            <w:tcBorders>
              <w:top w:val="nil"/>
              <w:left w:val="nil"/>
              <w:bottom w:val="nil"/>
              <w:right w:val="nil"/>
            </w:tcBorders>
            <w:shd w:val="clear" w:color="auto" w:fill="auto"/>
            <w:noWrap/>
            <w:vAlign w:val="center"/>
            <w:hideMark/>
          </w:tcPr>
          <w:p w14:paraId="2557E434" w14:textId="77777777" w:rsidR="00883D9B" w:rsidRPr="002D4B12" w:rsidRDefault="00883D9B" w:rsidP="002D4B12">
            <w:pPr>
              <w:spacing w:line="240" w:lineRule="auto"/>
              <w:jc w:val="center"/>
              <w:rPr>
                <w:rFonts w:eastAsia="Times New Roman"/>
                <w:sz w:val="20"/>
                <w:szCs w:val="20"/>
                <w:lang w:eastAsia="cs-CZ"/>
              </w:rPr>
            </w:pPr>
          </w:p>
        </w:tc>
      </w:tr>
    </w:tbl>
    <w:p w14:paraId="472CB5B4" w14:textId="40A00EA4" w:rsidR="005B1522" w:rsidRPr="002D4B12" w:rsidRDefault="005B1522" w:rsidP="005B1522">
      <w:pPr>
        <w:pStyle w:val="OdstavecASR"/>
      </w:pPr>
      <w:bookmarkStart w:id="368" w:name="_Hlk160434305"/>
      <w:r w:rsidRPr="002D4B12">
        <w:t>Jak vidíme, celkem za ČR se míra změny rozsudku oproti roku 2021 klesla. Nejnižší byla ve Východočeském kraji, nejvyšší zůstává v Severočeském a Západočeském kraji.</w:t>
      </w:r>
    </w:p>
    <w:p w14:paraId="19439D86" w14:textId="1947A968" w:rsidR="005B1522" w:rsidRPr="002D4B12" w:rsidRDefault="005B1522" w:rsidP="005B1522">
      <w:pPr>
        <w:pStyle w:val="OdstavecASR"/>
      </w:pPr>
      <w:bookmarkStart w:id="369" w:name="_Hlk160434515"/>
      <w:r w:rsidRPr="002D4B12">
        <w:t xml:space="preserve">Z okresních soudů má nejnižší míru změny rozsudku OS </w:t>
      </w:r>
      <w:r w:rsidR="001F2C83">
        <w:t>Jičín</w:t>
      </w:r>
      <w:r w:rsidRPr="002D4B12">
        <w:t xml:space="preserve"> (12,79 %). Následují OS</w:t>
      </w:r>
      <w:r w:rsidR="002D4B12">
        <w:t> </w:t>
      </w:r>
      <w:r w:rsidRPr="002D4B12">
        <w:t>Náchod (14,52 %) a OS Žďár nad Sázavou (16,67 %). Na druhém konci se nacházejí OS Liberec (65,58 %), OS Praha 2 (66,67 %) a OS Havlíčkův Brod (75 %).</w:t>
      </w:r>
    </w:p>
    <w:p w14:paraId="51FEDD11" w14:textId="0A3730A4" w:rsidR="005B1522" w:rsidRPr="002D4B12" w:rsidRDefault="005B1522" w:rsidP="005B1522">
      <w:pPr>
        <w:pStyle w:val="Podnadpis"/>
        <w:rPr>
          <w:color w:val="auto"/>
        </w:rPr>
      </w:pPr>
      <w:bookmarkStart w:id="370" w:name="_Toc515871362"/>
      <w:bookmarkStart w:id="371" w:name="_Toc11135096"/>
      <w:bookmarkStart w:id="372" w:name="_Toc43841410"/>
      <w:bookmarkStart w:id="373" w:name="_Toc75952213"/>
      <w:bookmarkStart w:id="374" w:name="_Toc106106665"/>
      <w:bookmarkStart w:id="375" w:name="_Toc109801989"/>
      <w:bookmarkStart w:id="376" w:name="_Toc144104142"/>
      <w:bookmarkStart w:id="377" w:name="_Hlk160435589"/>
      <w:bookmarkEnd w:id="368"/>
      <w:bookmarkEnd w:id="369"/>
      <w:r w:rsidRPr="002D4B12">
        <w:rPr>
          <w:color w:val="auto"/>
        </w:rPr>
        <w:lastRenderedPageBreak/>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30</w:t>
      </w:r>
      <w:r w:rsidR="009A10E2" w:rsidRPr="002D4B12">
        <w:rPr>
          <w:color w:val="auto"/>
        </w:rPr>
        <w:fldChar w:fldCharType="end"/>
      </w:r>
      <w:r w:rsidRPr="002D4B12">
        <w:rPr>
          <w:color w:val="auto"/>
        </w:rPr>
        <w:t>: OS – míra změny rozsudku u jednotlivých soudů v trestním řízení</w:t>
      </w:r>
      <w:bookmarkEnd w:id="370"/>
      <w:bookmarkEnd w:id="371"/>
      <w:bookmarkEnd w:id="372"/>
      <w:bookmarkEnd w:id="373"/>
      <w:bookmarkEnd w:id="374"/>
      <w:bookmarkEnd w:id="375"/>
      <w:bookmarkEnd w:id="376"/>
    </w:p>
    <w:bookmarkEnd w:id="377"/>
    <w:p w14:paraId="5A41EB36" w14:textId="1C25E33C" w:rsidR="002A77E3" w:rsidRPr="002D4B12" w:rsidRDefault="001B49E5" w:rsidP="002D4B12">
      <w:pPr>
        <w:pStyle w:val="OdstavecASR"/>
      </w:pPr>
      <w:r w:rsidRPr="002D4B12">
        <w:rPr>
          <w:noProof/>
          <w:lang w:eastAsia="cs-CZ"/>
        </w:rPr>
        <w:drawing>
          <wp:anchor distT="0" distB="0" distL="114300" distR="114300" simplePos="0" relativeHeight="251673600" behindDoc="0" locked="0" layoutInCell="1" allowOverlap="1" wp14:anchorId="6A14044C" wp14:editId="3DEF4760">
            <wp:simplePos x="0" y="0"/>
            <wp:positionH relativeFrom="margin">
              <wp:posOffset>4505960</wp:posOffset>
            </wp:positionH>
            <wp:positionV relativeFrom="paragraph">
              <wp:posOffset>48895</wp:posOffset>
            </wp:positionV>
            <wp:extent cx="1228725" cy="893618"/>
            <wp:effectExtent l="0" t="0" r="0" b="1905"/>
            <wp:wrapNone/>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28725" cy="8936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5CA3" w:rsidRPr="002D4B12">
        <w:rPr>
          <w:noProof/>
          <w:lang w:eastAsia="cs-CZ"/>
        </w:rPr>
        <w:drawing>
          <wp:inline distT="0" distB="0" distL="0" distR="0" wp14:anchorId="64965E3A" wp14:editId="2AC67DA9">
            <wp:extent cx="5759450" cy="3296285"/>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1A39DEE5" w14:textId="6C0FAB28" w:rsidR="001B49E5" w:rsidRPr="002D4B12" w:rsidRDefault="001B49E5" w:rsidP="001B49E5">
      <w:pPr>
        <w:pStyle w:val="OdstavecASR"/>
      </w:pPr>
      <w:bookmarkStart w:id="378" w:name="_Hlk160435855"/>
      <w:r w:rsidRPr="002D4B12">
        <w:t>Nakonec ještě krátce porovnáme rok 2022 s roky předešlými pomocí ukazatele Míra celkové změny rozsudku za ČR (nezaměňovat s ukazatelem Míra změny rozsudku, viz definice).</w:t>
      </w:r>
    </w:p>
    <w:p w14:paraId="3928AC17" w14:textId="77777777" w:rsidR="001B49E5" w:rsidRPr="002D4B12" w:rsidRDefault="001B49E5" w:rsidP="001B49E5">
      <w:pPr>
        <w:pStyle w:val="OdstavecASR"/>
        <w:spacing w:after="0"/>
      </w:pPr>
      <w:r w:rsidRPr="002D4B12">
        <w:t>2016 = 10,15 %</w:t>
      </w:r>
      <w:r w:rsidRPr="002D4B12">
        <w:tab/>
      </w:r>
      <w:r w:rsidRPr="002D4B12">
        <w:tab/>
        <w:t>(25,76 % × 39,40 %)</w:t>
      </w:r>
    </w:p>
    <w:p w14:paraId="685ED155" w14:textId="77777777" w:rsidR="001B49E5" w:rsidRPr="002D4B12" w:rsidRDefault="001B49E5" w:rsidP="001B49E5">
      <w:pPr>
        <w:pStyle w:val="OdstavecASR"/>
        <w:spacing w:after="0"/>
      </w:pPr>
      <w:r w:rsidRPr="002D4B12">
        <w:t>2017 = 10,29 %</w:t>
      </w:r>
      <w:r w:rsidRPr="002D4B12">
        <w:tab/>
      </w:r>
      <w:r w:rsidRPr="002D4B12">
        <w:tab/>
        <w:t>(24,39 % × 42,18 %)</w:t>
      </w:r>
    </w:p>
    <w:p w14:paraId="1891A810" w14:textId="77777777" w:rsidR="001B49E5" w:rsidRPr="002D4B12" w:rsidRDefault="001B49E5" w:rsidP="001B49E5">
      <w:pPr>
        <w:pStyle w:val="OdstavecASR"/>
        <w:spacing w:after="0"/>
      </w:pPr>
      <w:r w:rsidRPr="002D4B12">
        <w:t>2018 = 10,61 %</w:t>
      </w:r>
      <w:r w:rsidRPr="002D4B12">
        <w:tab/>
      </w:r>
      <w:r w:rsidRPr="002D4B12">
        <w:tab/>
        <w:t>(25,13 % × 42,22 %)</w:t>
      </w:r>
    </w:p>
    <w:p w14:paraId="26E91CCB" w14:textId="77777777" w:rsidR="001B49E5" w:rsidRPr="002D4B12" w:rsidRDefault="001B49E5" w:rsidP="001B49E5">
      <w:pPr>
        <w:pStyle w:val="OdstavecASR"/>
        <w:spacing w:after="0"/>
      </w:pPr>
      <w:r w:rsidRPr="002D4B12">
        <w:t>2019 = 9,97 %</w:t>
      </w:r>
      <w:r w:rsidRPr="002D4B12">
        <w:tab/>
      </w:r>
      <w:r w:rsidRPr="002D4B12">
        <w:tab/>
      </w:r>
      <w:r w:rsidRPr="002D4B12">
        <w:tab/>
        <w:t>(24,62 % × 40,48 %)</w:t>
      </w:r>
    </w:p>
    <w:p w14:paraId="58026D50" w14:textId="77777777" w:rsidR="001B49E5" w:rsidRPr="002D4B12" w:rsidRDefault="001B49E5" w:rsidP="001B49E5">
      <w:pPr>
        <w:pStyle w:val="OdstavecASR"/>
        <w:spacing w:after="0"/>
      </w:pPr>
      <w:r w:rsidRPr="002D4B12">
        <w:t>2020 = 10,02 %</w:t>
      </w:r>
      <w:r w:rsidRPr="002D4B12">
        <w:tab/>
      </w:r>
      <w:r w:rsidRPr="002D4B12">
        <w:tab/>
        <w:t>(24,64 % × 40,67 %)</w:t>
      </w:r>
    </w:p>
    <w:p w14:paraId="70288088" w14:textId="3025FEB7" w:rsidR="001B49E5" w:rsidRPr="002D4B12" w:rsidRDefault="001B49E5" w:rsidP="001B49E5">
      <w:pPr>
        <w:pStyle w:val="OdstavecASR"/>
        <w:spacing w:after="0"/>
      </w:pPr>
      <w:r w:rsidRPr="002D4B12">
        <w:t>2021 = 10,22 %</w:t>
      </w:r>
      <w:r w:rsidRPr="002D4B12">
        <w:tab/>
      </w:r>
      <w:r w:rsidRPr="002D4B12">
        <w:tab/>
        <w:t>(23,18 % × 44,07 %)</w:t>
      </w:r>
    </w:p>
    <w:p w14:paraId="3CA97C96" w14:textId="24CFDB1A" w:rsidR="001B49E5" w:rsidRPr="002D4B12" w:rsidRDefault="001B49E5" w:rsidP="001B49E5">
      <w:pPr>
        <w:pStyle w:val="OdstavecASR"/>
        <w:spacing w:after="0"/>
      </w:pPr>
      <w:r w:rsidRPr="002D4B12">
        <w:t>2022 =</w:t>
      </w:r>
      <w:r w:rsidRPr="002D4B12">
        <w:tab/>
        <w:t>8,75 %</w:t>
      </w:r>
      <w:r w:rsidRPr="002D4B12">
        <w:tab/>
      </w:r>
      <w:r w:rsidRPr="002D4B12">
        <w:tab/>
      </w:r>
      <w:r w:rsidRPr="002D4B12">
        <w:tab/>
        <w:t>(21,94 % × 39,89 %)</w:t>
      </w:r>
    </w:p>
    <w:p w14:paraId="5CD7E5E1" w14:textId="17DD4748" w:rsidR="001B49E5" w:rsidRPr="002D4B12" w:rsidRDefault="001B49E5" w:rsidP="001B49E5">
      <w:pPr>
        <w:pStyle w:val="OdstavecASR"/>
      </w:pPr>
      <w:r w:rsidRPr="002D4B12">
        <w:t>Vidíme tedy, že míra celkové změny rozsudku dlouhodobě kolísala kolem hodnoty 10 %, zatímco míra změny rozsudku okolo hodnoty 40 %. V roce 2022 výrazně klesla míra odvolání a tím tedy klesla i míra celkové změny rozsudku na 8,75 %.</w:t>
      </w:r>
    </w:p>
    <w:p w14:paraId="623F121D" w14:textId="0CE8B4B8" w:rsidR="00096378" w:rsidRPr="002D4B12" w:rsidRDefault="00096378" w:rsidP="00096378">
      <w:pPr>
        <w:pStyle w:val="OdstavecASR"/>
        <w:keepNext/>
        <w:outlineLvl w:val="3"/>
        <w:rPr>
          <w:b/>
          <w:bCs/>
        </w:rPr>
      </w:pPr>
      <w:r w:rsidRPr="002D4B12">
        <w:rPr>
          <w:b/>
          <w:bCs/>
        </w:rPr>
        <w:t>Peněžité tresty</w:t>
      </w:r>
    </w:p>
    <w:p w14:paraId="63E3C8DA" w14:textId="5E12E8A2" w:rsidR="006728AB" w:rsidRPr="002D4B12" w:rsidRDefault="006728AB" w:rsidP="006728AB">
      <w:pPr>
        <w:pStyle w:val="OdstavecASR"/>
      </w:pPr>
      <w:bookmarkStart w:id="379" w:name="_Hlk160436009"/>
      <w:bookmarkEnd w:id="378"/>
      <w:r w:rsidRPr="002D4B12">
        <w:t>Stejně jako v předchozích zprávách se zaměříme na ukládání peněžitých trestů. Níže uvedená data jsou získána ze statistických listů a týkají se odsouzených osob. Souhrnné a úhrnné tresty tak nejsou započteny. Data se vztahují ke všem případům, kdy byl uložen peněžitý trest, tedy jak k těm, kdy byl trest uložen jako hlavní sankce, tak k případům, kdy byl trest uložen jako další sankce, například vedle trestu odnětí svobody.</w:t>
      </w:r>
    </w:p>
    <w:p w14:paraId="349D2EFC" w14:textId="77777777" w:rsidR="006728AB" w:rsidRPr="002D4B12" w:rsidRDefault="006728AB" w:rsidP="006728AB">
      <w:pPr>
        <w:pStyle w:val="OdstavecASR"/>
      </w:pPr>
      <w:r w:rsidRPr="002D4B12">
        <w:t xml:space="preserve">Tento statistický údaj je sledován s ohledem na snahu vlády, Ministerstva spravedlnosti, Nejvyššího soudu a Nejvyššího státního zastupitelství o zvýšení počtu ukládaných peněžitých trestů jak prostřednictvím legislativních opatření, tak apelem nejen na soudy, ale i na státní zastupitelství, policejní orgány a Probační a mediační službu. V počtu (a podílu na celkovém počtu odsouzených osob) uložených peněžitých trestů totiž ČR výrazně zaostává za okolními státy. Zdá se tedy vhodné </w:t>
      </w:r>
      <w:bookmarkStart w:id="380" w:name="_Hlk160436664"/>
      <w:r w:rsidRPr="002D4B12">
        <w:lastRenderedPageBreak/>
        <w:t>sledovat, zda přijatá opatření opravdu vedou ke zvýšení počtu uložených peněžitých trestů. Nejedná se nicméně o podrobnou analýzu, která by přesahovala plánovaný rozsah zprávy.</w:t>
      </w:r>
    </w:p>
    <w:bookmarkEnd w:id="379"/>
    <w:p w14:paraId="0D204095" w14:textId="77777777" w:rsidR="006728AB" w:rsidRPr="002D4B12" w:rsidRDefault="006728AB" w:rsidP="006728AB">
      <w:pPr>
        <w:pStyle w:val="OdstavecASR"/>
      </w:pPr>
      <w:r w:rsidRPr="002D4B12">
        <w:t>V prvním grafu je uvedena celková částka peněžitých trestů uložených odsouzeným osobám u okresních soudů. Suma uložených trestů od roku 2009 klesala až na částku 85 014 000 Kč. Následně došlo k přijetí výše uvedených opatření a částka začala velmi rychle růst. Skokově vzrostla především mezi lety 2017 a 2018. V roce 2019 byla celková suma uložených peněžitých trestů 252 592 000 Kč, tedy téměř trojnásobek částky v roce 2015.</w:t>
      </w:r>
    </w:p>
    <w:p w14:paraId="295A4F19" w14:textId="05AC38A3" w:rsidR="006728AB" w:rsidRPr="002D4B12" w:rsidRDefault="006728AB" w:rsidP="006728AB">
      <w:pPr>
        <w:pStyle w:val="OdstavecASR"/>
      </w:pPr>
      <w:r w:rsidRPr="002D4B12">
        <w:t>V roce 2020 celková hodnota uložených peněžitých trestů vzrostla (celkem výrazně, asi o 19 %), a to i přes pokles v počtu věcí. To je dáno jak výše diskutovanými faktory, tak především nouzovým stavem na území ČR, kdy byly ukládány vyšší tresty včetně peněžitých, jak dokládá graf níže. V </w:t>
      </w:r>
      <w:r w:rsidR="00895B0C" w:rsidRPr="002D4B12">
        <w:t>letech</w:t>
      </w:r>
      <w:r w:rsidRPr="002D4B12">
        <w:t xml:space="preserve"> 2021 </w:t>
      </w:r>
      <w:r w:rsidR="00895B0C" w:rsidRPr="002D4B12">
        <w:t xml:space="preserve">a 2022 </w:t>
      </w:r>
      <w:r w:rsidRPr="002D4B12">
        <w:t>vidíme další signifikantní nárůst na 376 708 000 Kč</w:t>
      </w:r>
      <w:r w:rsidR="00895B0C" w:rsidRPr="002D4B12">
        <w:t>, respektive na 406 745 000 Kč</w:t>
      </w:r>
      <w:r w:rsidRPr="002D4B12">
        <w:t xml:space="preserve">. </w:t>
      </w:r>
      <w:bookmarkStart w:id="381" w:name="_Hlk104291512"/>
      <w:r w:rsidR="00895B0C" w:rsidRPr="002D4B12">
        <w:t>Částka peněžitých trestů uložená okresními soudy oproti roku 2015 narostla téměř o 380 %.</w:t>
      </w:r>
    </w:p>
    <w:p w14:paraId="6CDB34EA" w14:textId="1114DBC9" w:rsidR="00807FD9" w:rsidRPr="002D4B12" w:rsidRDefault="00807FD9" w:rsidP="00807FD9">
      <w:pPr>
        <w:pStyle w:val="Podnadpis"/>
        <w:rPr>
          <w:color w:val="auto"/>
        </w:rPr>
      </w:pPr>
      <w:bookmarkStart w:id="382" w:name="_Toc43841413"/>
      <w:bookmarkStart w:id="383" w:name="_Toc75952215"/>
      <w:bookmarkStart w:id="384" w:name="_Toc106106667"/>
      <w:bookmarkStart w:id="385" w:name="_Toc144104143"/>
      <w:bookmarkStart w:id="386" w:name="_Hlk129594512"/>
      <w:bookmarkEnd w:id="381"/>
      <w:r w:rsidRPr="002D4B12">
        <w:rPr>
          <w:color w:val="auto"/>
        </w:rPr>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31</w:t>
      </w:r>
      <w:r w:rsidR="009A10E2" w:rsidRPr="002D4B12">
        <w:rPr>
          <w:color w:val="auto"/>
        </w:rPr>
        <w:fldChar w:fldCharType="end"/>
      </w:r>
      <w:r w:rsidRPr="002D4B12">
        <w:rPr>
          <w:color w:val="auto"/>
        </w:rPr>
        <w:t>: OS – suma uložených peněžitých trestů</w:t>
      </w:r>
      <w:bookmarkEnd w:id="382"/>
      <w:bookmarkEnd w:id="383"/>
      <w:bookmarkEnd w:id="384"/>
      <w:bookmarkEnd w:id="385"/>
    </w:p>
    <w:bookmarkEnd w:id="386"/>
    <w:bookmarkEnd w:id="380"/>
    <w:p w14:paraId="18FE9BEB" w14:textId="39992A3C" w:rsidR="006728AB" w:rsidRPr="002D4B12" w:rsidRDefault="00807FD9" w:rsidP="002D4B12">
      <w:pPr>
        <w:pStyle w:val="OdstavecASR"/>
      </w:pPr>
      <w:r w:rsidRPr="002D4B12">
        <w:rPr>
          <w:noProof/>
          <w:lang w:eastAsia="cs-CZ"/>
        </w:rPr>
        <w:drawing>
          <wp:inline distT="0" distB="0" distL="0" distR="0" wp14:anchorId="73BE1B69" wp14:editId="73BD209D">
            <wp:extent cx="5029200" cy="365760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9A38242" w14:textId="41A686C7" w:rsidR="00895B0C" w:rsidRPr="002D4B12" w:rsidRDefault="00895B0C" w:rsidP="00895B0C">
      <w:pPr>
        <w:pStyle w:val="OdstavecASR"/>
      </w:pPr>
      <w:bookmarkStart w:id="387" w:name="_Hlk160437386"/>
      <w:bookmarkStart w:id="388" w:name="_Ref511307913"/>
      <w:bookmarkStart w:id="389" w:name="_Toc515871236"/>
      <w:bookmarkStart w:id="390" w:name="_Toc106092733"/>
      <w:r w:rsidRPr="002D4B12">
        <w:t xml:space="preserve">Při pohledu na </w:t>
      </w:r>
      <w:r w:rsidR="008A7C02" w:rsidRPr="002D4B12">
        <w:t xml:space="preserve">delší </w:t>
      </w:r>
      <w:r w:rsidRPr="002D4B12">
        <w:t>časovou řadu lze nejprve konstatovat, že v letech 2012 až 2019 byla průměrná výše peněžitých trestů v nominálních hodnotách stále přibližně stejná a výrazně se neměnila. Téměř celý růst v celkové částce uložených trestů byl způsoben nárůstem počtu uložených peněžitých trestů. V roce 2020 ale narostla průměrná výše uložených trestů na 31 000 Kč, tedy o více než 5</w:t>
      </w:r>
      <w:r w:rsidR="002D4B12">
        <w:t> </w:t>
      </w:r>
      <w:r w:rsidRPr="002D4B12">
        <w:t>000</w:t>
      </w:r>
      <w:r w:rsidR="002D4B12">
        <w:t> </w:t>
      </w:r>
      <w:r w:rsidRPr="002D4B12">
        <w:t>Kč (o 20 %). To zřejmě souvisí s vyhlášeným nouzovým stavem na území ČR. Tato zpráva se však dále problematikou trestání během nouzového stavu nezabývá.</w:t>
      </w:r>
    </w:p>
    <w:p w14:paraId="60C8E3E2" w14:textId="77777777" w:rsidR="00895B0C" w:rsidRPr="002D4B12" w:rsidRDefault="00895B0C" w:rsidP="00895B0C">
      <w:pPr>
        <w:pStyle w:val="OdstavecASR"/>
      </w:pPr>
      <w:bookmarkStart w:id="391" w:name="_Hlk160437408"/>
      <w:bookmarkEnd w:id="387"/>
      <w:r w:rsidRPr="002D4B12">
        <w:t xml:space="preserve">V roce 2021 došlo k dalšímu nárůstu průměrné výše uložených peněžitých trestů i jejich počtu. Nárůst nyní tedy lze spíše připsat výše diskutované snaze vlády, Ministerstva spravedlnosti, Nejvyššího soudu a Nejvyššího státního zastupitelství. Počet dnů, kdy byla ČR v nouzovém stavu byl totiž v roce 2021 nižší, než v roce 2020. Rovněž je třeba poznamenat, že se v mezidobí vyvinula </w:t>
      </w:r>
      <w:r w:rsidRPr="002D4B12">
        <w:lastRenderedPageBreak/>
        <w:t>judikatura i se zavedla speciální úprava v pandemickém zákonu, která říká, že přísnější sazba se užije pouze u trestných činů spáchaných v souvislosti se zvládáním pandemie.</w:t>
      </w:r>
    </w:p>
    <w:p w14:paraId="15DB4100" w14:textId="4992ABC7" w:rsidR="00895B0C" w:rsidRPr="002D4B12" w:rsidRDefault="00895B0C" w:rsidP="00895B0C">
      <w:pPr>
        <w:pStyle w:val="OdstavecASR"/>
      </w:pPr>
      <w:r w:rsidRPr="002D4B12">
        <w:t>Zajímavé jsou rovněž nejčastěji ukládané částky peněžitých trestů. Soudy celkem pochopitelně ukládají velmi často „kulaté“ částky. Tresty ve výši 30 000 Kč, 20 000 Kč, 25 000 Kč, 15 000 Kč a 10 000 Kč tvořily dohromady více než polovinu uložených trestů.</w:t>
      </w:r>
    </w:p>
    <w:p w14:paraId="43DB27CD" w14:textId="06C79C0C" w:rsidR="00895B0C" w:rsidRPr="002D4B12" w:rsidRDefault="00895B0C" w:rsidP="00895B0C">
      <w:pPr>
        <w:pStyle w:val="Podnadpis"/>
        <w:rPr>
          <w:color w:val="auto"/>
        </w:rPr>
      </w:pPr>
      <w:bookmarkStart w:id="392" w:name="_Toc106106668"/>
      <w:bookmarkStart w:id="393" w:name="_Toc144104144"/>
      <w:r w:rsidRPr="002D4B12">
        <w:rPr>
          <w:color w:val="auto"/>
        </w:rPr>
        <w:t xml:space="preserve">Graf </w:t>
      </w:r>
      <w:r w:rsidR="009A10E2" w:rsidRPr="002D4B12">
        <w:rPr>
          <w:color w:val="auto"/>
        </w:rPr>
        <w:fldChar w:fldCharType="begin"/>
      </w:r>
      <w:r w:rsidR="009A10E2" w:rsidRPr="002D4B12">
        <w:rPr>
          <w:color w:val="auto"/>
        </w:rPr>
        <w:instrText xml:space="preserve"> SEQ Graf \* ARABIC </w:instrText>
      </w:r>
      <w:r w:rsidR="009A10E2" w:rsidRPr="002D4B12">
        <w:rPr>
          <w:color w:val="auto"/>
        </w:rPr>
        <w:fldChar w:fldCharType="separate"/>
      </w:r>
      <w:r w:rsidR="001E1A67">
        <w:rPr>
          <w:noProof/>
          <w:color w:val="auto"/>
        </w:rPr>
        <w:t>32</w:t>
      </w:r>
      <w:r w:rsidR="009A10E2" w:rsidRPr="002D4B12">
        <w:rPr>
          <w:color w:val="auto"/>
        </w:rPr>
        <w:fldChar w:fldCharType="end"/>
      </w:r>
      <w:r w:rsidRPr="002D4B12">
        <w:rPr>
          <w:color w:val="auto"/>
        </w:rPr>
        <w:t xml:space="preserve">: OS </w:t>
      </w:r>
      <w:bookmarkStart w:id="394" w:name="_Hlk129594852"/>
      <w:r w:rsidRPr="002D4B12">
        <w:rPr>
          <w:color w:val="auto"/>
        </w:rPr>
        <w:t>– počet a průměrná výše uložených peněžitých trestů</w:t>
      </w:r>
      <w:bookmarkEnd w:id="392"/>
      <w:bookmarkEnd w:id="394"/>
      <w:bookmarkEnd w:id="393"/>
    </w:p>
    <w:bookmarkEnd w:id="391"/>
    <w:p w14:paraId="2F201EB7" w14:textId="68A7100B" w:rsidR="00895B0C" w:rsidRPr="002D4B12" w:rsidRDefault="00895B0C" w:rsidP="00895B0C">
      <w:pPr>
        <w:pStyle w:val="OdstavecASR"/>
      </w:pPr>
      <w:r w:rsidRPr="002D4B12">
        <w:rPr>
          <w:noProof/>
          <w:lang w:eastAsia="cs-CZ"/>
        </w:rPr>
        <w:drawing>
          <wp:inline distT="0" distB="0" distL="0" distR="0" wp14:anchorId="0B1DB4DA" wp14:editId="1FED2B69">
            <wp:extent cx="5029200" cy="365760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AF2AAD6" w14:textId="0C939CEE" w:rsidR="00D05119" w:rsidRPr="002D4B12" w:rsidRDefault="00895B0C" w:rsidP="00D05119">
      <w:pPr>
        <w:pStyle w:val="OdstavecASR"/>
      </w:pPr>
      <w:r w:rsidRPr="002D4B12">
        <w:t>Výše uvedené údaje se týkají pouze ukládání peněžitých trestů.</w:t>
      </w:r>
    </w:p>
    <w:p w14:paraId="1CEC2030" w14:textId="1D31CF84" w:rsidR="00433267" w:rsidRPr="002D4B12" w:rsidRDefault="00433267" w:rsidP="00C44F1B">
      <w:pPr>
        <w:pStyle w:val="OdstavecASR"/>
        <w:keepNext/>
        <w:outlineLvl w:val="3"/>
        <w:rPr>
          <w:b/>
          <w:bCs/>
        </w:rPr>
      </w:pPr>
      <w:r w:rsidRPr="002D4B12">
        <w:rPr>
          <w:b/>
          <w:bCs/>
        </w:rPr>
        <w:t>Domácí násilí</w:t>
      </w:r>
    </w:p>
    <w:p w14:paraId="43A50251" w14:textId="13EC5A06" w:rsidR="001731F6" w:rsidRPr="002D4B12" w:rsidRDefault="001731F6" w:rsidP="00D05119">
      <w:pPr>
        <w:spacing w:after="160" w:line="259" w:lineRule="auto"/>
      </w:pPr>
      <w:r w:rsidRPr="002D4B12">
        <w:t>Velmi závažným společenským tématem je domácí násilí. Průzkumy ukazují, že bohužel jen malá část případů domácího násilí je ohlášen</w:t>
      </w:r>
      <w:r w:rsidR="008B11FD" w:rsidRPr="002D4B12">
        <w:t>a</w:t>
      </w:r>
      <w:r w:rsidRPr="002D4B12">
        <w:t xml:space="preserve"> na policii a ještě menší část se pak dostane před soud. Zde se tedy budeme zabývat těmi případy, které se před soud dostanou</w:t>
      </w:r>
      <w:r w:rsidR="008A7C02" w:rsidRPr="002D4B12">
        <w:t xml:space="preserve"> a využijeme detailnější data, která má justiční statistika k dispozici teprve od roku 2022</w:t>
      </w:r>
      <w:r w:rsidRPr="002D4B12">
        <w:t>.</w:t>
      </w:r>
    </w:p>
    <w:p w14:paraId="7D8894E2" w14:textId="5EA0F0A8" w:rsidR="001731F6" w:rsidRPr="002D4B12" w:rsidRDefault="001731F6" w:rsidP="001731F6">
      <w:pPr>
        <w:pStyle w:val="OdstavecASR"/>
      </w:pPr>
      <w:r w:rsidRPr="002D4B12">
        <w:t xml:space="preserve">Domácím násilím se pro </w:t>
      </w:r>
      <w:r w:rsidR="006D3222" w:rsidRPr="002D4B12">
        <w:t xml:space="preserve">justiční </w:t>
      </w:r>
      <w:r w:rsidRPr="002D4B12">
        <w:t>statistické vykazování soudů myslí pouze násilí páchané mezi osobami blízkými žijícími ve společném obydlí nebo sdílejícími tentýž soukromý obytný prostor, z</w:t>
      </w:r>
      <w:r w:rsidR="006D3222" w:rsidRPr="002D4B12">
        <w:t> </w:t>
      </w:r>
      <w:r w:rsidRPr="002D4B12">
        <w:t>kterého vyplývá závislost oběti na pachateli</w:t>
      </w:r>
      <w:r w:rsidR="006D3222" w:rsidRPr="002D4B12">
        <w:t>, i kdyby byl</w:t>
      </w:r>
      <w:r w:rsidR="00D05119" w:rsidRPr="002D4B12">
        <w:t>y</w:t>
      </w:r>
      <w:r w:rsidR="006D3222" w:rsidRPr="002D4B12">
        <w:t xml:space="preserve"> bez jakýchkoliv rodinných či příbuzenských vazeb (tedy také např. vztah vlastník – nájemce, nájemce – podnájemník apod. pokud však sdílí společný obytný prostor)</w:t>
      </w:r>
      <w:r w:rsidRPr="002D4B12">
        <w:t>. Musí se zároveň jednat o násilí opakované, dlouhodobé, nikoliv o jednorázové.</w:t>
      </w:r>
    </w:p>
    <w:p w14:paraId="7358FC6E" w14:textId="7C8ADD6C" w:rsidR="001731F6" w:rsidRPr="002D4B12" w:rsidRDefault="001731F6" w:rsidP="001731F6">
      <w:pPr>
        <w:pStyle w:val="OdstavecASR"/>
      </w:pPr>
      <w:r w:rsidRPr="002D4B12">
        <w:t>Domácím násilím pro statistické vykazování je také násilí páchané na osobě, o kterou má pachatel povinnost pečovat nebo ji vychovávat, pokud sdílí tentýž soukromý obytný prostor, z kterého vyplývá závislost oběti na pachateli (např. týrání klientů léčebny či na oddělení dlouhodobě nemocných jejich ošetřovateli apod. dle §</w:t>
      </w:r>
      <w:r w:rsidR="002D4B12">
        <w:t> </w:t>
      </w:r>
      <w:r w:rsidRPr="002D4B12">
        <w:t>198 tr. zákoníku).</w:t>
      </w:r>
    </w:p>
    <w:p w14:paraId="3806AD6A" w14:textId="344ED3E2" w:rsidR="001731F6" w:rsidRPr="002D4B12" w:rsidRDefault="001731F6" w:rsidP="001731F6">
      <w:pPr>
        <w:pStyle w:val="OdstavecASR"/>
      </w:pPr>
      <w:r w:rsidRPr="002D4B12">
        <w:lastRenderedPageBreak/>
        <w:t xml:space="preserve">Nejdříve se podíváme na osoby odsouzené za domácí násilí. </w:t>
      </w:r>
      <w:r w:rsidR="0022060E" w:rsidRPr="002D4B12">
        <w:t xml:space="preserve">V tabulce vidíme, že celkem logicky </w:t>
      </w:r>
      <w:r w:rsidR="004644AA" w:rsidRPr="002D4B12">
        <w:t xml:space="preserve">je </w:t>
      </w:r>
      <w:r w:rsidR="0022060E" w:rsidRPr="002D4B12">
        <w:t>pachatel</w:t>
      </w:r>
      <w:r w:rsidR="004644AA" w:rsidRPr="002D4B12">
        <w:t>em</w:t>
      </w:r>
      <w:r w:rsidR="0022060E" w:rsidRPr="002D4B12">
        <w:t xml:space="preserve"> současný intimní partner, býval</w:t>
      </w:r>
      <w:r w:rsidR="004644AA" w:rsidRPr="002D4B12">
        <w:t>ý</w:t>
      </w:r>
      <w:r w:rsidR="0022060E" w:rsidRPr="002D4B12">
        <w:t xml:space="preserve"> intimní partner či člen rodiny. Každý z nich tvoří asi třetinu pachatelů. Ostatní kategorie jsou (nepřekvapivě) vzácné.  </w:t>
      </w:r>
    </w:p>
    <w:p w14:paraId="291E59AB" w14:textId="343EDBCB" w:rsidR="001731F6" w:rsidRPr="002D4B12" w:rsidRDefault="001731F6" w:rsidP="001731F6">
      <w:pPr>
        <w:pStyle w:val="Podnadpis"/>
        <w:rPr>
          <w:color w:val="auto"/>
        </w:rPr>
      </w:pPr>
      <w:bookmarkStart w:id="395" w:name="_Toc144104266"/>
      <w:r w:rsidRPr="002D4B12">
        <w:rPr>
          <w:color w:val="auto"/>
        </w:rPr>
        <w:t xml:space="preserve">Tabulka </w:t>
      </w:r>
      <w:r w:rsidRPr="002D4B12">
        <w:rPr>
          <w:color w:val="auto"/>
        </w:rPr>
        <w:fldChar w:fldCharType="begin"/>
      </w:r>
      <w:r w:rsidRPr="002D4B12">
        <w:rPr>
          <w:color w:val="auto"/>
        </w:rPr>
        <w:instrText xml:space="preserve"> SEQ Tabulka \* ARABIC </w:instrText>
      </w:r>
      <w:r w:rsidRPr="002D4B12">
        <w:rPr>
          <w:color w:val="auto"/>
        </w:rPr>
        <w:fldChar w:fldCharType="separate"/>
      </w:r>
      <w:r w:rsidR="001E1A67">
        <w:rPr>
          <w:noProof/>
          <w:color w:val="auto"/>
        </w:rPr>
        <w:t>27</w:t>
      </w:r>
      <w:r w:rsidRPr="002D4B12">
        <w:rPr>
          <w:noProof/>
          <w:color w:val="auto"/>
        </w:rPr>
        <w:fldChar w:fldCharType="end"/>
      </w:r>
      <w:r w:rsidRPr="002D4B12">
        <w:rPr>
          <w:color w:val="auto"/>
        </w:rPr>
        <w:t xml:space="preserve">: OS – </w:t>
      </w:r>
      <w:r w:rsidR="00C71C27" w:rsidRPr="002D4B12">
        <w:rPr>
          <w:color w:val="auto"/>
        </w:rPr>
        <w:t xml:space="preserve">osoby </w:t>
      </w:r>
      <w:r w:rsidR="006D3222" w:rsidRPr="002D4B12">
        <w:rPr>
          <w:color w:val="auto"/>
        </w:rPr>
        <w:t xml:space="preserve">pravomocně </w:t>
      </w:r>
      <w:r w:rsidR="00C71C27" w:rsidRPr="002D4B12">
        <w:rPr>
          <w:color w:val="auto"/>
        </w:rPr>
        <w:t>odsouzené za domácí násilí</w:t>
      </w:r>
      <w:bookmarkEnd w:id="395"/>
    </w:p>
    <w:tbl>
      <w:tblPr>
        <w:tblW w:w="7794" w:type="dxa"/>
        <w:tblCellMar>
          <w:left w:w="70" w:type="dxa"/>
          <w:right w:w="70" w:type="dxa"/>
        </w:tblCellMar>
        <w:tblLook w:val="04A0" w:firstRow="1" w:lastRow="0" w:firstColumn="1" w:lastColumn="0" w:noHBand="0" w:noVBand="1"/>
      </w:tblPr>
      <w:tblGrid>
        <w:gridCol w:w="5954"/>
        <w:gridCol w:w="1840"/>
      </w:tblGrid>
      <w:tr w:rsidR="00F15667" w:rsidRPr="002D4B12" w14:paraId="782E6662" w14:textId="77777777" w:rsidTr="002D4B12">
        <w:trPr>
          <w:trHeight w:val="345"/>
        </w:trPr>
        <w:tc>
          <w:tcPr>
            <w:tcW w:w="5954" w:type="dxa"/>
            <w:tcBorders>
              <w:top w:val="double" w:sz="6" w:space="0" w:color="auto"/>
              <w:left w:val="nil"/>
              <w:bottom w:val="double" w:sz="6" w:space="0" w:color="auto"/>
              <w:right w:val="nil"/>
            </w:tcBorders>
            <w:shd w:val="clear" w:color="auto" w:fill="auto"/>
            <w:noWrap/>
            <w:vAlign w:val="center"/>
            <w:hideMark/>
          </w:tcPr>
          <w:p w14:paraId="241F0F8D" w14:textId="3BE8935A" w:rsidR="0022060E" w:rsidRPr="002D4B12" w:rsidRDefault="00C71C27" w:rsidP="002D4B12">
            <w:pPr>
              <w:spacing w:line="240" w:lineRule="auto"/>
              <w:jc w:val="center"/>
              <w:rPr>
                <w:rFonts w:eastAsia="Times New Roman"/>
                <w:b/>
                <w:bCs/>
                <w:szCs w:val="24"/>
                <w:lang w:eastAsia="cs-CZ"/>
              </w:rPr>
            </w:pPr>
            <w:r w:rsidRPr="002D4B12">
              <w:rPr>
                <w:rFonts w:eastAsia="Times New Roman"/>
                <w:b/>
                <w:bCs/>
                <w:szCs w:val="24"/>
                <w:lang w:eastAsia="cs-CZ"/>
              </w:rPr>
              <w:t>Pachatel</w:t>
            </w:r>
          </w:p>
        </w:tc>
        <w:tc>
          <w:tcPr>
            <w:tcW w:w="1840" w:type="dxa"/>
            <w:tcBorders>
              <w:top w:val="double" w:sz="6" w:space="0" w:color="auto"/>
              <w:left w:val="nil"/>
              <w:bottom w:val="double" w:sz="6" w:space="0" w:color="auto"/>
              <w:right w:val="nil"/>
            </w:tcBorders>
            <w:shd w:val="clear" w:color="auto" w:fill="auto"/>
            <w:noWrap/>
            <w:vAlign w:val="center"/>
            <w:hideMark/>
          </w:tcPr>
          <w:p w14:paraId="56A44D18" w14:textId="77777777" w:rsidR="0022060E" w:rsidRPr="002D4B12" w:rsidRDefault="0022060E" w:rsidP="002D4B12">
            <w:pPr>
              <w:spacing w:line="240" w:lineRule="auto"/>
              <w:jc w:val="center"/>
              <w:rPr>
                <w:rFonts w:eastAsia="Times New Roman"/>
                <w:b/>
                <w:bCs/>
                <w:szCs w:val="24"/>
                <w:lang w:eastAsia="cs-CZ"/>
              </w:rPr>
            </w:pPr>
            <w:r w:rsidRPr="002D4B12">
              <w:rPr>
                <w:rFonts w:eastAsia="Times New Roman"/>
                <w:b/>
                <w:bCs/>
                <w:szCs w:val="24"/>
                <w:lang w:eastAsia="cs-CZ"/>
              </w:rPr>
              <w:t>Počet osob</w:t>
            </w:r>
          </w:p>
        </w:tc>
      </w:tr>
      <w:tr w:rsidR="00F15667" w:rsidRPr="002D4B12" w14:paraId="6A6B4F45" w14:textId="77777777" w:rsidTr="002D4B12">
        <w:trPr>
          <w:trHeight w:val="330"/>
        </w:trPr>
        <w:tc>
          <w:tcPr>
            <w:tcW w:w="5954" w:type="dxa"/>
            <w:tcBorders>
              <w:top w:val="nil"/>
              <w:left w:val="nil"/>
              <w:bottom w:val="single" w:sz="4" w:space="0" w:color="auto"/>
              <w:right w:val="nil"/>
            </w:tcBorders>
            <w:shd w:val="clear" w:color="auto" w:fill="auto"/>
            <w:noWrap/>
            <w:vAlign w:val="center"/>
            <w:hideMark/>
          </w:tcPr>
          <w:p w14:paraId="271AC78C" w14:textId="77777777" w:rsidR="0022060E" w:rsidRPr="002D4B12" w:rsidRDefault="0022060E" w:rsidP="002D4B12">
            <w:pPr>
              <w:spacing w:line="240" w:lineRule="auto"/>
              <w:jc w:val="left"/>
              <w:rPr>
                <w:rFonts w:eastAsia="Times New Roman"/>
                <w:szCs w:val="24"/>
                <w:lang w:eastAsia="cs-CZ"/>
              </w:rPr>
            </w:pPr>
            <w:r w:rsidRPr="002D4B12">
              <w:rPr>
                <w:rFonts w:eastAsia="Times New Roman"/>
                <w:szCs w:val="24"/>
                <w:lang w:eastAsia="cs-CZ"/>
              </w:rPr>
              <w:t>Současný intimní partner</w:t>
            </w:r>
          </w:p>
        </w:tc>
        <w:tc>
          <w:tcPr>
            <w:tcW w:w="1840" w:type="dxa"/>
            <w:tcBorders>
              <w:top w:val="nil"/>
              <w:left w:val="nil"/>
              <w:bottom w:val="single" w:sz="4" w:space="0" w:color="auto"/>
              <w:right w:val="nil"/>
            </w:tcBorders>
            <w:shd w:val="clear" w:color="auto" w:fill="auto"/>
            <w:noWrap/>
            <w:vAlign w:val="center"/>
            <w:hideMark/>
          </w:tcPr>
          <w:p w14:paraId="496608C5" w14:textId="77777777" w:rsidR="0022060E" w:rsidRPr="002D4B12" w:rsidRDefault="0022060E" w:rsidP="002D4B12">
            <w:pPr>
              <w:spacing w:line="240" w:lineRule="auto"/>
              <w:jc w:val="center"/>
              <w:rPr>
                <w:rFonts w:eastAsia="Times New Roman"/>
                <w:szCs w:val="24"/>
                <w:lang w:eastAsia="cs-CZ"/>
              </w:rPr>
            </w:pPr>
            <w:r w:rsidRPr="002D4B12">
              <w:rPr>
                <w:rFonts w:eastAsia="Times New Roman"/>
                <w:szCs w:val="24"/>
                <w:lang w:eastAsia="cs-CZ"/>
              </w:rPr>
              <w:t>113</w:t>
            </w:r>
          </w:p>
        </w:tc>
      </w:tr>
      <w:tr w:rsidR="00F15667" w:rsidRPr="002D4B12" w14:paraId="4F13C5EC" w14:textId="77777777" w:rsidTr="002D4B12">
        <w:trPr>
          <w:trHeight w:val="315"/>
        </w:trPr>
        <w:tc>
          <w:tcPr>
            <w:tcW w:w="5954" w:type="dxa"/>
            <w:tcBorders>
              <w:top w:val="nil"/>
              <w:left w:val="nil"/>
              <w:bottom w:val="single" w:sz="4" w:space="0" w:color="auto"/>
              <w:right w:val="nil"/>
            </w:tcBorders>
            <w:shd w:val="clear" w:color="auto" w:fill="auto"/>
            <w:noWrap/>
            <w:vAlign w:val="center"/>
            <w:hideMark/>
          </w:tcPr>
          <w:p w14:paraId="31CD04E0" w14:textId="77777777" w:rsidR="0022060E" w:rsidRPr="002D4B12" w:rsidRDefault="0022060E" w:rsidP="002D4B12">
            <w:pPr>
              <w:spacing w:line="240" w:lineRule="auto"/>
              <w:jc w:val="left"/>
              <w:rPr>
                <w:rFonts w:eastAsia="Times New Roman"/>
                <w:szCs w:val="24"/>
                <w:lang w:eastAsia="cs-CZ"/>
              </w:rPr>
            </w:pPr>
            <w:r w:rsidRPr="002D4B12">
              <w:rPr>
                <w:rFonts w:eastAsia="Times New Roman"/>
                <w:szCs w:val="24"/>
                <w:lang w:eastAsia="cs-CZ"/>
              </w:rPr>
              <w:t>Bývalý intimní partner</w:t>
            </w:r>
          </w:p>
        </w:tc>
        <w:tc>
          <w:tcPr>
            <w:tcW w:w="1840" w:type="dxa"/>
            <w:tcBorders>
              <w:top w:val="nil"/>
              <w:left w:val="nil"/>
              <w:bottom w:val="single" w:sz="4" w:space="0" w:color="auto"/>
              <w:right w:val="nil"/>
            </w:tcBorders>
            <w:shd w:val="clear" w:color="auto" w:fill="auto"/>
            <w:noWrap/>
            <w:vAlign w:val="center"/>
            <w:hideMark/>
          </w:tcPr>
          <w:p w14:paraId="2140D40D" w14:textId="77777777" w:rsidR="0022060E" w:rsidRPr="002D4B12" w:rsidRDefault="0022060E" w:rsidP="002D4B12">
            <w:pPr>
              <w:spacing w:line="240" w:lineRule="auto"/>
              <w:jc w:val="center"/>
              <w:rPr>
                <w:rFonts w:eastAsia="Times New Roman"/>
                <w:szCs w:val="24"/>
                <w:lang w:eastAsia="cs-CZ"/>
              </w:rPr>
            </w:pPr>
            <w:r w:rsidRPr="002D4B12">
              <w:rPr>
                <w:rFonts w:eastAsia="Times New Roman"/>
                <w:szCs w:val="24"/>
                <w:lang w:eastAsia="cs-CZ"/>
              </w:rPr>
              <w:t>131</w:t>
            </w:r>
          </w:p>
        </w:tc>
      </w:tr>
      <w:tr w:rsidR="00F15667" w:rsidRPr="002D4B12" w14:paraId="2EDC519F" w14:textId="77777777" w:rsidTr="002D4B12">
        <w:trPr>
          <w:trHeight w:val="315"/>
        </w:trPr>
        <w:tc>
          <w:tcPr>
            <w:tcW w:w="5954" w:type="dxa"/>
            <w:tcBorders>
              <w:top w:val="nil"/>
              <w:left w:val="nil"/>
              <w:bottom w:val="single" w:sz="4" w:space="0" w:color="auto"/>
              <w:right w:val="nil"/>
            </w:tcBorders>
            <w:shd w:val="clear" w:color="auto" w:fill="auto"/>
            <w:noWrap/>
            <w:vAlign w:val="center"/>
            <w:hideMark/>
          </w:tcPr>
          <w:p w14:paraId="449CC859" w14:textId="77777777" w:rsidR="0022060E" w:rsidRPr="002D4B12" w:rsidRDefault="0022060E" w:rsidP="002D4B12">
            <w:pPr>
              <w:spacing w:line="240" w:lineRule="auto"/>
              <w:jc w:val="left"/>
              <w:rPr>
                <w:rFonts w:eastAsia="Times New Roman"/>
                <w:szCs w:val="24"/>
                <w:lang w:eastAsia="cs-CZ"/>
              </w:rPr>
            </w:pPr>
            <w:r w:rsidRPr="002D4B12">
              <w:rPr>
                <w:rFonts w:eastAsia="Times New Roman"/>
                <w:szCs w:val="24"/>
                <w:lang w:eastAsia="cs-CZ"/>
              </w:rPr>
              <w:t>Člen rodiny</w:t>
            </w:r>
          </w:p>
        </w:tc>
        <w:tc>
          <w:tcPr>
            <w:tcW w:w="1840" w:type="dxa"/>
            <w:tcBorders>
              <w:top w:val="nil"/>
              <w:left w:val="nil"/>
              <w:bottom w:val="single" w:sz="4" w:space="0" w:color="auto"/>
              <w:right w:val="nil"/>
            </w:tcBorders>
            <w:shd w:val="clear" w:color="auto" w:fill="auto"/>
            <w:noWrap/>
            <w:vAlign w:val="center"/>
            <w:hideMark/>
          </w:tcPr>
          <w:p w14:paraId="4DBEE176" w14:textId="77777777" w:rsidR="0022060E" w:rsidRPr="002D4B12" w:rsidRDefault="0022060E" w:rsidP="002D4B12">
            <w:pPr>
              <w:spacing w:line="240" w:lineRule="auto"/>
              <w:jc w:val="center"/>
              <w:rPr>
                <w:rFonts w:eastAsia="Times New Roman"/>
                <w:szCs w:val="24"/>
                <w:lang w:eastAsia="cs-CZ"/>
              </w:rPr>
            </w:pPr>
            <w:r w:rsidRPr="002D4B12">
              <w:rPr>
                <w:rFonts w:eastAsia="Times New Roman"/>
                <w:szCs w:val="24"/>
                <w:lang w:eastAsia="cs-CZ"/>
              </w:rPr>
              <w:t>127</w:t>
            </w:r>
          </w:p>
        </w:tc>
      </w:tr>
      <w:tr w:rsidR="00F15667" w:rsidRPr="002D4B12" w14:paraId="5384D060" w14:textId="77777777" w:rsidTr="002D4B12">
        <w:trPr>
          <w:trHeight w:val="315"/>
        </w:trPr>
        <w:tc>
          <w:tcPr>
            <w:tcW w:w="5954" w:type="dxa"/>
            <w:tcBorders>
              <w:top w:val="nil"/>
              <w:left w:val="nil"/>
              <w:bottom w:val="single" w:sz="4" w:space="0" w:color="auto"/>
              <w:right w:val="nil"/>
            </w:tcBorders>
            <w:shd w:val="clear" w:color="auto" w:fill="auto"/>
            <w:noWrap/>
            <w:vAlign w:val="center"/>
            <w:hideMark/>
          </w:tcPr>
          <w:p w14:paraId="55340DDD" w14:textId="77777777" w:rsidR="0022060E" w:rsidRPr="002D4B12" w:rsidRDefault="0022060E" w:rsidP="002D4B12">
            <w:pPr>
              <w:spacing w:line="240" w:lineRule="auto"/>
              <w:jc w:val="left"/>
              <w:rPr>
                <w:rFonts w:eastAsia="Times New Roman"/>
                <w:szCs w:val="24"/>
                <w:lang w:eastAsia="cs-CZ"/>
              </w:rPr>
            </w:pPr>
            <w:r w:rsidRPr="002D4B12">
              <w:rPr>
                <w:rFonts w:eastAsia="Times New Roman"/>
                <w:szCs w:val="24"/>
                <w:lang w:eastAsia="cs-CZ"/>
              </w:rPr>
              <w:t>Kolegové</w:t>
            </w:r>
          </w:p>
        </w:tc>
        <w:tc>
          <w:tcPr>
            <w:tcW w:w="1840" w:type="dxa"/>
            <w:tcBorders>
              <w:top w:val="nil"/>
              <w:left w:val="nil"/>
              <w:bottom w:val="single" w:sz="4" w:space="0" w:color="auto"/>
              <w:right w:val="nil"/>
            </w:tcBorders>
            <w:shd w:val="clear" w:color="auto" w:fill="auto"/>
            <w:noWrap/>
            <w:vAlign w:val="center"/>
            <w:hideMark/>
          </w:tcPr>
          <w:p w14:paraId="4904AD9A" w14:textId="77777777" w:rsidR="0022060E" w:rsidRPr="002D4B12" w:rsidRDefault="0022060E" w:rsidP="002D4B12">
            <w:pPr>
              <w:spacing w:line="240" w:lineRule="auto"/>
              <w:jc w:val="center"/>
              <w:rPr>
                <w:rFonts w:eastAsia="Times New Roman"/>
                <w:szCs w:val="24"/>
                <w:lang w:eastAsia="cs-CZ"/>
              </w:rPr>
            </w:pPr>
            <w:r w:rsidRPr="002D4B12">
              <w:rPr>
                <w:rFonts w:eastAsia="Times New Roman"/>
                <w:szCs w:val="24"/>
                <w:lang w:eastAsia="cs-CZ"/>
              </w:rPr>
              <w:t>18</w:t>
            </w:r>
          </w:p>
        </w:tc>
      </w:tr>
      <w:tr w:rsidR="00F15667" w:rsidRPr="002D4B12" w14:paraId="1CE53F7C" w14:textId="77777777" w:rsidTr="002D4B12">
        <w:trPr>
          <w:trHeight w:val="315"/>
        </w:trPr>
        <w:tc>
          <w:tcPr>
            <w:tcW w:w="5954" w:type="dxa"/>
            <w:tcBorders>
              <w:top w:val="nil"/>
              <w:left w:val="nil"/>
              <w:bottom w:val="single" w:sz="4" w:space="0" w:color="auto"/>
              <w:right w:val="nil"/>
            </w:tcBorders>
            <w:shd w:val="clear" w:color="auto" w:fill="auto"/>
            <w:noWrap/>
            <w:vAlign w:val="center"/>
            <w:hideMark/>
          </w:tcPr>
          <w:p w14:paraId="293ACE24" w14:textId="77777777" w:rsidR="0022060E" w:rsidRPr="002D4B12" w:rsidRDefault="0022060E" w:rsidP="002D4B12">
            <w:pPr>
              <w:spacing w:line="240" w:lineRule="auto"/>
              <w:jc w:val="left"/>
              <w:rPr>
                <w:rFonts w:eastAsia="Times New Roman"/>
                <w:szCs w:val="24"/>
                <w:lang w:eastAsia="cs-CZ"/>
              </w:rPr>
            </w:pPr>
            <w:r w:rsidRPr="002D4B12">
              <w:rPr>
                <w:rFonts w:eastAsia="Times New Roman"/>
                <w:szCs w:val="24"/>
                <w:lang w:eastAsia="cs-CZ"/>
              </w:rPr>
              <w:t>Osoba v úředním postavení, pečovatelský/výchovný vztah</w:t>
            </w:r>
          </w:p>
        </w:tc>
        <w:tc>
          <w:tcPr>
            <w:tcW w:w="1840" w:type="dxa"/>
            <w:tcBorders>
              <w:top w:val="nil"/>
              <w:left w:val="nil"/>
              <w:bottom w:val="single" w:sz="4" w:space="0" w:color="auto"/>
              <w:right w:val="nil"/>
            </w:tcBorders>
            <w:shd w:val="clear" w:color="auto" w:fill="auto"/>
            <w:noWrap/>
            <w:vAlign w:val="center"/>
            <w:hideMark/>
          </w:tcPr>
          <w:p w14:paraId="5002F7B2" w14:textId="77777777" w:rsidR="0022060E" w:rsidRPr="002D4B12" w:rsidRDefault="0022060E" w:rsidP="002D4B12">
            <w:pPr>
              <w:spacing w:line="240" w:lineRule="auto"/>
              <w:jc w:val="center"/>
              <w:rPr>
                <w:rFonts w:eastAsia="Times New Roman"/>
                <w:szCs w:val="24"/>
                <w:lang w:eastAsia="cs-CZ"/>
              </w:rPr>
            </w:pPr>
            <w:r w:rsidRPr="002D4B12">
              <w:rPr>
                <w:rFonts w:eastAsia="Times New Roman"/>
                <w:szCs w:val="24"/>
                <w:lang w:eastAsia="cs-CZ"/>
              </w:rPr>
              <w:t>4</w:t>
            </w:r>
          </w:p>
        </w:tc>
      </w:tr>
      <w:tr w:rsidR="00F15667" w:rsidRPr="002D4B12" w14:paraId="321AD5A5" w14:textId="77777777" w:rsidTr="002D4B12">
        <w:trPr>
          <w:trHeight w:val="330"/>
        </w:trPr>
        <w:tc>
          <w:tcPr>
            <w:tcW w:w="5954" w:type="dxa"/>
            <w:tcBorders>
              <w:top w:val="nil"/>
              <w:left w:val="nil"/>
              <w:bottom w:val="double" w:sz="6" w:space="0" w:color="auto"/>
              <w:right w:val="nil"/>
            </w:tcBorders>
            <w:shd w:val="clear" w:color="auto" w:fill="auto"/>
            <w:noWrap/>
            <w:vAlign w:val="center"/>
            <w:hideMark/>
          </w:tcPr>
          <w:p w14:paraId="21C12707" w14:textId="77777777" w:rsidR="0022060E" w:rsidRPr="002D4B12" w:rsidRDefault="0022060E" w:rsidP="002D4B12">
            <w:pPr>
              <w:spacing w:line="240" w:lineRule="auto"/>
              <w:jc w:val="left"/>
              <w:rPr>
                <w:rFonts w:eastAsia="Times New Roman"/>
                <w:szCs w:val="24"/>
                <w:lang w:eastAsia="cs-CZ"/>
              </w:rPr>
            </w:pPr>
            <w:r w:rsidRPr="002D4B12">
              <w:rPr>
                <w:rFonts w:eastAsia="Times New Roman"/>
                <w:szCs w:val="24"/>
                <w:lang w:eastAsia="cs-CZ"/>
              </w:rPr>
              <w:t>Jiný pachatel oběti známý</w:t>
            </w:r>
          </w:p>
        </w:tc>
        <w:tc>
          <w:tcPr>
            <w:tcW w:w="1840" w:type="dxa"/>
            <w:tcBorders>
              <w:top w:val="nil"/>
              <w:left w:val="nil"/>
              <w:bottom w:val="double" w:sz="6" w:space="0" w:color="auto"/>
              <w:right w:val="nil"/>
            </w:tcBorders>
            <w:shd w:val="clear" w:color="auto" w:fill="auto"/>
            <w:noWrap/>
            <w:vAlign w:val="center"/>
            <w:hideMark/>
          </w:tcPr>
          <w:p w14:paraId="0A030D1D" w14:textId="77777777" w:rsidR="0022060E" w:rsidRPr="002D4B12" w:rsidRDefault="0022060E" w:rsidP="002D4B12">
            <w:pPr>
              <w:spacing w:line="240" w:lineRule="auto"/>
              <w:jc w:val="center"/>
              <w:rPr>
                <w:rFonts w:eastAsia="Times New Roman"/>
                <w:szCs w:val="24"/>
                <w:lang w:eastAsia="cs-CZ"/>
              </w:rPr>
            </w:pPr>
            <w:r w:rsidRPr="002D4B12">
              <w:rPr>
                <w:rFonts w:eastAsia="Times New Roman"/>
                <w:szCs w:val="24"/>
                <w:lang w:eastAsia="cs-CZ"/>
              </w:rPr>
              <w:t>18</w:t>
            </w:r>
          </w:p>
        </w:tc>
      </w:tr>
      <w:tr w:rsidR="00F15667" w:rsidRPr="002D4B12" w14:paraId="1C43F9AD" w14:textId="77777777" w:rsidTr="002D4B12">
        <w:trPr>
          <w:trHeight w:val="345"/>
        </w:trPr>
        <w:tc>
          <w:tcPr>
            <w:tcW w:w="5954" w:type="dxa"/>
            <w:tcBorders>
              <w:top w:val="nil"/>
              <w:left w:val="nil"/>
              <w:bottom w:val="double" w:sz="6" w:space="0" w:color="auto"/>
              <w:right w:val="nil"/>
            </w:tcBorders>
            <w:shd w:val="clear" w:color="auto" w:fill="auto"/>
            <w:noWrap/>
            <w:vAlign w:val="center"/>
            <w:hideMark/>
          </w:tcPr>
          <w:p w14:paraId="4A82F90D" w14:textId="77777777" w:rsidR="0022060E" w:rsidRPr="002D4B12" w:rsidRDefault="0022060E" w:rsidP="002D4B12">
            <w:pPr>
              <w:spacing w:line="240" w:lineRule="auto"/>
              <w:jc w:val="left"/>
              <w:rPr>
                <w:rFonts w:eastAsia="Times New Roman"/>
                <w:b/>
                <w:bCs/>
                <w:szCs w:val="24"/>
                <w:lang w:eastAsia="cs-CZ"/>
              </w:rPr>
            </w:pPr>
            <w:r w:rsidRPr="002D4B12">
              <w:rPr>
                <w:rFonts w:eastAsia="Times New Roman"/>
                <w:b/>
                <w:bCs/>
                <w:szCs w:val="24"/>
                <w:lang w:eastAsia="cs-CZ"/>
              </w:rPr>
              <w:t>Celkem</w:t>
            </w:r>
          </w:p>
        </w:tc>
        <w:tc>
          <w:tcPr>
            <w:tcW w:w="1840" w:type="dxa"/>
            <w:tcBorders>
              <w:top w:val="nil"/>
              <w:left w:val="nil"/>
              <w:bottom w:val="double" w:sz="6" w:space="0" w:color="auto"/>
              <w:right w:val="nil"/>
            </w:tcBorders>
            <w:shd w:val="clear" w:color="auto" w:fill="auto"/>
            <w:noWrap/>
            <w:vAlign w:val="center"/>
            <w:hideMark/>
          </w:tcPr>
          <w:p w14:paraId="1D9946F5" w14:textId="77777777" w:rsidR="0022060E" w:rsidRPr="002D4B12" w:rsidRDefault="0022060E" w:rsidP="002D4B12">
            <w:pPr>
              <w:spacing w:line="240" w:lineRule="auto"/>
              <w:jc w:val="center"/>
              <w:rPr>
                <w:rFonts w:eastAsia="Times New Roman"/>
                <w:b/>
                <w:bCs/>
                <w:szCs w:val="24"/>
                <w:lang w:eastAsia="cs-CZ"/>
              </w:rPr>
            </w:pPr>
            <w:r w:rsidRPr="002D4B12">
              <w:rPr>
                <w:rFonts w:eastAsia="Times New Roman"/>
                <w:b/>
                <w:bCs/>
                <w:szCs w:val="24"/>
                <w:lang w:eastAsia="cs-CZ"/>
              </w:rPr>
              <w:t>411</w:t>
            </w:r>
          </w:p>
        </w:tc>
      </w:tr>
      <w:tr w:rsidR="002D4B12" w:rsidRPr="002D4B12" w14:paraId="6CE677C9" w14:textId="77777777" w:rsidTr="002D4B12">
        <w:trPr>
          <w:trHeight w:val="345"/>
        </w:trPr>
        <w:tc>
          <w:tcPr>
            <w:tcW w:w="5954" w:type="dxa"/>
            <w:tcBorders>
              <w:top w:val="double" w:sz="6" w:space="0" w:color="auto"/>
              <w:left w:val="nil"/>
              <w:right w:val="nil"/>
            </w:tcBorders>
            <w:shd w:val="clear" w:color="auto" w:fill="auto"/>
            <w:noWrap/>
            <w:vAlign w:val="center"/>
          </w:tcPr>
          <w:p w14:paraId="1D207AD3" w14:textId="77777777" w:rsidR="002D4B12" w:rsidRPr="002D4B12" w:rsidRDefault="002D4B12" w:rsidP="002D4B12">
            <w:pPr>
              <w:spacing w:line="240" w:lineRule="auto"/>
              <w:jc w:val="left"/>
              <w:rPr>
                <w:rFonts w:eastAsia="Times New Roman"/>
                <w:b/>
                <w:bCs/>
                <w:szCs w:val="24"/>
                <w:lang w:eastAsia="cs-CZ"/>
              </w:rPr>
            </w:pPr>
          </w:p>
        </w:tc>
        <w:tc>
          <w:tcPr>
            <w:tcW w:w="1840" w:type="dxa"/>
            <w:tcBorders>
              <w:top w:val="double" w:sz="6" w:space="0" w:color="auto"/>
              <w:left w:val="nil"/>
              <w:right w:val="nil"/>
            </w:tcBorders>
            <w:shd w:val="clear" w:color="auto" w:fill="auto"/>
            <w:noWrap/>
            <w:vAlign w:val="center"/>
          </w:tcPr>
          <w:p w14:paraId="0214A40F" w14:textId="77777777" w:rsidR="002D4B12" w:rsidRPr="002D4B12" w:rsidRDefault="002D4B12" w:rsidP="002D4B12">
            <w:pPr>
              <w:spacing w:line="240" w:lineRule="auto"/>
              <w:jc w:val="center"/>
              <w:rPr>
                <w:rFonts w:eastAsia="Times New Roman"/>
                <w:b/>
                <w:bCs/>
                <w:szCs w:val="24"/>
                <w:lang w:eastAsia="cs-CZ"/>
              </w:rPr>
            </w:pPr>
          </w:p>
        </w:tc>
      </w:tr>
    </w:tbl>
    <w:p w14:paraId="468ACE99" w14:textId="32C910E1" w:rsidR="00C71C27" w:rsidRPr="002D4B12" w:rsidRDefault="0022060E" w:rsidP="0022060E">
      <w:pPr>
        <w:pStyle w:val="OdstavecASR"/>
      </w:pPr>
      <w:r w:rsidRPr="002D4B12">
        <w:t>Dále se podíváme na to, kdo je obětí domácího násilí.</w:t>
      </w:r>
    </w:p>
    <w:p w14:paraId="010277A3" w14:textId="7EC19C42" w:rsidR="00C71C27" w:rsidRPr="002D4B12" w:rsidRDefault="00C71C27" w:rsidP="00C71C27">
      <w:pPr>
        <w:pStyle w:val="Podnadpis"/>
        <w:rPr>
          <w:color w:val="auto"/>
        </w:rPr>
      </w:pPr>
      <w:bookmarkStart w:id="396" w:name="_Toc144104267"/>
      <w:r w:rsidRPr="002D4B12">
        <w:rPr>
          <w:color w:val="auto"/>
        </w:rPr>
        <w:t xml:space="preserve">Tabulka </w:t>
      </w:r>
      <w:r w:rsidRPr="002D4B12">
        <w:rPr>
          <w:color w:val="auto"/>
        </w:rPr>
        <w:fldChar w:fldCharType="begin"/>
      </w:r>
      <w:r w:rsidRPr="002D4B12">
        <w:rPr>
          <w:color w:val="auto"/>
        </w:rPr>
        <w:instrText xml:space="preserve"> SEQ Tabulka \* ARABIC </w:instrText>
      </w:r>
      <w:r w:rsidRPr="002D4B12">
        <w:rPr>
          <w:color w:val="auto"/>
        </w:rPr>
        <w:fldChar w:fldCharType="separate"/>
      </w:r>
      <w:r w:rsidR="001E1A67">
        <w:rPr>
          <w:noProof/>
          <w:color w:val="auto"/>
        </w:rPr>
        <w:t>28</w:t>
      </w:r>
      <w:r w:rsidRPr="002D4B12">
        <w:rPr>
          <w:noProof/>
          <w:color w:val="auto"/>
        </w:rPr>
        <w:fldChar w:fldCharType="end"/>
      </w:r>
      <w:r w:rsidRPr="002D4B12">
        <w:rPr>
          <w:color w:val="auto"/>
        </w:rPr>
        <w:t>: OS – oběti domácího násilí</w:t>
      </w:r>
      <w:bookmarkEnd w:id="396"/>
    </w:p>
    <w:tbl>
      <w:tblPr>
        <w:tblW w:w="7840" w:type="dxa"/>
        <w:tblCellMar>
          <w:left w:w="70" w:type="dxa"/>
          <w:right w:w="70" w:type="dxa"/>
        </w:tblCellMar>
        <w:tblLook w:val="04A0" w:firstRow="1" w:lastRow="0" w:firstColumn="1" w:lastColumn="0" w:noHBand="0" w:noVBand="1"/>
      </w:tblPr>
      <w:tblGrid>
        <w:gridCol w:w="2260"/>
        <w:gridCol w:w="1860"/>
        <w:gridCol w:w="1860"/>
        <w:gridCol w:w="1860"/>
      </w:tblGrid>
      <w:tr w:rsidR="00F15667" w:rsidRPr="002D4B12" w14:paraId="239FDC4D" w14:textId="77777777" w:rsidTr="002D4B12">
        <w:trPr>
          <w:trHeight w:val="345"/>
        </w:trPr>
        <w:tc>
          <w:tcPr>
            <w:tcW w:w="2260" w:type="dxa"/>
            <w:tcBorders>
              <w:top w:val="double" w:sz="6" w:space="0" w:color="auto"/>
              <w:left w:val="nil"/>
              <w:bottom w:val="double" w:sz="6" w:space="0" w:color="auto"/>
              <w:right w:val="nil"/>
            </w:tcBorders>
            <w:shd w:val="clear" w:color="auto" w:fill="auto"/>
            <w:noWrap/>
            <w:vAlign w:val="center"/>
            <w:hideMark/>
          </w:tcPr>
          <w:p w14:paraId="3E137E84" w14:textId="406E2747" w:rsidR="00C71C27" w:rsidRPr="002D4B12" w:rsidRDefault="00C71C27" w:rsidP="002D4B12">
            <w:pPr>
              <w:spacing w:line="240" w:lineRule="auto"/>
              <w:jc w:val="center"/>
              <w:rPr>
                <w:rFonts w:eastAsia="Times New Roman"/>
                <w:b/>
                <w:bCs/>
                <w:szCs w:val="24"/>
                <w:lang w:eastAsia="cs-CZ"/>
              </w:rPr>
            </w:pPr>
            <w:r w:rsidRPr="002D4B12">
              <w:rPr>
                <w:rFonts w:eastAsia="Times New Roman"/>
                <w:b/>
                <w:bCs/>
                <w:szCs w:val="24"/>
                <w:lang w:eastAsia="cs-CZ"/>
              </w:rPr>
              <w:t>Oběť</w:t>
            </w:r>
            <w:r w:rsidR="006D3222" w:rsidRPr="002D4B12">
              <w:rPr>
                <w:rFonts w:eastAsia="Times New Roman"/>
                <w:b/>
                <w:bCs/>
                <w:szCs w:val="24"/>
                <w:lang w:eastAsia="cs-CZ"/>
              </w:rPr>
              <w:t xml:space="preserve"> / pohlaví</w:t>
            </w:r>
          </w:p>
        </w:tc>
        <w:tc>
          <w:tcPr>
            <w:tcW w:w="1860" w:type="dxa"/>
            <w:tcBorders>
              <w:top w:val="double" w:sz="6" w:space="0" w:color="auto"/>
              <w:left w:val="nil"/>
              <w:bottom w:val="double" w:sz="6" w:space="0" w:color="auto"/>
              <w:right w:val="nil"/>
            </w:tcBorders>
            <w:shd w:val="clear" w:color="auto" w:fill="auto"/>
            <w:noWrap/>
            <w:vAlign w:val="center"/>
            <w:hideMark/>
          </w:tcPr>
          <w:p w14:paraId="0CE9743C" w14:textId="3DF8E978" w:rsidR="00C71C27" w:rsidRPr="002D4B12" w:rsidRDefault="006D3222" w:rsidP="002D4B12">
            <w:pPr>
              <w:spacing w:line="240" w:lineRule="auto"/>
              <w:jc w:val="center"/>
              <w:rPr>
                <w:rFonts w:eastAsia="Times New Roman"/>
                <w:b/>
                <w:bCs/>
                <w:szCs w:val="24"/>
                <w:lang w:eastAsia="cs-CZ"/>
              </w:rPr>
            </w:pPr>
            <w:r w:rsidRPr="002D4B12">
              <w:rPr>
                <w:rFonts w:eastAsia="Times New Roman"/>
                <w:b/>
                <w:bCs/>
                <w:szCs w:val="24"/>
                <w:lang w:eastAsia="cs-CZ"/>
              </w:rPr>
              <w:t>ženské</w:t>
            </w:r>
          </w:p>
        </w:tc>
        <w:tc>
          <w:tcPr>
            <w:tcW w:w="1860" w:type="dxa"/>
            <w:tcBorders>
              <w:top w:val="double" w:sz="6" w:space="0" w:color="auto"/>
              <w:left w:val="nil"/>
              <w:bottom w:val="double" w:sz="6" w:space="0" w:color="auto"/>
              <w:right w:val="nil"/>
            </w:tcBorders>
            <w:shd w:val="clear" w:color="auto" w:fill="auto"/>
            <w:noWrap/>
            <w:vAlign w:val="center"/>
            <w:hideMark/>
          </w:tcPr>
          <w:p w14:paraId="731CD2F2" w14:textId="58BB6ED2" w:rsidR="00C71C27" w:rsidRPr="002D4B12" w:rsidRDefault="006D3222" w:rsidP="002D4B12">
            <w:pPr>
              <w:spacing w:line="240" w:lineRule="auto"/>
              <w:jc w:val="center"/>
              <w:rPr>
                <w:rFonts w:eastAsia="Times New Roman"/>
                <w:b/>
                <w:bCs/>
                <w:szCs w:val="24"/>
                <w:lang w:eastAsia="cs-CZ"/>
              </w:rPr>
            </w:pPr>
            <w:r w:rsidRPr="002D4B12">
              <w:rPr>
                <w:rFonts w:eastAsia="Times New Roman"/>
                <w:b/>
                <w:bCs/>
                <w:szCs w:val="24"/>
                <w:lang w:eastAsia="cs-CZ"/>
              </w:rPr>
              <w:t>mužské</w:t>
            </w:r>
          </w:p>
        </w:tc>
        <w:tc>
          <w:tcPr>
            <w:tcW w:w="1860" w:type="dxa"/>
            <w:tcBorders>
              <w:top w:val="double" w:sz="6" w:space="0" w:color="auto"/>
              <w:left w:val="nil"/>
              <w:bottom w:val="double" w:sz="6" w:space="0" w:color="auto"/>
              <w:right w:val="nil"/>
            </w:tcBorders>
            <w:shd w:val="clear" w:color="auto" w:fill="auto"/>
            <w:noWrap/>
            <w:vAlign w:val="center"/>
            <w:hideMark/>
          </w:tcPr>
          <w:p w14:paraId="33D5941D" w14:textId="77777777" w:rsidR="00C71C27" w:rsidRPr="002D4B12" w:rsidRDefault="00C71C27" w:rsidP="002D4B12">
            <w:pPr>
              <w:spacing w:line="240" w:lineRule="auto"/>
              <w:jc w:val="center"/>
              <w:rPr>
                <w:rFonts w:eastAsia="Times New Roman"/>
                <w:b/>
                <w:bCs/>
                <w:szCs w:val="24"/>
                <w:lang w:eastAsia="cs-CZ"/>
              </w:rPr>
            </w:pPr>
            <w:r w:rsidRPr="002D4B12">
              <w:rPr>
                <w:rFonts w:eastAsia="Times New Roman"/>
                <w:b/>
                <w:bCs/>
                <w:szCs w:val="24"/>
                <w:lang w:eastAsia="cs-CZ"/>
              </w:rPr>
              <w:t>Celkem</w:t>
            </w:r>
          </w:p>
        </w:tc>
      </w:tr>
      <w:tr w:rsidR="00F15667" w:rsidRPr="002D4B12" w14:paraId="3B9E9870" w14:textId="77777777" w:rsidTr="002D4B12">
        <w:trPr>
          <w:trHeight w:val="330"/>
        </w:trPr>
        <w:tc>
          <w:tcPr>
            <w:tcW w:w="2260" w:type="dxa"/>
            <w:tcBorders>
              <w:top w:val="nil"/>
              <w:left w:val="nil"/>
              <w:bottom w:val="single" w:sz="4" w:space="0" w:color="auto"/>
              <w:right w:val="nil"/>
            </w:tcBorders>
            <w:shd w:val="clear" w:color="auto" w:fill="auto"/>
            <w:noWrap/>
            <w:vAlign w:val="center"/>
            <w:hideMark/>
          </w:tcPr>
          <w:p w14:paraId="46D33F8D" w14:textId="77777777" w:rsidR="00C71C27" w:rsidRPr="002D4B12" w:rsidRDefault="00C71C27" w:rsidP="002D4B12">
            <w:pPr>
              <w:spacing w:line="240" w:lineRule="auto"/>
              <w:jc w:val="left"/>
              <w:rPr>
                <w:rFonts w:eastAsia="Times New Roman"/>
                <w:szCs w:val="24"/>
                <w:lang w:eastAsia="cs-CZ"/>
              </w:rPr>
            </w:pPr>
            <w:r w:rsidRPr="002D4B12">
              <w:rPr>
                <w:rFonts w:eastAsia="Times New Roman"/>
                <w:szCs w:val="24"/>
                <w:lang w:eastAsia="cs-CZ"/>
              </w:rPr>
              <w:t>Dítě</w:t>
            </w:r>
          </w:p>
        </w:tc>
        <w:tc>
          <w:tcPr>
            <w:tcW w:w="1860" w:type="dxa"/>
            <w:tcBorders>
              <w:top w:val="nil"/>
              <w:left w:val="nil"/>
              <w:bottom w:val="single" w:sz="4" w:space="0" w:color="auto"/>
              <w:right w:val="nil"/>
            </w:tcBorders>
            <w:shd w:val="clear" w:color="auto" w:fill="auto"/>
            <w:noWrap/>
            <w:vAlign w:val="center"/>
            <w:hideMark/>
          </w:tcPr>
          <w:p w14:paraId="3139EC4D"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71</w:t>
            </w:r>
          </w:p>
        </w:tc>
        <w:tc>
          <w:tcPr>
            <w:tcW w:w="1860" w:type="dxa"/>
            <w:tcBorders>
              <w:top w:val="nil"/>
              <w:left w:val="nil"/>
              <w:bottom w:val="single" w:sz="4" w:space="0" w:color="auto"/>
              <w:right w:val="nil"/>
            </w:tcBorders>
            <w:shd w:val="clear" w:color="auto" w:fill="auto"/>
            <w:noWrap/>
            <w:vAlign w:val="center"/>
            <w:hideMark/>
          </w:tcPr>
          <w:p w14:paraId="162B04EA"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67</w:t>
            </w:r>
          </w:p>
        </w:tc>
        <w:tc>
          <w:tcPr>
            <w:tcW w:w="1860" w:type="dxa"/>
            <w:tcBorders>
              <w:top w:val="nil"/>
              <w:left w:val="nil"/>
              <w:bottom w:val="single" w:sz="4" w:space="0" w:color="auto"/>
              <w:right w:val="nil"/>
            </w:tcBorders>
            <w:shd w:val="clear" w:color="auto" w:fill="auto"/>
            <w:noWrap/>
            <w:vAlign w:val="center"/>
            <w:hideMark/>
          </w:tcPr>
          <w:p w14:paraId="0B684EAA"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138</w:t>
            </w:r>
          </w:p>
        </w:tc>
      </w:tr>
      <w:tr w:rsidR="00F15667" w:rsidRPr="002D4B12" w14:paraId="6F4F7A39" w14:textId="77777777" w:rsidTr="002D4B12">
        <w:trPr>
          <w:trHeight w:val="315"/>
        </w:trPr>
        <w:tc>
          <w:tcPr>
            <w:tcW w:w="2260" w:type="dxa"/>
            <w:tcBorders>
              <w:top w:val="nil"/>
              <w:left w:val="nil"/>
              <w:bottom w:val="single" w:sz="4" w:space="0" w:color="auto"/>
              <w:right w:val="nil"/>
            </w:tcBorders>
            <w:shd w:val="clear" w:color="auto" w:fill="auto"/>
            <w:noWrap/>
            <w:vAlign w:val="center"/>
            <w:hideMark/>
          </w:tcPr>
          <w:p w14:paraId="4E4AE1DE" w14:textId="77777777" w:rsidR="00C71C27" w:rsidRPr="002D4B12" w:rsidRDefault="00C71C27" w:rsidP="002D4B12">
            <w:pPr>
              <w:spacing w:line="240" w:lineRule="auto"/>
              <w:jc w:val="left"/>
              <w:rPr>
                <w:rFonts w:eastAsia="Times New Roman"/>
                <w:szCs w:val="24"/>
                <w:lang w:eastAsia="cs-CZ"/>
              </w:rPr>
            </w:pPr>
            <w:r w:rsidRPr="002D4B12">
              <w:rPr>
                <w:rFonts w:eastAsia="Times New Roman"/>
                <w:szCs w:val="24"/>
                <w:lang w:eastAsia="cs-CZ"/>
              </w:rPr>
              <w:t>Mladistvý</w:t>
            </w:r>
          </w:p>
        </w:tc>
        <w:tc>
          <w:tcPr>
            <w:tcW w:w="1860" w:type="dxa"/>
            <w:tcBorders>
              <w:top w:val="nil"/>
              <w:left w:val="nil"/>
              <w:bottom w:val="single" w:sz="4" w:space="0" w:color="auto"/>
              <w:right w:val="nil"/>
            </w:tcBorders>
            <w:shd w:val="clear" w:color="auto" w:fill="auto"/>
            <w:noWrap/>
            <w:vAlign w:val="center"/>
            <w:hideMark/>
          </w:tcPr>
          <w:p w14:paraId="29C7F20B"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8</w:t>
            </w:r>
          </w:p>
        </w:tc>
        <w:tc>
          <w:tcPr>
            <w:tcW w:w="1860" w:type="dxa"/>
            <w:tcBorders>
              <w:top w:val="nil"/>
              <w:left w:val="nil"/>
              <w:bottom w:val="single" w:sz="4" w:space="0" w:color="auto"/>
              <w:right w:val="nil"/>
            </w:tcBorders>
            <w:shd w:val="clear" w:color="auto" w:fill="auto"/>
            <w:noWrap/>
            <w:vAlign w:val="center"/>
            <w:hideMark/>
          </w:tcPr>
          <w:p w14:paraId="769D5527"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3</w:t>
            </w:r>
          </w:p>
        </w:tc>
        <w:tc>
          <w:tcPr>
            <w:tcW w:w="1860" w:type="dxa"/>
            <w:tcBorders>
              <w:top w:val="nil"/>
              <w:left w:val="nil"/>
              <w:bottom w:val="single" w:sz="4" w:space="0" w:color="auto"/>
              <w:right w:val="nil"/>
            </w:tcBorders>
            <w:shd w:val="clear" w:color="auto" w:fill="auto"/>
            <w:noWrap/>
            <w:vAlign w:val="center"/>
            <w:hideMark/>
          </w:tcPr>
          <w:p w14:paraId="0CD8AC1D"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11</w:t>
            </w:r>
          </w:p>
        </w:tc>
      </w:tr>
      <w:tr w:rsidR="00F15667" w:rsidRPr="002D4B12" w14:paraId="04019D68" w14:textId="77777777" w:rsidTr="002D4B12">
        <w:trPr>
          <w:trHeight w:val="315"/>
        </w:trPr>
        <w:tc>
          <w:tcPr>
            <w:tcW w:w="2260" w:type="dxa"/>
            <w:tcBorders>
              <w:top w:val="nil"/>
              <w:left w:val="nil"/>
              <w:bottom w:val="single" w:sz="4" w:space="0" w:color="auto"/>
              <w:right w:val="nil"/>
            </w:tcBorders>
            <w:shd w:val="clear" w:color="auto" w:fill="auto"/>
            <w:noWrap/>
            <w:vAlign w:val="center"/>
            <w:hideMark/>
          </w:tcPr>
          <w:p w14:paraId="5710C48E" w14:textId="765D6FE4" w:rsidR="00C71C27" w:rsidRPr="002D4B12" w:rsidRDefault="00C71C27" w:rsidP="002D4B12">
            <w:pPr>
              <w:spacing w:line="240" w:lineRule="auto"/>
              <w:jc w:val="left"/>
              <w:rPr>
                <w:rFonts w:eastAsia="Times New Roman"/>
                <w:szCs w:val="24"/>
                <w:lang w:eastAsia="cs-CZ"/>
              </w:rPr>
            </w:pPr>
            <w:r w:rsidRPr="002D4B12">
              <w:rPr>
                <w:rFonts w:eastAsia="Times New Roman"/>
                <w:szCs w:val="24"/>
                <w:lang w:eastAsia="cs-CZ"/>
              </w:rPr>
              <w:t>Dospěl</w:t>
            </w:r>
            <w:r w:rsidR="00D05119" w:rsidRPr="002D4B12">
              <w:rPr>
                <w:rFonts w:eastAsia="Times New Roman"/>
                <w:szCs w:val="24"/>
                <w:lang w:eastAsia="cs-CZ"/>
              </w:rPr>
              <w:t>ý</w:t>
            </w:r>
          </w:p>
        </w:tc>
        <w:tc>
          <w:tcPr>
            <w:tcW w:w="1860" w:type="dxa"/>
            <w:tcBorders>
              <w:top w:val="nil"/>
              <w:left w:val="nil"/>
              <w:bottom w:val="single" w:sz="4" w:space="0" w:color="auto"/>
              <w:right w:val="nil"/>
            </w:tcBorders>
            <w:shd w:val="clear" w:color="auto" w:fill="auto"/>
            <w:noWrap/>
            <w:vAlign w:val="center"/>
            <w:hideMark/>
          </w:tcPr>
          <w:p w14:paraId="3951727F"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283</w:t>
            </w:r>
          </w:p>
        </w:tc>
        <w:tc>
          <w:tcPr>
            <w:tcW w:w="1860" w:type="dxa"/>
            <w:tcBorders>
              <w:top w:val="nil"/>
              <w:left w:val="nil"/>
              <w:bottom w:val="single" w:sz="4" w:space="0" w:color="auto"/>
              <w:right w:val="nil"/>
            </w:tcBorders>
            <w:shd w:val="clear" w:color="auto" w:fill="auto"/>
            <w:noWrap/>
            <w:vAlign w:val="center"/>
            <w:hideMark/>
          </w:tcPr>
          <w:p w14:paraId="04A25618"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24</w:t>
            </w:r>
          </w:p>
        </w:tc>
        <w:tc>
          <w:tcPr>
            <w:tcW w:w="1860" w:type="dxa"/>
            <w:tcBorders>
              <w:top w:val="nil"/>
              <w:left w:val="nil"/>
              <w:bottom w:val="single" w:sz="4" w:space="0" w:color="auto"/>
              <w:right w:val="nil"/>
            </w:tcBorders>
            <w:shd w:val="clear" w:color="auto" w:fill="auto"/>
            <w:noWrap/>
            <w:vAlign w:val="center"/>
            <w:hideMark/>
          </w:tcPr>
          <w:p w14:paraId="62CD9608"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307</w:t>
            </w:r>
          </w:p>
        </w:tc>
      </w:tr>
      <w:tr w:rsidR="00F15667" w:rsidRPr="002D4B12" w14:paraId="6CF6BF88" w14:textId="77777777" w:rsidTr="002D4B12">
        <w:trPr>
          <w:trHeight w:val="330"/>
        </w:trPr>
        <w:tc>
          <w:tcPr>
            <w:tcW w:w="2260" w:type="dxa"/>
            <w:tcBorders>
              <w:top w:val="nil"/>
              <w:left w:val="nil"/>
              <w:bottom w:val="single" w:sz="4" w:space="0" w:color="auto"/>
              <w:right w:val="nil"/>
            </w:tcBorders>
            <w:shd w:val="clear" w:color="auto" w:fill="auto"/>
            <w:noWrap/>
            <w:vAlign w:val="center"/>
            <w:hideMark/>
          </w:tcPr>
          <w:p w14:paraId="4D0052DB" w14:textId="77777777" w:rsidR="00C71C27" w:rsidRPr="002D4B12" w:rsidRDefault="00C71C27" w:rsidP="002D4B12">
            <w:pPr>
              <w:spacing w:line="240" w:lineRule="auto"/>
              <w:jc w:val="left"/>
              <w:rPr>
                <w:rFonts w:eastAsia="Times New Roman"/>
                <w:szCs w:val="24"/>
                <w:lang w:eastAsia="cs-CZ"/>
              </w:rPr>
            </w:pPr>
            <w:r w:rsidRPr="002D4B12">
              <w:rPr>
                <w:rFonts w:eastAsia="Times New Roman"/>
                <w:szCs w:val="24"/>
                <w:lang w:eastAsia="cs-CZ"/>
              </w:rPr>
              <w:t>Senior</w:t>
            </w:r>
          </w:p>
        </w:tc>
        <w:tc>
          <w:tcPr>
            <w:tcW w:w="1860" w:type="dxa"/>
            <w:tcBorders>
              <w:top w:val="nil"/>
              <w:left w:val="nil"/>
              <w:bottom w:val="single" w:sz="4" w:space="0" w:color="auto"/>
              <w:right w:val="nil"/>
            </w:tcBorders>
            <w:shd w:val="clear" w:color="auto" w:fill="auto"/>
            <w:noWrap/>
            <w:vAlign w:val="center"/>
            <w:hideMark/>
          </w:tcPr>
          <w:p w14:paraId="20777E9E"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23</w:t>
            </w:r>
          </w:p>
        </w:tc>
        <w:tc>
          <w:tcPr>
            <w:tcW w:w="1860" w:type="dxa"/>
            <w:tcBorders>
              <w:top w:val="nil"/>
              <w:left w:val="nil"/>
              <w:bottom w:val="single" w:sz="4" w:space="0" w:color="auto"/>
              <w:right w:val="nil"/>
            </w:tcBorders>
            <w:shd w:val="clear" w:color="auto" w:fill="auto"/>
            <w:noWrap/>
            <w:vAlign w:val="center"/>
            <w:hideMark/>
          </w:tcPr>
          <w:p w14:paraId="23412BD2"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7</w:t>
            </w:r>
          </w:p>
        </w:tc>
        <w:tc>
          <w:tcPr>
            <w:tcW w:w="1860" w:type="dxa"/>
            <w:tcBorders>
              <w:top w:val="nil"/>
              <w:left w:val="nil"/>
              <w:bottom w:val="single" w:sz="4" w:space="0" w:color="auto"/>
              <w:right w:val="nil"/>
            </w:tcBorders>
            <w:shd w:val="clear" w:color="auto" w:fill="auto"/>
            <w:noWrap/>
            <w:vAlign w:val="center"/>
            <w:hideMark/>
          </w:tcPr>
          <w:p w14:paraId="163AE884" w14:textId="77777777" w:rsidR="00C71C27" w:rsidRPr="002D4B12" w:rsidRDefault="00C71C27" w:rsidP="002D4B12">
            <w:pPr>
              <w:spacing w:line="240" w:lineRule="auto"/>
              <w:jc w:val="center"/>
              <w:rPr>
                <w:rFonts w:eastAsia="Times New Roman"/>
                <w:szCs w:val="24"/>
                <w:lang w:eastAsia="cs-CZ"/>
              </w:rPr>
            </w:pPr>
            <w:r w:rsidRPr="002D4B12">
              <w:rPr>
                <w:rFonts w:eastAsia="Times New Roman"/>
                <w:szCs w:val="24"/>
                <w:lang w:eastAsia="cs-CZ"/>
              </w:rPr>
              <w:t>30</w:t>
            </w:r>
          </w:p>
        </w:tc>
      </w:tr>
      <w:tr w:rsidR="00F15667" w:rsidRPr="002D4B12" w14:paraId="09EAB31D" w14:textId="77777777" w:rsidTr="002D4B12">
        <w:trPr>
          <w:trHeight w:val="345"/>
        </w:trPr>
        <w:tc>
          <w:tcPr>
            <w:tcW w:w="2260" w:type="dxa"/>
            <w:tcBorders>
              <w:top w:val="double" w:sz="6" w:space="0" w:color="auto"/>
              <w:left w:val="nil"/>
              <w:bottom w:val="double" w:sz="6" w:space="0" w:color="auto"/>
              <w:right w:val="nil"/>
            </w:tcBorders>
            <w:shd w:val="clear" w:color="auto" w:fill="auto"/>
            <w:noWrap/>
            <w:vAlign w:val="center"/>
            <w:hideMark/>
          </w:tcPr>
          <w:p w14:paraId="511EAB5B" w14:textId="77777777" w:rsidR="00C71C27" w:rsidRPr="002D4B12" w:rsidRDefault="00C71C27" w:rsidP="002D4B12">
            <w:pPr>
              <w:spacing w:line="240" w:lineRule="auto"/>
              <w:jc w:val="left"/>
              <w:rPr>
                <w:rFonts w:eastAsia="Times New Roman"/>
                <w:b/>
                <w:bCs/>
                <w:szCs w:val="24"/>
                <w:lang w:eastAsia="cs-CZ"/>
              </w:rPr>
            </w:pPr>
            <w:r w:rsidRPr="002D4B12">
              <w:rPr>
                <w:rFonts w:eastAsia="Times New Roman"/>
                <w:b/>
                <w:bCs/>
                <w:szCs w:val="24"/>
                <w:lang w:eastAsia="cs-CZ"/>
              </w:rPr>
              <w:t>Celkem</w:t>
            </w:r>
          </w:p>
        </w:tc>
        <w:tc>
          <w:tcPr>
            <w:tcW w:w="1860" w:type="dxa"/>
            <w:tcBorders>
              <w:top w:val="double" w:sz="6" w:space="0" w:color="auto"/>
              <w:left w:val="nil"/>
              <w:bottom w:val="double" w:sz="6" w:space="0" w:color="auto"/>
              <w:right w:val="nil"/>
            </w:tcBorders>
            <w:shd w:val="clear" w:color="auto" w:fill="auto"/>
            <w:noWrap/>
            <w:vAlign w:val="center"/>
            <w:hideMark/>
          </w:tcPr>
          <w:p w14:paraId="20A0B214" w14:textId="77777777" w:rsidR="00C71C27" w:rsidRPr="002D4B12" w:rsidRDefault="00C71C27" w:rsidP="002D4B12">
            <w:pPr>
              <w:spacing w:line="240" w:lineRule="auto"/>
              <w:jc w:val="center"/>
              <w:rPr>
                <w:rFonts w:eastAsia="Times New Roman"/>
                <w:b/>
                <w:bCs/>
                <w:szCs w:val="24"/>
                <w:lang w:eastAsia="cs-CZ"/>
              </w:rPr>
            </w:pPr>
            <w:r w:rsidRPr="002D4B12">
              <w:rPr>
                <w:rFonts w:eastAsia="Times New Roman"/>
                <w:b/>
                <w:bCs/>
                <w:szCs w:val="24"/>
                <w:lang w:eastAsia="cs-CZ"/>
              </w:rPr>
              <w:t>385</w:t>
            </w:r>
          </w:p>
        </w:tc>
        <w:tc>
          <w:tcPr>
            <w:tcW w:w="1860" w:type="dxa"/>
            <w:tcBorders>
              <w:top w:val="double" w:sz="6" w:space="0" w:color="auto"/>
              <w:left w:val="nil"/>
              <w:bottom w:val="double" w:sz="6" w:space="0" w:color="auto"/>
              <w:right w:val="nil"/>
            </w:tcBorders>
            <w:shd w:val="clear" w:color="auto" w:fill="auto"/>
            <w:noWrap/>
            <w:vAlign w:val="center"/>
            <w:hideMark/>
          </w:tcPr>
          <w:p w14:paraId="4FDC71F2" w14:textId="77777777" w:rsidR="00C71C27" w:rsidRPr="002D4B12" w:rsidRDefault="00C71C27" w:rsidP="002D4B12">
            <w:pPr>
              <w:spacing w:line="240" w:lineRule="auto"/>
              <w:jc w:val="center"/>
              <w:rPr>
                <w:rFonts w:eastAsia="Times New Roman"/>
                <w:b/>
                <w:bCs/>
                <w:szCs w:val="24"/>
                <w:lang w:eastAsia="cs-CZ"/>
              </w:rPr>
            </w:pPr>
            <w:r w:rsidRPr="002D4B12">
              <w:rPr>
                <w:rFonts w:eastAsia="Times New Roman"/>
                <w:b/>
                <w:bCs/>
                <w:szCs w:val="24"/>
                <w:lang w:eastAsia="cs-CZ"/>
              </w:rPr>
              <w:t>101</w:t>
            </w:r>
          </w:p>
        </w:tc>
        <w:tc>
          <w:tcPr>
            <w:tcW w:w="1860" w:type="dxa"/>
            <w:tcBorders>
              <w:top w:val="double" w:sz="6" w:space="0" w:color="auto"/>
              <w:left w:val="nil"/>
              <w:bottom w:val="double" w:sz="6" w:space="0" w:color="auto"/>
              <w:right w:val="nil"/>
            </w:tcBorders>
            <w:shd w:val="clear" w:color="auto" w:fill="auto"/>
            <w:noWrap/>
            <w:vAlign w:val="center"/>
            <w:hideMark/>
          </w:tcPr>
          <w:p w14:paraId="570C3218" w14:textId="77777777" w:rsidR="00C71C27" w:rsidRPr="002D4B12" w:rsidRDefault="00C71C27" w:rsidP="002D4B12">
            <w:pPr>
              <w:spacing w:line="240" w:lineRule="auto"/>
              <w:jc w:val="center"/>
              <w:rPr>
                <w:rFonts w:eastAsia="Times New Roman"/>
                <w:b/>
                <w:bCs/>
                <w:szCs w:val="24"/>
                <w:lang w:eastAsia="cs-CZ"/>
              </w:rPr>
            </w:pPr>
            <w:r w:rsidRPr="002D4B12">
              <w:rPr>
                <w:rFonts w:eastAsia="Times New Roman"/>
                <w:b/>
                <w:bCs/>
                <w:szCs w:val="24"/>
                <w:lang w:eastAsia="cs-CZ"/>
              </w:rPr>
              <w:t>486</w:t>
            </w:r>
          </w:p>
        </w:tc>
      </w:tr>
      <w:tr w:rsidR="00F15667" w:rsidRPr="002D4B12" w14:paraId="2EF6943B" w14:textId="77777777" w:rsidTr="002D4B12">
        <w:trPr>
          <w:trHeight w:val="330"/>
        </w:trPr>
        <w:tc>
          <w:tcPr>
            <w:tcW w:w="2260" w:type="dxa"/>
            <w:tcBorders>
              <w:top w:val="nil"/>
              <w:left w:val="nil"/>
              <w:bottom w:val="nil"/>
              <w:right w:val="nil"/>
            </w:tcBorders>
            <w:shd w:val="clear" w:color="auto" w:fill="auto"/>
            <w:noWrap/>
            <w:vAlign w:val="center"/>
            <w:hideMark/>
          </w:tcPr>
          <w:p w14:paraId="0BE624B3" w14:textId="77777777" w:rsidR="00C71C27" w:rsidRPr="002D4B12" w:rsidRDefault="00C71C27" w:rsidP="002D4B12">
            <w:pPr>
              <w:spacing w:line="240" w:lineRule="auto"/>
              <w:jc w:val="center"/>
              <w:rPr>
                <w:rFonts w:eastAsia="Times New Roman"/>
                <w:b/>
                <w:bCs/>
                <w:szCs w:val="24"/>
                <w:lang w:eastAsia="cs-CZ"/>
              </w:rPr>
            </w:pPr>
          </w:p>
        </w:tc>
        <w:tc>
          <w:tcPr>
            <w:tcW w:w="1860" w:type="dxa"/>
            <w:tcBorders>
              <w:top w:val="nil"/>
              <w:left w:val="nil"/>
              <w:bottom w:val="nil"/>
              <w:right w:val="nil"/>
            </w:tcBorders>
            <w:shd w:val="clear" w:color="auto" w:fill="auto"/>
            <w:noWrap/>
            <w:vAlign w:val="center"/>
            <w:hideMark/>
          </w:tcPr>
          <w:p w14:paraId="171A8D3E" w14:textId="77777777" w:rsidR="00C71C27" w:rsidRPr="002D4B12" w:rsidRDefault="00C71C27" w:rsidP="002D4B12">
            <w:pPr>
              <w:spacing w:line="240" w:lineRule="auto"/>
              <w:jc w:val="center"/>
              <w:rPr>
                <w:rFonts w:eastAsia="Times New Roman"/>
                <w:sz w:val="20"/>
                <w:szCs w:val="20"/>
                <w:lang w:eastAsia="cs-CZ"/>
              </w:rPr>
            </w:pPr>
          </w:p>
        </w:tc>
        <w:tc>
          <w:tcPr>
            <w:tcW w:w="1860" w:type="dxa"/>
            <w:tcBorders>
              <w:top w:val="nil"/>
              <w:left w:val="nil"/>
              <w:bottom w:val="nil"/>
              <w:right w:val="nil"/>
            </w:tcBorders>
            <w:shd w:val="clear" w:color="auto" w:fill="auto"/>
            <w:noWrap/>
            <w:vAlign w:val="center"/>
            <w:hideMark/>
          </w:tcPr>
          <w:p w14:paraId="70A94F6C" w14:textId="77777777" w:rsidR="00C71C27" w:rsidRPr="002D4B12" w:rsidRDefault="00C71C27" w:rsidP="002D4B12">
            <w:pPr>
              <w:spacing w:line="240" w:lineRule="auto"/>
              <w:jc w:val="center"/>
              <w:rPr>
                <w:rFonts w:eastAsia="Times New Roman"/>
                <w:sz w:val="20"/>
                <w:szCs w:val="20"/>
                <w:lang w:eastAsia="cs-CZ"/>
              </w:rPr>
            </w:pPr>
          </w:p>
        </w:tc>
        <w:tc>
          <w:tcPr>
            <w:tcW w:w="1860" w:type="dxa"/>
            <w:tcBorders>
              <w:top w:val="nil"/>
              <w:left w:val="nil"/>
              <w:bottom w:val="nil"/>
              <w:right w:val="nil"/>
            </w:tcBorders>
            <w:shd w:val="clear" w:color="auto" w:fill="auto"/>
            <w:noWrap/>
            <w:vAlign w:val="center"/>
            <w:hideMark/>
          </w:tcPr>
          <w:p w14:paraId="2A58E283" w14:textId="77777777" w:rsidR="00C71C27" w:rsidRPr="002D4B12" w:rsidRDefault="00C71C27" w:rsidP="002D4B12">
            <w:pPr>
              <w:spacing w:line="240" w:lineRule="auto"/>
              <w:jc w:val="center"/>
              <w:rPr>
                <w:rFonts w:eastAsia="Times New Roman"/>
                <w:sz w:val="20"/>
                <w:szCs w:val="20"/>
                <w:lang w:eastAsia="cs-CZ"/>
              </w:rPr>
            </w:pPr>
          </w:p>
        </w:tc>
      </w:tr>
    </w:tbl>
    <w:p w14:paraId="1BC1BE97" w14:textId="74EF0FB7" w:rsidR="00433267" w:rsidRPr="002D4B12" w:rsidRDefault="00C71C27" w:rsidP="0022060E">
      <w:pPr>
        <w:pStyle w:val="OdstavecASR"/>
      </w:pPr>
      <w:r w:rsidRPr="002D4B12">
        <w:t xml:space="preserve">Obětí (druhu obětí) může být u jednoho trestného činu více, a proto je součet obětí </w:t>
      </w:r>
      <w:r w:rsidR="004644AA" w:rsidRPr="002D4B12">
        <w:t xml:space="preserve">vyšší </w:t>
      </w:r>
      <w:r w:rsidRPr="002D4B12">
        <w:t>než počet pachatelů.</w:t>
      </w:r>
      <w:r w:rsidR="00BC6F5B" w:rsidRPr="002D4B12">
        <w:t xml:space="preserve"> </w:t>
      </w:r>
      <w:r w:rsidR="00D05119" w:rsidRPr="002D4B12">
        <w:t>Z</w:t>
      </w:r>
      <w:r w:rsidR="00BC6F5B" w:rsidRPr="002D4B12">
        <w:t> tabulky lze vyčíst několik věcí. Především pak to, že ženských obětí je téměř čtyřikrát více než mužských obětí. Ovšem u dospělých je to asi 12</w:t>
      </w:r>
      <w:r w:rsidR="00DB2160">
        <w:t>×</w:t>
      </w:r>
      <w:r w:rsidR="00BC6F5B" w:rsidRPr="002D4B12">
        <w:t xml:space="preserve"> více, zatímco u dětí jsou počty takřka vyrovnané.</w:t>
      </w:r>
    </w:p>
    <w:p w14:paraId="085C5CAB" w14:textId="2D98B8FD" w:rsidR="00865722" w:rsidRPr="002D4B12" w:rsidRDefault="00865722" w:rsidP="00865722">
      <w:pPr>
        <w:pStyle w:val="OdstavecASR"/>
        <w:keepNext/>
        <w:outlineLvl w:val="3"/>
        <w:rPr>
          <w:b/>
          <w:bCs/>
        </w:rPr>
      </w:pPr>
      <w:bookmarkStart w:id="397" w:name="_Hlk160440612"/>
      <w:r w:rsidRPr="002D4B12">
        <w:rPr>
          <w:b/>
          <w:bCs/>
        </w:rPr>
        <w:t>Odsouzení k nepodmíněnému odnětí svobody (NEPO)</w:t>
      </w:r>
    </w:p>
    <w:p w14:paraId="2AE247A1" w14:textId="77BE0DA7" w:rsidR="00034F8F" w:rsidRPr="002D4B12" w:rsidRDefault="00865722" w:rsidP="0022060E">
      <w:pPr>
        <w:pStyle w:val="OdstavecASR"/>
      </w:pPr>
      <w:r w:rsidRPr="002D4B12">
        <w:t xml:space="preserve">Další </w:t>
      </w:r>
      <w:r w:rsidR="003649F1" w:rsidRPr="002D4B12">
        <w:t>téma, které rezonuje m</w:t>
      </w:r>
      <w:r w:rsidR="00820688" w:rsidRPr="002D4B12">
        <w:t>é</w:t>
      </w:r>
      <w:r w:rsidR="003649F1" w:rsidRPr="002D4B12">
        <w:t>di</w:t>
      </w:r>
      <w:r w:rsidR="00820688" w:rsidRPr="002D4B12">
        <w:t>i</w:t>
      </w:r>
      <w:r w:rsidR="003649F1" w:rsidRPr="002D4B12">
        <w:t xml:space="preserve"> je přeplněnost věznic a ukládání NEPO. Toto téma bylo velmi diskutováno během nouzového stavu, kdy se ukládaly přísnější tresty. </w:t>
      </w:r>
      <w:r w:rsidR="00D732FE" w:rsidRPr="002D4B12">
        <w:t xml:space="preserve">Podotýkáme, že jde pouze o okresní soudy. Závažnější trestné činy, za které je častěji ukládáno NEPO věcně připadají krajským soudům. </w:t>
      </w:r>
      <w:r w:rsidR="009C54E4" w:rsidRPr="002D4B12">
        <w:t>Na druhou stranu jich je řádově méně.</w:t>
      </w:r>
      <w:r w:rsidR="00034F8F" w:rsidRPr="002D4B12">
        <w:t xml:space="preserve"> V tabulce níže jsou uvedeny trestné činy, za které byl nejčastěji uložen NEPO v roce 2022. V případě souběhu trestných činů je vždy vykázán nejzávažnější trestný čin. </w:t>
      </w:r>
      <w:r w:rsidR="001D78B1" w:rsidRPr="002D4B12">
        <w:t>Dále je u každého trestného činu uvedena průměrná délka NEPO v měsících.</w:t>
      </w:r>
    </w:p>
    <w:bookmarkEnd w:id="397"/>
    <w:p w14:paraId="7E9BC00A" w14:textId="77777777" w:rsidR="001D78B1" w:rsidRPr="002D4B12" w:rsidRDefault="001D78B1" w:rsidP="002D4B12">
      <w:pPr>
        <w:pStyle w:val="OdstavecASR"/>
      </w:pPr>
      <w:r w:rsidRPr="002D4B12">
        <w:br w:type="page"/>
      </w:r>
    </w:p>
    <w:p w14:paraId="0E453A84" w14:textId="487CBDE9" w:rsidR="00034F8F" w:rsidRPr="002D4B12" w:rsidRDefault="00056C30" w:rsidP="00034F8F">
      <w:pPr>
        <w:pStyle w:val="Podnadpis"/>
        <w:rPr>
          <w:color w:val="auto"/>
        </w:rPr>
      </w:pPr>
      <w:bookmarkStart w:id="398" w:name="_Toc144104268"/>
      <w:bookmarkStart w:id="399" w:name="_Hlk160440660"/>
      <w:r w:rsidRPr="002D4B12">
        <w:rPr>
          <w:color w:val="auto"/>
        </w:rPr>
        <w:lastRenderedPageBreak/>
        <w:t xml:space="preserve">Tabulka </w:t>
      </w:r>
      <w:r w:rsidRPr="002D4B12">
        <w:rPr>
          <w:color w:val="auto"/>
        </w:rPr>
        <w:fldChar w:fldCharType="begin"/>
      </w:r>
      <w:r w:rsidRPr="002D4B12">
        <w:rPr>
          <w:color w:val="auto"/>
        </w:rPr>
        <w:instrText xml:space="preserve"> SEQ Tabulka \* ARABIC </w:instrText>
      </w:r>
      <w:r w:rsidRPr="002D4B12">
        <w:rPr>
          <w:color w:val="auto"/>
        </w:rPr>
        <w:fldChar w:fldCharType="separate"/>
      </w:r>
      <w:r w:rsidR="001E1A67">
        <w:rPr>
          <w:noProof/>
          <w:color w:val="auto"/>
        </w:rPr>
        <w:t>29</w:t>
      </w:r>
      <w:r w:rsidRPr="002D4B12">
        <w:rPr>
          <w:noProof/>
          <w:color w:val="auto"/>
        </w:rPr>
        <w:fldChar w:fldCharType="end"/>
      </w:r>
      <w:r w:rsidR="00034F8F" w:rsidRPr="002D4B12">
        <w:rPr>
          <w:color w:val="auto"/>
        </w:rPr>
        <w:t>: OS – TČ, za které je ukládáno NEPO</w:t>
      </w:r>
      <w:bookmarkEnd w:id="398"/>
    </w:p>
    <w:tbl>
      <w:tblPr>
        <w:tblW w:w="9176" w:type="dxa"/>
        <w:tblCellMar>
          <w:left w:w="70" w:type="dxa"/>
          <w:right w:w="70" w:type="dxa"/>
        </w:tblCellMar>
        <w:tblLook w:val="04A0" w:firstRow="1" w:lastRow="0" w:firstColumn="1" w:lastColumn="0" w:noHBand="0" w:noVBand="1"/>
      </w:tblPr>
      <w:tblGrid>
        <w:gridCol w:w="6096"/>
        <w:gridCol w:w="1540"/>
        <w:gridCol w:w="1540"/>
      </w:tblGrid>
      <w:tr w:rsidR="00F15667" w:rsidRPr="002D4B12" w14:paraId="2CAACB95" w14:textId="77777777" w:rsidTr="002D4B12">
        <w:trPr>
          <w:trHeight w:val="660"/>
        </w:trPr>
        <w:tc>
          <w:tcPr>
            <w:tcW w:w="6096" w:type="dxa"/>
            <w:tcBorders>
              <w:top w:val="double" w:sz="6" w:space="0" w:color="auto"/>
              <w:left w:val="nil"/>
              <w:bottom w:val="double" w:sz="6" w:space="0" w:color="auto"/>
              <w:right w:val="nil"/>
            </w:tcBorders>
            <w:shd w:val="clear" w:color="auto" w:fill="auto"/>
            <w:noWrap/>
            <w:vAlign w:val="center"/>
            <w:hideMark/>
          </w:tcPr>
          <w:bookmarkEnd w:id="399"/>
          <w:p w14:paraId="11BAFD3C" w14:textId="77777777" w:rsidR="001D78B1" w:rsidRPr="002D4B12" w:rsidRDefault="001D78B1" w:rsidP="002D4B12">
            <w:pPr>
              <w:spacing w:line="240" w:lineRule="auto"/>
              <w:jc w:val="center"/>
              <w:rPr>
                <w:rFonts w:eastAsia="Times New Roman"/>
                <w:b/>
                <w:bCs/>
                <w:szCs w:val="24"/>
                <w:lang w:eastAsia="cs-CZ"/>
              </w:rPr>
            </w:pPr>
            <w:r w:rsidRPr="002D4B12">
              <w:rPr>
                <w:rFonts w:eastAsia="Times New Roman"/>
                <w:b/>
                <w:bCs/>
                <w:szCs w:val="24"/>
                <w:lang w:eastAsia="cs-CZ"/>
              </w:rPr>
              <w:t>Trestný čin</w:t>
            </w:r>
          </w:p>
        </w:tc>
        <w:tc>
          <w:tcPr>
            <w:tcW w:w="1540" w:type="dxa"/>
            <w:tcBorders>
              <w:top w:val="double" w:sz="6" w:space="0" w:color="auto"/>
              <w:left w:val="nil"/>
              <w:bottom w:val="double" w:sz="6" w:space="0" w:color="auto"/>
              <w:right w:val="nil"/>
            </w:tcBorders>
            <w:shd w:val="clear" w:color="auto" w:fill="auto"/>
            <w:noWrap/>
            <w:vAlign w:val="center"/>
            <w:hideMark/>
          </w:tcPr>
          <w:p w14:paraId="4D918F7C" w14:textId="77777777" w:rsidR="001D78B1" w:rsidRPr="002D4B12" w:rsidRDefault="001D78B1" w:rsidP="002D4B12">
            <w:pPr>
              <w:spacing w:line="240" w:lineRule="auto"/>
              <w:jc w:val="center"/>
              <w:rPr>
                <w:rFonts w:eastAsia="Times New Roman"/>
                <w:b/>
                <w:bCs/>
                <w:szCs w:val="24"/>
                <w:lang w:eastAsia="cs-CZ"/>
              </w:rPr>
            </w:pPr>
            <w:r w:rsidRPr="002D4B12">
              <w:rPr>
                <w:rFonts w:eastAsia="Times New Roman"/>
                <w:b/>
                <w:bCs/>
                <w:szCs w:val="24"/>
                <w:lang w:eastAsia="cs-CZ"/>
              </w:rPr>
              <w:t>Počet osob</w:t>
            </w:r>
          </w:p>
        </w:tc>
        <w:tc>
          <w:tcPr>
            <w:tcW w:w="1540" w:type="dxa"/>
            <w:tcBorders>
              <w:top w:val="double" w:sz="6" w:space="0" w:color="auto"/>
              <w:left w:val="nil"/>
              <w:bottom w:val="double" w:sz="6" w:space="0" w:color="auto"/>
              <w:right w:val="nil"/>
            </w:tcBorders>
            <w:shd w:val="clear" w:color="auto" w:fill="auto"/>
            <w:vAlign w:val="center"/>
            <w:hideMark/>
          </w:tcPr>
          <w:p w14:paraId="643A53B9" w14:textId="77777777" w:rsidR="001D78B1" w:rsidRPr="002D4B12" w:rsidRDefault="001D78B1" w:rsidP="002D4B12">
            <w:pPr>
              <w:spacing w:line="240" w:lineRule="auto"/>
              <w:jc w:val="center"/>
              <w:rPr>
                <w:rFonts w:eastAsia="Times New Roman"/>
                <w:b/>
                <w:bCs/>
                <w:szCs w:val="24"/>
                <w:lang w:eastAsia="cs-CZ"/>
              </w:rPr>
            </w:pPr>
            <w:r w:rsidRPr="002D4B12">
              <w:rPr>
                <w:rFonts w:eastAsia="Times New Roman"/>
                <w:b/>
                <w:bCs/>
                <w:szCs w:val="24"/>
                <w:lang w:eastAsia="cs-CZ"/>
              </w:rPr>
              <w:t>Prům. délka NEPO</w:t>
            </w:r>
          </w:p>
        </w:tc>
      </w:tr>
      <w:tr w:rsidR="00F15667" w:rsidRPr="002D4B12" w14:paraId="3F15E2D7" w14:textId="77777777" w:rsidTr="002D4B12">
        <w:trPr>
          <w:trHeight w:val="330"/>
        </w:trPr>
        <w:tc>
          <w:tcPr>
            <w:tcW w:w="6096" w:type="dxa"/>
            <w:tcBorders>
              <w:top w:val="nil"/>
              <w:left w:val="nil"/>
              <w:bottom w:val="nil"/>
              <w:right w:val="nil"/>
            </w:tcBorders>
            <w:shd w:val="clear" w:color="auto" w:fill="auto"/>
            <w:noWrap/>
            <w:vAlign w:val="center"/>
            <w:hideMark/>
          </w:tcPr>
          <w:p w14:paraId="2F50D1C5"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Krádež</w:t>
            </w:r>
          </w:p>
        </w:tc>
        <w:tc>
          <w:tcPr>
            <w:tcW w:w="1540" w:type="dxa"/>
            <w:tcBorders>
              <w:top w:val="nil"/>
              <w:left w:val="nil"/>
              <w:bottom w:val="nil"/>
              <w:right w:val="nil"/>
            </w:tcBorders>
            <w:shd w:val="clear" w:color="auto" w:fill="auto"/>
            <w:noWrap/>
            <w:vAlign w:val="center"/>
            <w:hideMark/>
          </w:tcPr>
          <w:p w14:paraId="4A8C46B6" w14:textId="2890AED0"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3</w:t>
            </w:r>
            <w:r w:rsidR="00DD7CFD" w:rsidRPr="002D4B12">
              <w:rPr>
                <w:rFonts w:eastAsia="Times New Roman"/>
                <w:szCs w:val="24"/>
                <w:lang w:eastAsia="cs-CZ"/>
              </w:rPr>
              <w:t xml:space="preserve"> </w:t>
            </w:r>
            <w:r w:rsidRPr="002D4B12">
              <w:rPr>
                <w:rFonts w:eastAsia="Times New Roman"/>
                <w:szCs w:val="24"/>
                <w:lang w:eastAsia="cs-CZ"/>
              </w:rPr>
              <w:t>174</w:t>
            </w:r>
          </w:p>
        </w:tc>
        <w:tc>
          <w:tcPr>
            <w:tcW w:w="1540" w:type="dxa"/>
            <w:tcBorders>
              <w:top w:val="nil"/>
              <w:left w:val="nil"/>
              <w:bottom w:val="nil"/>
              <w:right w:val="nil"/>
            </w:tcBorders>
            <w:shd w:val="clear" w:color="auto" w:fill="auto"/>
            <w:noWrap/>
            <w:vAlign w:val="center"/>
            <w:hideMark/>
          </w:tcPr>
          <w:p w14:paraId="02818D49" w14:textId="2B89C075"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13,1</w:t>
            </w:r>
          </w:p>
        </w:tc>
      </w:tr>
      <w:tr w:rsidR="00F15667" w:rsidRPr="002D4B12" w14:paraId="37EAEF2C" w14:textId="77777777" w:rsidTr="002D4B12">
        <w:trPr>
          <w:trHeight w:val="315"/>
        </w:trPr>
        <w:tc>
          <w:tcPr>
            <w:tcW w:w="6096" w:type="dxa"/>
            <w:tcBorders>
              <w:top w:val="single" w:sz="4" w:space="0" w:color="auto"/>
              <w:left w:val="nil"/>
              <w:bottom w:val="single" w:sz="4" w:space="0" w:color="auto"/>
              <w:right w:val="nil"/>
            </w:tcBorders>
            <w:shd w:val="clear" w:color="auto" w:fill="auto"/>
            <w:noWrap/>
            <w:vAlign w:val="center"/>
            <w:hideMark/>
          </w:tcPr>
          <w:p w14:paraId="45AC2A39"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Maření výkonu úředního rozhodnutí a vykázání</w:t>
            </w:r>
          </w:p>
        </w:tc>
        <w:tc>
          <w:tcPr>
            <w:tcW w:w="1540" w:type="dxa"/>
            <w:tcBorders>
              <w:top w:val="single" w:sz="4" w:space="0" w:color="auto"/>
              <w:left w:val="nil"/>
              <w:bottom w:val="single" w:sz="4" w:space="0" w:color="auto"/>
              <w:right w:val="nil"/>
            </w:tcBorders>
            <w:shd w:val="clear" w:color="auto" w:fill="auto"/>
            <w:noWrap/>
            <w:vAlign w:val="center"/>
            <w:hideMark/>
          </w:tcPr>
          <w:p w14:paraId="78DCAE8F" w14:textId="5C36420C"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2</w:t>
            </w:r>
            <w:r w:rsidR="00DD7CFD" w:rsidRPr="002D4B12">
              <w:rPr>
                <w:rFonts w:eastAsia="Times New Roman"/>
                <w:szCs w:val="24"/>
                <w:lang w:eastAsia="cs-CZ"/>
              </w:rPr>
              <w:t xml:space="preserve"> </w:t>
            </w:r>
            <w:r w:rsidRPr="002D4B12">
              <w:rPr>
                <w:rFonts w:eastAsia="Times New Roman"/>
                <w:szCs w:val="24"/>
                <w:lang w:eastAsia="cs-CZ"/>
              </w:rPr>
              <w:t>263</w:t>
            </w:r>
          </w:p>
        </w:tc>
        <w:tc>
          <w:tcPr>
            <w:tcW w:w="1540" w:type="dxa"/>
            <w:tcBorders>
              <w:top w:val="single" w:sz="4" w:space="0" w:color="auto"/>
              <w:left w:val="nil"/>
              <w:bottom w:val="single" w:sz="4" w:space="0" w:color="auto"/>
              <w:right w:val="nil"/>
            </w:tcBorders>
            <w:shd w:val="clear" w:color="auto" w:fill="auto"/>
            <w:noWrap/>
            <w:vAlign w:val="center"/>
            <w:hideMark/>
          </w:tcPr>
          <w:p w14:paraId="4521ACB2" w14:textId="1791F2EC"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6,2</w:t>
            </w:r>
          </w:p>
        </w:tc>
      </w:tr>
      <w:tr w:rsidR="00F15667" w:rsidRPr="002D4B12" w14:paraId="4FBA33F6" w14:textId="77777777" w:rsidTr="002D4B12">
        <w:trPr>
          <w:trHeight w:val="315"/>
        </w:trPr>
        <w:tc>
          <w:tcPr>
            <w:tcW w:w="6096" w:type="dxa"/>
            <w:tcBorders>
              <w:top w:val="nil"/>
              <w:left w:val="nil"/>
              <w:bottom w:val="single" w:sz="4" w:space="0" w:color="auto"/>
              <w:right w:val="nil"/>
            </w:tcBorders>
            <w:shd w:val="clear" w:color="auto" w:fill="auto"/>
            <w:noWrap/>
            <w:vAlign w:val="center"/>
            <w:hideMark/>
          </w:tcPr>
          <w:p w14:paraId="4AE641E7"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Zanedbání povinné výživy</w:t>
            </w:r>
          </w:p>
        </w:tc>
        <w:tc>
          <w:tcPr>
            <w:tcW w:w="1540" w:type="dxa"/>
            <w:tcBorders>
              <w:top w:val="nil"/>
              <w:left w:val="nil"/>
              <w:bottom w:val="single" w:sz="4" w:space="0" w:color="auto"/>
              <w:right w:val="nil"/>
            </w:tcBorders>
            <w:shd w:val="clear" w:color="auto" w:fill="auto"/>
            <w:noWrap/>
            <w:vAlign w:val="center"/>
            <w:hideMark/>
          </w:tcPr>
          <w:p w14:paraId="7E7B095D" w14:textId="77777777"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522</w:t>
            </w:r>
          </w:p>
        </w:tc>
        <w:tc>
          <w:tcPr>
            <w:tcW w:w="1540" w:type="dxa"/>
            <w:tcBorders>
              <w:top w:val="nil"/>
              <w:left w:val="nil"/>
              <w:bottom w:val="single" w:sz="4" w:space="0" w:color="auto"/>
              <w:right w:val="nil"/>
            </w:tcBorders>
            <w:shd w:val="clear" w:color="auto" w:fill="auto"/>
            <w:noWrap/>
            <w:vAlign w:val="center"/>
            <w:hideMark/>
          </w:tcPr>
          <w:p w14:paraId="51233BCE" w14:textId="6F2F42D2"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7,2</w:t>
            </w:r>
          </w:p>
        </w:tc>
      </w:tr>
      <w:tr w:rsidR="00F15667" w:rsidRPr="002D4B12" w14:paraId="606F4673" w14:textId="77777777" w:rsidTr="002D4B12">
        <w:trPr>
          <w:trHeight w:val="315"/>
        </w:trPr>
        <w:tc>
          <w:tcPr>
            <w:tcW w:w="6096" w:type="dxa"/>
            <w:tcBorders>
              <w:top w:val="nil"/>
              <w:left w:val="nil"/>
              <w:bottom w:val="single" w:sz="4" w:space="0" w:color="auto"/>
              <w:right w:val="nil"/>
            </w:tcBorders>
            <w:shd w:val="clear" w:color="auto" w:fill="auto"/>
            <w:noWrap/>
            <w:vAlign w:val="center"/>
            <w:hideMark/>
          </w:tcPr>
          <w:p w14:paraId="35685450" w14:textId="223D7C1B"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Nedovolená výroba a jiné nakládání s</w:t>
            </w:r>
            <w:r w:rsidR="002D4B12">
              <w:rPr>
                <w:rFonts w:eastAsia="Times New Roman"/>
                <w:szCs w:val="24"/>
                <w:lang w:eastAsia="cs-CZ"/>
              </w:rPr>
              <w:t> </w:t>
            </w:r>
            <w:r w:rsidRPr="002D4B12">
              <w:rPr>
                <w:rFonts w:eastAsia="Times New Roman"/>
                <w:szCs w:val="24"/>
                <w:lang w:eastAsia="cs-CZ"/>
              </w:rPr>
              <w:t>omamnými látkami</w:t>
            </w:r>
          </w:p>
        </w:tc>
        <w:tc>
          <w:tcPr>
            <w:tcW w:w="1540" w:type="dxa"/>
            <w:tcBorders>
              <w:top w:val="nil"/>
              <w:left w:val="nil"/>
              <w:bottom w:val="nil"/>
              <w:right w:val="nil"/>
            </w:tcBorders>
            <w:shd w:val="clear" w:color="auto" w:fill="auto"/>
            <w:noWrap/>
            <w:vAlign w:val="center"/>
            <w:hideMark/>
          </w:tcPr>
          <w:p w14:paraId="7E7742C5" w14:textId="77777777"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401</w:t>
            </w:r>
          </w:p>
        </w:tc>
        <w:tc>
          <w:tcPr>
            <w:tcW w:w="1540" w:type="dxa"/>
            <w:tcBorders>
              <w:top w:val="nil"/>
              <w:left w:val="nil"/>
              <w:bottom w:val="nil"/>
              <w:right w:val="nil"/>
            </w:tcBorders>
            <w:shd w:val="clear" w:color="auto" w:fill="auto"/>
            <w:noWrap/>
            <w:vAlign w:val="center"/>
            <w:hideMark/>
          </w:tcPr>
          <w:p w14:paraId="40498B3C" w14:textId="7D125563"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28,8</w:t>
            </w:r>
          </w:p>
        </w:tc>
      </w:tr>
      <w:tr w:rsidR="00F15667" w:rsidRPr="002D4B12" w14:paraId="7D3FE711" w14:textId="77777777" w:rsidTr="002D4B12">
        <w:trPr>
          <w:trHeight w:val="315"/>
        </w:trPr>
        <w:tc>
          <w:tcPr>
            <w:tcW w:w="6096" w:type="dxa"/>
            <w:tcBorders>
              <w:top w:val="nil"/>
              <w:left w:val="nil"/>
              <w:bottom w:val="single" w:sz="4" w:space="0" w:color="auto"/>
              <w:right w:val="nil"/>
            </w:tcBorders>
            <w:shd w:val="clear" w:color="auto" w:fill="auto"/>
            <w:noWrap/>
            <w:vAlign w:val="center"/>
            <w:hideMark/>
          </w:tcPr>
          <w:p w14:paraId="27EE98D3"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Loupež</w:t>
            </w:r>
          </w:p>
        </w:tc>
        <w:tc>
          <w:tcPr>
            <w:tcW w:w="1540" w:type="dxa"/>
            <w:tcBorders>
              <w:top w:val="single" w:sz="4" w:space="0" w:color="auto"/>
              <w:left w:val="nil"/>
              <w:bottom w:val="single" w:sz="4" w:space="0" w:color="auto"/>
              <w:right w:val="nil"/>
            </w:tcBorders>
            <w:shd w:val="clear" w:color="auto" w:fill="auto"/>
            <w:noWrap/>
            <w:vAlign w:val="center"/>
            <w:hideMark/>
          </w:tcPr>
          <w:p w14:paraId="0769917A" w14:textId="77777777"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278</w:t>
            </w:r>
          </w:p>
        </w:tc>
        <w:tc>
          <w:tcPr>
            <w:tcW w:w="1540" w:type="dxa"/>
            <w:tcBorders>
              <w:top w:val="single" w:sz="4" w:space="0" w:color="auto"/>
              <w:left w:val="nil"/>
              <w:bottom w:val="single" w:sz="4" w:space="0" w:color="auto"/>
              <w:right w:val="nil"/>
            </w:tcBorders>
            <w:shd w:val="clear" w:color="auto" w:fill="auto"/>
            <w:noWrap/>
            <w:vAlign w:val="center"/>
            <w:hideMark/>
          </w:tcPr>
          <w:p w14:paraId="77FE98FC" w14:textId="3AAA116F"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36,5</w:t>
            </w:r>
          </w:p>
        </w:tc>
      </w:tr>
      <w:tr w:rsidR="00F15667" w:rsidRPr="002D4B12" w14:paraId="44059EB3" w14:textId="77777777" w:rsidTr="002D4B12">
        <w:trPr>
          <w:trHeight w:val="315"/>
        </w:trPr>
        <w:tc>
          <w:tcPr>
            <w:tcW w:w="6096" w:type="dxa"/>
            <w:tcBorders>
              <w:top w:val="nil"/>
              <w:left w:val="nil"/>
              <w:bottom w:val="single" w:sz="4" w:space="0" w:color="auto"/>
              <w:right w:val="nil"/>
            </w:tcBorders>
            <w:shd w:val="clear" w:color="auto" w:fill="auto"/>
            <w:noWrap/>
            <w:vAlign w:val="center"/>
            <w:hideMark/>
          </w:tcPr>
          <w:p w14:paraId="17906A32"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Porušování domovní svobody</w:t>
            </w:r>
          </w:p>
        </w:tc>
        <w:tc>
          <w:tcPr>
            <w:tcW w:w="1540" w:type="dxa"/>
            <w:tcBorders>
              <w:top w:val="nil"/>
              <w:left w:val="nil"/>
              <w:bottom w:val="single" w:sz="4" w:space="0" w:color="auto"/>
              <w:right w:val="nil"/>
            </w:tcBorders>
            <w:shd w:val="clear" w:color="auto" w:fill="auto"/>
            <w:noWrap/>
            <w:vAlign w:val="center"/>
            <w:hideMark/>
          </w:tcPr>
          <w:p w14:paraId="1A46ACC0" w14:textId="77777777"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237</w:t>
            </w:r>
          </w:p>
        </w:tc>
        <w:tc>
          <w:tcPr>
            <w:tcW w:w="1540" w:type="dxa"/>
            <w:tcBorders>
              <w:top w:val="nil"/>
              <w:left w:val="nil"/>
              <w:bottom w:val="single" w:sz="4" w:space="0" w:color="auto"/>
              <w:right w:val="nil"/>
            </w:tcBorders>
            <w:shd w:val="clear" w:color="auto" w:fill="auto"/>
            <w:noWrap/>
            <w:vAlign w:val="center"/>
            <w:hideMark/>
          </w:tcPr>
          <w:p w14:paraId="245DF826" w14:textId="23ACD1C4"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13,9</w:t>
            </w:r>
          </w:p>
        </w:tc>
      </w:tr>
      <w:tr w:rsidR="00F15667" w:rsidRPr="002D4B12" w14:paraId="776EC50C" w14:textId="77777777" w:rsidTr="002D4B12">
        <w:trPr>
          <w:trHeight w:val="315"/>
        </w:trPr>
        <w:tc>
          <w:tcPr>
            <w:tcW w:w="6096" w:type="dxa"/>
            <w:tcBorders>
              <w:top w:val="nil"/>
              <w:left w:val="nil"/>
              <w:bottom w:val="single" w:sz="4" w:space="0" w:color="auto"/>
              <w:right w:val="nil"/>
            </w:tcBorders>
            <w:shd w:val="clear" w:color="auto" w:fill="auto"/>
            <w:noWrap/>
            <w:vAlign w:val="center"/>
            <w:hideMark/>
          </w:tcPr>
          <w:p w14:paraId="26A60B27"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Ohrožení pod vlivem návykové látky</w:t>
            </w:r>
          </w:p>
        </w:tc>
        <w:tc>
          <w:tcPr>
            <w:tcW w:w="1540" w:type="dxa"/>
            <w:tcBorders>
              <w:top w:val="nil"/>
              <w:left w:val="nil"/>
              <w:bottom w:val="single" w:sz="4" w:space="0" w:color="auto"/>
              <w:right w:val="nil"/>
            </w:tcBorders>
            <w:shd w:val="clear" w:color="auto" w:fill="auto"/>
            <w:noWrap/>
            <w:vAlign w:val="center"/>
            <w:hideMark/>
          </w:tcPr>
          <w:p w14:paraId="4B068DA4" w14:textId="77777777"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190</w:t>
            </w:r>
          </w:p>
        </w:tc>
        <w:tc>
          <w:tcPr>
            <w:tcW w:w="1540" w:type="dxa"/>
            <w:tcBorders>
              <w:top w:val="nil"/>
              <w:left w:val="nil"/>
              <w:bottom w:val="single" w:sz="4" w:space="0" w:color="auto"/>
              <w:right w:val="nil"/>
            </w:tcBorders>
            <w:shd w:val="clear" w:color="auto" w:fill="auto"/>
            <w:noWrap/>
            <w:vAlign w:val="center"/>
            <w:hideMark/>
          </w:tcPr>
          <w:p w14:paraId="5574A870" w14:textId="435182C4"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10,3</w:t>
            </w:r>
          </w:p>
        </w:tc>
      </w:tr>
      <w:tr w:rsidR="00F15667" w:rsidRPr="002D4B12" w14:paraId="0F168869" w14:textId="77777777" w:rsidTr="002D4B12">
        <w:trPr>
          <w:trHeight w:val="315"/>
        </w:trPr>
        <w:tc>
          <w:tcPr>
            <w:tcW w:w="6096" w:type="dxa"/>
            <w:tcBorders>
              <w:top w:val="nil"/>
              <w:left w:val="nil"/>
              <w:bottom w:val="single" w:sz="4" w:space="0" w:color="auto"/>
              <w:right w:val="nil"/>
            </w:tcBorders>
            <w:shd w:val="clear" w:color="auto" w:fill="auto"/>
            <w:noWrap/>
            <w:vAlign w:val="center"/>
            <w:hideMark/>
          </w:tcPr>
          <w:p w14:paraId="6F8A60EE"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Podvod</w:t>
            </w:r>
          </w:p>
        </w:tc>
        <w:tc>
          <w:tcPr>
            <w:tcW w:w="1540" w:type="dxa"/>
            <w:tcBorders>
              <w:top w:val="nil"/>
              <w:left w:val="nil"/>
              <w:bottom w:val="single" w:sz="4" w:space="0" w:color="auto"/>
              <w:right w:val="nil"/>
            </w:tcBorders>
            <w:shd w:val="clear" w:color="auto" w:fill="auto"/>
            <w:noWrap/>
            <w:vAlign w:val="center"/>
            <w:hideMark/>
          </w:tcPr>
          <w:p w14:paraId="2AB5892B" w14:textId="77777777"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173</w:t>
            </w:r>
          </w:p>
        </w:tc>
        <w:tc>
          <w:tcPr>
            <w:tcW w:w="1540" w:type="dxa"/>
            <w:tcBorders>
              <w:top w:val="nil"/>
              <w:left w:val="nil"/>
              <w:bottom w:val="single" w:sz="4" w:space="0" w:color="auto"/>
              <w:right w:val="nil"/>
            </w:tcBorders>
            <w:shd w:val="clear" w:color="auto" w:fill="auto"/>
            <w:noWrap/>
            <w:vAlign w:val="center"/>
            <w:hideMark/>
          </w:tcPr>
          <w:p w14:paraId="115BF018" w14:textId="44BD1431"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24,3</w:t>
            </w:r>
          </w:p>
        </w:tc>
      </w:tr>
      <w:tr w:rsidR="00F15667" w:rsidRPr="002D4B12" w14:paraId="0550F2AB" w14:textId="77777777" w:rsidTr="002D4B12">
        <w:trPr>
          <w:trHeight w:val="315"/>
        </w:trPr>
        <w:tc>
          <w:tcPr>
            <w:tcW w:w="6096" w:type="dxa"/>
            <w:tcBorders>
              <w:top w:val="nil"/>
              <w:left w:val="nil"/>
              <w:bottom w:val="nil"/>
              <w:right w:val="nil"/>
            </w:tcBorders>
            <w:shd w:val="clear" w:color="auto" w:fill="auto"/>
            <w:noWrap/>
            <w:vAlign w:val="center"/>
            <w:hideMark/>
          </w:tcPr>
          <w:p w14:paraId="6E7BE6C1"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Výtržnictví</w:t>
            </w:r>
          </w:p>
        </w:tc>
        <w:tc>
          <w:tcPr>
            <w:tcW w:w="1540" w:type="dxa"/>
            <w:tcBorders>
              <w:top w:val="nil"/>
              <w:left w:val="nil"/>
              <w:bottom w:val="nil"/>
              <w:right w:val="nil"/>
            </w:tcBorders>
            <w:shd w:val="clear" w:color="auto" w:fill="auto"/>
            <w:noWrap/>
            <w:vAlign w:val="center"/>
            <w:hideMark/>
          </w:tcPr>
          <w:p w14:paraId="22506650" w14:textId="77777777"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137</w:t>
            </w:r>
          </w:p>
        </w:tc>
        <w:tc>
          <w:tcPr>
            <w:tcW w:w="1540" w:type="dxa"/>
            <w:tcBorders>
              <w:top w:val="nil"/>
              <w:left w:val="nil"/>
              <w:bottom w:val="nil"/>
              <w:right w:val="nil"/>
            </w:tcBorders>
            <w:shd w:val="clear" w:color="auto" w:fill="auto"/>
            <w:noWrap/>
            <w:vAlign w:val="center"/>
            <w:hideMark/>
          </w:tcPr>
          <w:p w14:paraId="0171C9A2" w14:textId="6EA0733D"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11,4</w:t>
            </w:r>
          </w:p>
        </w:tc>
      </w:tr>
      <w:tr w:rsidR="00F15667" w:rsidRPr="002D4B12" w14:paraId="3AD5A687" w14:textId="77777777" w:rsidTr="002D4B12">
        <w:trPr>
          <w:trHeight w:val="315"/>
        </w:trPr>
        <w:tc>
          <w:tcPr>
            <w:tcW w:w="6096" w:type="dxa"/>
            <w:tcBorders>
              <w:top w:val="single" w:sz="4" w:space="0" w:color="auto"/>
              <w:left w:val="nil"/>
              <w:bottom w:val="nil"/>
              <w:right w:val="nil"/>
            </w:tcBorders>
            <w:shd w:val="clear" w:color="auto" w:fill="auto"/>
            <w:noWrap/>
            <w:vAlign w:val="center"/>
            <w:hideMark/>
          </w:tcPr>
          <w:p w14:paraId="0D7A410C"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Ublížení na zdraví</w:t>
            </w:r>
          </w:p>
        </w:tc>
        <w:tc>
          <w:tcPr>
            <w:tcW w:w="1540" w:type="dxa"/>
            <w:tcBorders>
              <w:top w:val="single" w:sz="4" w:space="0" w:color="auto"/>
              <w:left w:val="nil"/>
              <w:bottom w:val="nil"/>
              <w:right w:val="nil"/>
            </w:tcBorders>
            <w:shd w:val="clear" w:color="auto" w:fill="auto"/>
            <w:noWrap/>
            <w:vAlign w:val="center"/>
            <w:hideMark/>
          </w:tcPr>
          <w:p w14:paraId="261E2DCE" w14:textId="77777777"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112</w:t>
            </w:r>
          </w:p>
        </w:tc>
        <w:tc>
          <w:tcPr>
            <w:tcW w:w="1540" w:type="dxa"/>
            <w:tcBorders>
              <w:top w:val="single" w:sz="4" w:space="0" w:color="auto"/>
              <w:left w:val="nil"/>
              <w:bottom w:val="nil"/>
              <w:right w:val="nil"/>
            </w:tcBorders>
            <w:shd w:val="clear" w:color="auto" w:fill="auto"/>
            <w:noWrap/>
            <w:vAlign w:val="center"/>
            <w:hideMark/>
          </w:tcPr>
          <w:p w14:paraId="6ECFF422" w14:textId="54C1B59C"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16,9</w:t>
            </w:r>
          </w:p>
        </w:tc>
      </w:tr>
      <w:tr w:rsidR="00F15667" w:rsidRPr="002D4B12" w14:paraId="37055A59" w14:textId="77777777" w:rsidTr="002D4B12">
        <w:trPr>
          <w:trHeight w:val="330"/>
        </w:trPr>
        <w:tc>
          <w:tcPr>
            <w:tcW w:w="6096" w:type="dxa"/>
            <w:tcBorders>
              <w:top w:val="single" w:sz="4" w:space="0" w:color="auto"/>
              <w:left w:val="nil"/>
              <w:bottom w:val="double" w:sz="6" w:space="0" w:color="auto"/>
              <w:right w:val="nil"/>
            </w:tcBorders>
            <w:shd w:val="clear" w:color="auto" w:fill="auto"/>
            <w:noWrap/>
            <w:vAlign w:val="center"/>
            <w:hideMark/>
          </w:tcPr>
          <w:p w14:paraId="31624B5B" w14:textId="77777777" w:rsidR="001D78B1" w:rsidRPr="002D4B12" w:rsidRDefault="001D78B1" w:rsidP="002D4B12">
            <w:pPr>
              <w:spacing w:line="240" w:lineRule="auto"/>
              <w:jc w:val="left"/>
              <w:rPr>
                <w:rFonts w:eastAsia="Times New Roman"/>
                <w:szCs w:val="24"/>
                <w:lang w:eastAsia="cs-CZ"/>
              </w:rPr>
            </w:pPr>
            <w:r w:rsidRPr="002D4B12">
              <w:rPr>
                <w:rFonts w:eastAsia="Times New Roman"/>
                <w:szCs w:val="24"/>
                <w:lang w:eastAsia="cs-CZ"/>
              </w:rPr>
              <w:t>Ostatní</w:t>
            </w:r>
          </w:p>
        </w:tc>
        <w:tc>
          <w:tcPr>
            <w:tcW w:w="1540" w:type="dxa"/>
            <w:tcBorders>
              <w:top w:val="single" w:sz="4" w:space="0" w:color="auto"/>
              <w:left w:val="nil"/>
              <w:bottom w:val="double" w:sz="6" w:space="0" w:color="auto"/>
              <w:right w:val="nil"/>
            </w:tcBorders>
            <w:shd w:val="clear" w:color="auto" w:fill="auto"/>
            <w:noWrap/>
            <w:vAlign w:val="center"/>
            <w:hideMark/>
          </w:tcPr>
          <w:p w14:paraId="22F1B262" w14:textId="77777777"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916</w:t>
            </w:r>
          </w:p>
        </w:tc>
        <w:tc>
          <w:tcPr>
            <w:tcW w:w="1540" w:type="dxa"/>
            <w:tcBorders>
              <w:top w:val="single" w:sz="4" w:space="0" w:color="auto"/>
              <w:left w:val="nil"/>
              <w:bottom w:val="double" w:sz="6" w:space="0" w:color="auto"/>
              <w:right w:val="nil"/>
            </w:tcBorders>
            <w:shd w:val="clear" w:color="auto" w:fill="auto"/>
            <w:noWrap/>
            <w:vAlign w:val="center"/>
            <w:hideMark/>
          </w:tcPr>
          <w:p w14:paraId="2D5528A7" w14:textId="7269B914" w:rsidR="001D78B1" w:rsidRPr="002D4B12" w:rsidRDefault="001D78B1" w:rsidP="002D4B12">
            <w:pPr>
              <w:spacing w:line="240" w:lineRule="auto"/>
              <w:jc w:val="center"/>
              <w:rPr>
                <w:rFonts w:eastAsia="Times New Roman"/>
                <w:szCs w:val="24"/>
                <w:lang w:eastAsia="cs-CZ"/>
              </w:rPr>
            </w:pPr>
            <w:r w:rsidRPr="002D4B12">
              <w:rPr>
                <w:rFonts w:eastAsia="Times New Roman"/>
                <w:szCs w:val="24"/>
                <w:lang w:eastAsia="cs-CZ"/>
              </w:rPr>
              <w:t>22,5</w:t>
            </w:r>
          </w:p>
        </w:tc>
      </w:tr>
      <w:tr w:rsidR="00F15667" w:rsidRPr="002D4B12" w14:paraId="554BEE17" w14:textId="77777777" w:rsidTr="002D4B12">
        <w:trPr>
          <w:trHeight w:val="345"/>
        </w:trPr>
        <w:tc>
          <w:tcPr>
            <w:tcW w:w="6096" w:type="dxa"/>
            <w:tcBorders>
              <w:top w:val="nil"/>
              <w:left w:val="nil"/>
              <w:bottom w:val="double" w:sz="6" w:space="0" w:color="auto"/>
              <w:right w:val="nil"/>
            </w:tcBorders>
            <w:shd w:val="clear" w:color="auto" w:fill="auto"/>
            <w:noWrap/>
            <w:vAlign w:val="center"/>
            <w:hideMark/>
          </w:tcPr>
          <w:p w14:paraId="6367CD57" w14:textId="77777777" w:rsidR="001D78B1" w:rsidRPr="002D4B12" w:rsidRDefault="001D78B1" w:rsidP="002D4B12">
            <w:pPr>
              <w:spacing w:line="240" w:lineRule="auto"/>
              <w:jc w:val="left"/>
              <w:rPr>
                <w:rFonts w:eastAsia="Times New Roman"/>
                <w:b/>
                <w:bCs/>
                <w:szCs w:val="24"/>
                <w:lang w:eastAsia="cs-CZ"/>
              </w:rPr>
            </w:pPr>
            <w:r w:rsidRPr="002D4B12">
              <w:rPr>
                <w:rFonts w:eastAsia="Times New Roman"/>
                <w:b/>
                <w:bCs/>
                <w:szCs w:val="24"/>
                <w:lang w:eastAsia="cs-CZ"/>
              </w:rPr>
              <w:t>Celkem</w:t>
            </w:r>
          </w:p>
        </w:tc>
        <w:tc>
          <w:tcPr>
            <w:tcW w:w="1540" w:type="dxa"/>
            <w:tcBorders>
              <w:top w:val="nil"/>
              <w:left w:val="nil"/>
              <w:bottom w:val="double" w:sz="6" w:space="0" w:color="auto"/>
              <w:right w:val="nil"/>
            </w:tcBorders>
            <w:shd w:val="clear" w:color="auto" w:fill="auto"/>
            <w:noWrap/>
            <w:vAlign w:val="center"/>
            <w:hideMark/>
          </w:tcPr>
          <w:p w14:paraId="203D679C" w14:textId="5A573AAB" w:rsidR="001D78B1" w:rsidRPr="002D4B12" w:rsidRDefault="001D78B1" w:rsidP="002D4B12">
            <w:pPr>
              <w:spacing w:line="240" w:lineRule="auto"/>
              <w:jc w:val="center"/>
              <w:rPr>
                <w:rFonts w:eastAsia="Times New Roman"/>
                <w:b/>
                <w:bCs/>
                <w:szCs w:val="24"/>
                <w:lang w:eastAsia="cs-CZ"/>
              </w:rPr>
            </w:pPr>
            <w:r w:rsidRPr="002D4B12">
              <w:rPr>
                <w:rFonts w:eastAsia="Times New Roman"/>
                <w:b/>
                <w:bCs/>
                <w:szCs w:val="24"/>
                <w:lang w:eastAsia="cs-CZ"/>
              </w:rPr>
              <w:t>8</w:t>
            </w:r>
            <w:r w:rsidR="00DD7CFD" w:rsidRPr="002D4B12">
              <w:rPr>
                <w:rFonts w:eastAsia="Times New Roman"/>
                <w:b/>
                <w:bCs/>
                <w:szCs w:val="24"/>
                <w:lang w:eastAsia="cs-CZ"/>
              </w:rPr>
              <w:t xml:space="preserve"> </w:t>
            </w:r>
            <w:r w:rsidRPr="002D4B12">
              <w:rPr>
                <w:rFonts w:eastAsia="Times New Roman"/>
                <w:b/>
                <w:bCs/>
                <w:szCs w:val="24"/>
                <w:lang w:eastAsia="cs-CZ"/>
              </w:rPr>
              <w:t>403</w:t>
            </w:r>
          </w:p>
        </w:tc>
        <w:tc>
          <w:tcPr>
            <w:tcW w:w="1540" w:type="dxa"/>
            <w:tcBorders>
              <w:top w:val="nil"/>
              <w:left w:val="nil"/>
              <w:bottom w:val="double" w:sz="6" w:space="0" w:color="auto"/>
              <w:right w:val="nil"/>
            </w:tcBorders>
            <w:shd w:val="clear" w:color="auto" w:fill="auto"/>
            <w:noWrap/>
            <w:vAlign w:val="center"/>
            <w:hideMark/>
          </w:tcPr>
          <w:p w14:paraId="6EBC9FD0" w14:textId="35B3BB8E" w:rsidR="001D78B1" w:rsidRPr="002D4B12" w:rsidRDefault="001D78B1" w:rsidP="002D4B12">
            <w:pPr>
              <w:spacing w:line="240" w:lineRule="auto"/>
              <w:jc w:val="center"/>
              <w:rPr>
                <w:rFonts w:eastAsia="Times New Roman"/>
                <w:b/>
                <w:bCs/>
                <w:szCs w:val="24"/>
                <w:lang w:eastAsia="cs-CZ"/>
              </w:rPr>
            </w:pPr>
            <w:r w:rsidRPr="002D4B12">
              <w:rPr>
                <w:rFonts w:eastAsia="Times New Roman"/>
                <w:b/>
                <w:bCs/>
                <w:szCs w:val="24"/>
                <w:lang w:eastAsia="cs-CZ"/>
              </w:rPr>
              <w:t>13,6</w:t>
            </w:r>
          </w:p>
        </w:tc>
      </w:tr>
      <w:tr w:rsidR="00F15667" w:rsidRPr="002D4B12" w14:paraId="35D426E0" w14:textId="77777777" w:rsidTr="002D4B12">
        <w:trPr>
          <w:trHeight w:val="330"/>
        </w:trPr>
        <w:tc>
          <w:tcPr>
            <w:tcW w:w="6096" w:type="dxa"/>
            <w:tcBorders>
              <w:top w:val="nil"/>
              <w:left w:val="nil"/>
              <w:bottom w:val="nil"/>
              <w:right w:val="nil"/>
            </w:tcBorders>
            <w:shd w:val="clear" w:color="auto" w:fill="auto"/>
            <w:noWrap/>
            <w:vAlign w:val="center"/>
            <w:hideMark/>
          </w:tcPr>
          <w:p w14:paraId="5CF9C830" w14:textId="77777777" w:rsidR="001D78B1" w:rsidRPr="002D4B12" w:rsidRDefault="001D78B1" w:rsidP="002D4B12">
            <w:pPr>
              <w:spacing w:line="240" w:lineRule="auto"/>
              <w:jc w:val="center"/>
              <w:rPr>
                <w:rFonts w:eastAsia="Times New Roman"/>
                <w:b/>
                <w:bCs/>
                <w:szCs w:val="24"/>
                <w:lang w:eastAsia="cs-CZ"/>
              </w:rPr>
            </w:pPr>
          </w:p>
        </w:tc>
        <w:tc>
          <w:tcPr>
            <w:tcW w:w="1540" w:type="dxa"/>
            <w:tcBorders>
              <w:top w:val="nil"/>
              <w:left w:val="nil"/>
              <w:bottom w:val="nil"/>
              <w:right w:val="nil"/>
            </w:tcBorders>
            <w:shd w:val="clear" w:color="auto" w:fill="auto"/>
            <w:noWrap/>
            <w:vAlign w:val="center"/>
            <w:hideMark/>
          </w:tcPr>
          <w:p w14:paraId="7581BF7D" w14:textId="77777777" w:rsidR="001D78B1" w:rsidRPr="002D4B12" w:rsidRDefault="001D78B1" w:rsidP="002D4B12">
            <w:pPr>
              <w:spacing w:line="240" w:lineRule="auto"/>
              <w:jc w:val="center"/>
              <w:rPr>
                <w:rFonts w:eastAsia="Times New Roman"/>
                <w:sz w:val="20"/>
                <w:szCs w:val="20"/>
                <w:lang w:eastAsia="cs-CZ"/>
              </w:rPr>
            </w:pPr>
          </w:p>
        </w:tc>
        <w:tc>
          <w:tcPr>
            <w:tcW w:w="1540" w:type="dxa"/>
            <w:tcBorders>
              <w:top w:val="nil"/>
              <w:left w:val="nil"/>
              <w:bottom w:val="nil"/>
              <w:right w:val="nil"/>
            </w:tcBorders>
            <w:shd w:val="clear" w:color="auto" w:fill="auto"/>
            <w:noWrap/>
            <w:vAlign w:val="center"/>
            <w:hideMark/>
          </w:tcPr>
          <w:p w14:paraId="0D9C0763" w14:textId="77777777" w:rsidR="001D78B1" w:rsidRPr="002D4B12" w:rsidRDefault="001D78B1" w:rsidP="002D4B12">
            <w:pPr>
              <w:spacing w:line="240" w:lineRule="auto"/>
              <w:jc w:val="center"/>
              <w:rPr>
                <w:rFonts w:eastAsia="Times New Roman"/>
                <w:sz w:val="20"/>
                <w:szCs w:val="20"/>
                <w:lang w:eastAsia="cs-CZ"/>
              </w:rPr>
            </w:pPr>
          </w:p>
        </w:tc>
      </w:tr>
    </w:tbl>
    <w:p w14:paraId="7696F595" w14:textId="03A68166" w:rsidR="000606A4" w:rsidRDefault="001D78B1" w:rsidP="001D78B1">
      <w:pPr>
        <w:pStyle w:val="OdstavecASR"/>
      </w:pPr>
      <w:r w:rsidRPr="002D4B12">
        <w:t xml:space="preserve">V tabulce vidíme, že dva trestné činy (Krádež a </w:t>
      </w:r>
      <w:r w:rsidRPr="002D4B12">
        <w:rPr>
          <w:rFonts w:eastAsia="Times New Roman"/>
          <w:szCs w:val="24"/>
          <w:lang w:eastAsia="cs-CZ"/>
        </w:rPr>
        <w:t>Maření výkonu úředního rozhodnutí a vykázání</w:t>
      </w:r>
      <w:r w:rsidRPr="002D4B12">
        <w:t>) tvoří více než 6</w:t>
      </w:r>
      <w:r w:rsidR="000606A4">
        <w:t>5</w:t>
      </w:r>
      <w:r w:rsidRPr="002D4B12">
        <w:t xml:space="preserve"> % odsouzení k NEPO. Dále například také vidíme, že uložená délka NEPO </w:t>
      </w:r>
      <w:r w:rsidR="003B573F" w:rsidRPr="002D4B12">
        <w:t>přesahuje 1 rok u velké části trestných činů a celkově přesahuje 13 měsíců.</w:t>
      </w:r>
      <w:r w:rsidR="000606A4">
        <w:t xml:space="preserve"> </w:t>
      </w:r>
      <w:r w:rsidR="000606A4" w:rsidRPr="000606A4">
        <w:rPr>
          <w:color w:val="5B9BD5" w:themeColor="accent1"/>
        </w:rPr>
        <w:t>Změny oproti předchozímu roku jsou velmi malé.</w:t>
      </w:r>
    </w:p>
    <w:p w14:paraId="6F221AE1" w14:textId="6BA22AF2" w:rsidR="0022060E" w:rsidRPr="002D4B12" w:rsidRDefault="0022060E" w:rsidP="001D78B1">
      <w:pPr>
        <w:pStyle w:val="OdstavecASR"/>
      </w:pPr>
      <w:r w:rsidRPr="002D4B12">
        <w:br w:type="page"/>
      </w:r>
    </w:p>
    <w:p w14:paraId="2D1E38CA" w14:textId="11146A4E" w:rsidR="008430BD" w:rsidRPr="00F15667" w:rsidRDefault="008430BD" w:rsidP="008430BD">
      <w:pPr>
        <w:pStyle w:val="Nadpis2"/>
        <w:numPr>
          <w:ilvl w:val="1"/>
          <w:numId w:val="1"/>
        </w:numPr>
        <w:spacing w:before="120"/>
        <w:rPr>
          <w:color w:val="auto"/>
        </w:rPr>
      </w:pPr>
      <w:bookmarkStart w:id="400" w:name="_Toc144104354"/>
      <w:r w:rsidRPr="00F15667">
        <w:rPr>
          <w:color w:val="auto"/>
        </w:rPr>
        <w:lastRenderedPageBreak/>
        <w:t>Opatrovnická agenda</w:t>
      </w:r>
      <w:bookmarkEnd w:id="388"/>
      <w:bookmarkEnd w:id="389"/>
      <w:bookmarkEnd w:id="390"/>
      <w:bookmarkEnd w:id="400"/>
    </w:p>
    <w:p w14:paraId="26C622E9" w14:textId="77777777" w:rsidR="004E2F56" w:rsidRPr="00F15667" w:rsidRDefault="004E2F56" w:rsidP="004E2F56">
      <w:pPr>
        <w:pStyle w:val="OdstavecASR"/>
      </w:pPr>
      <w:bookmarkStart w:id="401" w:name="_Hlk160441297"/>
      <w:r w:rsidRPr="00F15667">
        <w:t>Z hlediska statistického vykazování je sledování opatrovnické agendy nejjednodušší. Ve statistickém pozorování ve výkazech totiž nedocházelo k žádným velkým změnám. Stejně jako u civilního řízení zahrnuje opatrovnická agenda několik rejstříků. Zdaleka nejvýznamnější, a pro soud časově i jinak nejnáročnější, je agenda zahrnující řízení ohledně svéprávnosti a opatrovnictví člověka, péče soudu o nezletilé apod., tedy věci vedené v rejstříku P a Nc.</w:t>
      </w:r>
    </w:p>
    <w:p w14:paraId="643AB993" w14:textId="0F84FEF3" w:rsidR="008430BD" w:rsidRPr="00F15667" w:rsidRDefault="008430BD" w:rsidP="008430BD">
      <w:pPr>
        <w:pStyle w:val="Nadpis3"/>
        <w:numPr>
          <w:ilvl w:val="2"/>
          <w:numId w:val="1"/>
        </w:numPr>
        <w:rPr>
          <w:color w:val="auto"/>
        </w:rPr>
      </w:pPr>
      <w:bookmarkStart w:id="402" w:name="_Toc515871237"/>
      <w:bookmarkStart w:id="403" w:name="_Toc106092734"/>
      <w:bookmarkStart w:id="404" w:name="_Toc144104355"/>
      <w:bookmarkEnd w:id="401"/>
      <w:r w:rsidRPr="00F15667">
        <w:rPr>
          <w:color w:val="auto"/>
        </w:rPr>
        <w:t>Délka řízení</w:t>
      </w:r>
      <w:bookmarkEnd w:id="402"/>
      <w:bookmarkEnd w:id="403"/>
      <w:bookmarkEnd w:id="404"/>
    </w:p>
    <w:p w14:paraId="7C3568B2" w14:textId="72A4C0D1" w:rsidR="00720F53" w:rsidRPr="00F15667" w:rsidRDefault="00720F53" w:rsidP="00720F53">
      <w:pPr>
        <w:pStyle w:val="OdstavecASR"/>
      </w:pPr>
      <w:bookmarkStart w:id="405" w:name="_Hlk160442805"/>
      <w:r w:rsidRPr="00F15667">
        <w:t>Platí stejné poznámky jako u civilního řízení. Délku řízení tedy zjišťujeme ze statistických listů a uvádíme v kalendářních dnech ode dne nápadu do dne konečného vyřízení soudem I. stupně. Statistiky týkající se délky řízení jsou v této agendě dostupné až od roku 2009.</w:t>
      </w:r>
    </w:p>
    <w:p w14:paraId="1C760702" w14:textId="0A25D9A4" w:rsidR="00F41141" w:rsidRPr="00F15667" w:rsidRDefault="00F41141" w:rsidP="00F41141">
      <w:pPr>
        <w:pStyle w:val="Podnadpis"/>
        <w:rPr>
          <w:color w:val="auto"/>
        </w:rPr>
      </w:pPr>
      <w:bookmarkStart w:id="406" w:name="_Toc515871365"/>
      <w:bookmarkStart w:id="407" w:name="_Toc11135097"/>
      <w:bookmarkStart w:id="408" w:name="_Toc43841415"/>
      <w:bookmarkStart w:id="409" w:name="_Toc75952218"/>
      <w:bookmarkStart w:id="410" w:name="_Toc106106670"/>
      <w:bookmarkStart w:id="411" w:name="_Toc144104145"/>
      <w:bookmarkStart w:id="412" w:name="_Hlk128560288"/>
      <w:r w:rsidRPr="00F15667">
        <w:rPr>
          <w:color w:val="auto"/>
        </w:rPr>
        <w:t xml:space="preserve">Graf </w:t>
      </w:r>
      <w:r w:rsidR="002310B1" w:rsidRPr="00F15667">
        <w:rPr>
          <w:noProof/>
          <w:color w:val="auto"/>
        </w:rPr>
        <w:fldChar w:fldCharType="begin"/>
      </w:r>
      <w:r w:rsidR="002310B1" w:rsidRPr="00F15667">
        <w:rPr>
          <w:noProof/>
          <w:color w:val="auto"/>
        </w:rPr>
        <w:instrText xml:space="preserve"> SEQ Graf \* ARABIC </w:instrText>
      </w:r>
      <w:r w:rsidR="002310B1" w:rsidRPr="00F15667">
        <w:rPr>
          <w:noProof/>
          <w:color w:val="auto"/>
        </w:rPr>
        <w:fldChar w:fldCharType="separate"/>
      </w:r>
      <w:r w:rsidR="001E1A67">
        <w:rPr>
          <w:noProof/>
          <w:color w:val="auto"/>
        </w:rPr>
        <w:t>33</w:t>
      </w:r>
      <w:r w:rsidR="002310B1" w:rsidRPr="00F15667">
        <w:rPr>
          <w:noProof/>
          <w:color w:val="auto"/>
        </w:rPr>
        <w:fldChar w:fldCharType="end"/>
      </w:r>
      <w:r w:rsidRPr="00F15667">
        <w:rPr>
          <w:color w:val="auto"/>
        </w:rPr>
        <w:t>: OS – délka řízení v opatrovnické agendě v letech 2010–20</w:t>
      </w:r>
      <w:bookmarkEnd w:id="406"/>
      <w:bookmarkEnd w:id="407"/>
      <w:bookmarkEnd w:id="408"/>
      <w:r w:rsidRPr="00F15667">
        <w:rPr>
          <w:color w:val="auto"/>
        </w:rPr>
        <w:t>2</w:t>
      </w:r>
      <w:bookmarkEnd w:id="409"/>
      <w:bookmarkEnd w:id="410"/>
      <w:r w:rsidR="00720F53" w:rsidRPr="00F15667">
        <w:rPr>
          <w:color w:val="auto"/>
        </w:rPr>
        <w:t>2</w:t>
      </w:r>
      <w:bookmarkEnd w:id="411"/>
    </w:p>
    <w:bookmarkEnd w:id="412"/>
    <w:bookmarkEnd w:id="405"/>
    <w:p w14:paraId="1410FFA2" w14:textId="00C0DE08" w:rsidR="00F41141" w:rsidRPr="00F15667" w:rsidRDefault="00F41141" w:rsidP="002D4B12">
      <w:pPr>
        <w:pStyle w:val="OdstavecASR"/>
      </w:pPr>
      <w:r w:rsidRPr="00F15667">
        <w:rPr>
          <w:noProof/>
          <w:lang w:eastAsia="cs-CZ"/>
        </w:rPr>
        <w:drawing>
          <wp:inline distT="0" distB="0" distL="0" distR="0" wp14:anchorId="3AF552DC" wp14:editId="24DE570D">
            <wp:extent cx="5029200" cy="3657600"/>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9B4FEE7" w14:textId="1DF14F66" w:rsidR="00937139" w:rsidRPr="00F15667" w:rsidRDefault="00937139" w:rsidP="00937139">
      <w:pPr>
        <w:pStyle w:val="OdstavecASR"/>
      </w:pPr>
      <w:bookmarkStart w:id="413" w:name="_Hlk160442878"/>
      <w:r w:rsidRPr="00F15667">
        <w:t>Délka řízení byla až do roku 2015 velmi stabilní, v letech 2015 a 2016 došlo k náhlému nárůstu následovanému tříletým poklesem. Příčinu zmíněného nárůstu můžeme spatřovat především v nabytí účinnosti zákona č. 89/2012 Sb., občanský zákoník (o. z.), podle kterého bylo třeba do tří let přezkoumat všechny osoby, jež byly v předchozí době pravomocně zbaveny či omezeny ve způsobilosti k právním úkonům. Přibyly i další druhy rozhodování (podpůrná opatření při narušení schopnosti zletilého právně jednat apod.). Došlo tak k velkému rozšíření obsahu opatrovnické agendy soudů, jak ukazuje další podkapitola. Pokles délky řízení v letech 2017–2019 byl pravděpodobně ovlivněn zejména přijetím novely o. z. provedené zákonem č. 460/2016 Sb., která přezkum prodlužuje na 5 let (§ 59 o. z.).</w:t>
      </w:r>
    </w:p>
    <w:p w14:paraId="4FA39FBF" w14:textId="77777777" w:rsidR="00937139" w:rsidRPr="00F15667" w:rsidRDefault="00937139" w:rsidP="00937139">
      <w:pPr>
        <w:pStyle w:val="OdstavecASR"/>
      </w:pPr>
      <w:r w:rsidRPr="00F15667">
        <w:t xml:space="preserve">Také je třeba upozornit, že touto novelou zákona o zvláštních řízeních soudních, tj. zákonem č. 460/2016 Sb., došlo k možnosti upustit od provedení nového znaleckého posudku a výslechu znalce v případě, že je vedeno přezkumné řízení o svéprávnosti člověka a je zjevné, že stav posuzovaného se oproti rozhodnutí o omezení svéprávnosti či poslednímu rozhodnutí </w:t>
      </w:r>
      <w:r w:rsidRPr="00F15667">
        <w:lastRenderedPageBreak/>
        <w:t>o prodloužení nezměnil. V takovém případě je znalecký posudek třeba nahradit jiným důkazem, zejména písemnou zprávou ošetřujícího lékaře ve spojení s naposledy vypracovaným znaleckým posudkem (§ 38 odst. 4 zákona o zvláštních řízeních soudních).</w:t>
      </w:r>
    </w:p>
    <w:p w14:paraId="533439F1" w14:textId="77777777" w:rsidR="00937139" w:rsidRPr="00F15667" w:rsidRDefault="00937139" w:rsidP="00937139">
      <w:pPr>
        <w:pStyle w:val="OdstavecASR"/>
      </w:pPr>
      <w:r w:rsidRPr="00F15667">
        <w:t>Podle zkušeností soudů nová agenda samozřejmě představovala dodatečnou zátěž. Hlavní problém ale spočíval ve vyhotovování znaleckých posudků potřebných pro přezkum svéprávnosti. Znalci byli natolik zahlceni, že odmítali zpracovávat nové věci do doby, než zpracovali ty, které jim byly přiděleny dříve. Na znalecké posudky soudy čekaly šest měsíců, někdy i déle. To se samozřejmě promítlo do celkové délky řízení. Jak bylo zmíněno již dříve, reálné změny ve vyřizování agendy se do délky řízení promítají s určitým zpožděním. Nárůst v délce řízení je tedy patrný až v roce 2015 a 2016 a následuje pokles v letech 2017 a 2018. V roce 2019 pokles pokračoval a délky řízení se již prakticky vrátily na úroveň před účinností o. z. Klesl především percentil 90 a průměr, což znamená, že relativně klesl počet věcí, které nejsou vyřízeny dlouhou dobu.</w:t>
      </w:r>
    </w:p>
    <w:p w14:paraId="159FA2BA" w14:textId="77777777" w:rsidR="00937139" w:rsidRPr="00F15667" w:rsidRDefault="00937139" w:rsidP="00937139">
      <w:pPr>
        <w:pStyle w:val="OdstavecASR"/>
      </w:pPr>
      <w:r w:rsidRPr="00F15667">
        <w:t>Délky řízení byly ovlivněny také skutečností, že v letech 2016 až 2018 převýšil počet vyřízených věcí počet věcí příchozích. Zdá se tedy, že výše popsané problémy v agendě, které nastaly po nabytí účinnosti o. z., se částečně podařilo vyřešit. Dílčí vliv může plynout i z opatření některých soudů k posílení opatrovnických oddělení.</w:t>
      </w:r>
    </w:p>
    <w:p w14:paraId="28327AAF" w14:textId="77777777" w:rsidR="00937139" w:rsidRPr="00F15667" w:rsidRDefault="00937139" w:rsidP="00937139">
      <w:pPr>
        <w:pStyle w:val="OdstavecASR"/>
      </w:pPr>
      <w:r w:rsidRPr="00F15667">
        <w:t>V roce 2020 opět došlo k mírnému růstu v délkách řízení, což opět teoreticky může souviset s pandemií COVID</w:t>
      </w:r>
      <w:r w:rsidRPr="00F15667">
        <w:noBreakHyphen/>
        <w:t>19, která činnost soudů zkomplikovala. Tuto teorii podporuje fakt, že medián vzrostl ve všech krajích a téměř ve všech krajích s výjimkou Severočeského vzrostl i percentil 90 a průměr.</w:t>
      </w:r>
    </w:p>
    <w:p w14:paraId="33995F7F" w14:textId="57B0C3DE" w:rsidR="00937139" w:rsidRPr="00F15667" w:rsidRDefault="00937139" w:rsidP="00937139">
      <w:pPr>
        <w:pStyle w:val="OdstavecASR"/>
      </w:pPr>
      <w:r w:rsidRPr="00F15667">
        <w:t xml:space="preserve">V roce 2021 však průměr stagnoval, percentil 90 narostl a medián mírně klesl na úroveň v letech 2017 až 2019. Mírný pokles mediánu by stejně jako u civilního řízení mohl ukazovat, že se i přes pokračující pandemii soudy vrátily k běžnému fungování. </w:t>
      </w:r>
    </w:p>
    <w:p w14:paraId="63A65E02" w14:textId="328FDF76" w:rsidR="00937139" w:rsidRPr="00F15667" w:rsidRDefault="00937139" w:rsidP="00937139">
      <w:r w:rsidRPr="00F15667">
        <w:t xml:space="preserve">V roce 2022 došlo k poklesu v mediánu, průměru i percentil 90. </w:t>
      </w:r>
      <w:r w:rsidR="00771B43" w:rsidRPr="00F15667">
        <w:t xml:space="preserve">To může, ale nemusí naznačovat zlepšení situace v agendě. </w:t>
      </w:r>
      <w:r w:rsidRPr="00F15667">
        <w:t>Je opět ale třeba na uvedené nahlížet v kontextu vývoje nápadu, počtu vyřízených a nevyřízených věcí.</w:t>
      </w:r>
      <w:r w:rsidR="00771B43" w:rsidRPr="00F15667">
        <w:t xml:space="preserve"> A další podkapitola ukazuje, že počet nevyřízených věcí neklesl, ale mírně narostl.</w:t>
      </w:r>
    </w:p>
    <w:p w14:paraId="702AB396" w14:textId="1AD089C1" w:rsidR="00D160E0" w:rsidRPr="00F15667" w:rsidRDefault="00D160E0" w:rsidP="00D160E0">
      <w:pPr>
        <w:pStyle w:val="Podnadpis"/>
        <w:rPr>
          <w:color w:val="auto"/>
        </w:rPr>
      </w:pPr>
      <w:bookmarkStart w:id="414" w:name="_Toc515871460"/>
      <w:bookmarkStart w:id="415" w:name="_Toc11133228"/>
      <w:bookmarkStart w:id="416" w:name="_Toc43931201"/>
      <w:bookmarkStart w:id="417" w:name="_Toc75952333"/>
      <w:bookmarkStart w:id="418" w:name="_Toc106106790"/>
      <w:bookmarkStart w:id="419" w:name="_Toc144104269"/>
      <w:bookmarkStart w:id="420" w:name="_Hlk160443275"/>
      <w:bookmarkEnd w:id="413"/>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30</w:t>
      </w:r>
      <w:r w:rsidRPr="00F15667">
        <w:rPr>
          <w:noProof/>
          <w:color w:val="auto"/>
        </w:rPr>
        <w:fldChar w:fldCharType="end"/>
      </w:r>
      <w:r w:rsidRPr="00F15667">
        <w:rPr>
          <w:color w:val="auto"/>
        </w:rPr>
        <w:t xml:space="preserve">: </w:t>
      </w:r>
      <w:r w:rsidR="00805620" w:rsidRPr="00F15667">
        <w:rPr>
          <w:color w:val="auto"/>
        </w:rPr>
        <w:t>OS – d</w:t>
      </w:r>
      <w:r w:rsidRPr="00F15667">
        <w:rPr>
          <w:color w:val="auto"/>
        </w:rPr>
        <w:t>élky řízení v opatrovnické agendě dle krajů</w:t>
      </w:r>
      <w:bookmarkEnd w:id="414"/>
      <w:bookmarkEnd w:id="415"/>
      <w:bookmarkEnd w:id="416"/>
      <w:bookmarkEnd w:id="417"/>
      <w:bookmarkEnd w:id="418"/>
      <w:bookmarkEnd w:id="419"/>
    </w:p>
    <w:tbl>
      <w:tblPr>
        <w:tblW w:w="8224" w:type="dxa"/>
        <w:tblCellMar>
          <w:left w:w="70" w:type="dxa"/>
          <w:right w:w="70" w:type="dxa"/>
        </w:tblCellMar>
        <w:tblLook w:val="04A0" w:firstRow="1" w:lastRow="0" w:firstColumn="1" w:lastColumn="0" w:noHBand="0" w:noVBand="1"/>
      </w:tblPr>
      <w:tblGrid>
        <w:gridCol w:w="2480"/>
        <w:gridCol w:w="1064"/>
        <w:gridCol w:w="851"/>
        <w:gridCol w:w="992"/>
        <w:gridCol w:w="852"/>
        <w:gridCol w:w="1134"/>
        <w:gridCol w:w="851"/>
      </w:tblGrid>
      <w:tr w:rsidR="00F15667" w:rsidRPr="00F15667" w14:paraId="78592F7E" w14:textId="77777777" w:rsidTr="002D4B1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bookmarkEnd w:id="420"/>
          <w:p w14:paraId="78B3C2DA" w14:textId="77777777" w:rsidR="00D160E0" w:rsidRPr="00F15667" w:rsidRDefault="00D160E0" w:rsidP="002D4B12">
            <w:pPr>
              <w:spacing w:line="240" w:lineRule="auto"/>
              <w:jc w:val="center"/>
              <w:rPr>
                <w:rFonts w:eastAsia="Times New Roman"/>
                <w:b/>
                <w:bCs/>
                <w:szCs w:val="24"/>
                <w:lang w:eastAsia="cs-CZ"/>
              </w:rPr>
            </w:pPr>
            <w:r w:rsidRPr="00F15667">
              <w:rPr>
                <w:rFonts w:eastAsia="Times New Roman"/>
                <w:b/>
                <w:bCs/>
                <w:szCs w:val="24"/>
                <w:lang w:eastAsia="cs-CZ"/>
              </w:rPr>
              <w:t>Nadřízený soud</w:t>
            </w:r>
          </w:p>
        </w:tc>
        <w:tc>
          <w:tcPr>
            <w:tcW w:w="5744" w:type="dxa"/>
            <w:gridSpan w:val="6"/>
            <w:tcBorders>
              <w:top w:val="double" w:sz="6" w:space="0" w:color="auto"/>
              <w:left w:val="nil"/>
              <w:bottom w:val="nil"/>
              <w:right w:val="nil"/>
            </w:tcBorders>
            <w:shd w:val="clear" w:color="auto" w:fill="auto"/>
            <w:noWrap/>
            <w:vAlign w:val="center"/>
            <w:hideMark/>
          </w:tcPr>
          <w:p w14:paraId="234710B8" w14:textId="77777777" w:rsidR="00D160E0" w:rsidRPr="00F15667" w:rsidRDefault="00D160E0" w:rsidP="002D4B12">
            <w:pPr>
              <w:spacing w:line="240" w:lineRule="auto"/>
              <w:jc w:val="center"/>
              <w:rPr>
                <w:rFonts w:eastAsia="Times New Roman"/>
                <w:b/>
                <w:bCs/>
                <w:szCs w:val="24"/>
                <w:lang w:eastAsia="cs-CZ"/>
              </w:rPr>
            </w:pPr>
            <w:r w:rsidRPr="00F15667">
              <w:rPr>
                <w:rFonts w:eastAsia="Times New Roman"/>
                <w:b/>
                <w:bCs/>
                <w:szCs w:val="24"/>
                <w:lang w:eastAsia="cs-CZ"/>
              </w:rPr>
              <w:t>Délka řízení</w:t>
            </w:r>
          </w:p>
        </w:tc>
      </w:tr>
      <w:tr w:rsidR="00F15667" w:rsidRPr="00F15667" w14:paraId="3EC647E4" w14:textId="77777777" w:rsidTr="002D4B12">
        <w:trPr>
          <w:trHeight w:val="330"/>
        </w:trPr>
        <w:tc>
          <w:tcPr>
            <w:tcW w:w="2480" w:type="dxa"/>
            <w:vMerge/>
            <w:tcBorders>
              <w:top w:val="double" w:sz="6" w:space="0" w:color="auto"/>
              <w:left w:val="nil"/>
              <w:bottom w:val="double" w:sz="6" w:space="0" w:color="000000"/>
              <w:right w:val="nil"/>
            </w:tcBorders>
            <w:vAlign w:val="center"/>
            <w:hideMark/>
          </w:tcPr>
          <w:p w14:paraId="107FEE03" w14:textId="77777777" w:rsidR="00D160E0" w:rsidRPr="00F15667" w:rsidRDefault="00D160E0" w:rsidP="002D4B12">
            <w:pPr>
              <w:spacing w:line="240" w:lineRule="auto"/>
              <w:jc w:val="center"/>
              <w:rPr>
                <w:rFonts w:eastAsia="Times New Roman"/>
                <w:b/>
                <w:bCs/>
                <w:szCs w:val="24"/>
                <w:lang w:eastAsia="cs-CZ"/>
              </w:rPr>
            </w:pPr>
          </w:p>
        </w:tc>
        <w:tc>
          <w:tcPr>
            <w:tcW w:w="1915" w:type="dxa"/>
            <w:gridSpan w:val="2"/>
            <w:tcBorders>
              <w:top w:val="nil"/>
              <w:left w:val="nil"/>
              <w:bottom w:val="double" w:sz="6" w:space="0" w:color="auto"/>
              <w:right w:val="nil"/>
            </w:tcBorders>
            <w:shd w:val="clear" w:color="auto" w:fill="auto"/>
            <w:noWrap/>
            <w:vAlign w:val="center"/>
            <w:hideMark/>
          </w:tcPr>
          <w:p w14:paraId="16DA98AC" w14:textId="77777777" w:rsidR="00D160E0" w:rsidRPr="00F15667" w:rsidRDefault="00D160E0" w:rsidP="002D4B12">
            <w:pPr>
              <w:spacing w:line="240" w:lineRule="auto"/>
              <w:jc w:val="center"/>
              <w:rPr>
                <w:rFonts w:eastAsia="Times New Roman"/>
                <w:b/>
                <w:bCs/>
                <w:szCs w:val="24"/>
                <w:lang w:eastAsia="cs-CZ"/>
              </w:rPr>
            </w:pPr>
            <w:r w:rsidRPr="00F15667">
              <w:rPr>
                <w:rFonts w:eastAsia="Times New Roman"/>
                <w:b/>
                <w:bCs/>
                <w:szCs w:val="24"/>
                <w:lang w:eastAsia="cs-CZ"/>
              </w:rPr>
              <w:t>Průměr</w:t>
            </w:r>
          </w:p>
        </w:tc>
        <w:tc>
          <w:tcPr>
            <w:tcW w:w="184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B1FBF12" w14:textId="77777777" w:rsidR="00D160E0" w:rsidRPr="00F15667" w:rsidRDefault="00D160E0" w:rsidP="002D4B12">
            <w:pPr>
              <w:spacing w:line="240" w:lineRule="auto"/>
              <w:jc w:val="center"/>
              <w:rPr>
                <w:rFonts w:eastAsia="Times New Roman"/>
                <w:b/>
                <w:bCs/>
                <w:szCs w:val="24"/>
                <w:lang w:eastAsia="cs-CZ"/>
              </w:rPr>
            </w:pPr>
            <w:r w:rsidRPr="00F15667">
              <w:rPr>
                <w:rFonts w:eastAsia="Times New Roman"/>
                <w:b/>
                <w:bCs/>
                <w:szCs w:val="24"/>
                <w:lang w:eastAsia="cs-CZ"/>
              </w:rPr>
              <w:t>Medián</w:t>
            </w:r>
          </w:p>
        </w:tc>
        <w:tc>
          <w:tcPr>
            <w:tcW w:w="1985" w:type="dxa"/>
            <w:gridSpan w:val="2"/>
            <w:tcBorders>
              <w:top w:val="nil"/>
              <w:left w:val="nil"/>
              <w:bottom w:val="double" w:sz="6" w:space="0" w:color="auto"/>
              <w:right w:val="nil"/>
            </w:tcBorders>
            <w:shd w:val="clear" w:color="auto" w:fill="auto"/>
            <w:noWrap/>
            <w:vAlign w:val="center"/>
            <w:hideMark/>
          </w:tcPr>
          <w:p w14:paraId="6BF20568" w14:textId="77777777" w:rsidR="00D160E0" w:rsidRPr="00F15667" w:rsidRDefault="00D160E0" w:rsidP="002D4B12">
            <w:pPr>
              <w:spacing w:line="240" w:lineRule="auto"/>
              <w:jc w:val="center"/>
              <w:rPr>
                <w:rFonts w:eastAsia="Times New Roman"/>
                <w:b/>
                <w:bCs/>
                <w:szCs w:val="24"/>
                <w:lang w:eastAsia="cs-CZ"/>
              </w:rPr>
            </w:pPr>
            <w:r w:rsidRPr="00F15667">
              <w:rPr>
                <w:rFonts w:eastAsia="Times New Roman"/>
                <w:b/>
                <w:bCs/>
                <w:szCs w:val="24"/>
                <w:lang w:eastAsia="cs-CZ"/>
              </w:rPr>
              <w:t>Percentil 90</w:t>
            </w:r>
          </w:p>
        </w:tc>
      </w:tr>
      <w:tr w:rsidR="00F15667" w:rsidRPr="00F15667" w14:paraId="11000CB4" w14:textId="77777777" w:rsidTr="002D4B12">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57C0B8E3" w14:textId="77777777" w:rsidR="00D160E0" w:rsidRPr="00F15667" w:rsidRDefault="00D160E0" w:rsidP="002D4B12">
            <w:pPr>
              <w:spacing w:line="240" w:lineRule="auto"/>
              <w:jc w:val="left"/>
              <w:rPr>
                <w:rFonts w:eastAsia="Times New Roman"/>
                <w:szCs w:val="24"/>
                <w:lang w:eastAsia="cs-CZ"/>
              </w:rPr>
            </w:pPr>
            <w:r w:rsidRPr="00F15667">
              <w:rPr>
                <w:rFonts w:eastAsia="Times New Roman"/>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center"/>
            <w:hideMark/>
          </w:tcPr>
          <w:p w14:paraId="1781CC1C"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145</w:t>
            </w:r>
          </w:p>
        </w:tc>
        <w:tc>
          <w:tcPr>
            <w:tcW w:w="851" w:type="dxa"/>
            <w:tcBorders>
              <w:top w:val="single" w:sz="4" w:space="0" w:color="auto"/>
              <w:left w:val="nil"/>
              <w:bottom w:val="single" w:sz="4" w:space="0" w:color="auto"/>
              <w:right w:val="nil"/>
            </w:tcBorders>
            <w:shd w:val="clear" w:color="auto" w:fill="auto"/>
            <w:noWrap/>
            <w:vAlign w:val="center"/>
            <w:hideMark/>
          </w:tcPr>
          <w:p w14:paraId="69801A5F" w14:textId="4AE53D55"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992" w:type="dxa"/>
            <w:tcBorders>
              <w:top w:val="nil"/>
              <w:left w:val="single" w:sz="4" w:space="0" w:color="auto"/>
              <w:bottom w:val="single" w:sz="4" w:space="0" w:color="auto"/>
              <w:right w:val="nil"/>
            </w:tcBorders>
            <w:shd w:val="clear" w:color="auto" w:fill="auto"/>
            <w:noWrap/>
            <w:vAlign w:val="center"/>
            <w:hideMark/>
          </w:tcPr>
          <w:p w14:paraId="7280A44C"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77</w:t>
            </w:r>
          </w:p>
        </w:tc>
        <w:tc>
          <w:tcPr>
            <w:tcW w:w="850" w:type="dxa"/>
            <w:tcBorders>
              <w:top w:val="nil"/>
              <w:left w:val="nil"/>
              <w:bottom w:val="single" w:sz="4" w:space="0" w:color="auto"/>
              <w:right w:val="single" w:sz="4" w:space="0" w:color="auto"/>
            </w:tcBorders>
            <w:shd w:val="clear" w:color="auto" w:fill="auto"/>
            <w:noWrap/>
            <w:vAlign w:val="center"/>
            <w:hideMark/>
          </w:tcPr>
          <w:p w14:paraId="4C2BE621" w14:textId="576ECABB"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-21 %</w:t>
            </w:r>
          </w:p>
        </w:tc>
        <w:tc>
          <w:tcPr>
            <w:tcW w:w="1134" w:type="dxa"/>
            <w:tcBorders>
              <w:top w:val="single" w:sz="4" w:space="0" w:color="auto"/>
              <w:left w:val="nil"/>
              <w:bottom w:val="single" w:sz="4" w:space="0" w:color="auto"/>
              <w:right w:val="nil"/>
            </w:tcBorders>
            <w:shd w:val="clear" w:color="auto" w:fill="auto"/>
            <w:noWrap/>
            <w:vAlign w:val="center"/>
            <w:hideMark/>
          </w:tcPr>
          <w:p w14:paraId="4B2856D4"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317</w:t>
            </w:r>
          </w:p>
        </w:tc>
        <w:tc>
          <w:tcPr>
            <w:tcW w:w="851" w:type="dxa"/>
            <w:tcBorders>
              <w:top w:val="single" w:sz="4" w:space="0" w:color="auto"/>
              <w:left w:val="nil"/>
              <w:bottom w:val="single" w:sz="4" w:space="0" w:color="auto"/>
              <w:right w:val="nil"/>
            </w:tcBorders>
            <w:shd w:val="clear" w:color="auto" w:fill="auto"/>
            <w:noWrap/>
            <w:vAlign w:val="center"/>
            <w:hideMark/>
          </w:tcPr>
          <w:p w14:paraId="6597F0DC" w14:textId="50645481"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-14 %</w:t>
            </w:r>
          </w:p>
        </w:tc>
      </w:tr>
      <w:tr w:rsidR="00F15667" w:rsidRPr="00F15667" w14:paraId="3F4E768B" w14:textId="77777777" w:rsidTr="002D4B12">
        <w:trPr>
          <w:trHeight w:val="315"/>
        </w:trPr>
        <w:tc>
          <w:tcPr>
            <w:tcW w:w="2480" w:type="dxa"/>
            <w:tcBorders>
              <w:top w:val="nil"/>
              <w:left w:val="nil"/>
              <w:bottom w:val="single" w:sz="4" w:space="0" w:color="auto"/>
              <w:right w:val="nil"/>
            </w:tcBorders>
            <w:shd w:val="clear" w:color="auto" w:fill="auto"/>
            <w:noWrap/>
            <w:vAlign w:val="center"/>
            <w:hideMark/>
          </w:tcPr>
          <w:p w14:paraId="49F414A1" w14:textId="77777777" w:rsidR="00D160E0" w:rsidRPr="00F15667" w:rsidRDefault="00D160E0" w:rsidP="002D4B12">
            <w:pPr>
              <w:spacing w:line="240" w:lineRule="auto"/>
              <w:jc w:val="left"/>
              <w:rPr>
                <w:rFonts w:eastAsia="Times New Roman"/>
                <w:szCs w:val="24"/>
                <w:lang w:eastAsia="cs-CZ"/>
              </w:rPr>
            </w:pPr>
            <w:r w:rsidRPr="00F15667">
              <w:rPr>
                <w:rFonts w:eastAsia="Times New Roman"/>
                <w:szCs w:val="24"/>
                <w:lang w:eastAsia="cs-CZ"/>
              </w:rPr>
              <w:t>KS Praha</w:t>
            </w:r>
          </w:p>
        </w:tc>
        <w:tc>
          <w:tcPr>
            <w:tcW w:w="1064" w:type="dxa"/>
            <w:tcBorders>
              <w:top w:val="nil"/>
              <w:left w:val="nil"/>
              <w:bottom w:val="single" w:sz="4" w:space="0" w:color="auto"/>
              <w:right w:val="nil"/>
            </w:tcBorders>
            <w:shd w:val="clear" w:color="auto" w:fill="auto"/>
            <w:noWrap/>
            <w:vAlign w:val="center"/>
            <w:hideMark/>
          </w:tcPr>
          <w:p w14:paraId="33C84A04"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94</w:t>
            </w:r>
          </w:p>
        </w:tc>
        <w:tc>
          <w:tcPr>
            <w:tcW w:w="851" w:type="dxa"/>
            <w:tcBorders>
              <w:top w:val="nil"/>
              <w:left w:val="nil"/>
              <w:bottom w:val="single" w:sz="4" w:space="0" w:color="auto"/>
              <w:right w:val="nil"/>
            </w:tcBorders>
            <w:shd w:val="clear" w:color="auto" w:fill="auto"/>
            <w:noWrap/>
            <w:vAlign w:val="center"/>
            <w:hideMark/>
          </w:tcPr>
          <w:p w14:paraId="25CC5A04" w14:textId="340ABA45"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992" w:type="dxa"/>
            <w:tcBorders>
              <w:top w:val="nil"/>
              <w:left w:val="single" w:sz="4" w:space="0" w:color="auto"/>
              <w:bottom w:val="single" w:sz="4" w:space="0" w:color="auto"/>
              <w:right w:val="nil"/>
            </w:tcBorders>
            <w:shd w:val="clear" w:color="auto" w:fill="auto"/>
            <w:noWrap/>
            <w:vAlign w:val="center"/>
            <w:hideMark/>
          </w:tcPr>
          <w:p w14:paraId="2BA607C6"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53</w:t>
            </w:r>
          </w:p>
        </w:tc>
        <w:tc>
          <w:tcPr>
            <w:tcW w:w="850" w:type="dxa"/>
            <w:tcBorders>
              <w:top w:val="nil"/>
              <w:left w:val="nil"/>
              <w:bottom w:val="single" w:sz="4" w:space="0" w:color="auto"/>
              <w:right w:val="single" w:sz="4" w:space="0" w:color="auto"/>
            </w:tcBorders>
            <w:shd w:val="clear" w:color="auto" w:fill="auto"/>
            <w:noWrap/>
            <w:vAlign w:val="center"/>
            <w:hideMark/>
          </w:tcPr>
          <w:p w14:paraId="1B84F2E0" w14:textId="1A98C801"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1134" w:type="dxa"/>
            <w:tcBorders>
              <w:top w:val="nil"/>
              <w:left w:val="nil"/>
              <w:bottom w:val="single" w:sz="4" w:space="0" w:color="auto"/>
              <w:right w:val="nil"/>
            </w:tcBorders>
            <w:shd w:val="clear" w:color="auto" w:fill="auto"/>
            <w:noWrap/>
            <w:vAlign w:val="center"/>
            <w:hideMark/>
          </w:tcPr>
          <w:p w14:paraId="56663AD7"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219</w:t>
            </w:r>
          </w:p>
        </w:tc>
        <w:tc>
          <w:tcPr>
            <w:tcW w:w="851" w:type="dxa"/>
            <w:tcBorders>
              <w:top w:val="nil"/>
              <w:left w:val="nil"/>
              <w:bottom w:val="single" w:sz="4" w:space="0" w:color="auto"/>
              <w:right w:val="nil"/>
            </w:tcBorders>
            <w:shd w:val="clear" w:color="auto" w:fill="auto"/>
            <w:noWrap/>
            <w:vAlign w:val="center"/>
            <w:hideMark/>
          </w:tcPr>
          <w:p w14:paraId="2AEC1E2D" w14:textId="723D8728"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-12 %</w:t>
            </w:r>
          </w:p>
        </w:tc>
      </w:tr>
      <w:tr w:rsidR="00F15667" w:rsidRPr="00F15667" w14:paraId="728D113B" w14:textId="77777777" w:rsidTr="002D4B12">
        <w:trPr>
          <w:trHeight w:val="315"/>
        </w:trPr>
        <w:tc>
          <w:tcPr>
            <w:tcW w:w="2480" w:type="dxa"/>
            <w:tcBorders>
              <w:top w:val="nil"/>
              <w:left w:val="nil"/>
              <w:bottom w:val="single" w:sz="4" w:space="0" w:color="auto"/>
              <w:right w:val="nil"/>
            </w:tcBorders>
            <w:shd w:val="clear" w:color="auto" w:fill="auto"/>
            <w:noWrap/>
            <w:vAlign w:val="center"/>
            <w:hideMark/>
          </w:tcPr>
          <w:p w14:paraId="4026964D" w14:textId="77777777" w:rsidR="00D160E0" w:rsidRPr="00F15667" w:rsidRDefault="00D160E0" w:rsidP="002D4B12">
            <w:pPr>
              <w:spacing w:line="240" w:lineRule="auto"/>
              <w:jc w:val="left"/>
              <w:rPr>
                <w:rFonts w:eastAsia="Times New Roman"/>
                <w:szCs w:val="24"/>
                <w:lang w:eastAsia="cs-CZ"/>
              </w:rPr>
            </w:pPr>
            <w:r w:rsidRPr="00F15667">
              <w:rPr>
                <w:rFonts w:eastAsia="Times New Roman"/>
                <w:szCs w:val="24"/>
                <w:lang w:eastAsia="cs-CZ"/>
              </w:rPr>
              <w:t>KS Č. Budějovice</w:t>
            </w:r>
          </w:p>
        </w:tc>
        <w:tc>
          <w:tcPr>
            <w:tcW w:w="1064" w:type="dxa"/>
            <w:tcBorders>
              <w:top w:val="nil"/>
              <w:left w:val="nil"/>
              <w:bottom w:val="single" w:sz="4" w:space="0" w:color="auto"/>
              <w:right w:val="nil"/>
            </w:tcBorders>
            <w:shd w:val="clear" w:color="auto" w:fill="auto"/>
            <w:noWrap/>
            <w:vAlign w:val="center"/>
            <w:hideMark/>
          </w:tcPr>
          <w:p w14:paraId="2360DFB7"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85</w:t>
            </w:r>
          </w:p>
        </w:tc>
        <w:tc>
          <w:tcPr>
            <w:tcW w:w="851" w:type="dxa"/>
            <w:tcBorders>
              <w:top w:val="nil"/>
              <w:left w:val="nil"/>
              <w:bottom w:val="single" w:sz="4" w:space="0" w:color="auto"/>
              <w:right w:val="nil"/>
            </w:tcBorders>
            <w:shd w:val="clear" w:color="auto" w:fill="auto"/>
            <w:noWrap/>
            <w:vAlign w:val="center"/>
            <w:hideMark/>
          </w:tcPr>
          <w:p w14:paraId="56733DDB" w14:textId="3D76FD98"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992" w:type="dxa"/>
            <w:tcBorders>
              <w:top w:val="nil"/>
              <w:left w:val="single" w:sz="4" w:space="0" w:color="auto"/>
              <w:bottom w:val="single" w:sz="4" w:space="0" w:color="auto"/>
              <w:right w:val="nil"/>
            </w:tcBorders>
            <w:shd w:val="clear" w:color="auto" w:fill="auto"/>
            <w:noWrap/>
            <w:vAlign w:val="center"/>
            <w:hideMark/>
          </w:tcPr>
          <w:p w14:paraId="1E18D440"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51</w:t>
            </w:r>
          </w:p>
        </w:tc>
        <w:tc>
          <w:tcPr>
            <w:tcW w:w="850" w:type="dxa"/>
            <w:tcBorders>
              <w:top w:val="nil"/>
              <w:left w:val="nil"/>
              <w:bottom w:val="single" w:sz="4" w:space="0" w:color="auto"/>
              <w:right w:val="single" w:sz="4" w:space="0" w:color="auto"/>
            </w:tcBorders>
            <w:shd w:val="clear" w:color="auto" w:fill="auto"/>
            <w:noWrap/>
            <w:vAlign w:val="center"/>
            <w:hideMark/>
          </w:tcPr>
          <w:p w14:paraId="39935EFC" w14:textId="18EB97FF"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-9 %</w:t>
            </w:r>
          </w:p>
        </w:tc>
        <w:tc>
          <w:tcPr>
            <w:tcW w:w="1134" w:type="dxa"/>
            <w:tcBorders>
              <w:top w:val="nil"/>
              <w:left w:val="nil"/>
              <w:bottom w:val="single" w:sz="4" w:space="0" w:color="auto"/>
              <w:right w:val="nil"/>
            </w:tcBorders>
            <w:shd w:val="clear" w:color="auto" w:fill="auto"/>
            <w:noWrap/>
            <w:vAlign w:val="center"/>
            <w:hideMark/>
          </w:tcPr>
          <w:p w14:paraId="65AFCB2D"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189</w:t>
            </w:r>
          </w:p>
        </w:tc>
        <w:tc>
          <w:tcPr>
            <w:tcW w:w="851" w:type="dxa"/>
            <w:tcBorders>
              <w:top w:val="nil"/>
              <w:left w:val="nil"/>
              <w:bottom w:val="single" w:sz="4" w:space="0" w:color="auto"/>
              <w:right w:val="nil"/>
            </w:tcBorders>
            <w:shd w:val="clear" w:color="auto" w:fill="auto"/>
            <w:noWrap/>
            <w:vAlign w:val="center"/>
            <w:hideMark/>
          </w:tcPr>
          <w:p w14:paraId="24127130" w14:textId="2132DB12"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-6 %</w:t>
            </w:r>
          </w:p>
        </w:tc>
      </w:tr>
      <w:tr w:rsidR="00F15667" w:rsidRPr="00F15667" w14:paraId="2D694EC4" w14:textId="77777777" w:rsidTr="002D4B12">
        <w:trPr>
          <w:trHeight w:val="315"/>
        </w:trPr>
        <w:tc>
          <w:tcPr>
            <w:tcW w:w="2480" w:type="dxa"/>
            <w:tcBorders>
              <w:top w:val="nil"/>
              <w:left w:val="nil"/>
              <w:bottom w:val="single" w:sz="4" w:space="0" w:color="auto"/>
              <w:right w:val="nil"/>
            </w:tcBorders>
            <w:shd w:val="clear" w:color="auto" w:fill="auto"/>
            <w:noWrap/>
            <w:vAlign w:val="center"/>
            <w:hideMark/>
          </w:tcPr>
          <w:p w14:paraId="28DAF9A0" w14:textId="77777777" w:rsidR="00D160E0" w:rsidRPr="00F15667" w:rsidRDefault="00D160E0" w:rsidP="002D4B12">
            <w:pPr>
              <w:spacing w:line="240" w:lineRule="auto"/>
              <w:jc w:val="left"/>
              <w:rPr>
                <w:rFonts w:eastAsia="Times New Roman"/>
                <w:szCs w:val="24"/>
                <w:lang w:eastAsia="cs-CZ"/>
              </w:rPr>
            </w:pPr>
            <w:r w:rsidRPr="00F15667">
              <w:rPr>
                <w:rFonts w:eastAsia="Times New Roman"/>
                <w:szCs w:val="24"/>
                <w:lang w:eastAsia="cs-CZ"/>
              </w:rPr>
              <w:t>KS Plzeň</w:t>
            </w:r>
          </w:p>
        </w:tc>
        <w:tc>
          <w:tcPr>
            <w:tcW w:w="1064" w:type="dxa"/>
            <w:tcBorders>
              <w:top w:val="nil"/>
              <w:left w:val="nil"/>
              <w:bottom w:val="single" w:sz="4" w:space="0" w:color="auto"/>
              <w:right w:val="nil"/>
            </w:tcBorders>
            <w:shd w:val="clear" w:color="auto" w:fill="auto"/>
            <w:noWrap/>
            <w:vAlign w:val="center"/>
            <w:hideMark/>
          </w:tcPr>
          <w:p w14:paraId="73A725E5"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112</w:t>
            </w:r>
          </w:p>
        </w:tc>
        <w:tc>
          <w:tcPr>
            <w:tcW w:w="851" w:type="dxa"/>
            <w:tcBorders>
              <w:top w:val="nil"/>
              <w:left w:val="nil"/>
              <w:bottom w:val="single" w:sz="4" w:space="0" w:color="auto"/>
              <w:right w:val="nil"/>
            </w:tcBorders>
            <w:shd w:val="clear" w:color="auto" w:fill="auto"/>
            <w:noWrap/>
            <w:vAlign w:val="center"/>
            <w:hideMark/>
          </w:tcPr>
          <w:p w14:paraId="6E65B9ED" w14:textId="370AF551"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992" w:type="dxa"/>
            <w:tcBorders>
              <w:top w:val="nil"/>
              <w:left w:val="single" w:sz="4" w:space="0" w:color="auto"/>
              <w:bottom w:val="single" w:sz="4" w:space="0" w:color="auto"/>
              <w:right w:val="nil"/>
            </w:tcBorders>
            <w:shd w:val="clear" w:color="auto" w:fill="auto"/>
            <w:noWrap/>
            <w:vAlign w:val="center"/>
            <w:hideMark/>
          </w:tcPr>
          <w:p w14:paraId="4F9A9D20"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67</w:t>
            </w:r>
          </w:p>
        </w:tc>
        <w:tc>
          <w:tcPr>
            <w:tcW w:w="850" w:type="dxa"/>
            <w:tcBorders>
              <w:top w:val="nil"/>
              <w:left w:val="nil"/>
              <w:bottom w:val="single" w:sz="4" w:space="0" w:color="auto"/>
              <w:right w:val="single" w:sz="4" w:space="0" w:color="auto"/>
            </w:tcBorders>
            <w:shd w:val="clear" w:color="auto" w:fill="auto"/>
            <w:noWrap/>
            <w:vAlign w:val="center"/>
            <w:hideMark/>
          </w:tcPr>
          <w:p w14:paraId="798AC158" w14:textId="3A71EB9C"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1134" w:type="dxa"/>
            <w:tcBorders>
              <w:top w:val="nil"/>
              <w:left w:val="nil"/>
              <w:bottom w:val="single" w:sz="4" w:space="0" w:color="auto"/>
              <w:right w:val="nil"/>
            </w:tcBorders>
            <w:shd w:val="clear" w:color="auto" w:fill="auto"/>
            <w:noWrap/>
            <w:vAlign w:val="center"/>
            <w:hideMark/>
          </w:tcPr>
          <w:p w14:paraId="5B283C50"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237</w:t>
            </w:r>
          </w:p>
        </w:tc>
        <w:tc>
          <w:tcPr>
            <w:tcW w:w="851" w:type="dxa"/>
            <w:tcBorders>
              <w:top w:val="nil"/>
              <w:left w:val="nil"/>
              <w:bottom w:val="single" w:sz="4" w:space="0" w:color="auto"/>
              <w:right w:val="nil"/>
            </w:tcBorders>
            <w:shd w:val="clear" w:color="auto" w:fill="auto"/>
            <w:noWrap/>
            <w:vAlign w:val="center"/>
            <w:hideMark/>
          </w:tcPr>
          <w:p w14:paraId="319E9FE8" w14:textId="3F688894"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-11 %</w:t>
            </w:r>
          </w:p>
        </w:tc>
      </w:tr>
      <w:tr w:rsidR="00F15667" w:rsidRPr="00F15667" w14:paraId="1B221474" w14:textId="77777777" w:rsidTr="002D4B12">
        <w:trPr>
          <w:trHeight w:val="315"/>
        </w:trPr>
        <w:tc>
          <w:tcPr>
            <w:tcW w:w="2480" w:type="dxa"/>
            <w:tcBorders>
              <w:top w:val="nil"/>
              <w:left w:val="nil"/>
              <w:bottom w:val="single" w:sz="4" w:space="0" w:color="auto"/>
              <w:right w:val="nil"/>
            </w:tcBorders>
            <w:shd w:val="clear" w:color="auto" w:fill="auto"/>
            <w:noWrap/>
            <w:vAlign w:val="center"/>
            <w:hideMark/>
          </w:tcPr>
          <w:p w14:paraId="3BFF739E" w14:textId="77777777" w:rsidR="00D160E0" w:rsidRPr="00F15667" w:rsidRDefault="00D160E0" w:rsidP="002D4B12">
            <w:pPr>
              <w:spacing w:line="240" w:lineRule="auto"/>
              <w:jc w:val="left"/>
              <w:rPr>
                <w:rFonts w:eastAsia="Times New Roman"/>
                <w:szCs w:val="24"/>
                <w:lang w:eastAsia="cs-CZ"/>
              </w:rPr>
            </w:pPr>
            <w:r w:rsidRPr="00F15667">
              <w:rPr>
                <w:rFonts w:eastAsia="Times New Roman"/>
                <w:szCs w:val="24"/>
                <w:lang w:eastAsia="cs-CZ"/>
              </w:rPr>
              <w:t>KS Ústí n. Labem</w:t>
            </w:r>
          </w:p>
        </w:tc>
        <w:tc>
          <w:tcPr>
            <w:tcW w:w="1064" w:type="dxa"/>
            <w:tcBorders>
              <w:top w:val="nil"/>
              <w:left w:val="nil"/>
              <w:bottom w:val="single" w:sz="4" w:space="0" w:color="auto"/>
              <w:right w:val="nil"/>
            </w:tcBorders>
            <w:shd w:val="clear" w:color="auto" w:fill="auto"/>
            <w:noWrap/>
            <w:vAlign w:val="center"/>
            <w:hideMark/>
          </w:tcPr>
          <w:p w14:paraId="52035A00"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126</w:t>
            </w:r>
          </w:p>
        </w:tc>
        <w:tc>
          <w:tcPr>
            <w:tcW w:w="851" w:type="dxa"/>
            <w:tcBorders>
              <w:top w:val="nil"/>
              <w:left w:val="nil"/>
              <w:bottom w:val="single" w:sz="4" w:space="0" w:color="auto"/>
              <w:right w:val="nil"/>
            </w:tcBorders>
            <w:shd w:val="clear" w:color="auto" w:fill="auto"/>
            <w:noWrap/>
            <w:vAlign w:val="center"/>
            <w:hideMark/>
          </w:tcPr>
          <w:p w14:paraId="65A09787" w14:textId="284C657E"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992" w:type="dxa"/>
            <w:tcBorders>
              <w:top w:val="nil"/>
              <w:left w:val="single" w:sz="4" w:space="0" w:color="auto"/>
              <w:bottom w:val="single" w:sz="4" w:space="0" w:color="auto"/>
              <w:right w:val="nil"/>
            </w:tcBorders>
            <w:shd w:val="clear" w:color="auto" w:fill="auto"/>
            <w:noWrap/>
            <w:vAlign w:val="center"/>
            <w:hideMark/>
          </w:tcPr>
          <w:p w14:paraId="5CE1F49A"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77</w:t>
            </w:r>
          </w:p>
        </w:tc>
        <w:tc>
          <w:tcPr>
            <w:tcW w:w="850" w:type="dxa"/>
            <w:tcBorders>
              <w:top w:val="nil"/>
              <w:left w:val="nil"/>
              <w:bottom w:val="single" w:sz="4" w:space="0" w:color="auto"/>
              <w:right w:val="single" w:sz="4" w:space="0" w:color="auto"/>
            </w:tcBorders>
            <w:shd w:val="clear" w:color="auto" w:fill="auto"/>
            <w:noWrap/>
            <w:vAlign w:val="center"/>
            <w:hideMark/>
          </w:tcPr>
          <w:p w14:paraId="63719AA0" w14:textId="15DE5071"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1134" w:type="dxa"/>
            <w:tcBorders>
              <w:top w:val="nil"/>
              <w:left w:val="nil"/>
              <w:bottom w:val="single" w:sz="4" w:space="0" w:color="auto"/>
              <w:right w:val="nil"/>
            </w:tcBorders>
            <w:shd w:val="clear" w:color="auto" w:fill="auto"/>
            <w:noWrap/>
            <w:vAlign w:val="center"/>
            <w:hideMark/>
          </w:tcPr>
          <w:p w14:paraId="1845CE6F"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265</w:t>
            </w:r>
          </w:p>
        </w:tc>
        <w:tc>
          <w:tcPr>
            <w:tcW w:w="851" w:type="dxa"/>
            <w:tcBorders>
              <w:top w:val="nil"/>
              <w:left w:val="nil"/>
              <w:bottom w:val="single" w:sz="4" w:space="0" w:color="auto"/>
              <w:right w:val="nil"/>
            </w:tcBorders>
            <w:shd w:val="clear" w:color="auto" w:fill="auto"/>
            <w:noWrap/>
            <w:vAlign w:val="center"/>
            <w:hideMark/>
          </w:tcPr>
          <w:p w14:paraId="490D37CA" w14:textId="0CC0C556"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-16 %</w:t>
            </w:r>
          </w:p>
        </w:tc>
      </w:tr>
      <w:tr w:rsidR="00F15667" w:rsidRPr="00F15667" w14:paraId="757D3BD6" w14:textId="77777777" w:rsidTr="002D4B12">
        <w:trPr>
          <w:trHeight w:val="315"/>
        </w:trPr>
        <w:tc>
          <w:tcPr>
            <w:tcW w:w="2480" w:type="dxa"/>
            <w:tcBorders>
              <w:top w:val="nil"/>
              <w:left w:val="nil"/>
              <w:bottom w:val="single" w:sz="4" w:space="0" w:color="auto"/>
              <w:right w:val="nil"/>
            </w:tcBorders>
            <w:shd w:val="clear" w:color="auto" w:fill="auto"/>
            <w:noWrap/>
            <w:vAlign w:val="center"/>
            <w:hideMark/>
          </w:tcPr>
          <w:p w14:paraId="05777857" w14:textId="77777777" w:rsidR="00D160E0" w:rsidRPr="00F15667" w:rsidRDefault="00D160E0" w:rsidP="002D4B12">
            <w:pPr>
              <w:spacing w:line="240" w:lineRule="auto"/>
              <w:jc w:val="left"/>
              <w:rPr>
                <w:rFonts w:eastAsia="Times New Roman"/>
                <w:szCs w:val="24"/>
                <w:lang w:eastAsia="cs-CZ"/>
              </w:rPr>
            </w:pPr>
            <w:r w:rsidRPr="00F15667">
              <w:rPr>
                <w:rFonts w:eastAsia="Times New Roman"/>
                <w:szCs w:val="24"/>
                <w:lang w:eastAsia="cs-CZ"/>
              </w:rPr>
              <w:t>KS Hr. Králové</w:t>
            </w:r>
          </w:p>
        </w:tc>
        <w:tc>
          <w:tcPr>
            <w:tcW w:w="1064" w:type="dxa"/>
            <w:tcBorders>
              <w:top w:val="nil"/>
              <w:left w:val="nil"/>
              <w:bottom w:val="single" w:sz="4" w:space="0" w:color="auto"/>
              <w:right w:val="nil"/>
            </w:tcBorders>
            <w:shd w:val="clear" w:color="auto" w:fill="auto"/>
            <w:noWrap/>
            <w:vAlign w:val="center"/>
            <w:hideMark/>
          </w:tcPr>
          <w:p w14:paraId="53505F0C"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105</w:t>
            </w:r>
          </w:p>
        </w:tc>
        <w:tc>
          <w:tcPr>
            <w:tcW w:w="851" w:type="dxa"/>
            <w:tcBorders>
              <w:top w:val="nil"/>
              <w:left w:val="nil"/>
              <w:bottom w:val="single" w:sz="4" w:space="0" w:color="auto"/>
              <w:right w:val="nil"/>
            </w:tcBorders>
            <w:shd w:val="clear" w:color="auto" w:fill="auto"/>
            <w:noWrap/>
            <w:vAlign w:val="center"/>
            <w:hideMark/>
          </w:tcPr>
          <w:p w14:paraId="4D5B271A" w14:textId="5A5F3641"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992" w:type="dxa"/>
            <w:tcBorders>
              <w:top w:val="nil"/>
              <w:left w:val="single" w:sz="4" w:space="0" w:color="auto"/>
              <w:bottom w:val="single" w:sz="4" w:space="0" w:color="auto"/>
              <w:right w:val="nil"/>
            </w:tcBorders>
            <w:shd w:val="clear" w:color="auto" w:fill="auto"/>
            <w:noWrap/>
            <w:vAlign w:val="center"/>
            <w:hideMark/>
          </w:tcPr>
          <w:p w14:paraId="3CF7DED2"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58</w:t>
            </w:r>
          </w:p>
        </w:tc>
        <w:tc>
          <w:tcPr>
            <w:tcW w:w="850" w:type="dxa"/>
            <w:tcBorders>
              <w:top w:val="nil"/>
              <w:left w:val="nil"/>
              <w:bottom w:val="single" w:sz="4" w:space="0" w:color="auto"/>
              <w:right w:val="single" w:sz="4" w:space="0" w:color="auto"/>
            </w:tcBorders>
            <w:shd w:val="clear" w:color="auto" w:fill="auto"/>
            <w:noWrap/>
            <w:vAlign w:val="center"/>
            <w:hideMark/>
          </w:tcPr>
          <w:p w14:paraId="0C2BF7FB" w14:textId="11B1366E"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134" w:type="dxa"/>
            <w:tcBorders>
              <w:top w:val="nil"/>
              <w:left w:val="nil"/>
              <w:bottom w:val="single" w:sz="4" w:space="0" w:color="auto"/>
              <w:right w:val="nil"/>
            </w:tcBorders>
            <w:shd w:val="clear" w:color="auto" w:fill="auto"/>
            <w:noWrap/>
            <w:vAlign w:val="center"/>
            <w:hideMark/>
          </w:tcPr>
          <w:p w14:paraId="0DD51BEC"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240</w:t>
            </w:r>
          </w:p>
        </w:tc>
        <w:tc>
          <w:tcPr>
            <w:tcW w:w="851" w:type="dxa"/>
            <w:tcBorders>
              <w:top w:val="nil"/>
              <w:left w:val="nil"/>
              <w:bottom w:val="single" w:sz="4" w:space="0" w:color="auto"/>
              <w:right w:val="nil"/>
            </w:tcBorders>
            <w:shd w:val="clear" w:color="auto" w:fill="auto"/>
            <w:noWrap/>
            <w:vAlign w:val="center"/>
            <w:hideMark/>
          </w:tcPr>
          <w:p w14:paraId="439CE801" w14:textId="5681D321"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-15 %</w:t>
            </w:r>
          </w:p>
        </w:tc>
      </w:tr>
      <w:tr w:rsidR="00F15667" w:rsidRPr="00F15667" w14:paraId="3409B0A4" w14:textId="77777777" w:rsidTr="002D4B12">
        <w:trPr>
          <w:trHeight w:val="315"/>
        </w:trPr>
        <w:tc>
          <w:tcPr>
            <w:tcW w:w="2480" w:type="dxa"/>
            <w:tcBorders>
              <w:top w:val="nil"/>
              <w:left w:val="nil"/>
              <w:bottom w:val="single" w:sz="4" w:space="0" w:color="auto"/>
              <w:right w:val="nil"/>
            </w:tcBorders>
            <w:shd w:val="clear" w:color="auto" w:fill="auto"/>
            <w:noWrap/>
            <w:vAlign w:val="center"/>
            <w:hideMark/>
          </w:tcPr>
          <w:p w14:paraId="606D79E6" w14:textId="77777777" w:rsidR="00D160E0" w:rsidRPr="00F15667" w:rsidRDefault="00D160E0" w:rsidP="002D4B12">
            <w:pPr>
              <w:spacing w:line="240" w:lineRule="auto"/>
              <w:jc w:val="left"/>
              <w:rPr>
                <w:rFonts w:eastAsia="Times New Roman"/>
                <w:szCs w:val="24"/>
                <w:lang w:eastAsia="cs-CZ"/>
              </w:rPr>
            </w:pPr>
            <w:r w:rsidRPr="00F15667">
              <w:rPr>
                <w:rFonts w:eastAsia="Times New Roman"/>
                <w:szCs w:val="24"/>
                <w:lang w:eastAsia="cs-CZ"/>
              </w:rPr>
              <w:t>KS Brno</w:t>
            </w:r>
          </w:p>
        </w:tc>
        <w:tc>
          <w:tcPr>
            <w:tcW w:w="1064" w:type="dxa"/>
            <w:tcBorders>
              <w:top w:val="nil"/>
              <w:left w:val="nil"/>
              <w:bottom w:val="single" w:sz="4" w:space="0" w:color="auto"/>
              <w:right w:val="nil"/>
            </w:tcBorders>
            <w:shd w:val="clear" w:color="auto" w:fill="auto"/>
            <w:noWrap/>
            <w:vAlign w:val="center"/>
            <w:hideMark/>
          </w:tcPr>
          <w:p w14:paraId="62EA61D1"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135</w:t>
            </w:r>
          </w:p>
        </w:tc>
        <w:tc>
          <w:tcPr>
            <w:tcW w:w="851" w:type="dxa"/>
            <w:tcBorders>
              <w:top w:val="nil"/>
              <w:left w:val="nil"/>
              <w:bottom w:val="single" w:sz="4" w:space="0" w:color="auto"/>
              <w:right w:val="nil"/>
            </w:tcBorders>
            <w:shd w:val="clear" w:color="auto" w:fill="auto"/>
            <w:noWrap/>
            <w:vAlign w:val="center"/>
            <w:hideMark/>
          </w:tcPr>
          <w:p w14:paraId="54B77307" w14:textId="4D8D8988"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992" w:type="dxa"/>
            <w:tcBorders>
              <w:top w:val="nil"/>
              <w:left w:val="single" w:sz="4" w:space="0" w:color="auto"/>
              <w:bottom w:val="single" w:sz="4" w:space="0" w:color="auto"/>
              <w:right w:val="nil"/>
            </w:tcBorders>
            <w:shd w:val="clear" w:color="auto" w:fill="auto"/>
            <w:noWrap/>
            <w:vAlign w:val="center"/>
            <w:hideMark/>
          </w:tcPr>
          <w:p w14:paraId="1CC4C729"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89</w:t>
            </w:r>
          </w:p>
        </w:tc>
        <w:tc>
          <w:tcPr>
            <w:tcW w:w="850" w:type="dxa"/>
            <w:tcBorders>
              <w:top w:val="nil"/>
              <w:left w:val="nil"/>
              <w:bottom w:val="single" w:sz="4" w:space="0" w:color="auto"/>
              <w:right w:val="single" w:sz="4" w:space="0" w:color="auto"/>
            </w:tcBorders>
            <w:shd w:val="clear" w:color="auto" w:fill="auto"/>
            <w:noWrap/>
            <w:vAlign w:val="center"/>
            <w:hideMark/>
          </w:tcPr>
          <w:p w14:paraId="44192DC9" w14:textId="49E1F980"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1134" w:type="dxa"/>
            <w:tcBorders>
              <w:top w:val="nil"/>
              <w:left w:val="nil"/>
              <w:bottom w:val="single" w:sz="4" w:space="0" w:color="auto"/>
              <w:right w:val="nil"/>
            </w:tcBorders>
            <w:shd w:val="clear" w:color="auto" w:fill="auto"/>
            <w:noWrap/>
            <w:vAlign w:val="center"/>
            <w:hideMark/>
          </w:tcPr>
          <w:p w14:paraId="14FE5336"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288</w:t>
            </w:r>
          </w:p>
        </w:tc>
        <w:tc>
          <w:tcPr>
            <w:tcW w:w="851" w:type="dxa"/>
            <w:tcBorders>
              <w:top w:val="nil"/>
              <w:left w:val="nil"/>
              <w:bottom w:val="single" w:sz="4" w:space="0" w:color="auto"/>
              <w:right w:val="nil"/>
            </w:tcBorders>
            <w:shd w:val="clear" w:color="auto" w:fill="auto"/>
            <w:noWrap/>
            <w:vAlign w:val="center"/>
            <w:hideMark/>
          </w:tcPr>
          <w:p w14:paraId="7BCAF443" w14:textId="7D2D8E32"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-9 %</w:t>
            </w:r>
          </w:p>
        </w:tc>
      </w:tr>
      <w:tr w:rsidR="00F15667" w:rsidRPr="00F15667" w14:paraId="5CBF26EB" w14:textId="77777777" w:rsidTr="002D4B12">
        <w:trPr>
          <w:trHeight w:val="330"/>
        </w:trPr>
        <w:tc>
          <w:tcPr>
            <w:tcW w:w="2480" w:type="dxa"/>
            <w:tcBorders>
              <w:top w:val="nil"/>
              <w:left w:val="nil"/>
              <w:bottom w:val="double" w:sz="6" w:space="0" w:color="auto"/>
              <w:right w:val="nil"/>
            </w:tcBorders>
            <w:shd w:val="clear" w:color="auto" w:fill="auto"/>
            <w:noWrap/>
            <w:vAlign w:val="center"/>
            <w:hideMark/>
          </w:tcPr>
          <w:p w14:paraId="72CA589E" w14:textId="77777777" w:rsidR="00D160E0" w:rsidRPr="00F15667" w:rsidRDefault="00D160E0" w:rsidP="002D4B12">
            <w:pPr>
              <w:spacing w:line="240" w:lineRule="auto"/>
              <w:jc w:val="left"/>
              <w:rPr>
                <w:rFonts w:eastAsia="Times New Roman"/>
                <w:szCs w:val="24"/>
                <w:lang w:eastAsia="cs-CZ"/>
              </w:rPr>
            </w:pPr>
            <w:r w:rsidRPr="00F15667">
              <w:rPr>
                <w:rFonts w:eastAsia="Times New Roman"/>
                <w:szCs w:val="24"/>
                <w:lang w:eastAsia="cs-CZ"/>
              </w:rPr>
              <w:t>KS Ostrava</w:t>
            </w:r>
          </w:p>
        </w:tc>
        <w:tc>
          <w:tcPr>
            <w:tcW w:w="1064" w:type="dxa"/>
            <w:tcBorders>
              <w:top w:val="nil"/>
              <w:left w:val="nil"/>
              <w:bottom w:val="double" w:sz="6" w:space="0" w:color="auto"/>
              <w:right w:val="nil"/>
            </w:tcBorders>
            <w:shd w:val="clear" w:color="auto" w:fill="auto"/>
            <w:noWrap/>
            <w:vAlign w:val="center"/>
            <w:hideMark/>
          </w:tcPr>
          <w:p w14:paraId="57B6ABD2"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127</w:t>
            </w:r>
          </w:p>
        </w:tc>
        <w:tc>
          <w:tcPr>
            <w:tcW w:w="851" w:type="dxa"/>
            <w:tcBorders>
              <w:top w:val="nil"/>
              <w:left w:val="nil"/>
              <w:bottom w:val="double" w:sz="6" w:space="0" w:color="auto"/>
              <w:right w:val="nil"/>
            </w:tcBorders>
            <w:shd w:val="clear" w:color="auto" w:fill="auto"/>
            <w:noWrap/>
            <w:vAlign w:val="center"/>
            <w:hideMark/>
          </w:tcPr>
          <w:p w14:paraId="15EA6C09" w14:textId="57B5072E"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-9 %</w:t>
            </w:r>
          </w:p>
        </w:tc>
        <w:tc>
          <w:tcPr>
            <w:tcW w:w="992" w:type="dxa"/>
            <w:tcBorders>
              <w:top w:val="nil"/>
              <w:left w:val="single" w:sz="4" w:space="0" w:color="auto"/>
              <w:bottom w:val="double" w:sz="6" w:space="0" w:color="auto"/>
              <w:right w:val="nil"/>
            </w:tcBorders>
            <w:shd w:val="clear" w:color="auto" w:fill="auto"/>
            <w:noWrap/>
            <w:vAlign w:val="center"/>
            <w:hideMark/>
          </w:tcPr>
          <w:p w14:paraId="5D3F5974"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87</w:t>
            </w:r>
          </w:p>
        </w:tc>
        <w:tc>
          <w:tcPr>
            <w:tcW w:w="850" w:type="dxa"/>
            <w:tcBorders>
              <w:top w:val="nil"/>
              <w:left w:val="nil"/>
              <w:bottom w:val="double" w:sz="6" w:space="0" w:color="auto"/>
              <w:right w:val="single" w:sz="4" w:space="0" w:color="auto"/>
            </w:tcBorders>
            <w:shd w:val="clear" w:color="auto" w:fill="auto"/>
            <w:noWrap/>
            <w:vAlign w:val="center"/>
            <w:hideMark/>
          </w:tcPr>
          <w:p w14:paraId="62579C38" w14:textId="56E142A8"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134" w:type="dxa"/>
            <w:tcBorders>
              <w:top w:val="nil"/>
              <w:left w:val="nil"/>
              <w:bottom w:val="double" w:sz="6" w:space="0" w:color="auto"/>
              <w:right w:val="nil"/>
            </w:tcBorders>
            <w:shd w:val="clear" w:color="auto" w:fill="auto"/>
            <w:noWrap/>
            <w:vAlign w:val="center"/>
            <w:hideMark/>
          </w:tcPr>
          <w:p w14:paraId="5610EB75" w14:textId="77777777" w:rsidR="00D160E0" w:rsidRPr="00F15667" w:rsidRDefault="00D160E0" w:rsidP="002D4B12">
            <w:pPr>
              <w:spacing w:line="240" w:lineRule="auto"/>
              <w:jc w:val="center"/>
              <w:rPr>
                <w:rFonts w:eastAsia="Times New Roman"/>
                <w:szCs w:val="24"/>
                <w:lang w:eastAsia="cs-CZ"/>
              </w:rPr>
            </w:pPr>
            <w:r w:rsidRPr="00F15667">
              <w:rPr>
                <w:rFonts w:eastAsia="Times New Roman"/>
                <w:szCs w:val="24"/>
                <w:lang w:eastAsia="cs-CZ"/>
              </w:rPr>
              <w:t>265</w:t>
            </w:r>
          </w:p>
        </w:tc>
        <w:tc>
          <w:tcPr>
            <w:tcW w:w="851" w:type="dxa"/>
            <w:tcBorders>
              <w:top w:val="nil"/>
              <w:left w:val="nil"/>
              <w:bottom w:val="double" w:sz="6" w:space="0" w:color="auto"/>
              <w:right w:val="nil"/>
            </w:tcBorders>
            <w:shd w:val="clear" w:color="auto" w:fill="auto"/>
            <w:noWrap/>
            <w:vAlign w:val="center"/>
            <w:hideMark/>
          </w:tcPr>
          <w:p w14:paraId="6225BC8C" w14:textId="1AC703CC" w:rsidR="00D160E0" w:rsidRPr="00F15667" w:rsidRDefault="00D160E0" w:rsidP="002D4B12">
            <w:pPr>
              <w:spacing w:line="240" w:lineRule="auto"/>
              <w:jc w:val="center"/>
              <w:rPr>
                <w:rFonts w:eastAsia="Times New Roman"/>
                <w:sz w:val="20"/>
                <w:szCs w:val="20"/>
                <w:lang w:eastAsia="cs-CZ"/>
              </w:rPr>
            </w:pPr>
            <w:r w:rsidRPr="00F15667">
              <w:rPr>
                <w:rFonts w:eastAsia="Times New Roman"/>
                <w:sz w:val="20"/>
                <w:szCs w:val="20"/>
                <w:lang w:eastAsia="cs-CZ"/>
              </w:rPr>
              <w:t>-11 %</w:t>
            </w:r>
          </w:p>
        </w:tc>
      </w:tr>
      <w:tr w:rsidR="00F15667" w:rsidRPr="00F15667" w14:paraId="772EDE37" w14:textId="77777777" w:rsidTr="002D4B12">
        <w:trPr>
          <w:trHeight w:val="345"/>
        </w:trPr>
        <w:tc>
          <w:tcPr>
            <w:tcW w:w="2480" w:type="dxa"/>
            <w:tcBorders>
              <w:top w:val="nil"/>
              <w:left w:val="nil"/>
              <w:bottom w:val="double" w:sz="6" w:space="0" w:color="auto"/>
              <w:right w:val="nil"/>
            </w:tcBorders>
            <w:shd w:val="clear" w:color="auto" w:fill="auto"/>
            <w:noWrap/>
            <w:vAlign w:val="center"/>
            <w:hideMark/>
          </w:tcPr>
          <w:p w14:paraId="2C44D9F7" w14:textId="77777777" w:rsidR="00D160E0" w:rsidRPr="00F15667" w:rsidRDefault="00D160E0" w:rsidP="002D4B12">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64" w:type="dxa"/>
            <w:tcBorders>
              <w:top w:val="nil"/>
              <w:left w:val="nil"/>
              <w:bottom w:val="double" w:sz="6" w:space="0" w:color="auto"/>
              <w:right w:val="nil"/>
            </w:tcBorders>
            <w:shd w:val="clear" w:color="auto" w:fill="auto"/>
            <w:noWrap/>
            <w:vAlign w:val="center"/>
            <w:hideMark/>
          </w:tcPr>
          <w:p w14:paraId="686AB557" w14:textId="77777777" w:rsidR="00D160E0" w:rsidRPr="00F15667" w:rsidRDefault="00D160E0" w:rsidP="002D4B12">
            <w:pPr>
              <w:spacing w:line="240" w:lineRule="auto"/>
              <w:jc w:val="center"/>
              <w:rPr>
                <w:rFonts w:eastAsia="Times New Roman"/>
                <w:b/>
                <w:bCs/>
                <w:szCs w:val="24"/>
                <w:lang w:eastAsia="cs-CZ"/>
              </w:rPr>
            </w:pPr>
            <w:r w:rsidRPr="00F15667">
              <w:rPr>
                <w:rFonts w:eastAsia="Times New Roman"/>
                <w:b/>
                <w:bCs/>
                <w:szCs w:val="24"/>
                <w:lang w:eastAsia="cs-CZ"/>
              </w:rPr>
              <w:t>118</w:t>
            </w:r>
          </w:p>
        </w:tc>
        <w:tc>
          <w:tcPr>
            <w:tcW w:w="851" w:type="dxa"/>
            <w:tcBorders>
              <w:top w:val="nil"/>
              <w:left w:val="nil"/>
              <w:bottom w:val="double" w:sz="6" w:space="0" w:color="auto"/>
              <w:right w:val="nil"/>
            </w:tcBorders>
            <w:shd w:val="clear" w:color="auto" w:fill="auto"/>
            <w:noWrap/>
            <w:vAlign w:val="center"/>
            <w:hideMark/>
          </w:tcPr>
          <w:p w14:paraId="60BBB7ED" w14:textId="5FE957A3" w:rsidR="00D160E0" w:rsidRPr="00F15667" w:rsidRDefault="00D160E0" w:rsidP="002D4B12">
            <w:pPr>
              <w:spacing w:line="240" w:lineRule="auto"/>
              <w:jc w:val="center"/>
              <w:rPr>
                <w:rFonts w:eastAsia="Times New Roman"/>
                <w:b/>
                <w:bCs/>
                <w:sz w:val="20"/>
                <w:szCs w:val="20"/>
                <w:lang w:eastAsia="cs-CZ"/>
              </w:rPr>
            </w:pPr>
            <w:r w:rsidRPr="00F15667">
              <w:rPr>
                <w:rFonts w:eastAsia="Times New Roman"/>
                <w:b/>
                <w:bCs/>
                <w:sz w:val="20"/>
                <w:szCs w:val="20"/>
                <w:lang w:eastAsia="cs-CZ"/>
              </w:rPr>
              <w:t>-10 %</w:t>
            </w:r>
          </w:p>
        </w:tc>
        <w:tc>
          <w:tcPr>
            <w:tcW w:w="992" w:type="dxa"/>
            <w:tcBorders>
              <w:top w:val="nil"/>
              <w:left w:val="single" w:sz="4" w:space="0" w:color="auto"/>
              <w:bottom w:val="double" w:sz="6" w:space="0" w:color="auto"/>
              <w:right w:val="nil"/>
            </w:tcBorders>
            <w:shd w:val="clear" w:color="auto" w:fill="auto"/>
            <w:noWrap/>
            <w:vAlign w:val="center"/>
            <w:hideMark/>
          </w:tcPr>
          <w:p w14:paraId="1C8BD977" w14:textId="77777777" w:rsidR="00D160E0" w:rsidRPr="00F15667" w:rsidRDefault="00D160E0" w:rsidP="002D4B12">
            <w:pPr>
              <w:spacing w:line="240" w:lineRule="auto"/>
              <w:jc w:val="center"/>
              <w:rPr>
                <w:rFonts w:eastAsia="Times New Roman"/>
                <w:b/>
                <w:bCs/>
                <w:szCs w:val="24"/>
                <w:lang w:eastAsia="cs-CZ"/>
              </w:rPr>
            </w:pPr>
            <w:r w:rsidRPr="00F15667">
              <w:rPr>
                <w:rFonts w:eastAsia="Times New Roman"/>
                <w:b/>
                <w:bCs/>
                <w:szCs w:val="24"/>
                <w:lang w:eastAsia="cs-CZ"/>
              </w:rPr>
              <w:t>72</w:t>
            </w:r>
          </w:p>
        </w:tc>
        <w:tc>
          <w:tcPr>
            <w:tcW w:w="850" w:type="dxa"/>
            <w:tcBorders>
              <w:top w:val="nil"/>
              <w:left w:val="nil"/>
              <w:bottom w:val="double" w:sz="6" w:space="0" w:color="auto"/>
              <w:right w:val="single" w:sz="4" w:space="0" w:color="auto"/>
            </w:tcBorders>
            <w:shd w:val="clear" w:color="auto" w:fill="auto"/>
            <w:noWrap/>
            <w:vAlign w:val="center"/>
            <w:hideMark/>
          </w:tcPr>
          <w:p w14:paraId="3C225FF4" w14:textId="15D400B4" w:rsidR="00D160E0" w:rsidRPr="00F15667" w:rsidRDefault="00D160E0" w:rsidP="002D4B12">
            <w:pPr>
              <w:spacing w:line="240" w:lineRule="auto"/>
              <w:jc w:val="center"/>
              <w:rPr>
                <w:rFonts w:eastAsia="Times New Roman"/>
                <w:b/>
                <w:bCs/>
                <w:sz w:val="20"/>
                <w:szCs w:val="20"/>
                <w:lang w:eastAsia="cs-CZ"/>
              </w:rPr>
            </w:pPr>
            <w:r w:rsidRPr="00F15667">
              <w:rPr>
                <w:rFonts w:eastAsia="Times New Roman"/>
                <w:b/>
                <w:bCs/>
                <w:sz w:val="20"/>
                <w:szCs w:val="20"/>
                <w:lang w:eastAsia="cs-CZ"/>
              </w:rPr>
              <w:t>-11 %</w:t>
            </w:r>
          </w:p>
        </w:tc>
        <w:tc>
          <w:tcPr>
            <w:tcW w:w="1134" w:type="dxa"/>
            <w:tcBorders>
              <w:top w:val="nil"/>
              <w:left w:val="nil"/>
              <w:bottom w:val="double" w:sz="6" w:space="0" w:color="auto"/>
              <w:right w:val="nil"/>
            </w:tcBorders>
            <w:shd w:val="clear" w:color="auto" w:fill="auto"/>
            <w:noWrap/>
            <w:vAlign w:val="center"/>
            <w:hideMark/>
          </w:tcPr>
          <w:p w14:paraId="0DC7F68D" w14:textId="77777777" w:rsidR="00D160E0" w:rsidRPr="00F15667" w:rsidRDefault="00D160E0" w:rsidP="002D4B12">
            <w:pPr>
              <w:spacing w:line="240" w:lineRule="auto"/>
              <w:jc w:val="center"/>
              <w:rPr>
                <w:rFonts w:eastAsia="Times New Roman"/>
                <w:b/>
                <w:bCs/>
                <w:szCs w:val="24"/>
                <w:lang w:eastAsia="cs-CZ"/>
              </w:rPr>
            </w:pPr>
            <w:r w:rsidRPr="00F15667">
              <w:rPr>
                <w:rFonts w:eastAsia="Times New Roman"/>
                <w:b/>
                <w:bCs/>
                <w:szCs w:val="24"/>
                <w:lang w:eastAsia="cs-CZ"/>
              </w:rPr>
              <w:t>258</w:t>
            </w:r>
          </w:p>
        </w:tc>
        <w:tc>
          <w:tcPr>
            <w:tcW w:w="851" w:type="dxa"/>
            <w:tcBorders>
              <w:top w:val="nil"/>
              <w:left w:val="nil"/>
              <w:bottom w:val="double" w:sz="6" w:space="0" w:color="auto"/>
              <w:right w:val="nil"/>
            </w:tcBorders>
            <w:shd w:val="clear" w:color="auto" w:fill="auto"/>
            <w:noWrap/>
            <w:vAlign w:val="center"/>
            <w:hideMark/>
          </w:tcPr>
          <w:p w14:paraId="4B4A29B5" w14:textId="012BAFDE" w:rsidR="00D160E0" w:rsidRPr="00F15667" w:rsidRDefault="00D160E0" w:rsidP="002D4B12">
            <w:pPr>
              <w:spacing w:line="240" w:lineRule="auto"/>
              <w:jc w:val="center"/>
              <w:rPr>
                <w:rFonts w:eastAsia="Times New Roman"/>
                <w:b/>
                <w:bCs/>
                <w:sz w:val="20"/>
                <w:szCs w:val="20"/>
                <w:lang w:eastAsia="cs-CZ"/>
              </w:rPr>
            </w:pPr>
            <w:r w:rsidRPr="00F15667">
              <w:rPr>
                <w:rFonts w:eastAsia="Times New Roman"/>
                <w:b/>
                <w:bCs/>
                <w:sz w:val="20"/>
                <w:szCs w:val="20"/>
                <w:lang w:eastAsia="cs-CZ"/>
              </w:rPr>
              <w:t>-12 %</w:t>
            </w:r>
          </w:p>
        </w:tc>
      </w:tr>
      <w:tr w:rsidR="002D4B12" w:rsidRPr="00F15667" w14:paraId="0DA9EC91" w14:textId="77777777" w:rsidTr="002D4B12">
        <w:trPr>
          <w:trHeight w:val="345"/>
        </w:trPr>
        <w:tc>
          <w:tcPr>
            <w:tcW w:w="2480" w:type="dxa"/>
            <w:tcBorders>
              <w:top w:val="double" w:sz="6" w:space="0" w:color="auto"/>
              <w:left w:val="nil"/>
            </w:tcBorders>
            <w:shd w:val="clear" w:color="auto" w:fill="auto"/>
            <w:noWrap/>
            <w:vAlign w:val="center"/>
          </w:tcPr>
          <w:p w14:paraId="6A271BBE" w14:textId="77777777" w:rsidR="002D4B12" w:rsidRPr="00F15667" w:rsidRDefault="002D4B12" w:rsidP="002D4B12">
            <w:pPr>
              <w:spacing w:line="240" w:lineRule="auto"/>
              <w:jc w:val="center"/>
              <w:rPr>
                <w:rFonts w:eastAsia="Times New Roman"/>
                <w:b/>
                <w:bCs/>
                <w:szCs w:val="24"/>
                <w:lang w:eastAsia="cs-CZ"/>
              </w:rPr>
            </w:pPr>
          </w:p>
        </w:tc>
        <w:tc>
          <w:tcPr>
            <w:tcW w:w="1064" w:type="dxa"/>
            <w:tcBorders>
              <w:top w:val="double" w:sz="6" w:space="0" w:color="auto"/>
            </w:tcBorders>
            <w:shd w:val="clear" w:color="auto" w:fill="auto"/>
            <w:noWrap/>
            <w:vAlign w:val="center"/>
          </w:tcPr>
          <w:p w14:paraId="79602528" w14:textId="77777777" w:rsidR="002D4B12" w:rsidRPr="00F15667" w:rsidRDefault="002D4B12" w:rsidP="002D4B12">
            <w:pPr>
              <w:spacing w:line="240" w:lineRule="auto"/>
              <w:jc w:val="center"/>
              <w:rPr>
                <w:rFonts w:eastAsia="Times New Roman"/>
                <w:b/>
                <w:bCs/>
                <w:szCs w:val="24"/>
                <w:lang w:eastAsia="cs-CZ"/>
              </w:rPr>
            </w:pPr>
          </w:p>
        </w:tc>
        <w:tc>
          <w:tcPr>
            <w:tcW w:w="851" w:type="dxa"/>
            <w:tcBorders>
              <w:top w:val="double" w:sz="6" w:space="0" w:color="auto"/>
            </w:tcBorders>
            <w:shd w:val="clear" w:color="auto" w:fill="auto"/>
            <w:noWrap/>
            <w:vAlign w:val="center"/>
          </w:tcPr>
          <w:p w14:paraId="787E6743" w14:textId="77777777" w:rsidR="002D4B12" w:rsidRPr="00F15667" w:rsidRDefault="002D4B12" w:rsidP="002D4B12">
            <w:pPr>
              <w:spacing w:line="240" w:lineRule="auto"/>
              <w:jc w:val="center"/>
              <w:rPr>
                <w:rFonts w:eastAsia="Times New Roman"/>
                <w:b/>
                <w:bCs/>
                <w:sz w:val="20"/>
                <w:szCs w:val="20"/>
                <w:lang w:eastAsia="cs-CZ"/>
              </w:rPr>
            </w:pPr>
          </w:p>
        </w:tc>
        <w:tc>
          <w:tcPr>
            <w:tcW w:w="992" w:type="dxa"/>
            <w:tcBorders>
              <w:top w:val="double" w:sz="6" w:space="0" w:color="auto"/>
            </w:tcBorders>
            <w:shd w:val="clear" w:color="auto" w:fill="auto"/>
            <w:noWrap/>
            <w:vAlign w:val="center"/>
          </w:tcPr>
          <w:p w14:paraId="244C7FBC" w14:textId="77777777" w:rsidR="002D4B12" w:rsidRPr="00F15667" w:rsidRDefault="002D4B12" w:rsidP="002D4B12">
            <w:pPr>
              <w:spacing w:line="240" w:lineRule="auto"/>
              <w:jc w:val="center"/>
              <w:rPr>
                <w:rFonts w:eastAsia="Times New Roman"/>
                <w:b/>
                <w:bCs/>
                <w:szCs w:val="24"/>
                <w:lang w:eastAsia="cs-CZ"/>
              </w:rPr>
            </w:pPr>
          </w:p>
        </w:tc>
        <w:tc>
          <w:tcPr>
            <w:tcW w:w="850" w:type="dxa"/>
            <w:tcBorders>
              <w:top w:val="double" w:sz="6" w:space="0" w:color="auto"/>
            </w:tcBorders>
            <w:shd w:val="clear" w:color="auto" w:fill="auto"/>
            <w:noWrap/>
            <w:vAlign w:val="center"/>
          </w:tcPr>
          <w:p w14:paraId="25CD15A8" w14:textId="77777777" w:rsidR="002D4B12" w:rsidRPr="00F15667" w:rsidRDefault="002D4B12" w:rsidP="002D4B12">
            <w:pPr>
              <w:spacing w:line="240" w:lineRule="auto"/>
              <w:jc w:val="center"/>
              <w:rPr>
                <w:rFonts w:eastAsia="Times New Roman"/>
                <w:b/>
                <w:bCs/>
                <w:sz w:val="20"/>
                <w:szCs w:val="20"/>
                <w:lang w:eastAsia="cs-CZ"/>
              </w:rPr>
            </w:pPr>
          </w:p>
        </w:tc>
        <w:tc>
          <w:tcPr>
            <w:tcW w:w="1134" w:type="dxa"/>
            <w:tcBorders>
              <w:top w:val="double" w:sz="6" w:space="0" w:color="auto"/>
            </w:tcBorders>
            <w:shd w:val="clear" w:color="auto" w:fill="auto"/>
            <w:noWrap/>
            <w:vAlign w:val="center"/>
          </w:tcPr>
          <w:p w14:paraId="47C49703" w14:textId="77777777" w:rsidR="002D4B12" w:rsidRPr="00F15667" w:rsidRDefault="002D4B12" w:rsidP="002D4B12">
            <w:pPr>
              <w:spacing w:line="240" w:lineRule="auto"/>
              <w:jc w:val="center"/>
              <w:rPr>
                <w:rFonts w:eastAsia="Times New Roman"/>
                <w:b/>
                <w:bCs/>
                <w:szCs w:val="24"/>
                <w:lang w:eastAsia="cs-CZ"/>
              </w:rPr>
            </w:pPr>
          </w:p>
        </w:tc>
        <w:tc>
          <w:tcPr>
            <w:tcW w:w="851" w:type="dxa"/>
            <w:tcBorders>
              <w:top w:val="double" w:sz="6" w:space="0" w:color="auto"/>
              <w:right w:val="nil"/>
            </w:tcBorders>
            <w:shd w:val="clear" w:color="auto" w:fill="auto"/>
            <w:noWrap/>
            <w:vAlign w:val="center"/>
          </w:tcPr>
          <w:p w14:paraId="5BE224C8" w14:textId="77777777" w:rsidR="002D4B12" w:rsidRPr="00F15667" w:rsidRDefault="002D4B12" w:rsidP="002D4B12">
            <w:pPr>
              <w:spacing w:line="240" w:lineRule="auto"/>
              <w:jc w:val="center"/>
              <w:rPr>
                <w:rFonts w:eastAsia="Times New Roman"/>
                <w:b/>
                <w:bCs/>
                <w:sz w:val="20"/>
                <w:szCs w:val="20"/>
                <w:lang w:eastAsia="cs-CZ"/>
              </w:rPr>
            </w:pPr>
          </w:p>
        </w:tc>
      </w:tr>
    </w:tbl>
    <w:p w14:paraId="2432AECB" w14:textId="3C645608" w:rsidR="00C74882" w:rsidRPr="00F15667" w:rsidRDefault="00C74882" w:rsidP="00C74882">
      <w:pPr>
        <w:pStyle w:val="OdstavecASR"/>
      </w:pPr>
      <w:bookmarkStart w:id="421" w:name="_Hlk160447446"/>
      <w:r w:rsidRPr="00F15667">
        <w:lastRenderedPageBreak/>
        <w:t>Z tabulky a kartogramu vyplývá, že situace v opatrovnické agendě je podobná, ale ne stejná jako v agendě občanskoprávní. Nejvyšší délky řízení v posledních letech vykazuje MS Praha, zatímco dříve šlo o soudy v Severočeském a Jihomoravském kraji. U těch ale postupně klesala délka řízení a v roce 2019 Prahu vlastně „dohnaly“. Obdobné délky řízení jako severočeské a jihomoravské soudy vykazují i soudy v Severomoravském kraji. Celkově lze ale konstatovat, že mezi kraji nejsou nyní příliš velké rozdíly, ovšem s výjimkou Jihočeského kraje</w:t>
      </w:r>
      <w:r w:rsidR="00EC7DBA" w:rsidRPr="00F15667">
        <w:t xml:space="preserve"> a možná Středočeské</w:t>
      </w:r>
      <w:r w:rsidR="00263DAF" w:rsidRPr="00F15667">
        <w:t>ho</w:t>
      </w:r>
      <w:r w:rsidR="00EC7DBA" w:rsidRPr="00F15667">
        <w:t xml:space="preserve"> kraj</w:t>
      </w:r>
      <w:r w:rsidR="00263DAF" w:rsidRPr="00F15667">
        <w:t>e</w:t>
      </w:r>
      <w:r w:rsidRPr="00F15667">
        <w:t xml:space="preserve">, </w:t>
      </w:r>
      <w:r w:rsidR="00263DAF" w:rsidRPr="00F15667">
        <w:t xml:space="preserve">ve kterém </w:t>
      </w:r>
      <w:r w:rsidRPr="00F15667">
        <w:t>jsou délky řízení výrazně nižší. Délky v opatrovnických řízeních jsou oproti civilnímu řízení přibližně poloviční.</w:t>
      </w:r>
    </w:p>
    <w:p w14:paraId="672BE836" w14:textId="21A13041" w:rsidR="00EC7DBA" w:rsidRPr="00F15667" w:rsidRDefault="00EC7DBA" w:rsidP="00EC7DBA">
      <w:pPr>
        <w:pStyle w:val="Podnadpis"/>
        <w:rPr>
          <w:color w:val="auto"/>
        </w:rPr>
      </w:pPr>
      <w:bookmarkStart w:id="422" w:name="_Toc75952219"/>
      <w:bookmarkStart w:id="423" w:name="_Toc106106671"/>
      <w:bookmarkStart w:id="424" w:name="_Toc109801995"/>
      <w:bookmarkStart w:id="425" w:name="_Toc144104146"/>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34</w:t>
      </w:r>
      <w:r w:rsidR="009A10E2" w:rsidRPr="00F15667">
        <w:rPr>
          <w:color w:val="auto"/>
        </w:rPr>
        <w:fldChar w:fldCharType="end"/>
      </w:r>
      <w:r w:rsidRPr="00F15667">
        <w:rPr>
          <w:color w:val="auto"/>
        </w:rPr>
        <w:t>: OS – mediánové délky opatrovnického řízení u jednotlivých soudů</w:t>
      </w:r>
      <w:bookmarkEnd w:id="422"/>
      <w:bookmarkEnd w:id="423"/>
      <w:bookmarkEnd w:id="424"/>
      <w:bookmarkEnd w:id="425"/>
    </w:p>
    <w:bookmarkEnd w:id="421"/>
    <w:p w14:paraId="0673D15A" w14:textId="45A83005" w:rsidR="003809B3" w:rsidRPr="00F15667" w:rsidRDefault="00C241C6" w:rsidP="002D4B12">
      <w:pPr>
        <w:pStyle w:val="OdstavecASR"/>
      </w:pPr>
      <w:r w:rsidRPr="00F15667">
        <w:rPr>
          <w:noProof/>
          <w:lang w:eastAsia="cs-CZ"/>
        </w:rPr>
        <w:drawing>
          <wp:anchor distT="0" distB="0" distL="114300" distR="114300" simplePos="0" relativeHeight="251674624" behindDoc="0" locked="0" layoutInCell="1" allowOverlap="1" wp14:anchorId="1804DFE5" wp14:editId="0029487C">
            <wp:simplePos x="0" y="0"/>
            <wp:positionH relativeFrom="margin">
              <wp:posOffset>4488815</wp:posOffset>
            </wp:positionH>
            <wp:positionV relativeFrom="paragraph">
              <wp:posOffset>47625</wp:posOffset>
            </wp:positionV>
            <wp:extent cx="1244202" cy="904875"/>
            <wp:effectExtent l="0" t="0" r="0" b="0"/>
            <wp:wrapNone/>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44202"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5667">
        <w:rPr>
          <w:noProof/>
          <w:lang w:eastAsia="cs-CZ"/>
        </w:rPr>
        <w:drawing>
          <wp:inline distT="0" distB="0" distL="0" distR="0" wp14:anchorId="694533B3" wp14:editId="3E9B442A">
            <wp:extent cx="5759450" cy="3296285"/>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7A6C8295" w14:textId="5C8199CB" w:rsidR="00892F22" w:rsidRPr="00F15667" w:rsidRDefault="00892F22" w:rsidP="00892F22">
      <w:pPr>
        <w:pStyle w:val="OdstavecASR"/>
      </w:pPr>
      <w:bookmarkStart w:id="426" w:name="_Hlk160447966"/>
      <w:r w:rsidRPr="00F15667">
        <w:t xml:space="preserve">Nejrychleji vyřizovaly opatrovnickou agendu v roce </w:t>
      </w:r>
      <w:r w:rsidR="00FE4399" w:rsidRPr="00F15667">
        <w:t xml:space="preserve">2022 </w:t>
      </w:r>
      <w:r w:rsidRPr="00F15667">
        <w:t>OS Praha 2 (mediánová délka řízení 30 dnů), OS Svitavy (43 dnů) a OS Domažlice (36 dnů). Naopak nejpomalejší je OS Liberec, kde je mediánová délka řízení 134 dnů. Následují OS Plzeň-sever (123 dnů) a OS Vyškov (119 dnů).</w:t>
      </w:r>
      <w:r w:rsidR="00B76949">
        <w:t xml:space="preserve"> </w:t>
      </w:r>
      <w:bookmarkStart w:id="427" w:name="_Hlk160448865"/>
      <w:r w:rsidR="00B76949" w:rsidRPr="00B76949">
        <w:rPr>
          <w:color w:val="5B9BD5" w:themeColor="accent1"/>
        </w:rPr>
        <w:t>Tak je třeba upozornit, že vzhledem ke klesajícím délkám řízení byly předělány intervaly v kartogramu.</w:t>
      </w:r>
      <w:bookmarkEnd w:id="427"/>
    </w:p>
    <w:p w14:paraId="3CA41D19" w14:textId="53B39217" w:rsidR="00892F22" w:rsidRPr="00F15667" w:rsidRDefault="00892F22" w:rsidP="00892F22">
      <w:pPr>
        <w:pStyle w:val="Podnadpis"/>
        <w:rPr>
          <w:color w:val="auto"/>
        </w:rPr>
      </w:pPr>
      <w:bookmarkStart w:id="428" w:name="_Toc11135099"/>
      <w:bookmarkStart w:id="429" w:name="_Toc43841417"/>
      <w:bookmarkStart w:id="430" w:name="_Toc75952220"/>
      <w:bookmarkStart w:id="431" w:name="_Toc106106672"/>
      <w:bookmarkStart w:id="432" w:name="_Toc109801996"/>
      <w:bookmarkStart w:id="433" w:name="_Toc144104147"/>
      <w:bookmarkStart w:id="434" w:name="_Hlk160448965"/>
      <w:bookmarkEnd w:id="426"/>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35</w:t>
      </w:r>
      <w:r w:rsidR="009A10E2" w:rsidRPr="00F15667">
        <w:rPr>
          <w:color w:val="auto"/>
        </w:rPr>
        <w:fldChar w:fldCharType="end"/>
      </w:r>
      <w:r w:rsidRPr="00F15667">
        <w:rPr>
          <w:color w:val="auto"/>
        </w:rPr>
        <w:t>: OS – krabicové grafy, mediánové délky opatrovnického řízení</w:t>
      </w:r>
      <w:bookmarkEnd w:id="428"/>
      <w:bookmarkEnd w:id="429"/>
      <w:bookmarkEnd w:id="430"/>
      <w:bookmarkEnd w:id="431"/>
      <w:bookmarkEnd w:id="432"/>
      <w:bookmarkEnd w:id="433"/>
    </w:p>
    <w:bookmarkEnd w:id="434"/>
    <w:p w14:paraId="6E5F66F3" w14:textId="45023F9B" w:rsidR="00892F22" w:rsidRPr="00917F3F" w:rsidRDefault="00892F22" w:rsidP="00812413">
      <w:pPr>
        <w:pStyle w:val="OdstavecASR"/>
      </w:pPr>
      <w:r w:rsidRPr="00F15667">
        <w:rPr>
          <w:noProof/>
          <w:lang w:eastAsia="cs-CZ"/>
        </w:rPr>
        <w:drawing>
          <wp:inline distT="0" distB="0" distL="0" distR="0" wp14:anchorId="1A23E0A8" wp14:editId="2DA7D16C">
            <wp:extent cx="5029200" cy="3657600"/>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B5534E2" w14:textId="16D2A492" w:rsidR="00892F22" w:rsidRPr="00F15667" w:rsidRDefault="00892F22" w:rsidP="00892F22">
      <w:pPr>
        <w:pStyle w:val="OdstavecASR"/>
      </w:pPr>
      <w:bookmarkStart w:id="435" w:name="_Hlk160449144"/>
      <w:r w:rsidRPr="00F15667">
        <w:t xml:space="preserve">Z krabicových grafů vidíme, že v rozdílech mezi soudy nedocházelo v průběhu let k žádným větším změnám. OS Chomutov (vždy nejvíce odlehlá hodnota) se v letech 2009 až 2013 dařilo postupně snižovat délku řízení. </w:t>
      </w:r>
      <w:r w:rsidR="00D363A2" w:rsidRPr="00F15667">
        <w:t>Novelizace o</w:t>
      </w:r>
      <w:r w:rsidRPr="00F15667">
        <w:t>bčansk</w:t>
      </w:r>
      <w:r w:rsidR="00D363A2" w:rsidRPr="00F15667">
        <w:t>ého</w:t>
      </w:r>
      <w:r w:rsidRPr="00F15667">
        <w:t xml:space="preserve"> zákoník</w:t>
      </w:r>
      <w:r w:rsidR="00D363A2" w:rsidRPr="00F15667">
        <w:t>u</w:t>
      </w:r>
      <w:r w:rsidRPr="00F15667">
        <w:t xml:space="preserve"> tento trend ale zvrátil</w:t>
      </w:r>
      <w:r w:rsidR="00D363A2" w:rsidRPr="00F15667">
        <w:t>a</w:t>
      </w:r>
      <w:r w:rsidRPr="00F15667">
        <w:t xml:space="preserve"> a délka řízení v Chomutově v letech 2015 a 2016 opět rychle narůstala, až se v roce 2018 zařadil po bok ostatních OS. Od roku 2019 do roku 2021 se na grafu nacházela již jen jediná odlehlá hodnota – OS pro Prahu 1. Ta se střídavě přibližovala či oddaluje od boxu. V roce 2022 OS </w:t>
      </w:r>
      <w:r w:rsidR="00FE4399" w:rsidRPr="00F15667">
        <w:t>p</w:t>
      </w:r>
      <w:r w:rsidRPr="00F15667">
        <w:t>ro Prahu 1 výrazně snížil délku řízení</w:t>
      </w:r>
      <w:r w:rsidR="00820688" w:rsidRPr="00F15667">
        <w:t xml:space="preserve"> </w:t>
      </w:r>
      <w:r w:rsidRPr="00F15667">
        <w:t>a tak z grafu zmizela i p</w:t>
      </w:r>
      <w:r w:rsidR="008E3078" w:rsidRPr="00F15667">
        <w:t>osledn</w:t>
      </w:r>
      <w:r w:rsidRPr="00F15667">
        <w:t>í odlehlá hodnota</w:t>
      </w:r>
      <w:r w:rsidR="008E3078" w:rsidRPr="00F15667">
        <w:t xml:space="preserve">. </w:t>
      </w:r>
      <w:r w:rsidRPr="00F15667">
        <w:t>Nemalé změny v délce řízení u tohoto soudu plynou mimo jiné z nízkého počtu pozorování.</w:t>
      </w:r>
      <w:r w:rsidR="008E3078" w:rsidRPr="00F15667">
        <w:t xml:space="preserve"> Rovněž celý box se o něco zmenšil. To, že na grafu nejsou žádné odlehlé hodnoty lze rozhodně považovat za úspěch a ukazatel toho, že variabilita mezi soudy je na přijatelné úrovni. </w:t>
      </w:r>
    </w:p>
    <w:p w14:paraId="56CF86A2" w14:textId="77777777" w:rsidR="00F61472" w:rsidRPr="00F15667" w:rsidRDefault="00F61472" w:rsidP="00F61472">
      <w:pPr>
        <w:pStyle w:val="OdstavecASR"/>
      </w:pPr>
      <w:bookmarkStart w:id="436" w:name="_Hlk160449415"/>
      <w:bookmarkEnd w:id="435"/>
      <w:r w:rsidRPr="00F15667">
        <w:t>Nakonec se ještě na délku řízení podíváme v histogramu, který ukazuje například následující:</w:t>
      </w:r>
    </w:p>
    <w:p w14:paraId="726CEBD6" w14:textId="77777777" w:rsidR="00F61472" w:rsidRPr="00F15667" w:rsidRDefault="00F61472" w:rsidP="00F61472">
      <w:pPr>
        <w:pStyle w:val="OdstavecASR"/>
        <w:numPr>
          <w:ilvl w:val="0"/>
          <w:numId w:val="35"/>
        </w:numPr>
      </w:pPr>
      <w:r w:rsidRPr="00F15667">
        <w:t>Graf potvrzuje to, co již vidíme z předchozích dat – opatrovnické řízení je výrazně rychlejší než řízení civilní.</w:t>
      </w:r>
    </w:p>
    <w:p w14:paraId="57A05BAA" w14:textId="7679475C" w:rsidR="00F61472" w:rsidRPr="00F15667" w:rsidRDefault="00FE437D" w:rsidP="00F61472">
      <w:pPr>
        <w:pStyle w:val="OdstavecASR"/>
        <w:numPr>
          <w:ilvl w:val="0"/>
          <w:numId w:val="35"/>
        </w:numPr>
      </w:pPr>
      <w:r w:rsidRPr="00F15667">
        <w:t>Asi</w:t>
      </w:r>
      <w:r w:rsidR="00F61472" w:rsidRPr="00F15667">
        <w:t xml:space="preserve"> 3</w:t>
      </w:r>
      <w:r w:rsidRPr="00F15667">
        <w:t>5</w:t>
      </w:r>
      <w:r w:rsidR="00F61472" w:rsidRPr="00F15667">
        <w:t> % věcí je vyřízeno za 20 až 40 dnů</w:t>
      </w:r>
    </w:p>
    <w:p w14:paraId="3DE96A64" w14:textId="49BFA217" w:rsidR="00F61472" w:rsidRPr="00F15667" w:rsidRDefault="00FE437D" w:rsidP="00F61472">
      <w:pPr>
        <w:pStyle w:val="OdstavecASR"/>
        <w:numPr>
          <w:ilvl w:val="0"/>
          <w:numId w:val="35"/>
        </w:numPr>
      </w:pPr>
      <w:r w:rsidRPr="00F15667">
        <w:t>Necelých</w:t>
      </w:r>
      <w:r w:rsidR="00F61472" w:rsidRPr="00F15667">
        <w:t xml:space="preserve"> 5 % věcí trvá déle než 400 dnů</w:t>
      </w:r>
    </w:p>
    <w:p w14:paraId="3EA34BCE" w14:textId="58D763EB" w:rsidR="00F61472" w:rsidRPr="00F15667" w:rsidRDefault="00F61472" w:rsidP="00F61472">
      <w:pPr>
        <w:pStyle w:val="Podnadpis"/>
        <w:rPr>
          <w:color w:val="auto"/>
        </w:rPr>
      </w:pPr>
      <w:bookmarkStart w:id="437" w:name="_Toc106106673"/>
      <w:bookmarkStart w:id="438" w:name="_Toc109801997"/>
      <w:bookmarkStart w:id="439" w:name="_Toc144104148"/>
      <w:bookmarkStart w:id="440" w:name="_Hlk160449460"/>
      <w:bookmarkEnd w:id="436"/>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36</w:t>
      </w:r>
      <w:r w:rsidR="009A10E2" w:rsidRPr="00F15667">
        <w:rPr>
          <w:color w:val="auto"/>
        </w:rPr>
        <w:fldChar w:fldCharType="end"/>
      </w:r>
      <w:r w:rsidRPr="00F15667">
        <w:rPr>
          <w:color w:val="auto"/>
        </w:rPr>
        <w:t>: OS –</w:t>
      </w:r>
      <w:r w:rsidR="002E09CF">
        <w:rPr>
          <w:color w:val="auto"/>
        </w:rPr>
        <w:t xml:space="preserve">distribuce </w:t>
      </w:r>
      <w:r w:rsidRPr="00F15667">
        <w:rPr>
          <w:color w:val="auto"/>
        </w:rPr>
        <w:t>délky opatrovnického řízení</w:t>
      </w:r>
      <w:bookmarkEnd w:id="437"/>
      <w:bookmarkEnd w:id="438"/>
      <w:bookmarkEnd w:id="439"/>
    </w:p>
    <w:bookmarkEnd w:id="440"/>
    <w:p w14:paraId="062853B2" w14:textId="35177934" w:rsidR="00F61472" w:rsidRPr="00F15667" w:rsidRDefault="00FE437D" w:rsidP="00892F22">
      <w:pPr>
        <w:pStyle w:val="OdstavecASR"/>
      </w:pPr>
      <w:r w:rsidRPr="00F15667">
        <w:rPr>
          <w:noProof/>
          <w:lang w:eastAsia="cs-CZ"/>
        </w:rPr>
        <w:drawing>
          <wp:inline distT="0" distB="0" distL="0" distR="0" wp14:anchorId="065F7089" wp14:editId="1A25BEDA">
            <wp:extent cx="5029200" cy="3657600"/>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5C6DB49" w14:textId="18253B4F" w:rsidR="0003032A" w:rsidRPr="00F15667" w:rsidRDefault="008430BD" w:rsidP="0003032A">
      <w:pPr>
        <w:pStyle w:val="Nadpis3"/>
        <w:keepNext w:val="0"/>
        <w:keepLines w:val="0"/>
        <w:numPr>
          <w:ilvl w:val="2"/>
          <w:numId w:val="1"/>
        </w:numPr>
        <w:rPr>
          <w:color w:val="auto"/>
        </w:rPr>
      </w:pPr>
      <w:bookmarkStart w:id="441" w:name="_Toc106092735"/>
      <w:bookmarkStart w:id="442" w:name="_Toc106092736"/>
      <w:bookmarkStart w:id="443" w:name="_Toc106092737"/>
      <w:bookmarkStart w:id="444" w:name="_Toc106092738"/>
      <w:bookmarkStart w:id="445" w:name="_Ref515022661"/>
      <w:bookmarkStart w:id="446" w:name="_Toc515871238"/>
      <w:bookmarkStart w:id="447" w:name="_Toc106092739"/>
      <w:bookmarkStart w:id="448" w:name="_Toc144104356"/>
      <w:bookmarkEnd w:id="441"/>
      <w:bookmarkEnd w:id="442"/>
      <w:bookmarkEnd w:id="443"/>
      <w:bookmarkEnd w:id="444"/>
      <w:r w:rsidRPr="00F15667">
        <w:rPr>
          <w:color w:val="auto"/>
        </w:rPr>
        <w:t>Vyřizování věcí</w:t>
      </w:r>
      <w:bookmarkEnd w:id="445"/>
      <w:bookmarkEnd w:id="446"/>
      <w:bookmarkEnd w:id="447"/>
      <w:bookmarkEnd w:id="448"/>
    </w:p>
    <w:p w14:paraId="3A892374" w14:textId="4C6E2A75" w:rsidR="000F0062" w:rsidRPr="00F15667" w:rsidRDefault="000F0062" w:rsidP="000F0062">
      <w:bookmarkStart w:id="449" w:name="_Hlk160453025"/>
      <w:r w:rsidRPr="00F15667">
        <w:t>Z grafu níže je zřejmý výše zmíněný dopad občanského zákoníku. V počtu napadlých věcí se samozřejmě projevil již v roce 2014. Vidíme, že nárůst počtu napadlých věcí byl opravdu velmi významný – více než 40 %. Soudy byly schopny částečně reagovat a značně se zvýšil počet vyřízených věcí. Nárůst v počtu napadlých věcí byl ale vyšší než počet vyřízených věcí a počet nevyřízených věcí tak začal růst. Počet napadlých věcí poklesl až v roce 2016 a v roce 2017. To je zřejmě způsobeno hlavně tím, že všechny přezkumy svéprávnosti byly zahájeny v letech 2014 a</w:t>
      </w:r>
      <w:r w:rsidR="00917F3F">
        <w:t> </w:t>
      </w:r>
      <w:r w:rsidRPr="00F15667">
        <w:t>2015. Soudům se podařilo v roce 2016 udržet počet vyřízených věcí na úrovni z roku 2015 a také v roce 2017 udržet počet vyřízených věcí nad nápadem. Díky tomu počet nevyřízených věcí klesal. Soudům pomohlo prodloužení lhůty na přezkum svéprávnosti pro určité případy ze tří na pět let vyplývající z novely o. z. přijaté na konci roku 2016. Nicméně je třeba uvést, že počet osob (tedy celkový rozsah agendy přezkumů svéprávnosti) je jen cca 36 tisíc, což znamená, že se na nárůstu nápadu podílí jen asi jednou čtvrtinou, zbytek jsou další nové agendy zavedené o. z. Tyto nové agendy také stojí za růstem nápadu v letech 2018 a 2019, protože, jak již bylo konstatováno, všechny přezkumy svéprávnosti byly zahájeny již v letech 2014 a 2015.</w:t>
      </w:r>
    </w:p>
    <w:p w14:paraId="6760F9C6" w14:textId="4A395375" w:rsidR="000F0062" w:rsidRPr="00F15667" w:rsidRDefault="000F0062" w:rsidP="000F0062">
      <w:r w:rsidRPr="00F15667">
        <w:t>V roce 2019 mírně vzrostl nápad a soudy vyřídily méně věcí, než kolik napadlo. Rozdíl byl ale malý – míra vyřizování byla 99 %. V roce 2020 vidíme stejně jako u ostatních agend značný pokles v</w:t>
      </w:r>
      <w:r w:rsidR="00917F3F">
        <w:t> </w:t>
      </w:r>
      <w:r w:rsidRPr="00F15667">
        <w:t>počtu příchozích věcí. Dopad pandemie na funkčnost soudů se v roce 2020 tedy v opatrovnické agendě příliš neprojevil. Soudy vyřídily více věcí, než kolik napadlo (v důsledku pandemie COVID 19 se nápad výrazně snížil), i když jim to v průměru mohlo trvat o něco déle. V roce 2021 zůstal počet příchozích věcí na úrovni roku 2020, což zřejmě opět ukazuje na vliv pandemie. Soudům (a</w:t>
      </w:r>
      <w:r w:rsidR="00917F3F">
        <w:t> </w:t>
      </w:r>
      <w:r w:rsidRPr="00F15667">
        <w:t xml:space="preserve">to ve všech krajích) se podařilo vyřídit více věcí, než </w:t>
      </w:r>
      <w:r w:rsidR="00263DAF" w:rsidRPr="00F15667">
        <w:t>napadlo</w:t>
      </w:r>
      <w:r w:rsidRPr="00F15667">
        <w:t>. Počet nevyřízených věcí opět klesl a přiblížil se k</w:t>
      </w:r>
      <w:r w:rsidR="002E09CF">
        <w:t> </w:t>
      </w:r>
      <w:r w:rsidRPr="00F15667">
        <w:t>hodnotám před vstupem občanského zákoníku v</w:t>
      </w:r>
      <w:r w:rsidR="002E09CF">
        <w:t> </w:t>
      </w:r>
      <w:r w:rsidRPr="00F15667">
        <w:t>účinnosti. V roce 2022 vidíme nárůst v počtu příchozích věcí, soudy na to reagoval</w:t>
      </w:r>
      <w:r w:rsidR="00820688" w:rsidRPr="00F15667">
        <w:t>y</w:t>
      </w:r>
      <w:r w:rsidRPr="00F15667">
        <w:t xml:space="preserve"> částečně a zvýšil se tak i počet vyřízených </w:t>
      </w:r>
      <w:r w:rsidRPr="00F15667">
        <w:lastRenderedPageBreak/>
        <w:t>věcí. Počet příchozích věcí ale rostl více</w:t>
      </w:r>
      <w:r w:rsidR="00820688" w:rsidRPr="00F15667">
        <w:t xml:space="preserve"> </w:t>
      </w:r>
      <w:r w:rsidRPr="00F15667">
        <w:t>a tak se po několika letech zvýšil počet nevyřízených věcí, ale jen velmi mírně a stále je na úrovni roku 2020.</w:t>
      </w:r>
    </w:p>
    <w:p w14:paraId="569F7160" w14:textId="242AB218" w:rsidR="00FA32BF" w:rsidRPr="00F15667" w:rsidRDefault="00FA32BF" w:rsidP="00FA32BF">
      <w:pPr>
        <w:pStyle w:val="Podnadpis"/>
        <w:rPr>
          <w:color w:val="auto"/>
        </w:rPr>
      </w:pPr>
      <w:bookmarkStart w:id="450" w:name="_Toc515871368"/>
      <w:bookmarkStart w:id="451" w:name="_Toc11135100"/>
      <w:bookmarkStart w:id="452" w:name="_Toc43841418"/>
      <w:bookmarkStart w:id="453" w:name="_Toc75952221"/>
      <w:bookmarkStart w:id="454" w:name="_Toc106106674"/>
      <w:bookmarkStart w:id="455" w:name="_Toc144104149"/>
      <w:bookmarkStart w:id="456" w:name="_Hlk160443015"/>
      <w:bookmarkEnd w:id="449"/>
      <w:r w:rsidRPr="00F15667">
        <w:rPr>
          <w:color w:val="auto"/>
        </w:rPr>
        <w:t xml:space="preserve">Graf </w:t>
      </w:r>
      <w:r w:rsidR="002310B1" w:rsidRPr="00F15667">
        <w:rPr>
          <w:noProof/>
          <w:color w:val="auto"/>
        </w:rPr>
        <w:fldChar w:fldCharType="begin"/>
      </w:r>
      <w:r w:rsidR="002310B1" w:rsidRPr="00F15667">
        <w:rPr>
          <w:noProof/>
          <w:color w:val="auto"/>
        </w:rPr>
        <w:instrText xml:space="preserve"> SEQ Graf \* ARABIC </w:instrText>
      </w:r>
      <w:r w:rsidR="002310B1" w:rsidRPr="00F15667">
        <w:rPr>
          <w:noProof/>
          <w:color w:val="auto"/>
        </w:rPr>
        <w:fldChar w:fldCharType="separate"/>
      </w:r>
      <w:r w:rsidR="001E1A67">
        <w:rPr>
          <w:noProof/>
          <w:color w:val="auto"/>
        </w:rPr>
        <w:t>37</w:t>
      </w:r>
      <w:r w:rsidR="002310B1" w:rsidRPr="00F15667">
        <w:rPr>
          <w:noProof/>
          <w:color w:val="auto"/>
        </w:rPr>
        <w:fldChar w:fldCharType="end"/>
      </w:r>
      <w:r w:rsidRPr="00F15667">
        <w:rPr>
          <w:color w:val="auto"/>
        </w:rPr>
        <w:t>: OS – vyřizování věcí v opatrovnické agendě v letech 2008–</w:t>
      </w:r>
      <w:bookmarkEnd w:id="450"/>
      <w:r w:rsidRPr="00F15667">
        <w:rPr>
          <w:color w:val="auto"/>
        </w:rPr>
        <w:t>20</w:t>
      </w:r>
      <w:bookmarkEnd w:id="451"/>
      <w:bookmarkEnd w:id="452"/>
      <w:r w:rsidRPr="00F15667">
        <w:rPr>
          <w:color w:val="auto"/>
        </w:rPr>
        <w:t>2</w:t>
      </w:r>
      <w:bookmarkEnd w:id="453"/>
      <w:bookmarkEnd w:id="454"/>
      <w:r w:rsidR="00963278" w:rsidRPr="00F15667">
        <w:rPr>
          <w:color w:val="auto"/>
        </w:rPr>
        <w:t>2</w:t>
      </w:r>
      <w:bookmarkEnd w:id="455"/>
    </w:p>
    <w:bookmarkEnd w:id="456"/>
    <w:p w14:paraId="73B1355A" w14:textId="1D28AFA6" w:rsidR="00FA32BF" w:rsidRPr="00F15667" w:rsidRDefault="00FA32BF" w:rsidP="00917F3F">
      <w:pPr>
        <w:pStyle w:val="OdstavecASR"/>
      </w:pPr>
      <w:r w:rsidRPr="00F15667">
        <w:rPr>
          <w:noProof/>
          <w:lang w:eastAsia="cs-CZ"/>
        </w:rPr>
        <w:drawing>
          <wp:inline distT="0" distB="0" distL="0" distR="0" wp14:anchorId="7EB646F8" wp14:editId="0E48E2AF">
            <wp:extent cx="5029200" cy="3657600"/>
            <wp:effectExtent l="0" t="0" r="0"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F200648" w14:textId="10E1D448" w:rsidR="00880119" w:rsidRPr="00F15667" w:rsidRDefault="00880119" w:rsidP="00880119">
      <w:pPr>
        <w:pStyle w:val="Podnadpis"/>
        <w:rPr>
          <w:color w:val="auto"/>
        </w:rPr>
      </w:pPr>
      <w:bookmarkStart w:id="457" w:name="_Toc11133229"/>
      <w:bookmarkStart w:id="458" w:name="_Toc43931202"/>
      <w:bookmarkStart w:id="459" w:name="_Toc75952334"/>
      <w:bookmarkStart w:id="460" w:name="_Toc106106791"/>
      <w:bookmarkStart w:id="461" w:name="_Toc109802114"/>
      <w:bookmarkStart w:id="462" w:name="_Toc144104270"/>
      <w:bookmarkStart w:id="463" w:name="_Hlk160453408"/>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31</w:t>
      </w:r>
      <w:r w:rsidRPr="00F15667">
        <w:rPr>
          <w:noProof/>
          <w:color w:val="auto"/>
        </w:rPr>
        <w:fldChar w:fldCharType="end"/>
      </w:r>
      <w:r w:rsidRPr="00F15667">
        <w:rPr>
          <w:color w:val="auto"/>
        </w:rPr>
        <w:t>: OS – vyřizování opatrovnických věcí dle krajů</w:t>
      </w:r>
      <w:bookmarkEnd w:id="457"/>
      <w:bookmarkEnd w:id="458"/>
      <w:bookmarkEnd w:id="459"/>
      <w:bookmarkEnd w:id="460"/>
      <w:bookmarkEnd w:id="461"/>
      <w:bookmarkEnd w:id="462"/>
    </w:p>
    <w:tbl>
      <w:tblPr>
        <w:tblW w:w="9140" w:type="dxa"/>
        <w:tblCellMar>
          <w:left w:w="70" w:type="dxa"/>
          <w:right w:w="70" w:type="dxa"/>
        </w:tblCellMar>
        <w:tblLook w:val="04A0" w:firstRow="1" w:lastRow="0" w:firstColumn="1" w:lastColumn="0" w:noHBand="0" w:noVBand="1"/>
      </w:tblPr>
      <w:tblGrid>
        <w:gridCol w:w="2020"/>
        <w:gridCol w:w="1031"/>
        <w:gridCol w:w="869"/>
        <w:gridCol w:w="1031"/>
        <w:gridCol w:w="869"/>
        <w:gridCol w:w="911"/>
        <w:gridCol w:w="869"/>
        <w:gridCol w:w="1540"/>
      </w:tblGrid>
      <w:tr w:rsidR="00F15667" w:rsidRPr="00F15667" w14:paraId="09B98E0C" w14:textId="77777777" w:rsidTr="00917F3F">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bookmarkEnd w:id="463"/>
          <w:p w14:paraId="666F3891" w14:textId="77777777"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53DA02C5" w14:textId="77777777"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6DA90F36" w14:textId="77777777"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Míra vyřizování</w:t>
            </w:r>
          </w:p>
        </w:tc>
      </w:tr>
      <w:tr w:rsidR="00F15667" w:rsidRPr="00F15667" w14:paraId="141F0336" w14:textId="77777777" w:rsidTr="00917F3F">
        <w:trPr>
          <w:trHeight w:val="330"/>
        </w:trPr>
        <w:tc>
          <w:tcPr>
            <w:tcW w:w="2020" w:type="dxa"/>
            <w:vMerge/>
            <w:tcBorders>
              <w:top w:val="double" w:sz="6" w:space="0" w:color="auto"/>
              <w:left w:val="nil"/>
              <w:bottom w:val="double" w:sz="6" w:space="0" w:color="000000"/>
              <w:right w:val="nil"/>
            </w:tcBorders>
            <w:vAlign w:val="center"/>
            <w:hideMark/>
          </w:tcPr>
          <w:p w14:paraId="2E8B068D" w14:textId="77777777" w:rsidR="00880119" w:rsidRPr="00F15667" w:rsidRDefault="00880119" w:rsidP="00917F3F">
            <w:pPr>
              <w:spacing w:line="240" w:lineRule="auto"/>
              <w:jc w:val="center"/>
              <w:rPr>
                <w:rFonts w:eastAsia="Times New Roman"/>
                <w:b/>
                <w:bCs/>
                <w:szCs w:val="24"/>
                <w:lang w:eastAsia="cs-CZ"/>
              </w:rPr>
            </w:pPr>
          </w:p>
        </w:tc>
        <w:tc>
          <w:tcPr>
            <w:tcW w:w="1900" w:type="dxa"/>
            <w:gridSpan w:val="2"/>
            <w:tcBorders>
              <w:top w:val="nil"/>
              <w:left w:val="nil"/>
              <w:bottom w:val="double" w:sz="6" w:space="0" w:color="auto"/>
              <w:right w:val="nil"/>
            </w:tcBorders>
            <w:shd w:val="clear" w:color="auto" w:fill="auto"/>
            <w:noWrap/>
            <w:vAlign w:val="center"/>
            <w:hideMark/>
          </w:tcPr>
          <w:p w14:paraId="26871ECC" w14:textId="77777777"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90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8B54E34" w14:textId="77777777"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780" w:type="dxa"/>
            <w:gridSpan w:val="2"/>
            <w:tcBorders>
              <w:top w:val="nil"/>
              <w:left w:val="nil"/>
              <w:bottom w:val="double" w:sz="6" w:space="0" w:color="auto"/>
              <w:right w:val="single" w:sz="4" w:space="0" w:color="000000"/>
            </w:tcBorders>
            <w:shd w:val="clear" w:color="auto" w:fill="auto"/>
            <w:noWrap/>
            <w:vAlign w:val="center"/>
            <w:hideMark/>
          </w:tcPr>
          <w:p w14:paraId="4E85EF6A" w14:textId="77777777"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033E9D23" w14:textId="77777777" w:rsidR="00880119" w:rsidRPr="00F15667" w:rsidRDefault="00880119" w:rsidP="00917F3F">
            <w:pPr>
              <w:spacing w:line="240" w:lineRule="auto"/>
              <w:jc w:val="center"/>
              <w:rPr>
                <w:rFonts w:eastAsia="Times New Roman"/>
                <w:b/>
                <w:bCs/>
                <w:szCs w:val="24"/>
                <w:lang w:eastAsia="cs-CZ"/>
              </w:rPr>
            </w:pPr>
          </w:p>
        </w:tc>
      </w:tr>
      <w:tr w:rsidR="00F15667" w:rsidRPr="00F15667" w14:paraId="10B66FAE" w14:textId="77777777" w:rsidTr="00917F3F">
        <w:trPr>
          <w:trHeight w:val="330"/>
        </w:trPr>
        <w:tc>
          <w:tcPr>
            <w:tcW w:w="2020" w:type="dxa"/>
            <w:tcBorders>
              <w:top w:val="single" w:sz="4" w:space="0" w:color="auto"/>
              <w:left w:val="nil"/>
              <w:bottom w:val="single" w:sz="4" w:space="0" w:color="auto"/>
              <w:right w:val="nil"/>
            </w:tcBorders>
            <w:shd w:val="clear" w:color="auto" w:fill="auto"/>
            <w:noWrap/>
            <w:vAlign w:val="center"/>
            <w:hideMark/>
          </w:tcPr>
          <w:p w14:paraId="04CAEAA4" w14:textId="77777777" w:rsidR="00880119" w:rsidRPr="00F15667" w:rsidRDefault="00880119" w:rsidP="00917F3F">
            <w:pPr>
              <w:spacing w:line="240" w:lineRule="auto"/>
              <w:jc w:val="left"/>
              <w:rPr>
                <w:rFonts w:eastAsia="Times New Roman"/>
                <w:szCs w:val="24"/>
                <w:lang w:eastAsia="cs-CZ"/>
              </w:rPr>
            </w:pPr>
            <w:r w:rsidRPr="00F15667">
              <w:rPr>
                <w:rFonts w:eastAsia="Times New Roman"/>
                <w:szCs w:val="24"/>
                <w:lang w:eastAsia="cs-CZ"/>
              </w:rPr>
              <w:t>MS Praha</w:t>
            </w:r>
          </w:p>
        </w:tc>
        <w:tc>
          <w:tcPr>
            <w:tcW w:w="1031" w:type="dxa"/>
            <w:tcBorders>
              <w:top w:val="single" w:sz="4" w:space="0" w:color="auto"/>
              <w:left w:val="nil"/>
              <w:bottom w:val="single" w:sz="4" w:space="0" w:color="auto"/>
              <w:right w:val="nil"/>
            </w:tcBorders>
            <w:shd w:val="clear" w:color="auto" w:fill="auto"/>
            <w:noWrap/>
            <w:vAlign w:val="center"/>
            <w:hideMark/>
          </w:tcPr>
          <w:p w14:paraId="77984CA6" w14:textId="77777777"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13 934</w:t>
            </w:r>
          </w:p>
        </w:tc>
        <w:tc>
          <w:tcPr>
            <w:tcW w:w="869" w:type="dxa"/>
            <w:tcBorders>
              <w:top w:val="single" w:sz="4" w:space="0" w:color="auto"/>
              <w:left w:val="nil"/>
              <w:bottom w:val="single" w:sz="4" w:space="0" w:color="auto"/>
              <w:right w:val="nil"/>
            </w:tcBorders>
            <w:shd w:val="clear" w:color="auto" w:fill="auto"/>
            <w:noWrap/>
            <w:vAlign w:val="center"/>
            <w:hideMark/>
          </w:tcPr>
          <w:p w14:paraId="28C1698D" w14:textId="15703CD1"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031" w:type="dxa"/>
            <w:tcBorders>
              <w:top w:val="single" w:sz="4" w:space="0" w:color="auto"/>
              <w:left w:val="single" w:sz="4" w:space="0" w:color="auto"/>
              <w:bottom w:val="single" w:sz="4" w:space="0" w:color="auto"/>
              <w:right w:val="nil"/>
            </w:tcBorders>
            <w:shd w:val="clear" w:color="auto" w:fill="auto"/>
            <w:noWrap/>
            <w:vAlign w:val="center"/>
            <w:hideMark/>
          </w:tcPr>
          <w:p w14:paraId="1EFB19C5" w14:textId="77777777"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14 621</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2218625A" w14:textId="0DD9D035"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911" w:type="dxa"/>
            <w:tcBorders>
              <w:top w:val="single" w:sz="4" w:space="0" w:color="auto"/>
              <w:left w:val="nil"/>
              <w:bottom w:val="single" w:sz="4" w:space="0" w:color="auto"/>
              <w:right w:val="nil"/>
            </w:tcBorders>
            <w:shd w:val="clear" w:color="auto" w:fill="auto"/>
            <w:noWrap/>
            <w:vAlign w:val="center"/>
            <w:hideMark/>
          </w:tcPr>
          <w:p w14:paraId="1C81CAA0" w14:textId="77777777"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3 609</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3A470AE2" w14:textId="78153028"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1540" w:type="dxa"/>
            <w:tcBorders>
              <w:top w:val="nil"/>
              <w:left w:val="nil"/>
              <w:bottom w:val="single" w:sz="4" w:space="0" w:color="auto"/>
              <w:right w:val="nil"/>
            </w:tcBorders>
            <w:shd w:val="clear" w:color="auto" w:fill="auto"/>
            <w:noWrap/>
            <w:vAlign w:val="center"/>
            <w:hideMark/>
          </w:tcPr>
          <w:p w14:paraId="527940C4" w14:textId="041601DC"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104</w:t>
            </w:r>
            <w:r w:rsidR="00D706C8" w:rsidRPr="00F15667">
              <w:rPr>
                <w:rFonts w:eastAsia="Times New Roman"/>
                <w:szCs w:val="24"/>
                <w:lang w:eastAsia="cs-CZ"/>
              </w:rPr>
              <w:t>,</w:t>
            </w:r>
            <w:r w:rsidRPr="00F15667">
              <w:rPr>
                <w:rFonts w:eastAsia="Times New Roman"/>
                <w:szCs w:val="24"/>
                <w:lang w:eastAsia="cs-CZ"/>
              </w:rPr>
              <w:t>9 %</w:t>
            </w:r>
          </w:p>
        </w:tc>
      </w:tr>
      <w:tr w:rsidR="00F15667" w:rsidRPr="00F15667" w14:paraId="1B7C1FA0" w14:textId="77777777" w:rsidTr="00917F3F">
        <w:trPr>
          <w:trHeight w:val="315"/>
        </w:trPr>
        <w:tc>
          <w:tcPr>
            <w:tcW w:w="2020" w:type="dxa"/>
            <w:tcBorders>
              <w:top w:val="nil"/>
              <w:left w:val="nil"/>
              <w:bottom w:val="single" w:sz="4" w:space="0" w:color="auto"/>
              <w:right w:val="nil"/>
            </w:tcBorders>
            <w:shd w:val="clear" w:color="auto" w:fill="auto"/>
            <w:noWrap/>
            <w:vAlign w:val="center"/>
            <w:hideMark/>
          </w:tcPr>
          <w:p w14:paraId="41E71CD5" w14:textId="77777777" w:rsidR="00880119" w:rsidRPr="00F15667" w:rsidRDefault="00880119" w:rsidP="00917F3F">
            <w:pPr>
              <w:spacing w:line="240" w:lineRule="auto"/>
              <w:jc w:val="left"/>
              <w:rPr>
                <w:rFonts w:eastAsia="Times New Roman"/>
                <w:szCs w:val="24"/>
                <w:lang w:eastAsia="cs-CZ"/>
              </w:rPr>
            </w:pPr>
            <w:r w:rsidRPr="00F15667">
              <w:rPr>
                <w:rFonts w:eastAsia="Times New Roman"/>
                <w:szCs w:val="24"/>
                <w:lang w:eastAsia="cs-CZ"/>
              </w:rPr>
              <w:t>KS Praha</w:t>
            </w:r>
          </w:p>
        </w:tc>
        <w:tc>
          <w:tcPr>
            <w:tcW w:w="1031" w:type="dxa"/>
            <w:tcBorders>
              <w:top w:val="nil"/>
              <w:left w:val="nil"/>
              <w:bottom w:val="single" w:sz="4" w:space="0" w:color="auto"/>
              <w:right w:val="nil"/>
            </w:tcBorders>
            <w:shd w:val="clear" w:color="auto" w:fill="auto"/>
            <w:noWrap/>
            <w:vAlign w:val="center"/>
            <w:hideMark/>
          </w:tcPr>
          <w:p w14:paraId="5A4A012D" w14:textId="1FD54091"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19</w:t>
            </w:r>
            <w:r w:rsidR="00D706C8" w:rsidRPr="00F15667">
              <w:rPr>
                <w:rFonts w:eastAsia="Times New Roman"/>
                <w:szCs w:val="24"/>
                <w:lang w:eastAsia="cs-CZ"/>
              </w:rPr>
              <w:t xml:space="preserve"> </w:t>
            </w:r>
            <w:r w:rsidRPr="00F15667">
              <w:rPr>
                <w:rFonts w:eastAsia="Times New Roman"/>
                <w:szCs w:val="24"/>
                <w:lang w:eastAsia="cs-CZ"/>
              </w:rPr>
              <w:t>782</w:t>
            </w:r>
          </w:p>
        </w:tc>
        <w:tc>
          <w:tcPr>
            <w:tcW w:w="869" w:type="dxa"/>
            <w:tcBorders>
              <w:top w:val="nil"/>
              <w:left w:val="nil"/>
              <w:bottom w:val="single" w:sz="4" w:space="0" w:color="auto"/>
              <w:right w:val="nil"/>
            </w:tcBorders>
            <w:shd w:val="clear" w:color="auto" w:fill="auto"/>
            <w:noWrap/>
            <w:vAlign w:val="center"/>
            <w:hideMark/>
          </w:tcPr>
          <w:p w14:paraId="641C0778" w14:textId="5FE5637E"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031" w:type="dxa"/>
            <w:tcBorders>
              <w:top w:val="nil"/>
              <w:left w:val="single" w:sz="4" w:space="0" w:color="auto"/>
              <w:bottom w:val="single" w:sz="4" w:space="0" w:color="auto"/>
              <w:right w:val="nil"/>
            </w:tcBorders>
            <w:shd w:val="clear" w:color="auto" w:fill="auto"/>
            <w:noWrap/>
            <w:vAlign w:val="center"/>
            <w:hideMark/>
          </w:tcPr>
          <w:p w14:paraId="2257648E" w14:textId="6D2618FD"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19</w:t>
            </w:r>
            <w:r w:rsidR="00D706C8" w:rsidRPr="00F15667">
              <w:rPr>
                <w:rFonts w:eastAsia="Times New Roman"/>
                <w:szCs w:val="24"/>
                <w:lang w:eastAsia="cs-CZ"/>
              </w:rPr>
              <w:t xml:space="preserve"> </w:t>
            </w:r>
            <w:r w:rsidRPr="00F15667">
              <w:rPr>
                <w:rFonts w:eastAsia="Times New Roman"/>
                <w:szCs w:val="24"/>
                <w:lang w:eastAsia="cs-CZ"/>
              </w:rPr>
              <w:t>780</w:t>
            </w:r>
          </w:p>
        </w:tc>
        <w:tc>
          <w:tcPr>
            <w:tcW w:w="869" w:type="dxa"/>
            <w:tcBorders>
              <w:top w:val="nil"/>
              <w:left w:val="nil"/>
              <w:bottom w:val="single" w:sz="4" w:space="0" w:color="auto"/>
              <w:right w:val="single" w:sz="4" w:space="0" w:color="auto"/>
            </w:tcBorders>
            <w:shd w:val="clear" w:color="auto" w:fill="auto"/>
            <w:noWrap/>
            <w:vAlign w:val="center"/>
            <w:hideMark/>
          </w:tcPr>
          <w:p w14:paraId="0DB96CE3" w14:textId="7E26C770"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911" w:type="dxa"/>
            <w:tcBorders>
              <w:top w:val="nil"/>
              <w:left w:val="nil"/>
              <w:bottom w:val="single" w:sz="4" w:space="0" w:color="auto"/>
              <w:right w:val="nil"/>
            </w:tcBorders>
            <w:shd w:val="clear" w:color="auto" w:fill="auto"/>
            <w:noWrap/>
            <w:vAlign w:val="center"/>
            <w:hideMark/>
          </w:tcPr>
          <w:p w14:paraId="1D92F704" w14:textId="7A8693AB"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4</w:t>
            </w:r>
            <w:r w:rsidR="00D706C8" w:rsidRPr="00F15667">
              <w:rPr>
                <w:rFonts w:eastAsia="Times New Roman"/>
                <w:szCs w:val="24"/>
                <w:lang w:eastAsia="cs-CZ"/>
              </w:rPr>
              <w:t xml:space="preserve"> </w:t>
            </w:r>
            <w:r w:rsidRPr="00F15667">
              <w:rPr>
                <w:rFonts w:eastAsia="Times New Roman"/>
                <w:szCs w:val="24"/>
                <w:lang w:eastAsia="cs-CZ"/>
              </w:rPr>
              <w:t>201</w:t>
            </w:r>
          </w:p>
        </w:tc>
        <w:tc>
          <w:tcPr>
            <w:tcW w:w="869" w:type="dxa"/>
            <w:tcBorders>
              <w:top w:val="nil"/>
              <w:left w:val="nil"/>
              <w:bottom w:val="single" w:sz="4" w:space="0" w:color="auto"/>
              <w:right w:val="single" w:sz="4" w:space="0" w:color="auto"/>
            </w:tcBorders>
            <w:shd w:val="clear" w:color="auto" w:fill="auto"/>
            <w:noWrap/>
            <w:vAlign w:val="center"/>
            <w:hideMark/>
          </w:tcPr>
          <w:p w14:paraId="2A1B10EC" w14:textId="30BE1EC1"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1540" w:type="dxa"/>
            <w:tcBorders>
              <w:top w:val="nil"/>
              <w:left w:val="nil"/>
              <w:bottom w:val="single" w:sz="4" w:space="0" w:color="auto"/>
              <w:right w:val="nil"/>
            </w:tcBorders>
            <w:shd w:val="clear" w:color="auto" w:fill="auto"/>
            <w:noWrap/>
            <w:vAlign w:val="center"/>
            <w:hideMark/>
          </w:tcPr>
          <w:p w14:paraId="6B64F79D" w14:textId="1EBE1915"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100</w:t>
            </w:r>
            <w:r w:rsidR="00D706C8" w:rsidRPr="00F15667">
              <w:rPr>
                <w:rFonts w:eastAsia="Times New Roman"/>
                <w:szCs w:val="24"/>
                <w:lang w:eastAsia="cs-CZ"/>
              </w:rPr>
              <w:t>,</w:t>
            </w:r>
            <w:r w:rsidRPr="00F15667">
              <w:rPr>
                <w:rFonts w:eastAsia="Times New Roman"/>
                <w:szCs w:val="24"/>
                <w:lang w:eastAsia="cs-CZ"/>
              </w:rPr>
              <w:t>0 %</w:t>
            </w:r>
          </w:p>
        </w:tc>
      </w:tr>
      <w:tr w:rsidR="00F15667" w:rsidRPr="00F15667" w14:paraId="5E32A67D" w14:textId="77777777" w:rsidTr="00917F3F">
        <w:trPr>
          <w:trHeight w:val="315"/>
        </w:trPr>
        <w:tc>
          <w:tcPr>
            <w:tcW w:w="2020" w:type="dxa"/>
            <w:tcBorders>
              <w:top w:val="nil"/>
              <w:left w:val="nil"/>
              <w:bottom w:val="single" w:sz="4" w:space="0" w:color="auto"/>
              <w:right w:val="nil"/>
            </w:tcBorders>
            <w:shd w:val="clear" w:color="auto" w:fill="auto"/>
            <w:noWrap/>
            <w:vAlign w:val="center"/>
            <w:hideMark/>
          </w:tcPr>
          <w:p w14:paraId="03D5EBA9" w14:textId="77777777" w:rsidR="00880119" w:rsidRPr="00F15667" w:rsidRDefault="00880119" w:rsidP="00917F3F">
            <w:pPr>
              <w:spacing w:line="240" w:lineRule="auto"/>
              <w:jc w:val="left"/>
              <w:rPr>
                <w:rFonts w:eastAsia="Times New Roman"/>
                <w:szCs w:val="24"/>
                <w:lang w:eastAsia="cs-CZ"/>
              </w:rPr>
            </w:pPr>
            <w:r w:rsidRPr="00F15667">
              <w:rPr>
                <w:rFonts w:eastAsia="Times New Roman"/>
                <w:szCs w:val="24"/>
                <w:lang w:eastAsia="cs-CZ"/>
              </w:rPr>
              <w:t>KS Č. Budějovice</w:t>
            </w:r>
          </w:p>
        </w:tc>
        <w:tc>
          <w:tcPr>
            <w:tcW w:w="1031" w:type="dxa"/>
            <w:tcBorders>
              <w:top w:val="nil"/>
              <w:left w:val="nil"/>
              <w:bottom w:val="single" w:sz="4" w:space="0" w:color="auto"/>
              <w:right w:val="nil"/>
            </w:tcBorders>
            <w:shd w:val="clear" w:color="auto" w:fill="auto"/>
            <w:noWrap/>
            <w:vAlign w:val="center"/>
            <w:hideMark/>
          </w:tcPr>
          <w:p w14:paraId="40BE5E27" w14:textId="7DD50BFF"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8</w:t>
            </w:r>
            <w:r w:rsidR="00D706C8" w:rsidRPr="00F15667">
              <w:rPr>
                <w:rFonts w:eastAsia="Times New Roman"/>
                <w:szCs w:val="24"/>
                <w:lang w:eastAsia="cs-CZ"/>
              </w:rPr>
              <w:t xml:space="preserve"> </w:t>
            </w:r>
            <w:r w:rsidRPr="00F15667">
              <w:rPr>
                <w:rFonts w:eastAsia="Times New Roman"/>
                <w:szCs w:val="24"/>
                <w:lang w:eastAsia="cs-CZ"/>
              </w:rPr>
              <w:t>822</w:t>
            </w:r>
          </w:p>
        </w:tc>
        <w:tc>
          <w:tcPr>
            <w:tcW w:w="869" w:type="dxa"/>
            <w:tcBorders>
              <w:top w:val="nil"/>
              <w:left w:val="nil"/>
              <w:bottom w:val="single" w:sz="4" w:space="0" w:color="auto"/>
              <w:right w:val="nil"/>
            </w:tcBorders>
            <w:shd w:val="clear" w:color="auto" w:fill="auto"/>
            <w:noWrap/>
            <w:vAlign w:val="center"/>
            <w:hideMark/>
          </w:tcPr>
          <w:p w14:paraId="622EDB01" w14:textId="08AEB0C0"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1031" w:type="dxa"/>
            <w:tcBorders>
              <w:top w:val="nil"/>
              <w:left w:val="single" w:sz="4" w:space="0" w:color="auto"/>
              <w:bottom w:val="single" w:sz="4" w:space="0" w:color="auto"/>
              <w:right w:val="nil"/>
            </w:tcBorders>
            <w:shd w:val="clear" w:color="auto" w:fill="auto"/>
            <w:noWrap/>
            <w:vAlign w:val="center"/>
            <w:hideMark/>
          </w:tcPr>
          <w:p w14:paraId="3A94913A" w14:textId="713A3FE0"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8</w:t>
            </w:r>
            <w:r w:rsidR="00D706C8" w:rsidRPr="00F15667">
              <w:rPr>
                <w:rFonts w:eastAsia="Times New Roman"/>
                <w:szCs w:val="24"/>
                <w:lang w:eastAsia="cs-CZ"/>
              </w:rPr>
              <w:t xml:space="preserve"> </w:t>
            </w:r>
            <w:r w:rsidRPr="00F15667">
              <w:rPr>
                <w:rFonts w:eastAsia="Times New Roman"/>
                <w:szCs w:val="24"/>
                <w:lang w:eastAsia="cs-CZ"/>
              </w:rPr>
              <w:t>498</w:t>
            </w:r>
          </w:p>
        </w:tc>
        <w:tc>
          <w:tcPr>
            <w:tcW w:w="869" w:type="dxa"/>
            <w:tcBorders>
              <w:top w:val="nil"/>
              <w:left w:val="nil"/>
              <w:bottom w:val="single" w:sz="4" w:space="0" w:color="auto"/>
              <w:right w:val="single" w:sz="4" w:space="0" w:color="auto"/>
            </w:tcBorders>
            <w:shd w:val="clear" w:color="auto" w:fill="auto"/>
            <w:noWrap/>
            <w:vAlign w:val="center"/>
            <w:hideMark/>
          </w:tcPr>
          <w:p w14:paraId="70942C11" w14:textId="30BF7909"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911" w:type="dxa"/>
            <w:tcBorders>
              <w:top w:val="nil"/>
              <w:left w:val="nil"/>
              <w:bottom w:val="single" w:sz="4" w:space="0" w:color="auto"/>
              <w:right w:val="nil"/>
            </w:tcBorders>
            <w:shd w:val="clear" w:color="auto" w:fill="auto"/>
            <w:noWrap/>
            <w:vAlign w:val="center"/>
            <w:hideMark/>
          </w:tcPr>
          <w:p w14:paraId="7F6B8BBF" w14:textId="62B17985"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w:t>
            </w:r>
            <w:r w:rsidR="00D706C8" w:rsidRPr="00F15667">
              <w:rPr>
                <w:rFonts w:eastAsia="Times New Roman"/>
                <w:szCs w:val="24"/>
                <w:lang w:eastAsia="cs-CZ"/>
              </w:rPr>
              <w:t xml:space="preserve"> </w:t>
            </w:r>
            <w:r w:rsidRPr="00F15667">
              <w:rPr>
                <w:rFonts w:eastAsia="Times New Roman"/>
                <w:szCs w:val="24"/>
                <w:lang w:eastAsia="cs-CZ"/>
              </w:rPr>
              <w:t>950</w:t>
            </w:r>
          </w:p>
        </w:tc>
        <w:tc>
          <w:tcPr>
            <w:tcW w:w="869" w:type="dxa"/>
            <w:tcBorders>
              <w:top w:val="nil"/>
              <w:left w:val="nil"/>
              <w:bottom w:val="single" w:sz="4" w:space="0" w:color="auto"/>
              <w:right w:val="single" w:sz="4" w:space="0" w:color="auto"/>
            </w:tcBorders>
            <w:shd w:val="clear" w:color="auto" w:fill="auto"/>
            <w:noWrap/>
            <w:vAlign w:val="center"/>
            <w:hideMark/>
          </w:tcPr>
          <w:p w14:paraId="5BDD1D17" w14:textId="3C932C74"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+20 %</w:t>
            </w:r>
          </w:p>
        </w:tc>
        <w:tc>
          <w:tcPr>
            <w:tcW w:w="1540" w:type="dxa"/>
            <w:tcBorders>
              <w:top w:val="nil"/>
              <w:left w:val="nil"/>
              <w:bottom w:val="single" w:sz="4" w:space="0" w:color="auto"/>
              <w:right w:val="nil"/>
            </w:tcBorders>
            <w:shd w:val="clear" w:color="auto" w:fill="auto"/>
            <w:noWrap/>
            <w:vAlign w:val="center"/>
            <w:hideMark/>
          </w:tcPr>
          <w:p w14:paraId="4CB1DB30" w14:textId="60929A4A"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96</w:t>
            </w:r>
            <w:r w:rsidR="00D706C8" w:rsidRPr="00F15667">
              <w:rPr>
                <w:rFonts w:eastAsia="Times New Roman"/>
                <w:szCs w:val="24"/>
                <w:lang w:eastAsia="cs-CZ"/>
              </w:rPr>
              <w:t>,</w:t>
            </w:r>
            <w:r w:rsidRPr="00F15667">
              <w:rPr>
                <w:rFonts w:eastAsia="Times New Roman"/>
                <w:szCs w:val="24"/>
                <w:lang w:eastAsia="cs-CZ"/>
              </w:rPr>
              <w:t>3 %</w:t>
            </w:r>
          </w:p>
        </w:tc>
      </w:tr>
      <w:tr w:rsidR="00F15667" w:rsidRPr="00F15667" w14:paraId="32AE02FD" w14:textId="77777777" w:rsidTr="00917F3F">
        <w:trPr>
          <w:trHeight w:val="315"/>
        </w:trPr>
        <w:tc>
          <w:tcPr>
            <w:tcW w:w="2020" w:type="dxa"/>
            <w:tcBorders>
              <w:top w:val="nil"/>
              <w:left w:val="nil"/>
              <w:bottom w:val="single" w:sz="4" w:space="0" w:color="auto"/>
              <w:right w:val="nil"/>
            </w:tcBorders>
            <w:shd w:val="clear" w:color="auto" w:fill="auto"/>
            <w:noWrap/>
            <w:vAlign w:val="center"/>
            <w:hideMark/>
          </w:tcPr>
          <w:p w14:paraId="5829F262" w14:textId="77777777" w:rsidR="00880119" w:rsidRPr="00F15667" w:rsidRDefault="00880119" w:rsidP="00917F3F">
            <w:pPr>
              <w:spacing w:line="240" w:lineRule="auto"/>
              <w:jc w:val="left"/>
              <w:rPr>
                <w:rFonts w:eastAsia="Times New Roman"/>
                <w:szCs w:val="24"/>
                <w:lang w:eastAsia="cs-CZ"/>
              </w:rPr>
            </w:pPr>
            <w:r w:rsidRPr="00F15667">
              <w:rPr>
                <w:rFonts w:eastAsia="Times New Roman"/>
                <w:szCs w:val="24"/>
                <w:lang w:eastAsia="cs-CZ"/>
              </w:rPr>
              <w:t>KS Plzeň</w:t>
            </w:r>
          </w:p>
        </w:tc>
        <w:tc>
          <w:tcPr>
            <w:tcW w:w="1031" w:type="dxa"/>
            <w:tcBorders>
              <w:top w:val="nil"/>
              <w:left w:val="nil"/>
              <w:bottom w:val="single" w:sz="4" w:space="0" w:color="auto"/>
              <w:right w:val="nil"/>
            </w:tcBorders>
            <w:shd w:val="clear" w:color="auto" w:fill="auto"/>
            <w:noWrap/>
            <w:vAlign w:val="center"/>
            <w:hideMark/>
          </w:tcPr>
          <w:p w14:paraId="5C4485CC" w14:textId="7335E74A"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12</w:t>
            </w:r>
            <w:r w:rsidR="00D706C8" w:rsidRPr="00F15667">
              <w:rPr>
                <w:rFonts w:eastAsia="Times New Roman"/>
                <w:szCs w:val="24"/>
                <w:lang w:eastAsia="cs-CZ"/>
              </w:rPr>
              <w:t xml:space="preserve"> </w:t>
            </w:r>
            <w:r w:rsidRPr="00F15667">
              <w:rPr>
                <w:rFonts w:eastAsia="Times New Roman"/>
                <w:szCs w:val="24"/>
                <w:lang w:eastAsia="cs-CZ"/>
              </w:rPr>
              <w:t>669</w:t>
            </w:r>
          </w:p>
        </w:tc>
        <w:tc>
          <w:tcPr>
            <w:tcW w:w="869" w:type="dxa"/>
            <w:tcBorders>
              <w:top w:val="nil"/>
              <w:left w:val="nil"/>
              <w:bottom w:val="single" w:sz="4" w:space="0" w:color="auto"/>
              <w:right w:val="nil"/>
            </w:tcBorders>
            <w:shd w:val="clear" w:color="auto" w:fill="auto"/>
            <w:noWrap/>
            <w:vAlign w:val="center"/>
            <w:hideMark/>
          </w:tcPr>
          <w:p w14:paraId="4BCDC80A" w14:textId="751D4457"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31" w:type="dxa"/>
            <w:tcBorders>
              <w:top w:val="nil"/>
              <w:left w:val="single" w:sz="4" w:space="0" w:color="auto"/>
              <w:bottom w:val="single" w:sz="4" w:space="0" w:color="auto"/>
              <w:right w:val="nil"/>
            </w:tcBorders>
            <w:shd w:val="clear" w:color="auto" w:fill="auto"/>
            <w:noWrap/>
            <w:vAlign w:val="center"/>
            <w:hideMark/>
          </w:tcPr>
          <w:p w14:paraId="307FF4CF" w14:textId="75F6FCFD"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12</w:t>
            </w:r>
            <w:r w:rsidR="00D706C8" w:rsidRPr="00F15667">
              <w:rPr>
                <w:rFonts w:eastAsia="Times New Roman"/>
                <w:szCs w:val="24"/>
                <w:lang w:eastAsia="cs-CZ"/>
              </w:rPr>
              <w:t xml:space="preserve"> </w:t>
            </w:r>
            <w:r w:rsidRPr="00F15667">
              <w:rPr>
                <w:rFonts w:eastAsia="Times New Roman"/>
                <w:szCs w:val="24"/>
                <w:lang w:eastAsia="cs-CZ"/>
              </w:rPr>
              <w:t>259</w:t>
            </w:r>
          </w:p>
        </w:tc>
        <w:tc>
          <w:tcPr>
            <w:tcW w:w="869" w:type="dxa"/>
            <w:tcBorders>
              <w:top w:val="nil"/>
              <w:left w:val="nil"/>
              <w:bottom w:val="single" w:sz="4" w:space="0" w:color="auto"/>
              <w:right w:val="single" w:sz="4" w:space="0" w:color="auto"/>
            </w:tcBorders>
            <w:shd w:val="clear" w:color="auto" w:fill="auto"/>
            <w:noWrap/>
            <w:vAlign w:val="center"/>
            <w:hideMark/>
          </w:tcPr>
          <w:p w14:paraId="37DF867C" w14:textId="7ED3B483"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911" w:type="dxa"/>
            <w:tcBorders>
              <w:top w:val="nil"/>
              <w:left w:val="nil"/>
              <w:bottom w:val="single" w:sz="4" w:space="0" w:color="auto"/>
              <w:right w:val="nil"/>
            </w:tcBorders>
            <w:shd w:val="clear" w:color="auto" w:fill="auto"/>
            <w:noWrap/>
            <w:vAlign w:val="center"/>
            <w:hideMark/>
          </w:tcPr>
          <w:p w14:paraId="1537225C" w14:textId="1F546089"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3</w:t>
            </w:r>
            <w:r w:rsidR="00D706C8" w:rsidRPr="00F15667">
              <w:rPr>
                <w:rFonts w:eastAsia="Times New Roman"/>
                <w:szCs w:val="24"/>
                <w:lang w:eastAsia="cs-CZ"/>
              </w:rPr>
              <w:t xml:space="preserve"> </w:t>
            </w:r>
            <w:r w:rsidRPr="00F15667">
              <w:rPr>
                <w:rFonts w:eastAsia="Times New Roman"/>
                <w:szCs w:val="24"/>
                <w:lang w:eastAsia="cs-CZ"/>
              </w:rPr>
              <w:t>438</w:t>
            </w:r>
          </w:p>
        </w:tc>
        <w:tc>
          <w:tcPr>
            <w:tcW w:w="869" w:type="dxa"/>
            <w:tcBorders>
              <w:top w:val="nil"/>
              <w:left w:val="nil"/>
              <w:bottom w:val="single" w:sz="4" w:space="0" w:color="auto"/>
              <w:right w:val="single" w:sz="4" w:space="0" w:color="auto"/>
            </w:tcBorders>
            <w:shd w:val="clear" w:color="auto" w:fill="auto"/>
            <w:noWrap/>
            <w:vAlign w:val="center"/>
            <w:hideMark/>
          </w:tcPr>
          <w:p w14:paraId="7F2DD8B1" w14:textId="1AC10FFC"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1540" w:type="dxa"/>
            <w:tcBorders>
              <w:top w:val="nil"/>
              <w:left w:val="nil"/>
              <w:bottom w:val="single" w:sz="4" w:space="0" w:color="auto"/>
              <w:right w:val="nil"/>
            </w:tcBorders>
            <w:shd w:val="clear" w:color="auto" w:fill="auto"/>
            <w:noWrap/>
            <w:vAlign w:val="center"/>
            <w:hideMark/>
          </w:tcPr>
          <w:p w14:paraId="1CDF0420" w14:textId="03082D88"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96</w:t>
            </w:r>
            <w:r w:rsidR="00D706C8" w:rsidRPr="00F15667">
              <w:rPr>
                <w:rFonts w:eastAsia="Times New Roman"/>
                <w:szCs w:val="24"/>
                <w:lang w:eastAsia="cs-CZ"/>
              </w:rPr>
              <w:t>,</w:t>
            </w:r>
            <w:r w:rsidRPr="00F15667">
              <w:rPr>
                <w:rFonts w:eastAsia="Times New Roman"/>
                <w:szCs w:val="24"/>
                <w:lang w:eastAsia="cs-CZ"/>
              </w:rPr>
              <w:t>8 %</w:t>
            </w:r>
          </w:p>
        </w:tc>
      </w:tr>
      <w:tr w:rsidR="00F15667" w:rsidRPr="00F15667" w14:paraId="7708CD28" w14:textId="77777777" w:rsidTr="00917F3F">
        <w:trPr>
          <w:trHeight w:val="315"/>
        </w:trPr>
        <w:tc>
          <w:tcPr>
            <w:tcW w:w="2020" w:type="dxa"/>
            <w:tcBorders>
              <w:top w:val="nil"/>
              <w:left w:val="nil"/>
              <w:bottom w:val="single" w:sz="4" w:space="0" w:color="auto"/>
              <w:right w:val="nil"/>
            </w:tcBorders>
            <w:shd w:val="clear" w:color="auto" w:fill="auto"/>
            <w:noWrap/>
            <w:vAlign w:val="center"/>
            <w:hideMark/>
          </w:tcPr>
          <w:p w14:paraId="58B562B3" w14:textId="77777777" w:rsidR="00880119" w:rsidRPr="00F15667" w:rsidRDefault="00880119" w:rsidP="00917F3F">
            <w:pPr>
              <w:spacing w:line="240" w:lineRule="auto"/>
              <w:jc w:val="left"/>
              <w:rPr>
                <w:rFonts w:eastAsia="Times New Roman"/>
                <w:szCs w:val="24"/>
                <w:lang w:eastAsia="cs-CZ"/>
              </w:rPr>
            </w:pPr>
            <w:r w:rsidRPr="00F15667">
              <w:rPr>
                <w:rFonts w:eastAsia="Times New Roman"/>
                <w:szCs w:val="24"/>
                <w:lang w:eastAsia="cs-CZ"/>
              </w:rPr>
              <w:t>KS Ústí n. Labem</w:t>
            </w:r>
          </w:p>
        </w:tc>
        <w:tc>
          <w:tcPr>
            <w:tcW w:w="1031" w:type="dxa"/>
            <w:tcBorders>
              <w:top w:val="nil"/>
              <w:left w:val="nil"/>
              <w:bottom w:val="single" w:sz="4" w:space="0" w:color="auto"/>
              <w:right w:val="nil"/>
            </w:tcBorders>
            <w:shd w:val="clear" w:color="auto" w:fill="auto"/>
            <w:noWrap/>
            <w:vAlign w:val="center"/>
            <w:hideMark/>
          </w:tcPr>
          <w:p w14:paraId="41984F1C" w14:textId="6BC77200"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18</w:t>
            </w:r>
            <w:r w:rsidR="00D706C8" w:rsidRPr="00F15667">
              <w:rPr>
                <w:rFonts w:eastAsia="Times New Roman"/>
                <w:szCs w:val="24"/>
                <w:lang w:eastAsia="cs-CZ"/>
              </w:rPr>
              <w:t xml:space="preserve"> </w:t>
            </w:r>
            <w:r w:rsidRPr="00F15667">
              <w:rPr>
                <w:rFonts w:eastAsia="Times New Roman"/>
                <w:szCs w:val="24"/>
                <w:lang w:eastAsia="cs-CZ"/>
              </w:rPr>
              <w:t>425</w:t>
            </w:r>
          </w:p>
        </w:tc>
        <w:tc>
          <w:tcPr>
            <w:tcW w:w="869" w:type="dxa"/>
            <w:tcBorders>
              <w:top w:val="nil"/>
              <w:left w:val="nil"/>
              <w:bottom w:val="single" w:sz="4" w:space="0" w:color="auto"/>
              <w:right w:val="nil"/>
            </w:tcBorders>
            <w:shd w:val="clear" w:color="auto" w:fill="auto"/>
            <w:noWrap/>
            <w:vAlign w:val="center"/>
            <w:hideMark/>
          </w:tcPr>
          <w:p w14:paraId="0B1FB619" w14:textId="7B8EFCE7"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031" w:type="dxa"/>
            <w:tcBorders>
              <w:top w:val="nil"/>
              <w:left w:val="single" w:sz="4" w:space="0" w:color="auto"/>
              <w:bottom w:val="single" w:sz="4" w:space="0" w:color="auto"/>
              <w:right w:val="nil"/>
            </w:tcBorders>
            <w:shd w:val="clear" w:color="auto" w:fill="auto"/>
            <w:noWrap/>
            <w:vAlign w:val="center"/>
            <w:hideMark/>
          </w:tcPr>
          <w:p w14:paraId="5A999726" w14:textId="5D6D61A9"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18</w:t>
            </w:r>
            <w:r w:rsidR="00D706C8" w:rsidRPr="00F15667">
              <w:rPr>
                <w:rFonts w:eastAsia="Times New Roman"/>
                <w:szCs w:val="24"/>
                <w:lang w:eastAsia="cs-CZ"/>
              </w:rPr>
              <w:t xml:space="preserve"> </w:t>
            </w:r>
            <w:r w:rsidRPr="00F15667">
              <w:rPr>
                <w:rFonts w:eastAsia="Times New Roman"/>
                <w:szCs w:val="24"/>
                <w:lang w:eastAsia="cs-CZ"/>
              </w:rPr>
              <w:t>577</w:t>
            </w:r>
          </w:p>
        </w:tc>
        <w:tc>
          <w:tcPr>
            <w:tcW w:w="869" w:type="dxa"/>
            <w:tcBorders>
              <w:top w:val="nil"/>
              <w:left w:val="nil"/>
              <w:bottom w:val="single" w:sz="4" w:space="0" w:color="auto"/>
              <w:right w:val="single" w:sz="4" w:space="0" w:color="auto"/>
            </w:tcBorders>
            <w:shd w:val="clear" w:color="auto" w:fill="auto"/>
            <w:noWrap/>
            <w:vAlign w:val="center"/>
            <w:hideMark/>
          </w:tcPr>
          <w:p w14:paraId="5148843D" w14:textId="37891943"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911" w:type="dxa"/>
            <w:tcBorders>
              <w:top w:val="nil"/>
              <w:left w:val="nil"/>
              <w:bottom w:val="single" w:sz="4" w:space="0" w:color="auto"/>
              <w:right w:val="nil"/>
            </w:tcBorders>
            <w:shd w:val="clear" w:color="auto" w:fill="auto"/>
            <w:noWrap/>
            <w:vAlign w:val="center"/>
            <w:hideMark/>
          </w:tcPr>
          <w:p w14:paraId="66060687" w14:textId="4848844F"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5</w:t>
            </w:r>
            <w:r w:rsidR="00D706C8" w:rsidRPr="00F15667">
              <w:rPr>
                <w:rFonts w:eastAsia="Times New Roman"/>
                <w:szCs w:val="24"/>
                <w:lang w:eastAsia="cs-CZ"/>
              </w:rPr>
              <w:t xml:space="preserve"> </w:t>
            </w:r>
            <w:r w:rsidRPr="00F15667">
              <w:rPr>
                <w:rFonts w:eastAsia="Times New Roman"/>
                <w:szCs w:val="24"/>
                <w:lang w:eastAsia="cs-CZ"/>
              </w:rPr>
              <w:t>237</w:t>
            </w:r>
          </w:p>
        </w:tc>
        <w:tc>
          <w:tcPr>
            <w:tcW w:w="869" w:type="dxa"/>
            <w:tcBorders>
              <w:top w:val="nil"/>
              <w:left w:val="nil"/>
              <w:bottom w:val="single" w:sz="4" w:space="0" w:color="auto"/>
              <w:right w:val="single" w:sz="4" w:space="0" w:color="auto"/>
            </w:tcBorders>
            <w:shd w:val="clear" w:color="auto" w:fill="auto"/>
            <w:noWrap/>
            <w:vAlign w:val="center"/>
            <w:hideMark/>
          </w:tcPr>
          <w:p w14:paraId="1035583D" w14:textId="219AF62F"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6986E4EA" w14:textId="48DA7970"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100</w:t>
            </w:r>
            <w:r w:rsidR="00D706C8" w:rsidRPr="00F15667">
              <w:rPr>
                <w:rFonts w:eastAsia="Times New Roman"/>
                <w:szCs w:val="24"/>
                <w:lang w:eastAsia="cs-CZ"/>
              </w:rPr>
              <w:t>,</w:t>
            </w:r>
            <w:r w:rsidRPr="00F15667">
              <w:rPr>
                <w:rFonts w:eastAsia="Times New Roman"/>
                <w:szCs w:val="24"/>
                <w:lang w:eastAsia="cs-CZ"/>
              </w:rPr>
              <w:t>8 %</w:t>
            </w:r>
          </w:p>
        </w:tc>
      </w:tr>
      <w:tr w:rsidR="00F15667" w:rsidRPr="00F15667" w14:paraId="38756FBB" w14:textId="77777777" w:rsidTr="00917F3F">
        <w:trPr>
          <w:trHeight w:val="315"/>
        </w:trPr>
        <w:tc>
          <w:tcPr>
            <w:tcW w:w="2020" w:type="dxa"/>
            <w:tcBorders>
              <w:top w:val="nil"/>
              <w:left w:val="nil"/>
              <w:bottom w:val="single" w:sz="4" w:space="0" w:color="auto"/>
              <w:right w:val="nil"/>
            </w:tcBorders>
            <w:shd w:val="clear" w:color="auto" w:fill="auto"/>
            <w:noWrap/>
            <w:vAlign w:val="center"/>
            <w:hideMark/>
          </w:tcPr>
          <w:p w14:paraId="27B363CE" w14:textId="77777777" w:rsidR="00880119" w:rsidRPr="00F15667" w:rsidRDefault="00880119" w:rsidP="00917F3F">
            <w:pPr>
              <w:spacing w:line="240" w:lineRule="auto"/>
              <w:jc w:val="left"/>
              <w:rPr>
                <w:rFonts w:eastAsia="Times New Roman"/>
                <w:szCs w:val="24"/>
                <w:lang w:eastAsia="cs-CZ"/>
              </w:rPr>
            </w:pPr>
            <w:r w:rsidRPr="00F15667">
              <w:rPr>
                <w:rFonts w:eastAsia="Times New Roman"/>
                <w:szCs w:val="24"/>
                <w:lang w:eastAsia="cs-CZ"/>
              </w:rPr>
              <w:t>KS Hr. Králové</w:t>
            </w:r>
          </w:p>
        </w:tc>
        <w:tc>
          <w:tcPr>
            <w:tcW w:w="1031" w:type="dxa"/>
            <w:tcBorders>
              <w:top w:val="nil"/>
              <w:left w:val="nil"/>
              <w:bottom w:val="single" w:sz="4" w:space="0" w:color="auto"/>
              <w:right w:val="nil"/>
            </w:tcBorders>
            <w:shd w:val="clear" w:color="auto" w:fill="auto"/>
            <w:noWrap/>
            <w:vAlign w:val="center"/>
            <w:hideMark/>
          </w:tcPr>
          <w:p w14:paraId="28089B72" w14:textId="26238B82"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14</w:t>
            </w:r>
            <w:r w:rsidR="00D706C8" w:rsidRPr="00F15667">
              <w:rPr>
                <w:rFonts w:eastAsia="Times New Roman"/>
                <w:szCs w:val="24"/>
                <w:lang w:eastAsia="cs-CZ"/>
              </w:rPr>
              <w:t xml:space="preserve"> </w:t>
            </w:r>
            <w:r w:rsidRPr="00F15667">
              <w:rPr>
                <w:rFonts w:eastAsia="Times New Roman"/>
                <w:szCs w:val="24"/>
                <w:lang w:eastAsia="cs-CZ"/>
              </w:rPr>
              <w:t>883</w:t>
            </w:r>
          </w:p>
        </w:tc>
        <w:tc>
          <w:tcPr>
            <w:tcW w:w="869" w:type="dxa"/>
            <w:tcBorders>
              <w:top w:val="nil"/>
              <w:left w:val="nil"/>
              <w:bottom w:val="single" w:sz="4" w:space="0" w:color="auto"/>
              <w:right w:val="nil"/>
            </w:tcBorders>
            <w:shd w:val="clear" w:color="auto" w:fill="auto"/>
            <w:noWrap/>
            <w:vAlign w:val="center"/>
            <w:hideMark/>
          </w:tcPr>
          <w:p w14:paraId="6D40346F" w14:textId="50E3308E"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1031" w:type="dxa"/>
            <w:tcBorders>
              <w:top w:val="nil"/>
              <w:left w:val="single" w:sz="4" w:space="0" w:color="auto"/>
              <w:bottom w:val="single" w:sz="4" w:space="0" w:color="auto"/>
              <w:right w:val="nil"/>
            </w:tcBorders>
            <w:shd w:val="clear" w:color="auto" w:fill="auto"/>
            <w:noWrap/>
            <w:vAlign w:val="center"/>
            <w:hideMark/>
          </w:tcPr>
          <w:p w14:paraId="5328863A" w14:textId="06B1F0BC"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14</w:t>
            </w:r>
            <w:r w:rsidR="00D706C8" w:rsidRPr="00F15667">
              <w:rPr>
                <w:rFonts w:eastAsia="Times New Roman"/>
                <w:szCs w:val="24"/>
                <w:lang w:eastAsia="cs-CZ"/>
              </w:rPr>
              <w:t xml:space="preserve"> </w:t>
            </w:r>
            <w:r w:rsidRPr="00F15667">
              <w:rPr>
                <w:rFonts w:eastAsia="Times New Roman"/>
                <w:szCs w:val="24"/>
                <w:lang w:eastAsia="cs-CZ"/>
              </w:rPr>
              <w:t>447</w:t>
            </w:r>
          </w:p>
        </w:tc>
        <w:tc>
          <w:tcPr>
            <w:tcW w:w="869" w:type="dxa"/>
            <w:tcBorders>
              <w:top w:val="nil"/>
              <w:left w:val="nil"/>
              <w:bottom w:val="single" w:sz="4" w:space="0" w:color="auto"/>
              <w:right w:val="single" w:sz="4" w:space="0" w:color="auto"/>
            </w:tcBorders>
            <w:shd w:val="clear" w:color="auto" w:fill="auto"/>
            <w:noWrap/>
            <w:vAlign w:val="center"/>
            <w:hideMark/>
          </w:tcPr>
          <w:p w14:paraId="54B23B4E" w14:textId="36CA9C5E"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911" w:type="dxa"/>
            <w:tcBorders>
              <w:top w:val="nil"/>
              <w:left w:val="nil"/>
              <w:bottom w:val="single" w:sz="4" w:space="0" w:color="auto"/>
              <w:right w:val="nil"/>
            </w:tcBorders>
            <w:shd w:val="clear" w:color="auto" w:fill="auto"/>
            <w:noWrap/>
            <w:vAlign w:val="center"/>
            <w:hideMark/>
          </w:tcPr>
          <w:p w14:paraId="549A102D" w14:textId="2BF81750"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3</w:t>
            </w:r>
            <w:r w:rsidR="00D706C8" w:rsidRPr="00F15667">
              <w:rPr>
                <w:rFonts w:eastAsia="Times New Roman"/>
                <w:szCs w:val="24"/>
                <w:lang w:eastAsia="cs-CZ"/>
              </w:rPr>
              <w:t xml:space="preserve"> </w:t>
            </w:r>
            <w:r w:rsidRPr="00F15667">
              <w:rPr>
                <w:rFonts w:eastAsia="Times New Roman"/>
                <w:szCs w:val="24"/>
                <w:lang w:eastAsia="cs-CZ"/>
              </w:rPr>
              <w:t>979</w:t>
            </w:r>
          </w:p>
        </w:tc>
        <w:tc>
          <w:tcPr>
            <w:tcW w:w="869" w:type="dxa"/>
            <w:tcBorders>
              <w:top w:val="nil"/>
              <w:left w:val="nil"/>
              <w:bottom w:val="single" w:sz="4" w:space="0" w:color="auto"/>
              <w:right w:val="single" w:sz="4" w:space="0" w:color="auto"/>
            </w:tcBorders>
            <w:shd w:val="clear" w:color="auto" w:fill="auto"/>
            <w:noWrap/>
            <w:vAlign w:val="center"/>
            <w:hideMark/>
          </w:tcPr>
          <w:p w14:paraId="356B7D51" w14:textId="15DD8164"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+12 %</w:t>
            </w:r>
          </w:p>
        </w:tc>
        <w:tc>
          <w:tcPr>
            <w:tcW w:w="1540" w:type="dxa"/>
            <w:tcBorders>
              <w:top w:val="nil"/>
              <w:left w:val="nil"/>
              <w:bottom w:val="single" w:sz="4" w:space="0" w:color="auto"/>
              <w:right w:val="nil"/>
            </w:tcBorders>
            <w:shd w:val="clear" w:color="auto" w:fill="auto"/>
            <w:noWrap/>
            <w:vAlign w:val="center"/>
            <w:hideMark/>
          </w:tcPr>
          <w:p w14:paraId="77B366A3" w14:textId="08564E80"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97</w:t>
            </w:r>
            <w:r w:rsidR="00D706C8" w:rsidRPr="00F15667">
              <w:rPr>
                <w:rFonts w:eastAsia="Times New Roman"/>
                <w:szCs w:val="24"/>
                <w:lang w:eastAsia="cs-CZ"/>
              </w:rPr>
              <w:t>,</w:t>
            </w:r>
            <w:r w:rsidRPr="00F15667">
              <w:rPr>
                <w:rFonts w:eastAsia="Times New Roman"/>
                <w:szCs w:val="24"/>
                <w:lang w:eastAsia="cs-CZ"/>
              </w:rPr>
              <w:t>1 %</w:t>
            </w:r>
          </w:p>
        </w:tc>
      </w:tr>
      <w:tr w:rsidR="00F15667" w:rsidRPr="00F15667" w14:paraId="70086B8E" w14:textId="77777777" w:rsidTr="00917F3F">
        <w:trPr>
          <w:trHeight w:val="315"/>
        </w:trPr>
        <w:tc>
          <w:tcPr>
            <w:tcW w:w="2020" w:type="dxa"/>
            <w:tcBorders>
              <w:top w:val="nil"/>
              <w:left w:val="nil"/>
              <w:bottom w:val="single" w:sz="4" w:space="0" w:color="auto"/>
              <w:right w:val="nil"/>
            </w:tcBorders>
            <w:shd w:val="clear" w:color="auto" w:fill="auto"/>
            <w:noWrap/>
            <w:vAlign w:val="center"/>
            <w:hideMark/>
          </w:tcPr>
          <w:p w14:paraId="0C4C1DCC" w14:textId="77777777" w:rsidR="00880119" w:rsidRPr="00F15667" w:rsidRDefault="00880119" w:rsidP="00917F3F">
            <w:pPr>
              <w:spacing w:line="240" w:lineRule="auto"/>
              <w:jc w:val="left"/>
              <w:rPr>
                <w:rFonts w:eastAsia="Times New Roman"/>
                <w:szCs w:val="24"/>
                <w:lang w:eastAsia="cs-CZ"/>
              </w:rPr>
            </w:pPr>
            <w:r w:rsidRPr="00F15667">
              <w:rPr>
                <w:rFonts w:eastAsia="Times New Roman"/>
                <w:szCs w:val="24"/>
                <w:lang w:eastAsia="cs-CZ"/>
              </w:rPr>
              <w:t>KS Brno</w:t>
            </w:r>
          </w:p>
        </w:tc>
        <w:tc>
          <w:tcPr>
            <w:tcW w:w="1031" w:type="dxa"/>
            <w:tcBorders>
              <w:top w:val="nil"/>
              <w:left w:val="nil"/>
              <w:bottom w:val="single" w:sz="4" w:space="0" w:color="auto"/>
              <w:right w:val="nil"/>
            </w:tcBorders>
            <w:shd w:val="clear" w:color="auto" w:fill="auto"/>
            <w:noWrap/>
            <w:vAlign w:val="center"/>
            <w:hideMark/>
          </w:tcPr>
          <w:p w14:paraId="5F1FCBD0" w14:textId="5923EF61"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21</w:t>
            </w:r>
            <w:r w:rsidR="00D706C8" w:rsidRPr="00F15667">
              <w:rPr>
                <w:rFonts w:eastAsia="Times New Roman"/>
                <w:szCs w:val="24"/>
                <w:lang w:eastAsia="cs-CZ"/>
              </w:rPr>
              <w:t xml:space="preserve"> </w:t>
            </w:r>
            <w:r w:rsidRPr="00F15667">
              <w:rPr>
                <w:rFonts w:eastAsia="Times New Roman"/>
                <w:szCs w:val="24"/>
                <w:lang w:eastAsia="cs-CZ"/>
              </w:rPr>
              <w:t>143</w:t>
            </w:r>
          </w:p>
        </w:tc>
        <w:tc>
          <w:tcPr>
            <w:tcW w:w="869" w:type="dxa"/>
            <w:tcBorders>
              <w:top w:val="nil"/>
              <w:left w:val="nil"/>
              <w:bottom w:val="single" w:sz="4" w:space="0" w:color="auto"/>
              <w:right w:val="nil"/>
            </w:tcBorders>
            <w:shd w:val="clear" w:color="auto" w:fill="auto"/>
            <w:noWrap/>
            <w:vAlign w:val="center"/>
            <w:hideMark/>
          </w:tcPr>
          <w:p w14:paraId="61DAC6F3" w14:textId="6DB9987D"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1031" w:type="dxa"/>
            <w:tcBorders>
              <w:top w:val="nil"/>
              <w:left w:val="single" w:sz="4" w:space="0" w:color="auto"/>
              <w:bottom w:val="single" w:sz="4" w:space="0" w:color="auto"/>
              <w:right w:val="nil"/>
            </w:tcBorders>
            <w:shd w:val="clear" w:color="auto" w:fill="auto"/>
            <w:noWrap/>
            <w:vAlign w:val="center"/>
            <w:hideMark/>
          </w:tcPr>
          <w:p w14:paraId="210F30B2" w14:textId="76125769"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20</w:t>
            </w:r>
            <w:r w:rsidR="00D706C8" w:rsidRPr="00F15667">
              <w:rPr>
                <w:rFonts w:eastAsia="Times New Roman"/>
                <w:szCs w:val="24"/>
                <w:lang w:eastAsia="cs-CZ"/>
              </w:rPr>
              <w:t xml:space="preserve"> </w:t>
            </w:r>
            <w:r w:rsidRPr="00F15667">
              <w:rPr>
                <w:rFonts w:eastAsia="Times New Roman"/>
                <w:szCs w:val="24"/>
                <w:lang w:eastAsia="cs-CZ"/>
              </w:rPr>
              <w:t>342</w:t>
            </w:r>
          </w:p>
        </w:tc>
        <w:tc>
          <w:tcPr>
            <w:tcW w:w="869" w:type="dxa"/>
            <w:tcBorders>
              <w:top w:val="nil"/>
              <w:left w:val="nil"/>
              <w:bottom w:val="single" w:sz="4" w:space="0" w:color="auto"/>
              <w:right w:val="single" w:sz="4" w:space="0" w:color="auto"/>
            </w:tcBorders>
            <w:shd w:val="clear" w:color="auto" w:fill="auto"/>
            <w:noWrap/>
            <w:vAlign w:val="center"/>
            <w:hideMark/>
          </w:tcPr>
          <w:p w14:paraId="5ECBDD07" w14:textId="041BF856"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911" w:type="dxa"/>
            <w:tcBorders>
              <w:top w:val="nil"/>
              <w:left w:val="nil"/>
              <w:bottom w:val="single" w:sz="4" w:space="0" w:color="auto"/>
              <w:right w:val="nil"/>
            </w:tcBorders>
            <w:shd w:val="clear" w:color="auto" w:fill="auto"/>
            <w:noWrap/>
            <w:vAlign w:val="center"/>
            <w:hideMark/>
          </w:tcPr>
          <w:p w14:paraId="4DEB3081" w14:textId="60910381"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7</w:t>
            </w:r>
            <w:r w:rsidR="00D706C8" w:rsidRPr="00F15667">
              <w:rPr>
                <w:rFonts w:eastAsia="Times New Roman"/>
                <w:szCs w:val="24"/>
                <w:lang w:eastAsia="cs-CZ"/>
              </w:rPr>
              <w:t xml:space="preserve"> </w:t>
            </w:r>
            <w:r w:rsidRPr="00F15667">
              <w:rPr>
                <w:rFonts w:eastAsia="Times New Roman"/>
                <w:szCs w:val="24"/>
                <w:lang w:eastAsia="cs-CZ"/>
              </w:rPr>
              <w:t>081</w:t>
            </w:r>
          </w:p>
        </w:tc>
        <w:tc>
          <w:tcPr>
            <w:tcW w:w="869" w:type="dxa"/>
            <w:tcBorders>
              <w:top w:val="nil"/>
              <w:left w:val="nil"/>
              <w:bottom w:val="single" w:sz="4" w:space="0" w:color="auto"/>
              <w:right w:val="single" w:sz="4" w:space="0" w:color="auto"/>
            </w:tcBorders>
            <w:shd w:val="clear" w:color="auto" w:fill="auto"/>
            <w:noWrap/>
            <w:vAlign w:val="center"/>
            <w:hideMark/>
          </w:tcPr>
          <w:p w14:paraId="52B0B255" w14:textId="4012B7B6"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540" w:type="dxa"/>
            <w:tcBorders>
              <w:top w:val="nil"/>
              <w:left w:val="nil"/>
              <w:bottom w:val="single" w:sz="4" w:space="0" w:color="auto"/>
              <w:right w:val="nil"/>
            </w:tcBorders>
            <w:shd w:val="clear" w:color="auto" w:fill="auto"/>
            <w:noWrap/>
            <w:vAlign w:val="center"/>
            <w:hideMark/>
          </w:tcPr>
          <w:p w14:paraId="5FB64F2D" w14:textId="03D2B3E3"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96</w:t>
            </w:r>
            <w:r w:rsidR="00D706C8" w:rsidRPr="00F15667">
              <w:rPr>
                <w:rFonts w:eastAsia="Times New Roman"/>
                <w:szCs w:val="24"/>
                <w:lang w:eastAsia="cs-CZ"/>
              </w:rPr>
              <w:t>,</w:t>
            </w:r>
            <w:r w:rsidRPr="00F15667">
              <w:rPr>
                <w:rFonts w:eastAsia="Times New Roman"/>
                <w:szCs w:val="24"/>
                <w:lang w:eastAsia="cs-CZ"/>
              </w:rPr>
              <w:t>2 %</w:t>
            </w:r>
          </w:p>
        </w:tc>
      </w:tr>
      <w:tr w:rsidR="00F15667" w:rsidRPr="00F15667" w14:paraId="36E7F256" w14:textId="77777777" w:rsidTr="00917F3F">
        <w:trPr>
          <w:trHeight w:val="330"/>
        </w:trPr>
        <w:tc>
          <w:tcPr>
            <w:tcW w:w="2020" w:type="dxa"/>
            <w:tcBorders>
              <w:top w:val="nil"/>
              <w:left w:val="nil"/>
              <w:bottom w:val="double" w:sz="6" w:space="0" w:color="auto"/>
              <w:right w:val="nil"/>
            </w:tcBorders>
            <w:shd w:val="clear" w:color="auto" w:fill="auto"/>
            <w:noWrap/>
            <w:vAlign w:val="center"/>
            <w:hideMark/>
          </w:tcPr>
          <w:p w14:paraId="0E130A3E" w14:textId="77777777" w:rsidR="00880119" w:rsidRPr="00F15667" w:rsidRDefault="00880119" w:rsidP="00917F3F">
            <w:pPr>
              <w:spacing w:line="240" w:lineRule="auto"/>
              <w:jc w:val="left"/>
              <w:rPr>
                <w:rFonts w:eastAsia="Times New Roman"/>
                <w:szCs w:val="24"/>
                <w:lang w:eastAsia="cs-CZ"/>
              </w:rPr>
            </w:pPr>
            <w:r w:rsidRPr="00F15667">
              <w:rPr>
                <w:rFonts w:eastAsia="Times New Roman"/>
                <w:szCs w:val="24"/>
                <w:lang w:eastAsia="cs-CZ"/>
              </w:rPr>
              <w:t>KS Ostrava</w:t>
            </w:r>
          </w:p>
        </w:tc>
        <w:tc>
          <w:tcPr>
            <w:tcW w:w="1031" w:type="dxa"/>
            <w:tcBorders>
              <w:top w:val="nil"/>
              <w:left w:val="nil"/>
              <w:bottom w:val="double" w:sz="6" w:space="0" w:color="auto"/>
              <w:right w:val="nil"/>
            </w:tcBorders>
            <w:shd w:val="clear" w:color="auto" w:fill="auto"/>
            <w:noWrap/>
            <w:vAlign w:val="center"/>
            <w:hideMark/>
          </w:tcPr>
          <w:p w14:paraId="0B7CB67B" w14:textId="371EB93C"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24</w:t>
            </w:r>
            <w:r w:rsidR="00D706C8" w:rsidRPr="00F15667">
              <w:rPr>
                <w:rFonts w:eastAsia="Times New Roman"/>
                <w:szCs w:val="24"/>
                <w:lang w:eastAsia="cs-CZ"/>
              </w:rPr>
              <w:t xml:space="preserve"> </w:t>
            </w:r>
            <w:r w:rsidRPr="00F15667">
              <w:rPr>
                <w:rFonts w:eastAsia="Times New Roman"/>
                <w:szCs w:val="24"/>
                <w:lang w:eastAsia="cs-CZ"/>
              </w:rPr>
              <w:t>521</w:t>
            </w:r>
          </w:p>
        </w:tc>
        <w:tc>
          <w:tcPr>
            <w:tcW w:w="869" w:type="dxa"/>
            <w:tcBorders>
              <w:top w:val="nil"/>
              <w:left w:val="nil"/>
              <w:bottom w:val="double" w:sz="6" w:space="0" w:color="auto"/>
              <w:right w:val="nil"/>
            </w:tcBorders>
            <w:shd w:val="clear" w:color="auto" w:fill="auto"/>
            <w:noWrap/>
            <w:vAlign w:val="center"/>
            <w:hideMark/>
          </w:tcPr>
          <w:p w14:paraId="4A714AE0" w14:textId="291E8B00"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1031" w:type="dxa"/>
            <w:tcBorders>
              <w:top w:val="nil"/>
              <w:left w:val="single" w:sz="4" w:space="0" w:color="auto"/>
              <w:bottom w:val="double" w:sz="6" w:space="0" w:color="auto"/>
              <w:right w:val="nil"/>
            </w:tcBorders>
            <w:shd w:val="clear" w:color="auto" w:fill="auto"/>
            <w:noWrap/>
            <w:vAlign w:val="center"/>
            <w:hideMark/>
          </w:tcPr>
          <w:p w14:paraId="77524412" w14:textId="6AEEE8FE"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23</w:t>
            </w:r>
            <w:r w:rsidR="00D706C8" w:rsidRPr="00F15667">
              <w:rPr>
                <w:rFonts w:eastAsia="Times New Roman"/>
                <w:szCs w:val="24"/>
                <w:lang w:eastAsia="cs-CZ"/>
              </w:rPr>
              <w:t xml:space="preserve"> </w:t>
            </w:r>
            <w:r w:rsidRPr="00F15667">
              <w:rPr>
                <w:rFonts w:eastAsia="Times New Roman"/>
                <w:szCs w:val="24"/>
                <w:lang w:eastAsia="cs-CZ"/>
              </w:rPr>
              <w:t>438</w:t>
            </w:r>
          </w:p>
        </w:tc>
        <w:tc>
          <w:tcPr>
            <w:tcW w:w="869" w:type="dxa"/>
            <w:tcBorders>
              <w:top w:val="nil"/>
              <w:left w:val="nil"/>
              <w:bottom w:val="double" w:sz="6" w:space="0" w:color="auto"/>
              <w:right w:val="single" w:sz="4" w:space="0" w:color="auto"/>
            </w:tcBorders>
            <w:shd w:val="clear" w:color="auto" w:fill="auto"/>
            <w:noWrap/>
            <w:vAlign w:val="center"/>
            <w:hideMark/>
          </w:tcPr>
          <w:p w14:paraId="2A0A586F" w14:textId="13C7363A"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911" w:type="dxa"/>
            <w:tcBorders>
              <w:top w:val="nil"/>
              <w:left w:val="nil"/>
              <w:bottom w:val="double" w:sz="6" w:space="0" w:color="auto"/>
              <w:right w:val="nil"/>
            </w:tcBorders>
            <w:shd w:val="clear" w:color="auto" w:fill="auto"/>
            <w:noWrap/>
            <w:vAlign w:val="center"/>
            <w:hideMark/>
          </w:tcPr>
          <w:p w14:paraId="69EF5165" w14:textId="0248FAC6"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7</w:t>
            </w:r>
            <w:r w:rsidR="00D706C8" w:rsidRPr="00F15667">
              <w:rPr>
                <w:rFonts w:eastAsia="Times New Roman"/>
                <w:szCs w:val="24"/>
                <w:lang w:eastAsia="cs-CZ"/>
              </w:rPr>
              <w:t xml:space="preserve"> </w:t>
            </w:r>
            <w:r w:rsidRPr="00F15667">
              <w:rPr>
                <w:rFonts w:eastAsia="Times New Roman"/>
                <w:szCs w:val="24"/>
                <w:lang w:eastAsia="cs-CZ"/>
              </w:rPr>
              <w:t>885</w:t>
            </w:r>
          </w:p>
        </w:tc>
        <w:tc>
          <w:tcPr>
            <w:tcW w:w="869" w:type="dxa"/>
            <w:tcBorders>
              <w:top w:val="nil"/>
              <w:left w:val="nil"/>
              <w:bottom w:val="double" w:sz="6" w:space="0" w:color="auto"/>
              <w:right w:val="single" w:sz="4" w:space="0" w:color="auto"/>
            </w:tcBorders>
            <w:shd w:val="clear" w:color="auto" w:fill="auto"/>
            <w:noWrap/>
            <w:vAlign w:val="center"/>
            <w:hideMark/>
          </w:tcPr>
          <w:p w14:paraId="1D127CF0" w14:textId="5C77FD86" w:rsidR="00880119" w:rsidRPr="00F15667" w:rsidRDefault="00880119" w:rsidP="00917F3F">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1540" w:type="dxa"/>
            <w:tcBorders>
              <w:top w:val="nil"/>
              <w:left w:val="nil"/>
              <w:bottom w:val="nil"/>
              <w:right w:val="nil"/>
            </w:tcBorders>
            <w:shd w:val="clear" w:color="auto" w:fill="auto"/>
            <w:noWrap/>
            <w:vAlign w:val="center"/>
            <w:hideMark/>
          </w:tcPr>
          <w:p w14:paraId="694FD695" w14:textId="01D24FAF" w:rsidR="00880119" w:rsidRPr="00F15667" w:rsidRDefault="00880119" w:rsidP="00917F3F">
            <w:pPr>
              <w:spacing w:line="240" w:lineRule="auto"/>
              <w:jc w:val="center"/>
              <w:rPr>
                <w:rFonts w:eastAsia="Times New Roman"/>
                <w:szCs w:val="24"/>
                <w:lang w:eastAsia="cs-CZ"/>
              </w:rPr>
            </w:pPr>
            <w:r w:rsidRPr="00F15667">
              <w:rPr>
                <w:rFonts w:eastAsia="Times New Roman"/>
                <w:szCs w:val="24"/>
                <w:lang w:eastAsia="cs-CZ"/>
              </w:rPr>
              <w:t>95</w:t>
            </w:r>
            <w:r w:rsidR="00D706C8" w:rsidRPr="00F15667">
              <w:rPr>
                <w:rFonts w:eastAsia="Times New Roman"/>
                <w:szCs w:val="24"/>
                <w:lang w:eastAsia="cs-CZ"/>
              </w:rPr>
              <w:t>,</w:t>
            </w:r>
            <w:r w:rsidRPr="00F15667">
              <w:rPr>
                <w:rFonts w:eastAsia="Times New Roman"/>
                <w:szCs w:val="24"/>
                <w:lang w:eastAsia="cs-CZ"/>
              </w:rPr>
              <w:t>6 %</w:t>
            </w:r>
          </w:p>
        </w:tc>
      </w:tr>
      <w:tr w:rsidR="00F15667" w:rsidRPr="00F15667" w14:paraId="6544317D" w14:textId="77777777" w:rsidTr="00917F3F">
        <w:trPr>
          <w:trHeight w:val="345"/>
        </w:trPr>
        <w:tc>
          <w:tcPr>
            <w:tcW w:w="2020" w:type="dxa"/>
            <w:tcBorders>
              <w:top w:val="nil"/>
              <w:left w:val="nil"/>
              <w:bottom w:val="double" w:sz="6" w:space="0" w:color="auto"/>
              <w:right w:val="nil"/>
            </w:tcBorders>
            <w:shd w:val="clear" w:color="auto" w:fill="auto"/>
            <w:noWrap/>
            <w:vAlign w:val="center"/>
            <w:hideMark/>
          </w:tcPr>
          <w:p w14:paraId="7B48AFC5" w14:textId="77777777" w:rsidR="00880119" w:rsidRPr="00F15667" w:rsidRDefault="00880119" w:rsidP="00917F3F">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31" w:type="dxa"/>
            <w:tcBorders>
              <w:top w:val="nil"/>
              <w:left w:val="nil"/>
              <w:bottom w:val="double" w:sz="6" w:space="0" w:color="auto"/>
              <w:right w:val="nil"/>
            </w:tcBorders>
            <w:shd w:val="clear" w:color="auto" w:fill="auto"/>
            <w:noWrap/>
            <w:vAlign w:val="center"/>
            <w:hideMark/>
          </w:tcPr>
          <w:p w14:paraId="2E8C134D" w14:textId="6418648B"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134</w:t>
            </w:r>
            <w:r w:rsidR="00D706C8" w:rsidRPr="00F15667">
              <w:rPr>
                <w:rFonts w:eastAsia="Times New Roman"/>
                <w:b/>
                <w:bCs/>
                <w:szCs w:val="24"/>
                <w:lang w:eastAsia="cs-CZ"/>
              </w:rPr>
              <w:t xml:space="preserve"> </w:t>
            </w:r>
            <w:r w:rsidRPr="00F15667">
              <w:rPr>
                <w:rFonts w:eastAsia="Times New Roman"/>
                <w:b/>
                <w:bCs/>
                <w:szCs w:val="24"/>
                <w:lang w:eastAsia="cs-CZ"/>
              </w:rPr>
              <w:t>179</w:t>
            </w:r>
          </w:p>
        </w:tc>
        <w:tc>
          <w:tcPr>
            <w:tcW w:w="869" w:type="dxa"/>
            <w:tcBorders>
              <w:top w:val="nil"/>
              <w:left w:val="nil"/>
              <w:bottom w:val="double" w:sz="6" w:space="0" w:color="auto"/>
              <w:right w:val="nil"/>
            </w:tcBorders>
            <w:shd w:val="clear" w:color="auto" w:fill="auto"/>
            <w:noWrap/>
            <w:vAlign w:val="center"/>
            <w:hideMark/>
          </w:tcPr>
          <w:p w14:paraId="4ECD38D4" w14:textId="0245EF33" w:rsidR="00880119" w:rsidRPr="00F15667" w:rsidRDefault="00880119" w:rsidP="00917F3F">
            <w:pPr>
              <w:spacing w:line="240" w:lineRule="auto"/>
              <w:jc w:val="center"/>
              <w:rPr>
                <w:rFonts w:eastAsia="Times New Roman"/>
                <w:b/>
                <w:bCs/>
                <w:sz w:val="20"/>
                <w:szCs w:val="20"/>
                <w:lang w:eastAsia="cs-CZ"/>
              </w:rPr>
            </w:pPr>
            <w:r w:rsidRPr="00F15667">
              <w:rPr>
                <w:rFonts w:eastAsia="Times New Roman"/>
                <w:b/>
                <w:bCs/>
                <w:sz w:val="20"/>
                <w:szCs w:val="20"/>
                <w:lang w:eastAsia="cs-CZ"/>
              </w:rPr>
              <w:t>+9 %</w:t>
            </w:r>
          </w:p>
        </w:tc>
        <w:tc>
          <w:tcPr>
            <w:tcW w:w="1031" w:type="dxa"/>
            <w:tcBorders>
              <w:top w:val="nil"/>
              <w:left w:val="single" w:sz="4" w:space="0" w:color="auto"/>
              <w:bottom w:val="double" w:sz="6" w:space="0" w:color="auto"/>
              <w:right w:val="nil"/>
            </w:tcBorders>
            <w:shd w:val="clear" w:color="auto" w:fill="auto"/>
            <w:noWrap/>
            <w:vAlign w:val="center"/>
            <w:hideMark/>
          </w:tcPr>
          <w:p w14:paraId="3209FE46" w14:textId="30760487"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131</w:t>
            </w:r>
            <w:r w:rsidR="00D706C8" w:rsidRPr="00F15667">
              <w:rPr>
                <w:rFonts w:eastAsia="Times New Roman"/>
                <w:b/>
                <w:bCs/>
                <w:szCs w:val="24"/>
                <w:lang w:eastAsia="cs-CZ"/>
              </w:rPr>
              <w:t xml:space="preserve"> </w:t>
            </w:r>
            <w:r w:rsidRPr="00F15667">
              <w:rPr>
                <w:rFonts w:eastAsia="Times New Roman"/>
                <w:b/>
                <w:bCs/>
                <w:szCs w:val="24"/>
                <w:lang w:eastAsia="cs-CZ"/>
              </w:rPr>
              <w:t>962</w:t>
            </w:r>
          </w:p>
        </w:tc>
        <w:tc>
          <w:tcPr>
            <w:tcW w:w="869" w:type="dxa"/>
            <w:tcBorders>
              <w:top w:val="nil"/>
              <w:left w:val="nil"/>
              <w:bottom w:val="double" w:sz="6" w:space="0" w:color="auto"/>
              <w:right w:val="single" w:sz="4" w:space="0" w:color="auto"/>
            </w:tcBorders>
            <w:shd w:val="clear" w:color="auto" w:fill="auto"/>
            <w:noWrap/>
            <w:vAlign w:val="center"/>
            <w:hideMark/>
          </w:tcPr>
          <w:p w14:paraId="446C946D" w14:textId="4FF6321F" w:rsidR="00880119" w:rsidRPr="00F15667" w:rsidRDefault="00880119" w:rsidP="00917F3F">
            <w:pPr>
              <w:spacing w:line="240" w:lineRule="auto"/>
              <w:jc w:val="center"/>
              <w:rPr>
                <w:rFonts w:eastAsia="Times New Roman"/>
                <w:b/>
                <w:bCs/>
                <w:sz w:val="20"/>
                <w:szCs w:val="20"/>
                <w:lang w:eastAsia="cs-CZ"/>
              </w:rPr>
            </w:pPr>
            <w:r w:rsidRPr="00F15667">
              <w:rPr>
                <w:rFonts w:eastAsia="Times New Roman"/>
                <w:b/>
                <w:bCs/>
                <w:sz w:val="20"/>
                <w:szCs w:val="20"/>
                <w:lang w:eastAsia="cs-CZ"/>
              </w:rPr>
              <w:t>+4 %</w:t>
            </w:r>
          </w:p>
        </w:tc>
        <w:tc>
          <w:tcPr>
            <w:tcW w:w="911" w:type="dxa"/>
            <w:tcBorders>
              <w:top w:val="nil"/>
              <w:left w:val="nil"/>
              <w:bottom w:val="double" w:sz="6" w:space="0" w:color="auto"/>
              <w:right w:val="nil"/>
            </w:tcBorders>
            <w:shd w:val="clear" w:color="auto" w:fill="auto"/>
            <w:noWrap/>
            <w:vAlign w:val="center"/>
            <w:hideMark/>
          </w:tcPr>
          <w:p w14:paraId="14870100" w14:textId="6D4371DD"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37</w:t>
            </w:r>
            <w:r w:rsidR="00D706C8" w:rsidRPr="00F15667">
              <w:rPr>
                <w:rFonts w:eastAsia="Times New Roman"/>
                <w:b/>
                <w:bCs/>
                <w:szCs w:val="24"/>
                <w:lang w:eastAsia="cs-CZ"/>
              </w:rPr>
              <w:t xml:space="preserve"> </w:t>
            </w:r>
            <w:r w:rsidRPr="00F15667">
              <w:rPr>
                <w:rFonts w:eastAsia="Times New Roman"/>
                <w:b/>
                <w:bCs/>
                <w:szCs w:val="24"/>
                <w:lang w:eastAsia="cs-CZ"/>
              </w:rPr>
              <w:t>380</w:t>
            </w:r>
          </w:p>
        </w:tc>
        <w:tc>
          <w:tcPr>
            <w:tcW w:w="869" w:type="dxa"/>
            <w:tcBorders>
              <w:top w:val="nil"/>
              <w:left w:val="nil"/>
              <w:bottom w:val="double" w:sz="6" w:space="0" w:color="auto"/>
              <w:right w:val="single" w:sz="4" w:space="0" w:color="auto"/>
            </w:tcBorders>
            <w:shd w:val="clear" w:color="auto" w:fill="auto"/>
            <w:noWrap/>
            <w:vAlign w:val="center"/>
            <w:hideMark/>
          </w:tcPr>
          <w:p w14:paraId="1A3E29F4" w14:textId="32EDAAC1" w:rsidR="00880119" w:rsidRPr="00F15667" w:rsidRDefault="00880119" w:rsidP="00917F3F">
            <w:pPr>
              <w:spacing w:line="240" w:lineRule="auto"/>
              <w:jc w:val="center"/>
              <w:rPr>
                <w:rFonts w:eastAsia="Times New Roman"/>
                <w:b/>
                <w:bCs/>
                <w:sz w:val="20"/>
                <w:szCs w:val="20"/>
                <w:lang w:eastAsia="cs-CZ"/>
              </w:rPr>
            </w:pPr>
            <w:r w:rsidRPr="00F15667">
              <w:rPr>
                <w:rFonts w:eastAsia="Times New Roman"/>
                <w:b/>
                <w:bCs/>
                <w:sz w:val="20"/>
                <w:szCs w:val="20"/>
                <w:lang w:eastAsia="cs-CZ"/>
              </w:rPr>
              <w:t>+6 %</w:t>
            </w:r>
          </w:p>
        </w:tc>
        <w:tc>
          <w:tcPr>
            <w:tcW w:w="1540" w:type="dxa"/>
            <w:tcBorders>
              <w:top w:val="double" w:sz="6" w:space="0" w:color="auto"/>
              <w:left w:val="nil"/>
              <w:bottom w:val="double" w:sz="6" w:space="0" w:color="auto"/>
              <w:right w:val="nil"/>
            </w:tcBorders>
            <w:shd w:val="clear" w:color="auto" w:fill="auto"/>
            <w:noWrap/>
            <w:vAlign w:val="center"/>
            <w:hideMark/>
          </w:tcPr>
          <w:p w14:paraId="5DDC3E05" w14:textId="57EADEFA" w:rsidR="00880119" w:rsidRPr="00F15667" w:rsidRDefault="00880119" w:rsidP="00917F3F">
            <w:pPr>
              <w:spacing w:line="240" w:lineRule="auto"/>
              <w:jc w:val="center"/>
              <w:rPr>
                <w:rFonts w:eastAsia="Times New Roman"/>
                <w:b/>
                <w:bCs/>
                <w:szCs w:val="24"/>
                <w:lang w:eastAsia="cs-CZ"/>
              </w:rPr>
            </w:pPr>
            <w:r w:rsidRPr="00F15667">
              <w:rPr>
                <w:rFonts w:eastAsia="Times New Roman"/>
                <w:b/>
                <w:bCs/>
                <w:szCs w:val="24"/>
                <w:lang w:eastAsia="cs-CZ"/>
              </w:rPr>
              <w:t>98</w:t>
            </w:r>
            <w:r w:rsidR="00D706C8" w:rsidRPr="00F15667">
              <w:rPr>
                <w:rFonts w:eastAsia="Times New Roman"/>
                <w:b/>
                <w:bCs/>
                <w:szCs w:val="24"/>
                <w:lang w:eastAsia="cs-CZ"/>
              </w:rPr>
              <w:t>,</w:t>
            </w:r>
            <w:r w:rsidRPr="00F15667">
              <w:rPr>
                <w:rFonts w:eastAsia="Times New Roman"/>
                <w:b/>
                <w:bCs/>
                <w:szCs w:val="24"/>
                <w:lang w:eastAsia="cs-CZ"/>
              </w:rPr>
              <w:t>3 %</w:t>
            </w:r>
          </w:p>
        </w:tc>
      </w:tr>
      <w:tr w:rsidR="00F15667" w:rsidRPr="00F15667" w14:paraId="6BBDA2DA" w14:textId="77777777" w:rsidTr="00917F3F">
        <w:trPr>
          <w:trHeight w:val="330"/>
        </w:trPr>
        <w:tc>
          <w:tcPr>
            <w:tcW w:w="2020" w:type="dxa"/>
            <w:tcBorders>
              <w:top w:val="nil"/>
              <w:left w:val="nil"/>
              <w:bottom w:val="nil"/>
              <w:right w:val="nil"/>
            </w:tcBorders>
            <w:shd w:val="clear" w:color="auto" w:fill="auto"/>
            <w:noWrap/>
            <w:vAlign w:val="center"/>
            <w:hideMark/>
          </w:tcPr>
          <w:p w14:paraId="042B62ED" w14:textId="77777777" w:rsidR="00880119" w:rsidRPr="00F15667" w:rsidRDefault="00880119" w:rsidP="00917F3F">
            <w:pPr>
              <w:spacing w:line="240" w:lineRule="auto"/>
              <w:jc w:val="center"/>
              <w:rPr>
                <w:rFonts w:eastAsia="Times New Roman"/>
                <w:b/>
                <w:bCs/>
                <w:szCs w:val="24"/>
                <w:lang w:eastAsia="cs-CZ"/>
              </w:rPr>
            </w:pPr>
          </w:p>
        </w:tc>
        <w:tc>
          <w:tcPr>
            <w:tcW w:w="1031" w:type="dxa"/>
            <w:tcBorders>
              <w:top w:val="nil"/>
              <w:left w:val="nil"/>
              <w:bottom w:val="nil"/>
              <w:right w:val="nil"/>
            </w:tcBorders>
            <w:shd w:val="clear" w:color="auto" w:fill="auto"/>
            <w:noWrap/>
            <w:vAlign w:val="center"/>
            <w:hideMark/>
          </w:tcPr>
          <w:p w14:paraId="0F7EE1C3" w14:textId="77777777" w:rsidR="00880119" w:rsidRPr="00F15667" w:rsidRDefault="00880119" w:rsidP="00917F3F">
            <w:pPr>
              <w:spacing w:line="240" w:lineRule="auto"/>
              <w:jc w:val="center"/>
              <w:rPr>
                <w:rFonts w:ascii="Times New Roman" w:eastAsia="Times New Roman" w:hAnsi="Times New Roman"/>
                <w:sz w:val="20"/>
                <w:szCs w:val="20"/>
                <w:lang w:eastAsia="cs-CZ"/>
              </w:rPr>
            </w:pPr>
          </w:p>
        </w:tc>
        <w:tc>
          <w:tcPr>
            <w:tcW w:w="869" w:type="dxa"/>
            <w:tcBorders>
              <w:top w:val="nil"/>
              <w:left w:val="nil"/>
              <w:bottom w:val="nil"/>
              <w:right w:val="nil"/>
            </w:tcBorders>
            <w:shd w:val="clear" w:color="auto" w:fill="auto"/>
            <w:noWrap/>
            <w:vAlign w:val="center"/>
            <w:hideMark/>
          </w:tcPr>
          <w:p w14:paraId="11A7AA25" w14:textId="77777777" w:rsidR="00880119" w:rsidRPr="00F15667" w:rsidRDefault="00880119" w:rsidP="00917F3F">
            <w:pPr>
              <w:spacing w:line="240" w:lineRule="auto"/>
              <w:jc w:val="center"/>
              <w:rPr>
                <w:rFonts w:ascii="Times New Roman" w:eastAsia="Times New Roman" w:hAnsi="Times New Roman"/>
                <w:sz w:val="20"/>
                <w:szCs w:val="20"/>
                <w:lang w:eastAsia="cs-CZ"/>
              </w:rPr>
            </w:pPr>
          </w:p>
        </w:tc>
        <w:tc>
          <w:tcPr>
            <w:tcW w:w="1031" w:type="dxa"/>
            <w:tcBorders>
              <w:top w:val="nil"/>
              <w:left w:val="nil"/>
              <w:bottom w:val="nil"/>
              <w:right w:val="nil"/>
            </w:tcBorders>
            <w:shd w:val="clear" w:color="auto" w:fill="auto"/>
            <w:noWrap/>
            <w:vAlign w:val="center"/>
            <w:hideMark/>
          </w:tcPr>
          <w:p w14:paraId="6836F8AC" w14:textId="77777777" w:rsidR="00880119" w:rsidRPr="00F15667" w:rsidRDefault="00880119" w:rsidP="00917F3F">
            <w:pPr>
              <w:spacing w:line="240" w:lineRule="auto"/>
              <w:jc w:val="center"/>
              <w:rPr>
                <w:rFonts w:ascii="Times New Roman" w:eastAsia="Times New Roman" w:hAnsi="Times New Roman"/>
                <w:sz w:val="20"/>
                <w:szCs w:val="20"/>
                <w:lang w:eastAsia="cs-CZ"/>
              </w:rPr>
            </w:pPr>
          </w:p>
        </w:tc>
        <w:tc>
          <w:tcPr>
            <w:tcW w:w="869" w:type="dxa"/>
            <w:tcBorders>
              <w:top w:val="nil"/>
              <w:left w:val="nil"/>
              <w:bottom w:val="nil"/>
              <w:right w:val="nil"/>
            </w:tcBorders>
            <w:shd w:val="clear" w:color="auto" w:fill="auto"/>
            <w:noWrap/>
            <w:vAlign w:val="center"/>
            <w:hideMark/>
          </w:tcPr>
          <w:p w14:paraId="1FEED745" w14:textId="77777777" w:rsidR="00880119" w:rsidRPr="00F15667" w:rsidRDefault="00880119" w:rsidP="00917F3F">
            <w:pPr>
              <w:spacing w:line="240" w:lineRule="auto"/>
              <w:jc w:val="center"/>
              <w:rPr>
                <w:rFonts w:ascii="Times New Roman" w:eastAsia="Times New Roman" w:hAnsi="Times New Roman"/>
                <w:sz w:val="20"/>
                <w:szCs w:val="20"/>
                <w:lang w:eastAsia="cs-CZ"/>
              </w:rPr>
            </w:pPr>
          </w:p>
        </w:tc>
        <w:tc>
          <w:tcPr>
            <w:tcW w:w="911" w:type="dxa"/>
            <w:tcBorders>
              <w:top w:val="nil"/>
              <w:left w:val="nil"/>
              <w:bottom w:val="nil"/>
              <w:right w:val="nil"/>
            </w:tcBorders>
            <w:shd w:val="clear" w:color="auto" w:fill="auto"/>
            <w:noWrap/>
            <w:vAlign w:val="center"/>
            <w:hideMark/>
          </w:tcPr>
          <w:p w14:paraId="28C5446A" w14:textId="77777777" w:rsidR="00880119" w:rsidRPr="00F15667" w:rsidRDefault="00880119" w:rsidP="00917F3F">
            <w:pPr>
              <w:spacing w:line="240" w:lineRule="auto"/>
              <w:jc w:val="center"/>
              <w:rPr>
                <w:rFonts w:ascii="Times New Roman" w:eastAsia="Times New Roman" w:hAnsi="Times New Roman"/>
                <w:sz w:val="20"/>
                <w:szCs w:val="20"/>
                <w:lang w:eastAsia="cs-CZ"/>
              </w:rPr>
            </w:pPr>
          </w:p>
        </w:tc>
        <w:tc>
          <w:tcPr>
            <w:tcW w:w="869" w:type="dxa"/>
            <w:tcBorders>
              <w:top w:val="nil"/>
              <w:left w:val="nil"/>
              <w:bottom w:val="nil"/>
              <w:right w:val="nil"/>
            </w:tcBorders>
            <w:shd w:val="clear" w:color="auto" w:fill="auto"/>
            <w:noWrap/>
            <w:vAlign w:val="center"/>
            <w:hideMark/>
          </w:tcPr>
          <w:p w14:paraId="32DE61E3" w14:textId="77777777" w:rsidR="00880119" w:rsidRPr="00F15667" w:rsidRDefault="00880119" w:rsidP="00917F3F">
            <w:pPr>
              <w:spacing w:line="240" w:lineRule="auto"/>
              <w:jc w:val="center"/>
              <w:rPr>
                <w:rFonts w:ascii="Times New Roman" w:eastAsia="Times New Roman" w:hAnsi="Times New Roman"/>
                <w:sz w:val="20"/>
                <w:szCs w:val="20"/>
                <w:lang w:eastAsia="cs-CZ"/>
              </w:rPr>
            </w:pPr>
          </w:p>
        </w:tc>
        <w:tc>
          <w:tcPr>
            <w:tcW w:w="1540" w:type="dxa"/>
            <w:tcBorders>
              <w:top w:val="nil"/>
              <w:left w:val="nil"/>
              <w:bottom w:val="nil"/>
              <w:right w:val="nil"/>
            </w:tcBorders>
            <w:shd w:val="clear" w:color="auto" w:fill="auto"/>
            <w:noWrap/>
            <w:vAlign w:val="center"/>
            <w:hideMark/>
          </w:tcPr>
          <w:p w14:paraId="185E10F7" w14:textId="77777777" w:rsidR="00880119" w:rsidRPr="00F15667" w:rsidRDefault="00880119" w:rsidP="00917F3F">
            <w:pPr>
              <w:spacing w:line="240" w:lineRule="auto"/>
              <w:jc w:val="center"/>
              <w:rPr>
                <w:rFonts w:ascii="Times New Roman" w:eastAsia="Times New Roman" w:hAnsi="Times New Roman"/>
                <w:sz w:val="20"/>
                <w:szCs w:val="20"/>
                <w:lang w:eastAsia="cs-CZ"/>
              </w:rPr>
            </w:pPr>
          </w:p>
        </w:tc>
      </w:tr>
    </w:tbl>
    <w:p w14:paraId="3CE743C7" w14:textId="722C162D" w:rsidR="00880119" w:rsidRPr="00F15667" w:rsidRDefault="001E5E45" w:rsidP="0003032A">
      <w:bookmarkStart w:id="464" w:name="_Hlk160453817"/>
      <w:r w:rsidRPr="00F15667">
        <w:t>V tabulce vidíme, že počet příchozích věcí vzrostl ve všech krajích s výjimkou Prahy. Praha a</w:t>
      </w:r>
      <w:r w:rsidR="00917F3F">
        <w:t> </w:t>
      </w:r>
      <w:r w:rsidRPr="00F15667">
        <w:t>Severočeský kraj jsou pak jediné kraje, kde byla míra vyřizování přes 100 %. V Praze byla míra vyřizování výrazně přes 100 %.</w:t>
      </w:r>
    </w:p>
    <w:p w14:paraId="0363F3E3" w14:textId="05B5B07A" w:rsidR="008430BD" w:rsidRPr="00F15667" w:rsidRDefault="008430BD" w:rsidP="008430BD">
      <w:pPr>
        <w:pStyle w:val="Nadpis3"/>
        <w:numPr>
          <w:ilvl w:val="2"/>
          <w:numId w:val="1"/>
        </w:numPr>
        <w:rPr>
          <w:color w:val="auto"/>
        </w:rPr>
      </w:pPr>
      <w:bookmarkStart w:id="465" w:name="_Toc106092740"/>
      <w:bookmarkStart w:id="466" w:name="_Toc144104357"/>
      <w:bookmarkEnd w:id="464"/>
      <w:r w:rsidRPr="00F15667">
        <w:rPr>
          <w:color w:val="auto"/>
        </w:rPr>
        <w:t>Vyřizování v přepočtu na soudce</w:t>
      </w:r>
      <w:bookmarkEnd w:id="465"/>
      <w:bookmarkEnd w:id="466"/>
    </w:p>
    <w:p w14:paraId="3C41ADDC" w14:textId="5545DE55" w:rsidR="001E5E45" w:rsidRPr="00F15667" w:rsidRDefault="001E5E45" w:rsidP="001E5E45">
      <w:bookmarkStart w:id="467" w:name="_Hlk160453897"/>
      <w:r w:rsidRPr="00F15667">
        <w:t xml:space="preserve">Díky datům získávaným od roku 2020 je možné provést přepočet na soudce i u opatrovnické agendy. Jak vidíme v tabulce níže, celkový počet úvazků v opatrovnické agendě je asi 359. Dříve tato informace byla nedostupná. Data by pouze ukázala, že evidenční počet soudců na civilním </w:t>
      </w:r>
      <w:r w:rsidRPr="00F15667">
        <w:lastRenderedPageBreak/>
        <w:t>a opatrovnickém úseku je dohromady 1 387 soudců. Bližší informace k těmto datům o počtu soudcovských úvazků se nacházejí v podkapitole 2.2.3.</w:t>
      </w:r>
    </w:p>
    <w:p w14:paraId="4EEABCEF" w14:textId="2C8139A4" w:rsidR="00FA32BF" w:rsidRPr="00F15667" w:rsidRDefault="00FA32BF" w:rsidP="00FA32BF">
      <w:pPr>
        <w:pStyle w:val="Podnadpis"/>
        <w:numPr>
          <w:ilvl w:val="0"/>
          <w:numId w:val="0"/>
        </w:numPr>
        <w:rPr>
          <w:color w:val="auto"/>
        </w:rPr>
      </w:pPr>
      <w:bookmarkStart w:id="468" w:name="_Toc75952335"/>
      <w:bookmarkStart w:id="469" w:name="_Toc106106792"/>
      <w:bookmarkStart w:id="470" w:name="_Toc144104271"/>
      <w:bookmarkStart w:id="471" w:name="_Hlk160454233"/>
      <w:bookmarkEnd w:id="467"/>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32</w:t>
      </w:r>
      <w:r w:rsidRPr="00F15667">
        <w:rPr>
          <w:color w:val="auto"/>
        </w:rPr>
        <w:fldChar w:fldCharType="end"/>
      </w:r>
      <w:r w:rsidRPr="00F15667">
        <w:rPr>
          <w:color w:val="auto"/>
        </w:rPr>
        <w:t>: OS – vyřizování opatrovnických věcí na skutečný úvazek dle krajů</w:t>
      </w:r>
      <w:bookmarkEnd w:id="468"/>
      <w:bookmarkEnd w:id="469"/>
      <w:bookmarkEnd w:id="470"/>
    </w:p>
    <w:tbl>
      <w:tblPr>
        <w:tblW w:w="9162" w:type="dxa"/>
        <w:tblCellMar>
          <w:left w:w="70" w:type="dxa"/>
          <w:right w:w="70" w:type="dxa"/>
        </w:tblCellMar>
        <w:tblLook w:val="04A0" w:firstRow="1" w:lastRow="0" w:firstColumn="1" w:lastColumn="0" w:noHBand="0" w:noVBand="1"/>
      </w:tblPr>
      <w:tblGrid>
        <w:gridCol w:w="2127"/>
        <w:gridCol w:w="1275"/>
        <w:gridCol w:w="1034"/>
        <w:gridCol w:w="892"/>
        <w:gridCol w:w="1033"/>
        <w:gridCol w:w="892"/>
        <w:gridCol w:w="1017"/>
        <w:gridCol w:w="892"/>
      </w:tblGrid>
      <w:tr w:rsidR="00F15667" w:rsidRPr="00F15667" w14:paraId="58589286" w14:textId="77777777" w:rsidTr="00917F3F">
        <w:trPr>
          <w:trHeight w:val="330"/>
        </w:trPr>
        <w:tc>
          <w:tcPr>
            <w:tcW w:w="2127" w:type="dxa"/>
            <w:vMerge w:val="restart"/>
            <w:tcBorders>
              <w:top w:val="double" w:sz="6" w:space="0" w:color="auto"/>
              <w:left w:val="nil"/>
              <w:bottom w:val="double" w:sz="6" w:space="0" w:color="000000"/>
              <w:right w:val="nil"/>
            </w:tcBorders>
            <w:shd w:val="clear" w:color="auto" w:fill="auto"/>
            <w:noWrap/>
            <w:vAlign w:val="center"/>
            <w:hideMark/>
          </w:tcPr>
          <w:bookmarkEnd w:id="471"/>
          <w:p w14:paraId="2E8EE986" w14:textId="77777777" w:rsidR="00FA32BF" w:rsidRPr="00F15667" w:rsidRDefault="00FA32BF" w:rsidP="00917F3F">
            <w:pPr>
              <w:spacing w:line="240" w:lineRule="auto"/>
              <w:jc w:val="center"/>
              <w:rPr>
                <w:rFonts w:eastAsia="Times New Roman"/>
                <w:b/>
                <w:bCs/>
                <w:szCs w:val="24"/>
                <w:lang w:eastAsia="cs-CZ"/>
              </w:rPr>
            </w:pPr>
            <w:r w:rsidRPr="00F15667">
              <w:rPr>
                <w:rFonts w:eastAsia="Times New Roman"/>
                <w:b/>
                <w:bCs/>
                <w:szCs w:val="24"/>
                <w:lang w:eastAsia="cs-CZ"/>
              </w:rPr>
              <w:t>Nadřízený soud</w:t>
            </w:r>
          </w:p>
        </w:tc>
        <w:tc>
          <w:tcPr>
            <w:tcW w:w="1275" w:type="dxa"/>
            <w:vMerge w:val="restart"/>
            <w:tcBorders>
              <w:top w:val="double" w:sz="6" w:space="0" w:color="auto"/>
              <w:left w:val="nil"/>
              <w:bottom w:val="double" w:sz="6" w:space="0" w:color="000000"/>
              <w:right w:val="nil"/>
            </w:tcBorders>
            <w:shd w:val="clear" w:color="auto" w:fill="auto"/>
            <w:vAlign w:val="center"/>
            <w:hideMark/>
          </w:tcPr>
          <w:p w14:paraId="3BA180DD" w14:textId="77777777" w:rsidR="00FA32BF" w:rsidRPr="00F15667" w:rsidRDefault="00FA32BF" w:rsidP="00917F3F">
            <w:pPr>
              <w:spacing w:line="240" w:lineRule="auto"/>
              <w:jc w:val="center"/>
              <w:rPr>
                <w:rFonts w:eastAsia="Times New Roman"/>
                <w:b/>
                <w:bCs/>
                <w:szCs w:val="24"/>
                <w:lang w:eastAsia="cs-CZ"/>
              </w:rPr>
            </w:pPr>
            <w:r w:rsidRPr="00F15667">
              <w:rPr>
                <w:rFonts w:eastAsia="Times New Roman"/>
                <w:b/>
                <w:bCs/>
                <w:szCs w:val="24"/>
                <w:lang w:eastAsia="cs-CZ"/>
              </w:rPr>
              <w:t>Počet úvazků</w:t>
            </w:r>
          </w:p>
        </w:tc>
        <w:tc>
          <w:tcPr>
            <w:tcW w:w="5760" w:type="dxa"/>
            <w:gridSpan w:val="6"/>
            <w:tcBorders>
              <w:top w:val="double" w:sz="6" w:space="0" w:color="auto"/>
              <w:left w:val="nil"/>
              <w:bottom w:val="nil"/>
              <w:right w:val="nil"/>
            </w:tcBorders>
            <w:shd w:val="clear" w:color="auto" w:fill="auto"/>
            <w:noWrap/>
            <w:vAlign w:val="center"/>
            <w:hideMark/>
          </w:tcPr>
          <w:p w14:paraId="3DD96731" w14:textId="46BA74AE" w:rsidR="00FA32BF" w:rsidRPr="00F15667" w:rsidRDefault="001B356B" w:rsidP="00917F3F">
            <w:pPr>
              <w:spacing w:line="240" w:lineRule="auto"/>
              <w:jc w:val="center"/>
              <w:rPr>
                <w:rFonts w:eastAsia="Times New Roman"/>
                <w:b/>
                <w:bCs/>
                <w:szCs w:val="24"/>
                <w:lang w:eastAsia="cs-CZ"/>
              </w:rPr>
            </w:pPr>
            <w:r w:rsidRPr="00F15667">
              <w:rPr>
                <w:rFonts w:eastAsia="Times New Roman"/>
                <w:b/>
                <w:bCs/>
                <w:szCs w:val="24"/>
                <w:lang w:eastAsia="cs-CZ"/>
              </w:rPr>
              <w:t>Počet věcí na úvazek</w:t>
            </w:r>
          </w:p>
        </w:tc>
      </w:tr>
      <w:tr w:rsidR="00F15667" w:rsidRPr="00F15667" w14:paraId="75023F68" w14:textId="77777777" w:rsidTr="00917F3F">
        <w:trPr>
          <w:trHeight w:val="330"/>
        </w:trPr>
        <w:tc>
          <w:tcPr>
            <w:tcW w:w="2127" w:type="dxa"/>
            <w:vMerge/>
            <w:tcBorders>
              <w:top w:val="double" w:sz="6" w:space="0" w:color="auto"/>
              <w:left w:val="nil"/>
              <w:bottom w:val="double" w:sz="6" w:space="0" w:color="000000"/>
              <w:right w:val="nil"/>
            </w:tcBorders>
            <w:vAlign w:val="center"/>
            <w:hideMark/>
          </w:tcPr>
          <w:p w14:paraId="58FA02B5" w14:textId="77777777" w:rsidR="00FA32BF" w:rsidRPr="00F15667" w:rsidRDefault="00FA32BF" w:rsidP="00917F3F">
            <w:pPr>
              <w:spacing w:line="240" w:lineRule="auto"/>
              <w:jc w:val="center"/>
              <w:rPr>
                <w:rFonts w:eastAsia="Times New Roman"/>
                <w:b/>
                <w:bCs/>
                <w:szCs w:val="24"/>
                <w:lang w:eastAsia="cs-CZ"/>
              </w:rPr>
            </w:pPr>
          </w:p>
        </w:tc>
        <w:tc>
          <w:tcPr>
            <w:tcW w:w="1275" w:type="dxa"/>
            <w:vMerge/>
            <w:tcBorders>
              <w:top w:val="double" w:sz="6" w:space="0" w:color="auto"/>
              <w:left w:val="nil"/>
              <w:bottom w:val="double" w:sz="6" w:space="0" w:color="000000"/>
              <w:right w:val="nil"/>
            </w:tcBorders>
            <w:vAlign w:val="center"/>
            <w:hideMark/>
          </w:tcPr>
          <w:p w14:paraId="0A46C667" w14:textId="77777777" w:rsidR="00FA32BF" w:rsidRPr="00F15667" w:rsidRDefault="00FA32BF" w:rsidP="00917F3F">
            <w:pPr>
              <w:spacing w:line="240" w:lineRule="auto"/>
              <w:jc w:val="center"/>
              <w:rPr>
                <w:rFonts w:eastAsia="Times New Roman"/>
                <w:b/>
                <w:bCs/>
                <w:szCs w:val="24"/>
                <w:lang w:eastAsia="cs-CZ"/>
              </w:rPr>
            </w:pPr>
          </w:p>
        </w:tc>
        <w:tc>
          <w:tcPr>
            <w:tcW w:w="1926" w:type="dxa"/>
            <w:gridSpan w:val="2"/>
            <w:tcBorders>
              <w:top w:val="nil"/>
              <w:left w:val="nil"/>
              <w:bottom w:val="double" w:sz="6" w:space="0" w:color="auto"/>
              <w:right w:val="nil"/>
            </w:tcBorders>
            <w:shd w:val="clear" w:color="auto" w:fill="auto"/>
            <w:noWrap/>
            <w:vAlign w:val="center"/>
            <w:hideMark/>
          </w:tcPr>
          <w:p w14:paraId="58361F6E" w14:textId="77777777" w:rsidR="00FA32BF" w:rsidRPr="00F15667" w:rsidRDefault="00FA32BF" w:rsidP="00917F3F">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92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F6099C6" w14:textId="77777777" w:rsidR="00FA32BF" w:rsidRPr="00F15667" w:rsidRDefault="00FA32BF" w:rsidP="00917F3F">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909" w:type="dxa"/>
            <w:gridSpan w:val="2"/>
            <w:tcBorders>
              <w:top w:val="nil"/>
              <w:left w:val="nil"/>
              <w:bottom w:val="double" w:sz="6" w:space="0" w:color="auto"/>
              <w:right w:val="nil"/>
            </w:tcBorders>
            <w:shd w:val="clear" w:color="auto" w:fill="auto"/>
            <w:noWrap/>
            <w:vAlign w:val="center"/>
            <w:hideMark/>
          </w:tcPr>
          <w:p w14:paraId="27F82077" w14:textId="77777777" w:rsidR="00FA32BF" w:rsidRPr="00F15667" w:rsidRDefault="00FA32BF" w:rsidP="00917F3F">
            <w:pPr>
              <w:spacing w:line="240" w:lineRule="auto"/>
              <w:jc w:val="center"/>
              <w:rPr>
                <w:rFonts w:eastAsia="Times New Roman"/>
                <w:b/>
                <w:bCs/>
                <w:szCs w:val="24"/>
                <w:lang w:eastAsia="cs-CZ"/>
              </w:rPr>
            </w:pPr>
            <w:r w:rsidRPr="00F15667">
              <w:rPr>
                <w:rFonts w:eastAsia="Times New Roman"/>
                <w:b/>
                <w:bCs/>
                <w:szCs w:val="24"/>
                <w:lang w:eastAsia="cs-CZ"/>
              </w:rPr>
              <w:t>Nevyřízeno</w:t>
            </w:r>
          </w:p>
        </w:tc>
      </w:tr>
      <w:tr w:rsidR="00F15667" w:rsidRPr="00F15667" w14:paraId="642CFE0D" w14:textId="77777777" w:rsidTr="00917F3F">
        <w:trPr>
          <w:trHeight w:val="330"/>
        </w:trPr>
        <w:tc>
          <w:tcPr>
            <w:tcW w:w="2127" w:type="dxa"/>
            <w:tcBorders>
              <w:top w:val="single" w:sz="4" w:space="0" w:color="auto"/>
              <w:left w:val="nil"/>
              <w:bottom w:val="single" w:sz="4" w:space="0" w:color="auto"/>
              <w:right w:val="nil"/>
            </w:tcBorders>
            <w:shd w:val="clear" w:color="auto" w:fill="auto"/>
            <w:noWrap/>
            <w:vAlign w:val="center"/>
            <w:hideMark/>
          </w:tcPr>
          <w:p w14:paraId="7247723D" w14:textId="77777777" w:rsidR="00FA32BF" w:rsidRPr="00F15667" w:rsidRDefault="00FA32BF" w:rsidP="00917F3F">
            <w:pPr>
              <w:spacing w:line="240" w:lineRule="auto"/>
              <w:jc w:val="left"/>
              <w:rPr>
                <w:rFonts w:eastAsia="Times New Roman"/>
                <w:szCs w:val="24"/>
                <w:lang w:eastAsia="cs-CZ"/>
              </w:rPr>
            </w:pPr>
            <w:r w:rsidRPr="00F15667">
              <w:rPr>
                <w:rFonts w:eastAsia="Times New Roman"/>
                <w:szCs w:val="24"/>
                <w:lang w:eastAsia="cs-CZ"/>
              </w:rPr>
              <w:t>MS Praha</w:t>
            </w:r>
          </w:p>
        </w:tc>
        <w:tc>
          <w:tcPr>
            <w:tcW w:w="1275" w:type="dxa"/>
            <w:tcBorders>
              <w:top w:val="single" w:sz="4" w:space="0" w:color="auto"/>
              <w:left w:val="nil"/>
              <w:bottom w:val="single" w:sz="4" w:space="0" w:color="auto"/>
              <w:right w:val="nil"/>
            </w:tcBorders>
            <w:shd w:val="clear" w:color="auto" w:fill="auto"/>
            <w:noWrap/>
            <w:vAlign w:val="center"/>
            <w:hideMark/>
          </w:tcPr>
          <w:p w14:paraId="39F678EF" w14:textId="77777777"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39</w:t>
            </w:r>
          </w:p>
        </w:tc>
        <w:tc>
          <w:tcPr>
            <w:tcW w:w="1034" w:type="dxa"/>
            <w:tcBorders>
              <w:top w:val="single" w:sz="4" w:space="0" w:color="auto"/>
              <w:left w:val="nil"/>
              <w:bottom w:val="single" w:sz="4" w:space="0" w:color="auto"/>
              <w:right w:val="nil"/>
            </w:tcBorders>
            <w:shd w:val="clear" w:color="auto" w:fill="auto"/>
            <w:noWrap/>
            <w:vAlign w:val="center"/>
            <w:hideMark/>
          </w:tcPr>
          <w:p w14:paraId="3F8A3C85" w14:textId="7FD6925B"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357,28</w:t>
            </w:r>
          </w:p>
        </w:tc>
        <w:tc>
          <w:tcPr>
            <w:tcW w:w="892" w:type="dxa"/>
            <w:tcBorders>
              <w:top w:val="single" w:sz="4" w:space="0" w:color="auto"/>
              <w:left w:val="nil"/>
              <w:bottom w:val="single" w:sz="4" w:space="0" w:color="auto"/>
              <w:right w:val="nil"/>
            </w:tcBorders>
            <w:shd w:val="clear" w:color="auto" w:fill="auto"/>
            <w:noWrap/>
            <w:vAlign w:val="center"/>
            <w:hideMark/>
          </w:tcPr>
          <w:p w14:paraId="35409009" w14:textId="21D447AD"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033" w:type="dxa"/>
            <w:tcBorders>
              <w:top w:val="nil"/>
              <w:left w:val="single" w:sz="4" w:space="0" w:color="auto"/>
              <w:bottom w:val="single" w:sz="4" w:space="0" w:color="auto"/>
              <w:right w:val="nil"/>
            </w:tcBorders>
            <w:shd w:val="clear" w:color="auto" w:fill="auto"/>
            <w:noWrap/>
            <w:vAlign w:val="center"/>
            <w:hideMark/>
          </w:tcPr>
          <w:p w14:paraId="08E27B52" w14:textId="37C9633F"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374,90</w:t>
            </w:r>
          </w:p>
        </w:tc>
        <w:tc>
          <w:tcPr>
            <w:tcW w:w="892" w:type="dxa"/>
            <w:tcBorders>
              <w:top w:val="nil"/>
              <w:left w:val="nil"/>
              <w:bottom w:val="single" w:sz="4" w:space="0" w:color="auto"/>
              <w:right w:val="single" w:sz="4" w:space="0" w:color="auto"/>
            </w:tcBorders>
            <w:shd w:val="clear" w:color="auto" w:fill="auto"/>
            <w:noWrap/>
            <w:vAlign w:val="center"/>
            <w:hideMark/>
          </w:tcPr>
          <w:p w14:paraId="73A1A84A" w14:textId="67CE6A6C"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017" w:type="dxa"/>
            <w:tcBorders>
              <w:top w:val="single" w:sz="4" w:space="0" w:color="auto"/>
              <w:left w:val="nil"/>
              <w:bottom w:val="single" w:sz="4" w:space="0" w:color="auto"/>
              <w:right w:val="nil"/>
            </w:tcBorders>
            <w:shd w:val="clear" w:color="auto" w:fill="auto"/>
            <w:noWrap/>
            <w:vAlign w:val="center"/>
            <w:hideMark/>
          </w:tcPr>
          <w:p w14:paraId="1BC2253B" w14:textId="16851000"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92,54</w:t>
            </w:r>
          </w:p>
        </w:tc>
        <w:tc>
          <w:tcPr>
            <w:tcW w:w="892" w:type="dxa"/>
            <w:tcBorders>
              <w:top w:val="single" w:sz="4" w:space="0" w:color="auto"/>
              <w:left w:val="nil"/>
              <w:bottom w:val="single" w:sz="4" w:space="0" w:color="auto"/>
              <w:right w:val="nil"/>
            </w:tcBorders>
            <w:shd w:val="clear" w:color="auto" w:fill="auto"/>
            <w:noWrap/>
            <w:vAlign w:val="center"/>
            <w:hideMark/>
          </w:tcPr>
          <w:p w14:paraId="021B1623" w14:textId="74D5A260"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-16 %</w:t>
            </w:r>
          </w:p>
        </w:tc>
      </w:tr>
      <w:tr w:rsidR="00F15667" w:rsidRPr="00F15667" w14:paraId="142AD806" w14:textId="77777777" w:rsidTr="00917F3F">
        <w:trPr>
          <w:trHeight w:val="315"/>
        </w:trPr>
        <w:tc>
          <w:tcPr>
            <w:tcW w:w="2127" w:type="dxa"/>
            <w:tcBorders>
              <w:top w:val="nil"/>
              <w:left w:val="nil"/>
              <w:bottom w:val="single" w:sz="4" w:space="0" w:color="auto"/>
              <w:right w:val="nil"/>
            </w:tcBorders>
            <w:shd w:val="clear" w:color="auto" w:fill="auto"/>
            <w:noWrap/>
            <w:vAlign w:val="center"/>
            <w:hideMark/>
          </w:tcPr>
          <w:p w14:paraId="2D1B218D" w14:textId="77777777" w:rsidR="00FA32BF" w:rsidRPr="00F15667" w:rsidRDefault="00FA32BF" w:rsidP="00917F3F">
            <w:pPr>
              <w:spacing w:line="240" w:lineRule="auto"/>
              <w:jc w:val="left"/>
              <w:rPr>
                <w:rFonts w:eastAsia="Times New Roman"/>
                <w:szCs w:val="24"/>
                <w:lang w:eastAsia="cs-CZ"/>
              </w:rPr>
            </w:pPr>
            <w:r w:rsidRPr="00F15667">
              <w:rPr>
                <w:rFonts w:eastAsia="Times New Roman"/>
                <w:szCs w:val="24"/>
                <w:lang w:eastAsia="cs-CZ"/>
              </w:rPr>
              <w:t>KS Praha</w:t>
            </w:r>
          </w:p>
        </w:tc>
        <w:tc>
          <w:tcPr>
            <w:tcW w:w="1275" w:type="dxa"/>
            <w:tcBorders>
              <w:top w:val="nil"/>
              <w:left w:val="nil"/>
              <w:bottom w:val="single" w:sz="4" w:space="0" w:color="auto"/>
              <w:right w:val="nil"/>
            </w:tcBorders>
            <w:shd w:val="clear" w:color="auto" w:fill="auto"/>
            <w:noWrap/>
            <w:vAlign w:val="center"/>
            <w:hideMark/>
          </w:tcPr>
          <w:p w14:paraId="04E2ED20" w14:textId="2CBD0F50"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49,89</w:t>
            </w:r>
          </w:p>
        </w:tc>
        <w:tc>
          <w:tcPr>
            <w:tcW w:w="1034" w:type="dxa"/>
            <w:tcBorders>
              <w:top w:val="nil"/>
              <w:left w:val="nil"/>
              <w:bottom w:val="single" w:sz="4" w:space="0" w:color="auto"/>
              <w:right w:val="nil"/>
            </w:tcBorders>
            <w:shd w:val="clear" w:color="auto" w:fill="auto"/>
            <w:noWrap/>
            <w:vAlign w:val="center"/>
            <w:hideMark/>
          </w:tcPr>
          <w:p w14:paraId="10AFA25E" w14:textId="06242F9F"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396,51</w:t>
            </w:r>
          </w:p>
        </w:tc>
        <w:tc>
          <w:tcPr>
            <w:tcW w:w="892" w:type="dxa"/>
            <w:tcBorders>
              <w:top w:val="nil"/>
              <w:left w:val="nil"/>
              <w:bottom w:val="single" w:sz="4" w:space="0" w:color="auto"/>
              <w:right w:val="nil"/>
            </w:tcBorders>
            <w:shd w:val="clear" w:color="auto" w:fill="auto"/>
            <w:noWrap/>
            <w:vAlign w:val="center"/>
            <w:hideMark/>
          </w:tcPr>
          <w:p w14:paraId="3CF4BD66" w14:textId="42C3215B"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033" w:type="dxa"/>
            <w:tcBorders>
              <w:top w:val="nil"/>
              <w:left w:val="single" w:sz="4" w:space="0" w:color="auto"/>
              <w:bottom w:val="single" w:sz="4" w:space="0" w:color="auto"/>
              <w:right w:val="nil"/>
            </w:tcBorders>
            <w:shd w:val="clear" w:color="auto" w:fill="auto"/>
            <w:noWrap/>
            <w:vAlign w:val="center"/>
            <w:hideMark/>
          </w:tcPr>
          <w:p w14:paraId="1412D650" w14:textId="000A8A9C"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396,47</w:t>
            </w:r>
          </w:p>
        </w:tc>
        <w:tc>
          <w:tcPr>
            <w:tcW w:w="892" w:type="dxa"/>
            <w:tcBorders>
              <w:top w:val="nil"/>
              <w:left w:val="nil"/>
              <w:bottom w:val="single" w:sz="4" w:space="0" w:color="auto"/>
              <w:right w:val="single" w:sz="4" w:space="0" w:color="auto"/>
            </w:tcBorders>
            <w:shd w:val="clear" w:color="auto" w:fill="auto"/>
            <w:noWrap/>
            <w:vAlign w:val="center"/>
            <w:hideMark/>
          </w:tcPr>
          <w:p w14:paraId="31B46FE3" w14:textId="52E369DD"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017" w:type="dxa"/>
            <w:tcBorders>
              <w:top w:val="nil"/>
              <w:left w:val="nil"/>
              <w:bottom w:val="single" w:sz="4" w:space="0" w:color="auto"/>
              <w:right w:val="nil"/>
            </w:tcBorders>
            <w:shd w:val="clear" w:color="auto" w:fill="auto"/>
            <w:noWrap/>
            <w:vAlign w:val="center"/>
            <w:hideMark/>
          </w:tcPr>
          <w:p w14:paraId="72353379" w14:textId="16A4B49F"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84,21</w:t>
            </w:r>
          </w:p>
        </w:tc>
        <w:tc>
          <w:tcPr>
            <w:tcW w:w="892" w:type="dxa"/>
            <w:tcBorders>
              <w:top w:val="nil"/>
              <w:left w:val="nil"/>
              <w:bottom w:val="single" w:sz="4" w:space="0" w:color="auto"/>
              <w:right w:val="nil"/>
            </w:tcBorders>
            <w:shd w:val="clear" w:color="auto" w:fill="auto"/>
            <w:noWrap/>
            <w:vAlign w:val="center"/>
            <w:hideMark/>
          </w:tcPr>
          <w:p w14:paraId="7E04AB41" w14:textId="796119E6"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+0 %</w:t>
            </w:r>
          </w:p>
        </w:tc>
      </w:tr>
      <w:tr w:rsidR="00F15667" w:rsidRPr="00F15667" w14:paraId="3E4D0619" w14:textId="77777777" w:rsidTr="00917F3F">
        <w:trPr>
          <w:trHeight w:val="315"/>
        </w:trPr>
        <w:tc>
          <w:tcPr>
            <w:tcW w:w="2127" w:type="dxa"/>
            <w:tcBorders>
              <w:top w:val="nil"/>
              <w:left w:val="nil"/>
              <w:bottom w:val="single" w:sz="4" w:space="0" w:color="auto"/>
              <w:right w:val="nil"/>
            </w:tcBorders>
            <w:shd w:val="clear" w:color="auto" w:fill="auto"/>
            <w:noWrap/>
            <w:vAlign w:val="center"/>
            <w:hideMark/>
          </w:tcPr>
          <w:p w14:paraId="4AAE17F3" w14:textId="77777777" w:rsidR="00FA32BF" w:rsidRPr="00F15667" w:rsidRDefault="00FA32BF" w:rsidP="00917F3F">
            <w:pPr>
              <w:spacing w:line="240" w:lineRule="auto"/>
              <w:jc w:val="left"/>
              <w:rPr>
                <w:rFonts w:eastAsia="Times New Roman"/>
                <w:szCs w:val="24"/>
                <w:lang w:eastAsia="cs-CZ"/>
              </w:rPr>
            </w:pPr>
            <w:r w:rsidRPr="00F15667">
              <w:rPr>
                <w:rFonts w:eastAsia="Times New Roman"/>
                <w:szCs w:val="24"/>
                <w:lang w:eastAsia="cs-CZ"/>
              </w:rPr>
              <w:t>KS Č. Budějovice</w:t>
            </w:r>
          </w:p>
        </w:tc>
        <w:tc>
          <w:tcPr>
            <w:tcW w:w="1275" w:type="dxa"/>
            <w:tcBorders>
              <w:top w:val="nil"/>
              <w:left w:val="nil"/>
              <w:bottom w:val="single" w:sz="4" w:space="0" w:color="auto"/>
              <w:right w:val="nil"/>
            </w:tcBorders>
            <w:shd w:val="clear" w:color="auto" w:fill="auto"/>
            <w:noWrap/>
            <w:vAlign w:val="center"/>
            <w:hideMark/>
          </w:tcPr>
          <w:p w14:paraId="13D9A0D8" w14:textId="10FEC4CC"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23,1</w:t>
            </w:r>
          </w:p>
        </w:tc>
        <w:tc>
          <w:tcPr>
            <w:tcW w:w="1034" w:type="dxa"/>
            <w:tcBorders>
              <w:top w:val="nil"/>
              <w:left w:val="nil"/>
              <w:bottom w:val="single" w:sz="4" w:space="0" w:color="auto"/>
              <w:right w:val="nil"/>
            </w:tcBorders>
            <w:shd w:val="clear" w:color="auto" w:fill="auto"/>
            <w:noWrap/>
            <w:vAlign w:val="center"/>
            <w:hideMark/>
          </w:tcPr>
          <w:p w14:paraId="1EFC3099" w14:textId="14AC54F0"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381,90</w:t>
            </w:r>
          </w:p>
        </w:tc>
        <w:tc>
          <w:tcPr>
            <w:tcW w:w="892" w:type="dxa"/>
            <w:tcBorders>
              <w:top w:val="nil"/>
              <w:left w:val="nil"/>
              <w:bottom w:val="single" w:sz="4" w:space="0" w:color="auto"/>
              <w:right w:val="nil"/>
            </w:tcBorders>
            <w:shd w:val="clear" w:color="auto" w:fill="auto"/>
            <w:noWrap/>
            <w:vAlign w:val="center"/>
            <w:hideMark/>
          </w:tcPr>
          <w:p w14:paraId="4BE124EA" w14:textId="1D2B8BDC"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1033" w:type="dxa"/>
            <w:tcBorders>
              <w:top w:val="nil"/>
              <w:left w:val="single" w:sz="4" w:space="0" w:color="auto"/>
              <w:bottom w:val="single" w:sz="4" w:space="0" w:color="auto"/>
              <w:right w:val="nil"/>
            </w:tcBorders>
            <w:shd w:val="clear" w:color="auto" w:fill="auto"/>
            <w:noWrap/>
            <w:vAlign w:val="center"/>
            <w:hideMark/>
          </w:tcPr>
          <w:p w14:paraId="1751FBDA" w14:textId="57D1F0E0"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367,88</w:t>
            </w:r>
          </w:p>
        </w:tc>
        <w:tc>
          <w:tcPr>
            <w:tcW w:w="892" w:type="dxa"/>
            <w:tcBorders>
              <w:top w:val="nil"/>
              <w:left w:val="nil"/>
              <w:bottom w:val="single" w:sz="4" w:space="0" w:color="auto"/>
              <w:right w:val="single" w:sz="4" w:space="0" w:color="auto"/>
            </w:tcBorders>
            <w:shd w:val="clear" w:color="auto" w:fill="auto"/>
            <w:noWrap/>
            <w:vAlign w:val="center"/>
            <w:hideMark/>
          </w:tcPr>
          <w:p w14:paraId="3F37A1AD" w14:textId="2AA141C7"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017" w:type="dxa"/>
            <w:tcBorders>
              <w:top w:val="nil"/>
              <w:left w:val="nil"/>
              <w:bottom w:val="single" w:sz="4" w:space="0" w:color="auto"/>
              <w:right w:val="nil"/>
            </w:tcBorders>
            <w:shd w:val="clear" w:color="auto" w:fill="auto"/>
            <w:noWrap/>
            <w:vAlign w:val="center"/>
            <w:hideMark/>
          </w:tcPr>
          <w:p w14:paraId="54424EA0" w14:textId="62380EDF"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84,42</w:t>
            </w:r>
          </w:p>
        </w:tc>
        <w:tc>
          <w:tcPr>
            <w:tcW w:w="892" w:type="dxa"/>
            <w:tcBorders>
              <w:top w:val="nil"/>
              <w:left w:val="nil"/>
              <w:bottom w:val="single" w:sz="4" w:space="0" w:color="auto"/>
              <w:right w:val="nil"/>
            </w:tcBorders>
            <w:shd w:val="clear" w:color="auto" w:fill="auto"/>
            <w:noWrap/>
            <w:vAlign w:val="center"/>
            <w:hideMark/>
          </w:tcPr>
          <w:p w14:paraId="0ECF35BB" w14:textId="07653461"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+20 %</w:t>
            </w:r>
          </w:p>
        </w:tc>
      </w:tr>
      <w:tr w:rsidR="00F15667" w:rsidRPr="00F15667" w14:paraId="1A968C30" w14:textId="77777777" w:rsidTr="00917F3F">
        <w:trPr>
          <w:trHeight w:val="315"/>
        </w:trPr>
        <w:tc>
          <w:tcPr>
            <w:tcW w:w="2127" w:type="dxa"/>
            <w:tcBorders>
              <w:top w:val="nil"/>
              <w:left w:val="nil"/>
              <w:bottom w:val="single" w:sz="4" w:space="0" w:color="auto"/>
              <w:right w:val="nil"/>
            </w:tcBorders>
            <w:shd w:val="clear" w:color="auto" w:fill="auto"/>
            <w:noWrap/>
            <w:vAlign w:val="center"/>
            <w:hideMark/>
          </w:tcPr>
          <w:p w14:paraId="2BEFCBA5" w14:textId="77777777" w:rsidR="00FA32BF" w:rsidRPr="00F15667" w:rsidRDefault="00FA32BF" w:rsidP="00917F3F">
            <w:pPr>
              <w:spacing w:line="240" w:lineRule="auto"/>
              <w:jc w:val="left"/>
              <w:rPr>
                <w:rFonts w:eastAsia="Times New Roman"/>
                <w:szCs w:val="24"/>
                <w:lang w:eastAsia="cs-CZ"/>
              </w:rPr>
            </w:pPr>
            <w:r w:rsidRPr="00F15667">
              <w:rPr>
                <w:rFonts w:eastAsia="Times New Roman"/>
                <w:szCs w:val="24"/>
                <w:lang w:eastAsia="cs-CZ"/>
              </w:rPr>
              <w:t>KS Plzeň</w:t>
            </w:r>
          </w:p>
        </w:tc>
        <w:tc>
          <w:tcPr>
            <w:tcW w:w="1275" w:type="dxa"/>
            <w:tcBorders>
              <w:top w:val="nil"/>
              <w:left w:val="nil"/>
              <w:bottom w:val="single" w:sz="4" w:space="0" w:color="auto"/>
              <w:right w:val="nil"/>
            </w:tcBorders>
            <w:shd w:val="clear" w:color="auto" w:fill="auto"/>
            <w:noWrap/>
            <w:vAlign w:val="center"/>
            <w:hideMark/>
          </w:tcPr>
          <w:p w14:paraId="29643543" w14:textId="50807469"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32,75</w:t>
            </w:r>
          </w:p>
        </w:tc>
        <w:tc>
          <w:tcPr>
            <w:tcW w:w="1034" w:type="dxa"/>
            <w:tcBorders>
              <w:top w:val="nil"/>
              <w:left w:val="nil"/>
              <w:bottom w:val="single" w:sz="4" w:space="0" w:color="auto"/>
              <w:right w:val="nil"/>
            </w:tcBorders>
            <w:shd w:val="clear" w:color="auto" w:fill="auto"/>
            <w:noWrap/>
            <w:vAlign w:val="center"/>
            <w:hideMark/>
          </w:tcPr>
          <w:p w14:paraId="045C0749" w14:textId="4BAFED82"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386,84</w:t>
            </w:r>
          </w:p>
        </w:tc>
        <w:tc>
          <w:tcPr>
            <w:tcW w:w="892" w:type="dxa"/>
            <w:tcBorders>
              <w:top w:val="nil"/>
              <w:left w:val="nil"/>
              <w:bottom w:val="single" w:sz="4" w:space="0" w:color="auto"/>
              <w:right w:val="nil"/>
            </w:tcBorders>
            <w:shd w:val="clear" w:color="auto" w:fill="auto"/>
            <w:noWrap/>
            <w:vAlign w:val="center"/>
            <w:hideMark/>
          </w:tcPr>
          <w:p w14:paraId="59903AFC" w14:textId="509732D9"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33" w:type="dxa"/>
            <w:tcBorders>
              <w:top w:val="nil"/>
              <w:left w:val="single" w:sz="4" w:space="0" w:color="auto"/>
              <w:bottom w:val="single" w:sz="4" w:space="0" w:color="auto"/>
              <w:right w:val="nil"/>
            </w:tcBorders>
            <w:shd w:val="clear" w:color="auto" w:fill="auto"/>
            <w:noWrap/>
            <w:vAlign w:val="center"/>
            <w:hideMark/>
          </w:tcPr>
          <w:p w14:paraId="0D33A99F" w14:textId="65554A89"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374,32</w:t>
            </w:r>
          </w:p>
        </w:tc>
        <w:tc>
          <w:tcPr>
            <w:tcW w:w="892" w:type="dxa"/>
            <w:tcBorders>
              <w:top w:val="nil"/>
              <w:left w:val="nil"/>
              <w:bottom w:val="single" w:sz="4" w:space="0" w:color="auto"/>
              <w:right w:val="single" w:sz="4" w:space="0" w:color="auto"/>
            </w:tcBorders>
            <w:shd w:val="clear" w:color="auto" w:fill="auto"/>
            <w:noWrap/>
            <w:vAlign w:val="center"/>
            <w:hideMark/>
          </w:tcPr>
          <w:p w14:paraId="11FEE499" w14:textId="53867EDB"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017" w:type="dxa"/>
            <w:tcBorders>
              <w:top w:val="nil"/>
              <w:left w:val="nil"/>
              <w:bottom w:val="single" w:sz="4" w:space="0" w:color="auto"/>
              <w:right w:val="nil"/>
            </w:tcBorders>
            <w:shd w:val="clear" w:color="auto" w:fill="auto"/>
            <w:noWrap/>
            <w:vAlign w:val="center"/>
            <w:hideMark/>
          </w:tcPr>
          <w:p w14:paraId="7A947F05" w14:textId="29B93888"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104,98</w:t>
            </w:r>
          </w:p>
        </w:tc>
        <w:tc>
          <w:tcPr>
            <w:tcW w:w="892" w:type="dxa"/>
            <w:tcBorders>
              <w:top w:val="nil"/>
              <w:left w:val="nil"/>
              <w:bottom w:val="single" w:sz="4" w:space="0" w:color="auto"/>
              <w:right w:val="nil"/>
            </w:tcBorders>
            <w:shd w:val="clear" w:color="auto" w:fill="auto"/>
            <w:noWrap/>
            <w:vAlign w:val="center"/>
            <w:hideMark/>
          </w:tcPr>
          <w:p w14:paraId="2DD9E0EC" w14:textId="69BD7118"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+14 %</w:t>
            </w:r>
          </w:p>
        </w:tc>
      </w:tr>
      <w:tr w:rsidR="00F15667" w:rsidRPr="00F15667" w14:paraId="7A5A341C" w14:textId="77777777" w:rsidTr="00917F3F">
        <w:trPr>
          <w:trHeight w:val="315"/>
        </w:trPr>
        <w:tc>
          <w:tcPr>
            <w:tcW w:w="2127" w:type="dxa"/>
            <w:tcBorders>
              <w:top w:val="nil"/>
              <w:left w:val="nil"/>
              <w:bottom w:val="single" w:sz="4" w:space="0" w:color="auto"/>
              <w:right w:val="nil"/>
            </w:tcBorders>
            <w:shd w:val="clear" w:color="auto" w:fill="auto"/>
            <w:noWrap/>
            <w:vAlign w:val="center"/>
            <w:hideMark/>
          </w:tcPr>
          <w:p w14:paraId="1C8CC7BC" w14:textId="77777777" w:rsidR="00FA32BF" w:rsidRPr="00F15667" w:rsidRDefault="00FA32BF" w:rsidP="00917F3F">
            <w:pPr>
              <w:spacing w:line="240" w:lineRule="auto"/>
              <w:jc w:val="left"/>
              <w:rPr>
                <w:rFonts w:eastAsia="Times New Roman"/>
                <w:szCs w:val="24"/>
                <w:lang w:eastAsia="cs-CZ"/>
              </w:rPr>
            </w:pPr>
            <w:r w:rsidRPr="00F15667">
              <w:rPr>
                <w:rFonts w:eastAsia="Times New Roman"/>
                <w:szCs w:val="24"/>
                <w:lang w:eastAsia="cs-CZ"/>
              </w:rPr>
              <w:t>KS Ústí n. Labem</w:t>
            </w:r>
          </w:p>
        </w:tc>
        <w:tc>
          <w:tcPr>
            <w:tcW w:w="1275" w:type="dxa"/>
            <w:tcBorders>
              <w:top w:val="nil"/>
              <w:left w:val="nil"/>
              <w:bottom w:val="single" w:sz="4" w:space="0" w:color="auto"/>
              <w:right w:val="nil"/>
            </w:tcBorders>
            <w:shd w:val="clear" w:color="auto" w:fill="auto"/>
            <w:noWrap/>
            <w:vAlign w:val="center"/>
            <w:hideMark/>
          </w:tcPr>
          <w:p w14:paraId="5FD736E9" w14:textId="2DD22802"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48,87</w:t>
            </w:r>
          </w:p>
        </w:tc>
        <w:tc>
          <w:tcPr>
            <w:tcW w:w="1034" w:type="dxa"/>
            <w:tcBorders>
              <w:top w:val="nil"/>
              <w:left w:val="nil"/>
              <w:bottom w:val="single" w:sz="4" w:space="0" w:color="auto"/>
              <w:right w:val="nil"/>
            </w:tcBorders>
            <w:shd w:val="clear" w:color="auto" w:fill="auto"/>
            <w:noWrap/>
            <w:vAlign w:val="center"/>
            <w:hideMark/>
          </w:tcPr>
          <w:p w14:paraId="5E626AA6" w14:textId="5A5C1643"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377,02</w:t>
            </w:r>
          </w:p>
        </w:tc>
        <w:tc>
          <w:tcPr>
            <w:tcW w:w="892" w:type="dxa"/>
            <w:tcBorders>
              <w:top w:val="nil"/>
              <w:left w:val="nil"/>
              <w:bottom w:val="single" w:sz="4" w:space="0" w:color="auto"/>
              <w:right w:val="nil"/>
            </w:tcBorders>
            <w:shd w:val="clear" w:color="auto" w:fill="auto"/>
            <w:noWrap/>
            <w:vAlign w:val="center"/>
            <w:hideMark/>
          </w:tcPr>
          <w:p w14:paraId="00A252A0" w14:textId="23A8A83F"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033" w:type="dxa"/>
            <w:tcBorders>
              <w:top w:val="nil"/>
              <w:left w:val="single" w:sz="4" w:space="0" w:color="auto"/>
              <w:bottom w:val="single" w:sz="4" w:space="0" w:color="auto"/>
              <w:right w:val="nil"/>
            </w:tcBorders>
            <w:shd w:val="clear" w:color="auto" w:fill="auto"/>
            <w:noWrap/>
            <w:vAlign w:val="center"/>
            <w:hideMark/>
          </w:tcPr>
          <w:p w14:paraId="6E488250" w14:textId="33D5AD35"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380,13</w:t>
            </w:r>
          </w:p>
        </w:tc>
        <w:tc>
          <w:tcPr>
            <w:tcW w:w="892" w:type="dxa"/>
            <w:tcBorders>
              <w:top w:val="nil"/>
              <w:left w:val="nil"/>
              <w:bottom w:val="single" w:sz="4" w:space="0" w:color="auto"/>
              <w:right w:val="single" w:sz="4" w:space="0" w:color="auto"/>
            </w:tcBorders>
            <w:shd w:val="clear" w:color="auto" w:fill="auto"/>
            <w:noWrap/>
            <w:vAlign w:val="center"/>
            <w:hideMark/>
          </w:tcPr>
          <w:p w14:paraId="6EBC2E1F" w14:textId="184B3C66"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17" w:type="dxa"/>
            <w:tcBorders>
              <w:top w:val="nil"/>
              <w:left w:val="nil"/>
              <w:bottom w:val="single" w:sz="4" w:space="0" w:color="auto"/>
              <w:right w:val="nil"/>
            </w:tcBorders>
            <w:shd w:val="clear" w:color="auto" w:fill="auto"/>
            <w:noWrap/>
            <w:vAlign w:val="center"/>
            <w:hideMark/>
          </w:tcPr>
          <w:p w14:paraId="444258C4" w14:textId="0CEACDA8"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107,16</w:t>
            </w:r>
          </w:p>
        </w:tc>
        <w:tc>
          <w:tcPr>
            <w:tcW w:w="892" w:type="dxa"/>
            <w:tcBorders>
              <w:top w:val="nil"/>
              <w:left w:val="nil"/>
              <w:bottom w:val="single" w:sz="4" w:space="0" w:color="auto"/>
              <w:right w:val="nil"/>
            </w:tcBorders>
            <w:shd w:val="clear" w:color="auto" w:fill="auto"/>
            <w:noWrap/>
            <w:vAlign w:val="center"/>
            <w:hideMark/>
          </w:tcPr>
          <w:p w14:paraId="40543AA2" w14:textId="1958E1C9"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-3 %</w:t>
            </w:r>
          </w:p>
        </w:tc>
      </w:tr>
      <w:tr w:rsidR="00F15667" w:rsidRPr="00F15667" w14:paraId="6CAF1866" w14:textId="77777777" w:rsidTr="00917F3F">
        <w:trPr>
          <w:trHeight w:val="315"/>
        </w:trPr>
        <w:tc>
          <w:tcPr>
            <w:tcW w:w="2127" w:type="dxa"/>
            <w:tcBorders>
              <w:top w:val="nil"/>
              <w:left w:val="nil"/>
              <w:bottom w:val="single" w:sz="4" w:space="0" w:color="auto"/>
              <w:right w:val="nil"/>
            </w:tcBorders>
            <w:shd w:val="clear" w:color="auto" w:fill="auto"/>
            <w:noWrap/>
            <w:vAlign w:val="center"/>
            <w:hideMark/>
          </w:tcPr>
          <w:p w14:paraId="718E1F83" w14:textId="77777777" w:rsidR="00FA32BF" w:rsidRPr="00F15667" w:rsidRDefault="00FA32BF" w:rsidP="00917F3F">
            <w:pPr>
              <w:spacing w:line="240" w:lineRule="auto"/>
              <w:jc w:val="left"/>
              <w:rPr>
                <w:rFonts w:eastAsia="Times New Roman"/>
                <w:szCs w:val="24"/>
                <w:lang w:eastAsia="cs-CZ"/>
              </w:rPr>
            </w:pPr>
            <w:r w:rsidRPr="00F15667">
              <w:rPr>
                <w:rFonts w:eastAsia="Times New Roman"/>
                <w:szCs w:val="24"/>
                <w:lang w:eastAsia="cs-CZ"/>
              </w:rPr>
              <w:t>KS Hr. Králové</w:t>
            </w:r>
          </w:p>
        </w:tc>
        <w:tc>
          <w:tcPr>
            <w:tcW w:w="1275" w:type="dxa"/>
            <w:tcBorders>
              <w:top w:val="nil"/>
              <w:left w:val="nil"/>
              <w:bottom w:val="single" w:sz="4" w:space="0" w:color="auto"/>
              <w:right w:val="nil"/>
            </w:tcBorders>
            <w:shd w:val="clear" w:color="auto" w:fill="auto"/>
            <w:noWrap/>
            <w:vAlign w:val="center"/>
            <w:hideMark/>
          </w:tcPr>
          <w:p w14:paraId="745BE2D7" w14:textId="05E83825"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41,35</w:t>
            </w:r>
          </w:p>
        </w:tc>
        <w:tc>
          <w:tcPr>
            <w:tcW w:w="1034" w:type="dxa"/>
            <w:tcBorders>
              <w:top w:val="nil"/>
              <w:left w:val="nil"/>
              <w:bottom w:val="single" w:sz="4" w:space="0" w:color="auto"/>
              <w:right w:val="nil"/>
            </w:tcBorders>
            <w:shd w:val="clear" w:color="auto" w:fill="auto"/>
            <w:noWrap/>
            <w:vAlign w:val="center"/>
            <w:hideMark/>
          </w:tcPr>
          <w:p w14:paraId="041A54DC" w14:textId="055CA844"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359,93</w:t>
            </w:r>
          </w:p>
        </w:tc>
        <w:tc>
          <w:tcPr>
            <w:tcW w:w="892" w:type="dxa"/>
            <w:tcBorders>
              <w:top w:val="nil"/>
              <w:left w:val="nil"/>
              <w:bottom w:val="single" w:sz="4" w:space="0" w:color="auto"/>
              <w:right w:val="nil"/>
            </w:tcBorders>
            <w:shd w:val="clear" w:color="auto" w:fill="auto"/>
            <w:noWrap/>
            <w:vAlign w:val="center"/>
            <w:hideMark/>
          </w:tcPr>
          <w:p w14:paraId="01362E0E" w14:textId="01DA8F80"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1033" w:type="dxa"/>
            <w:tcBorders>
              <w:top w:val="nil"/>
              <w:left w:val="single" w:sz="4" w:space="0" w:color="auto"/>
              <w:bottom w:val="single" w:sz="4" w:space="0" w:color="auto"/>
              <w:right w:val="nil"/>
            </w:tcBorders>
            <w:shd w:val="clear" w:color="auto" w:fill="auto"/>
            <w:noWrap/>
            <w:vAlign w:val="center"/>
            <w:hideMark/>
          </w:tcPr>
          <w:p w14:paraId="1691700F" w14:textId="58EFDCDC"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349,38</w:t>
            </w:r>
          </w:p>
        </w:tc>
        <w:tc>
          <w:tcPr>
            <w:tcW w:w="892" w:type="dxa"/>
            <w:tcBorders>
              <w:top w:val="nil"/>
              <w:left w:val="nil"/>
              <w:bottom w:val="single" w:sz="4" w:space="0" w:color="auto"/>
              <w:right w:val="single" w:sz="4" w:space="0" w:color="auto"/>
            </w:tcBorders>
            <w:shd w:val="clear" w:color="auto" w:fill="auto"/>
            <w:noWrap/>
            <w:vAlign w:val="center"/>
            <w:hideMark/>
          </w:tcPr>
          <w:p w14:paraId="64849FED" w14:textId="38BFCCCF"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017" w:type="dxa"/>
            <w:tcBorders>
              <w:top w:val="nil"/>
              <w:left w:val="nil"/>
              <w:bottom w:val="single" w:sz="4" w:space="0" w:color="auto"/>
              <w:right w:val="nil"/>
            </w:tcBorders>
            <w:shd w:val="clear" w:color="auto" w:fill="auto"/>
            <w:noWrap/>
            <w:vAlign w:val="center"/>
            <w:hideMark/>
          </w:tcPr>
          <w:p w14:paraId="4EF84072" w14:textId="6A6E744B"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96,23</w:t>
            </w:r>
          </w:p>
        </w:tc>
        <w:tc>
          <w:tcPr>
            <w:tcW w:w="892" w:type="dxa"/>
            <w:tcBorders>
              <w:top w:val="nil"/>
              <w:left w:val="nil"/>
              <w:bottom w:val="single" w:sz="4" w:space="0" w:color="auto"/>
              <w:right w:val="nil"/>
            </w:tcBorders>
            <w:shd w:val="clear" w:color="auto" w:fill="auto"/>
            <w:noWrap/>
            <w:vAlign w:val="center"/>
            <w:hideMark/>
          </w:tcPr>
          <w:p w14:paraId="24CD2271" w14:textId="3120FA98"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+12 %</w:t>
            </w:r>
          </w:p>
        </w:tc>
      </w:tr>
      <w:tr w:rsidR="00F15667" w:rsidRPr="00F15667" w14:paraId="2BB21CAA" w14:textId="77777777" w:rsidTr="00917F3F">
        <w:trPr>
          <w:trHeight w:val="315"/>
        </w:trPr>
        <w:tc>
          <w:tcPr>
            <w:tcW w:w="2127" w:type="dxa"/>
            <w:tcBorders>
              <w:top w:val="nil"/>
              <w:left w:val="nil"/>
              <w:bottom w:val="single" w:sz="4" w:space="0" w:color="auto"/>
              <w:right w:val="nil"/>
            </w:tcBorders>
            <w:shd w:val="clear" w:color="auto" w:fill="auto"/>
            <w:noWrap/>
            <w:vAlign w:val="center"/>
            <w:hideMark/>
          </w:tcPr>
          <w:p w14:paraId="1447E89C" w14:textId="77777777" w:rsidR="00FA32BF" w:rsidRPr="00F15667" w:rsidRDefault="00FA32BF" w:rsidP="00917F3F">
            <w:pPr>
              <w:spacing w:line="240" w:lineRule="auto"/>
              <w:jc w:val="left"/>
              <w:rPr>
                <w:rFonts w:eastAsia="Times New Roman"/>
                <w:szCs w:val="24"/>
                <w:lang w:eastAsia="cs-CZ"/>
              </w:rPr>
            </w:pPr>
            <w:r w:rsidRPr="00F15667">
              <w:rPr>
                <w:rFonts w:eastAsia="Times New Roman"/>
                <w:szCs w:val="24"/>
                <w:lang w:eastAsia="cs-CZ"/>
              </w:rPr>
              <w:t>KS Brno</w:t>
            </w:r>
          </w:p>
        </w:tc>
        <w:tc>
          <w:tcPr>
            <w:tcW w:w="1275" w:type="dxa"/>
            <w:tcBorders>
              <w:top w:val="nil"/>
              <w:left w:val="nil"/>
              <w:bottom w:val="single" w:sz="4" w:space="0" w:color="auto"/>
              <w:right w:val="nil"/>
            </w:tcBorders>
            <w:shd w:val="clear" w:color="auto" w:fill="auto"/>
            <w:noWrap/>
            <w:vAlign w:val="center"/>
            <w:hideMark/>
          </w:tcPr>
          <w:p w14:paraId="25B35D59" w14:textId="3337D762"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56,85</w:t>
            </w:r>
          </w:p>
        </w:tc>
        <w:tc>
          <w:tcPr>
            <w:tcW w:w="1034" w:type="dxa"/>
            <w:tcBorders>
              <w:top w:val="nil"/>
              <w:left w:val="nil"/>
              <w:bottom w:val="single" w:sz="4" w:space="0" w:color="auto"/>
              <w:right w:val="nil"/>
            </w:tcBorders>
            <w:shd w:val="clear" w:color="auto" w:fill="auto"/>
            <w:noWrap/>
            <w:vAlign w:val="center"/>
            <w:hideMark/>
          </w:tcPr>
          <w:p w14:paraId="6D10ED68" w14:textId="627AA691"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371,91</w:t>
            </w:r>
          </w:p>
        </w:tc>
        <w:tc>
          <w:tcPr>
            <w:tcW w:w="892" w:type="dxa"/>
            <w:tcBorders>
              <w:top w:val="nil"/>
              <w:left w:val="nil"/>
              <w:bottom w:val="single" w:sz="4" w:space="0" w:color="auto"/>
              <w:right w:val="nil"/>
            </w:tcBorders>
            <w:shd w:val="clear" w:color="auto" w:fill="auto"/>
            <w:noWrap/>
            <w:vAlign w:val="center"/>
            <w:hideMark/>
          </w:tcPr>
          <w:p w14:paraId="3D7092F6" w14:textId="593A5815"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1033" w:type="dxa"/>
            <w:tcBorders>
              <w:top w:val="nil"/>
              <w:left w:val="single" w:sz="4" w:space="0" w:color="auto"/>
              <w:bottom w:val="single" w:sz="4" w:space="0" w:color="auto"/>
              <w:right w:val="nil"/>
            </w:tcBorders>
            <w:shd w:val="clear" w:color="auto" w:fill="auto"/>
            <w:noWrap/>
            <w:vAlign w:val="center"/>
            <w:hideMark/>
          </w:tcPr>
          <w:p w14:paraId="22C2BBAA" w14:textId="562E8C36"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357,82</w:t>
            </w:r>
          </w:p>
        </w:tc>
        <w:tc>
          <w:tcPr>
            <w:tcW w:w="892" w:type="dxa"/>
            <w:tcBorders>
              <w:top w:val="nil"/>
              <w:left w:val="nil"/>
              <w:bottom w:val="single" w:sz="4" w:space="0" w:color="auto"/>
              <w:right w:val="single" w:sz="4" w:space="0" w:color="auto"/>
            </w:tcBorders>
            <w:shd w:val="clear" w:color="auto" w:fill="auto"/>
            <w:noWrap/>
            <w:vAlign w:val="center"/>
            <w:hideMark/>
          </w:tcPr>
          <w:p w14:paraId="23A6297F" w14:textId="2E5206AE"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017" w:type="dxa"/>
            <w:tcBorders>
              <w:top w:val="nil"/>
              <w:left w:val="nil"/>
              <w:bottom w:val="single" w:sz="4" w:space="0" w:color="auto"/>
              <w:right w:val="nil"/>
            </w:tcBorders>
            <w:shd w:val="clear" w:color="auto" w:fill="auto"/>
            <w:noWrap/>
            <w:vAlign w:val="center"/>
            <w:hideMark/>
          </w:tcPr>
          <w:p w14:paraId="3892C494" w14:textId="0A6A878A"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124,56</w:t>
            </w:r>
          </w:p>
        </w:tc>
        <w:tc>
          <w:tcPr>
            <w:tcW w:w="892" w:type="dxa"/>
            <w:tcBorders>
              <w:top w:val="nil"/>
              <w:left w:val="nil"/>
              <w:bottom w:val="single" w:sz="4" w:space="0" w:color="auto"/>
              <w:right w:val="nil"/>
            </w:tcBorders>
            <w:shd w:val="clear" w:color="auto" w:fill="auto"/>
            <w:noWrap/>
            <w:vAlign w:val="center"/>
            <w:hideMark/>
          </w:tcPr>
          <w:p w14:paraId="718C3AA1" w14:textId="1BD70E04"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+13 %</w:t>
            </w:r>
          </w:p>
        </w:tc>
      </w:tr>
      <w:tr w:rsidR="00F15667" w:rsidRPr="00F15667" w14:paraId="57853F21" w14:textId="77777777" w:rsidTr="00917F3F">
        <w:trPr>
          <w:trHeight w:val="330"/>
        </w:trPr>
        <w:tc>
          <w:tcPr>
            <w:tcW w:w="2127" w:type="dxa"/>
            <w:tcBorders>
              <w:top w:val="nil"/>
              <w:left w:val="nil"/>
              <w:bottom w:val="double" w:sz="6" w:space="0" w:color="auto"/>
              <w:right w:val="nil"/>
            </w:tcBorders>
            <w:shd w:val="clear" w:color="auto" w:fill="auto"/>
            <w:noWrap/>
            <w:vAlign w:val="center"/>
            <w:hideMark/>
          </w:tcPr>
          <w:p w14:paraId="6B026811" w14:textId="77777777" w:rsidR="00FA32BF" w:rsidRPr="00F15667" w:rsidRDefault="00FA32BF" w:rsidP="00917F3F">
            <w:pPr>
              <w:spacing w:line="240" w:lineRule="auto"/>
              <w:jc w:val="left"/>
              <w:rPr>
                <w:rFonts w:eastAsia="Times New Roman"/>
                <w:szCs w:val="24"/>
                <w:lang w:eastAsia="cs-CZ"/>
              </w:rPr>
            </w:pPr>
            <w:r w:rsidRPr="00F15667">
              <w:rPr>
                <w:rFonts w:eastAsia="Times New Roman"/>
                <w:szCs w:val="24"/>
                <w:lang w:eastAsia="cs-CZ"/>
              </w:rPr>
              <w:t>KS Ostrava</w:t>
            </w:r>
          </w:p>
        </w:tc>
        <w:tc>
          <w:tcPr>
            <w:tcW w:w="1275" w:type="dxa"/>
            <w:tcBorders>
              <w:top w:val="nil"/>
              <w:left w:val="nil"/>
              <w:bottom w:val="double" w:sz="6" w:space="0" w:color="auto"/>
              <w:right w:val="nil"/>
            </w:tcBorders>
            <w:shd w:val="clear" w:color="auto" w:fill="auto"/>
            <w:noWrap/>
            <w:vAlign w:val="center"/>
            <w:hideMark/>
          </w:tcPr>
          <w:p w14:paraId="565F4ADC" w14:textId="78D0D922"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66,75</w:t>
            </w:r>
          </w:p>
        </w:tc>
        <w:tc>
          <w:tcPr>
            <w:tcW w:w="1034" w:type="dxa"/>
            <w:tcBorders>
              <w:top w:val="nil"/>
              <w:left w:val="nil"/>
              <w:bottom w:val="double" w:sz="6" w:space="0" w:color="auto"/>
              <w:right w:val="nil"/>
            </w:tcBorders>
            <w:shd w:val="clear" w:color="auto" w:fill="auto"/>
            <w:noWrap/>
            <w:vAlign w:val="center"/>
            <w:hideMark/>
          </w:tcPr>
          <w:p w14:paraId="20C7CF56" w14:textId="0FD69BFB"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367,36</w:t>
            </w:r>
          </w:p>
        </w:tc>
        <w:tc>
          <w:tcPr>
            <w:tcW w:w="892" w:type="dxa"/>
            <w:tcBorders>
              <w:top w:val="nil"/>
              <w:left w:val="nil"/>
              <w:bottom w:val="double" w:sz="6" w:space="0" w:color="auto"/>
              <w:right w:val="nil"/>
            </w:tcBorders>
            <w:shd w:val="clear" w:color="auto" w:fill="auto"/>
            <w:noWrap/>
            <w:vAlign w:val="center"/>
            <w:hideMark/>
          </w:tcPr>
          <w:p w14:paraId="2C69E1EC" w14:textId="244169E6"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1033" w:type="dxa"/>
            <w:tcBorders>
              <w:top w:val="nil"/>
              <w:left w:val="single" w:sz="4" w:space="0" w:color="auto"/>
              <w:bottom w:val="double" w:sz="6" w:space="0" w:color="auto"/>
              <w:right w:val="nil"/>
            </w:tcBorders>
            <w:shd w:val="clear" w:color="auto" w:fill="auto"/>
            <w:noWrap/>
            <w:vAlign w:val="center"/>
            <w:hideMark/>
          </w:tcPr>
          <w:p w14:paraId="750CDFBE" w14:textId="77DD37D7"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351,13</w:t>
            </w:r>
          </w:p>
        </w:tc>
        <w:tc>
          <w:tcPr>
            <w:tcW w:w="892" w:type="dxa"/>
            <w:tcBorders>
              <w:top w:val="nil"/>
              <w:left w:val="nil"/>
              <w:bottom w:val="double" w:sz="6" w:space="0" w:color="auto"/>
              <w:right w:val="single" w:sz="4" w:space="0" w:color="auto"/>
            </w:tcBorders>
            <w:shd w:val="clear" w:color="auto" w:fill="auto"/>
            <w:noWrap/>
            <w:vAlign w:val="center"/>
            <w:hideMark/>
          </w:tcPr>
          <w:p w14:paraId="09F06108" w14:textId="7C886A1A"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1017" w:type="dxa"/>
            <w:tcBorders>
              <w:top w:val="nil"/>
              <w:left w:val="nil"/>
              <w:bottom w:val="double" w:sz="6" w:space="0" w:color="auto"/>
              <w:right w:val="nil"/>
            </w:tcBorders>
            <w:shd w:val="clear" w:color="auto" w:fill="auto"/>
            <w:noWrap/>
            <w:vAlign w:val="center"/>
            <w:hideMark/>
          </w:tcPr>
          <w:p w14:paraId="65C71DAF" w14:textId="28AB293D" w:rsidR="00FA32BF" w:rsidRPr="00F15667" w:rsidRDefault="00FA32BF" w:rsidP="00917F3F">
            <w:pPr>
              <w:spacing w:line="240" w:lineRule="auto"/>
              <w:jc w:val="center"/>
              <w:rPr>
                <w:rFonts w:eastAsia="Times New Roman"/>
                <w:szCs w:val="24"/>
                <w:lang w:eastAsia="cs-CZ"/>
              </w:rPr>
            </w:pPr>
            <w:r w:rsidRPr="00F15667">
              <w:rPr>
                <w:rFonts w:eastAsia="Times New Roman"/>
                <w:szCs w:val="24"/>
                <w:lang w:eastAsia="cs-CZ"/>
              </w:rPr>
              <w:t>118,13</w:t>
            </w:r>
          </w:p>
        </w:tc>
        <w:tc>
          <w:tcPr>
            <w:tcW w:w="892" w:type="dxa"/>
            <w:tcBorders>
              <w:top w:val="nil"/>
              <w:left w:val="nil"/>
              <w:bottom w:val="double" w:sz="6" w:space="0" w:color="auto"/>
              <w:right w:val="nil"/>
            </w:tcBorders>
            <w:shd w:val="clear" w:color="auto" w:fill="auto"/>
            <w:noWrap/>
            <w:vAlign w:val="center"/>
            <w:hideMark/>
          </w:tcPr>
          <w:p w14:paraId="22CAC21B" w14:textId="185B6793" w:rsidR="00FA32BF" w:rsidRPr="00F15667" w:rsidRDefault="00FA32BF" w:rsidP="00917F3F">
            <w:pPr>
              <w:spacing w:line="240" w:lineRule="auto"/>
              <w:jc w:val="center"/>
              <w:rPr>
                <w:rFonts w:eastAsia="Times New Roman"/>
                <w:sz w:val="20"/>
                <w:szCs w:val="20"/>
                <w:lang w:eastAsia="cs-CZ"/>
              </w:rPr>
            </w:pPr>
            <w:r w:rsidRPr="00F15667">
              <w:rPr>
                <w:rFonts w:eastAsia="Times New Roman"/>
                <w:sz w:val="20"/>
                <w:szCs w:val="20"/>
                <w:lang w:eastAsia="cs-CZ"/>
              </w:rPr>
              <w:t>+16 %</w:t>
            </w:r>
          </w:p>
        </w:tc>
      </w:tr>
      <w:tr w:rsidR="00F15667" w:rsidRPr="00F15667" w14:paraId="1F09F268" w14:textId="77777777" w:rsidTr="00917F3F">
        <w:trPr>
          <w:trHeight w:val="345"/>
        </w:trPr>
        <w:tc>
          <w:tcPr>
            <w:tcW w:w="2127" w:type="dxa"/>
            <w:tcBorders>
              <w:top w:val="nil"/>
              <w:left w:val="nil"/>
              <w:bottom w:val="double" w:sz="6" w:space="0" w:color="auto"/>
              <w:right w:val="nil"/>
            </w:tcBorders>
            <w:shd w:val="clear" w:color="auto" w:fill="auto"/>
            <w:noWrap/>
            <w:vAlign w:val="center"/>
            <w:hideMark/>
          </w:tcPr>
          <w:p w14:paraId="2DD3AD1B" w14:textId="77777777" w:rsidR="00FA32BF" w:rsidRPr="00F15667" w:rsidRDefault="00FA32BF" w:rsidP="00917F3F">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275" w:type="dxa"/>
            <w:tcBorders>
              <w:top w:val="nil"/>
              <w:left w:val="nil"/>
              <w:bottom w:val="double" w:sz="6" w:space="0" w:color="auto"/>
              <w:right w:val="nil"/>
            </w:tcBorders>
            <w:shd w:val="clear" w:color="auto" w:fill="auto"/>
            <w:noWrap/>
            <w:vAlign w:val="center"/>
            <w:hideMark/>
          </w:tcPr>
          <w:p w14:paraId="2CA4AFAA" w14:textId="187D47A4" w:rsidR="00FA32BF" w:rsidRPr="00F15667" w:rsidRDefault="00FA32BF" w:rsidP="00917F3F">
            <w:pPr>
              <w:spacing w:line="240" w:lineRule="auto"/>
              <w:jc w:val="center"/>
              <w:rPr>
                <w:rFonts w:eastAsia="Times New Roman"/>
                <w:b/>
                <w:bCs/>
                <w:szCs w:val="24"/>
                <w:lang w:eastAsia="cs-CZ"/>
              </w:rPr>
            </w:pPr>
            <w:r w:rsidRPr="00F15667">
              <w:rPr>
                <w:rFonts w:eastAsia="Times New Roman"/>
                <w:b/>
                <w:bCs/>
                <w:szCs w:val="24"/>
                <w:lang w:eastAsia="cs-CZ"/>
              </w:rPr>
              <w:t>358,56</w:t>
            </w:r>
          </w:p>
        </w:tc>
        <w:tc>
          <w:tcPr>
            <w:tcW w:w="1034" w:type="dxa"/>
            <w:tcBorders>
              <w:top w:val="nil"/>
              <w:left w:val="nil"/>
              <w:bottom w:val="double" w:sz="6" w:space="0" w:color="auto"/>
              <w:right w:val="nil"/>
            </w:tcBorders>
            <w:shd w:val="clear" w:color="auto" w:fill="auto"/>
            <w:noWrap/>
            <w:vAlign w:val="center"/>
            <w:hideMark/>
          </w:tcPr>
          <w:p w14:paraId="44F3D1D7" w14:textId="31A92C39" w:rsidR="00FA32BF" w:rsidRPr="00F15667" w:rsidRDefault="00FA32BF" w:rsidP="00917F3F">
            <w:pPr>
              <w:spacing w:line="240" w:lineRule="auto"/>
              <w:jc w:val="center"/>
              <w:rPr>
                <w:rFonts w:eastAsia="Times New Roman"/>
                <w:b/>
                <w:bCs/>
                <w:szCs w:val="24"/>
                <w:lang w:eastAsia="cs-CZ"/>
              </w:rPr>
            </w:pPr>
            <w:r w:rsidRPr="00F15667">
              <w:rPr>
                <w:rFonts w:eastAsia="Times New Roman"/>
                <w:b/>
                <w:bCs/>
                <w:szCs w:val="24"/>
                <w:lang w:eastAsia="cs-CZ"/>
              </w:rPr>
              <w:t>374,22</w:t>
            </w:r>
          </w:p>
        </w:tc>
        <w:tc>
          <w:tcPr>
            <w:tcW w:w="892" w:type="dxa"/>
            <w:tcBorders>
              <w:top w:val="nil"/>
              <w:left w:val="nil"/>
              <w:bottom w:val="double" w:sz="6" w:space="0" w:color="auto"/>
              <w:right w:val="nil"/>
            </w:tcBorders>
            <w:shd w:val="clear" w:color="auto" w:fill="auto"/>
            <w:noWrap/>
            <w:vAlign w:val="center"/>
            <w:hideMark/>
          </w:tcPr>
          <w:p w14:paraId="58C61113" w14:textId="05A13D42" w:rsidR="00FA32BF" w:rsidRPr="00F15667" w:rsidRDefault="00FA32BF" w:rsidP="00917F3F">
            <w:pPr>
              <w:spacing w:line="240" w:lineRule="auto"/>
              <w:jc w:val="center"/>
              <w:rPr>
                <w:rFonts w:eastAsia="Times New Roman"/>
                <w:b/>
                <w:bCs/>
                <w:sz w:val="20"/>
                <w:szCs w:val="20"/>
                <w:lang w:eastAsia="cs-CZ"/>
              </w:rPr>
            </w:pPr>
            <w:r w:rsidRPr="00F15667">
              <w:rPr>
                <w:rFonts w:eastAsia="Times New Roman"/>
                <w:b/>
                <w:bCs/>
                <w:sz w:val="20"/>
                <w:szCs w:val="20"/>
                <w:lang w:eastAsia="cs-CZ"/>
              </w:rPr>
              <w:t>+9 %</w:t>
            </w:r>
          </w:p>
        </w:tc>
        <w:tc>
          <w:tcPr>
            <w:tcW w:w="1033" w:type="dxa"/>
            <w:tcBorders>
              <w:top w:val="nil"/>
              <w:left w:val="single" w:sz="4" w:space="0" w:color="auto"/>
              <w:bottom w:val="double" w:sz="6" w:space="0" w:color="auto"/>
              <w:right w:val="nil"/>
            </w:tcBorders>
            <w:shd w:val="clear" w:color="auto" w:fill="auto"/>
            <w:noWrap/>
            <w:vAlign w:val="center"/>
            <w:hideMark/>
          </w:tcPr>
          <w:p w14:paraId="4189FC4A" w14:textId="55793341" w:rsidR="00FA32BF" w:rsidRPr="00F15667" w:rsidRDefault="00FA32BF" w:rsidP="00917F3F">
            <w:pPr>
              <w:spacing w:line="240" w:lineRule="auto"/>
              <w:jc w:val="center"/>
              <w:rPr>
                <w:rFonts w:eastAsia="Times New Roman"/>
                <w:b/>
                <w:bCs/>
                <w:szCs w:val="24"/>
                <w:lang w:eastAsia="cs-CZ"/>
              </w:rPr>
            </w:pPr>
            <w:r w:rsidRPr="00F15667">
              <w:rPr>
                <w:rFonts w:eastAsia="Times New Roman"/>
                <w:b/>
                <w:bCs/>
                <w:szCs w:val="24"/>
                <w:lang w:eastAsia="cs-CZ"/>
              </w:rPr>
              <w:t>368,03</w:t>
            </w:r>
          </w:p>
        </w:tc>
        <w:tc>
          <w:tcPr>
            <w:tcW w:w="892" w:type="dxa"/>
            <w:tcBorders>
              <w:top w:val="nil"/>
              <w:left w:val="nil"/>
              <w:bottom w:val="double" w:sz="6" w:space="0" w:color="auto"/>
              <w:right w:val="single" w:sz="4" w:space="0" w:color="auto"/>
            </w:tcBorders>
            <w:shd w:val="clear" w:color="auto" w:fill="auto"/>
            <w:noWrap/>
            <w:vAlign w:val="center"/>
            <w:hideMark/>
          </w:tcPr>
          <w:p w14:paraId="65A07C6C" w14:textId="15B7D210" w:rsidR="00FA32BF" w:rsidRPr="00F15667" w:rsidRDefault="00FA32BF" w:rsidP="00917F3F">
            <w:pPr>
              <w:spacing w:line="240" w:lineRule="auto"/>
              <w:jc w:val="center"/>
              <w:rPr>
                <w:rFonts w:eastAsia="Times New Roman"/>
                <w:b/>
                <w:bCs/>
                <w:sz w:val="20"/>
                <w:szCs w:val="20"/>
                <w:lang w:eastAsia="cs-CZ"/>
              </w:rPr>
            </w:pPr>
            <w:r w:rsidRPr="00F15667">
              <w:rPr>
                <w:rFonts w:eastAsia="Times New Roman"/>
                <w:b/>
                <w:bCs/>
                <w:sz w:val="20"/>
                <w:szCs w:val="20"/>
                <w:lang w:eastAsia="cs-CZ"/>
              </w:rPr>
              <w:t>+4 %</w:t>
            </w:r>
          </w:p>
        </w:tc>
        <w:tc>
          <w:tcPr>
            <w:tcW w:w="1017" w:type="dxa"/>
            <w:tcBorders>
              <w:top w:val="nil"/>
              <w:left w:val="nil"/>
              <w:bottom w:val="double" w:sz="6" w:space="0" w:color="auto"/>
              <w:right w:val="nil"/>
            </w:tcBorders>
            <w:shd w:val="clear" w:color="auto" w:fill="auto"/>
            <w:noWrap/>
            <w:vAlign w:val="center"/>
            <w:hideMark/>
          </w:tcPr>
          <w:p w14:paraId="58D21765" w14:textId="73DA33CA" w:rsidR="00FA32BF" w:rsidRPr="00F15667" w:rsidRDefault="00FA32BF" w:rsidP="00917F3F">
            <w:pPr>
              <w:spacing w:line="240" w:lineRule="auto"/>
              <w:jc w:val="center"/>
              <w:rPr>
                <w:rFonts w:eastAsia="Times New Roman"/>
                <w:b/>
                <w:bCs/>
                <w:szCs w:val="24"/>
                <w:lang w:eastAsia="cs-CZ"/>
              </w:rPr>
            </w:pPr>
            <w:r w:rsidRPr="00F15667">
              <w:rPr>
                <w:rFonts w:eastAsia="Times New Roman"/>
                <w:b/>
                <w:bCs/>
                <w:szCs w:val="24"/>
                <w:lang w:eastAsia="cs-CZ"/>
              </w:rPr>
              <w:t>104,25</w:t>
            </w:r>
          </w:p>
        </w:tc>
        <w:tc>
          <w:tcPr>
            <w:tcW w:w="892" w:type="dxa"/>
            <w:tcBorders>
              <w:top w:val="nil"/>
              <w:left w:val="nil"/>
              <w:bottom w:val="double" w:sz="6" w:space="0" w:color="auto"/>
              <w:right w:val="nil"/>
            </w:tcBorders>
            <w:shd w:val="clear" w:color="auto" w:fill="auto"/>
            <w:noWrap/>
            <w:vAlign w:val="center"/>
            <w:hideMark/>
          </w:tcPr>
          <w:p w14:paraId="0ED86792" w14:textId="4802756C" w:rsidR="00FA32BF" w:rsidRPr="00F15667" w:rsidRDefault="00FA32BF" w:rsidP="00917F3F">
            <w:pPr>
              <w:spacing w:line="240" w:lineRule="auto"/>
              <w:jc w:val="center"/>
              <w:rPr>
                <w:rFonts w:eastAsia="Times New Roman"/>
                <w:b/>
                <w:bCs/>
                <w:sz w:val="20"/>
                <w:szCs w:val="20"/>
                <w:lang w:eastAsia="cs-CZ"/>
              </w:rPr>
            </w:pPr>
            <w:r w:rsidRPr="00F15667">
              <w:rPr>
                <w:rFonts w:eastAsia="Times New Roman"/>
                <w:b/>
                <w:bCs/>
                <w:sz w:val="20"/>
                <w:szCs w:val="20"/>
                <w:lang w:eastAsia="cs-CZ"/>
              </w:rPr>
              <w:t>+6 %</w:t>
            </w:r>
          </w:p>
        </w:tc>
      </w:tr>
      <w:tr w:rsidR="00917F3F" w:rsidRPr="00F15667" w14:paraId="268A264E" w14:textId="77777777" w:rsidTr="00917F3F">
        <w:trPr>
          <w:trHeight w:val="345"/>
        </w:trPr>
        <w:tc>
          <w:tcPr>
            <w:tcW w:w="2127" w:type="dxa"/>
            <w:tcBorders>
              <w:top w:val="double" w:sz="6" w:space="0" w:color="auto"/>
              <w:left w:val="nil"/>
            </w:tcBorders>
            <w:shd w:val="clear" w:color="auto" w:fill="auto"/>
            <w:noWrap/>
            <w:vAlign w:val="center"/>
          </w:tcPr>
          <w:p w14:paraId="5D9178E5" w14:textId="77777777" w:rsidR="00917F3F" w:rsidRPr="00F15667" w:rsidRDefault="00917F3F" w:rsidP="00917F3F">
            <w:pPr>
              <w:spacing w:line="240" w:lineRule="auto"/>
              <w:jc w:val="center"/>
              <w:rPr>
                <w:rFonts w:eastAsia="Times New Roman"/>
                <w:b/>
                <w:bCs/>
                <w:szCs w:val="24"/>
                <w:lang w:eastAsia="cs-CZ"/>
              </w:rPr>
            </w:pPr>
          </w:p>
        </w:tc>
        <w:tc>
          <w:tcPr>
            <w:tcW w:w="1275" w:type="dxa"/>
            <w:tcBorders>
              <w:top w:val="double" w:sz="6" w:space="0" w:color="auto"/>
            </w:tcBorders>
            <w:shd w:val="clear" w:color="auto" w:fill="auto"/>
            <w:noWrap/>
            <w:vAlign w:val="center"/>
          </w:tcPr>
          <w:p w14:paraId="30D7DB29" w14:textId="77777777" w:rsidR="00917F3F" w:rsidRPr="00F15667" w:rsidRDefault="00917F3F" w:rsidP="00917F3F">
            <w:pPr>
              <w:spacing w:line="240" w:lineRule="auto"/>
              <w:jc w:val="center"/>
              <w:rPr>
                <w:rFonts w:eastAsia="Times New Roman"/>
                <w:b/>
                <w:bCs/>
                <w:szCs w:val="24"/>
                <w:lang w:eastAsia="cs-CZ"/>
              </w:rPr>
            </w:pPr>
          </w:p>
        </w:tc>
        <w:tc>
          <w:tcPr>
            <w:tcW w:w="1034" w:type="dxa"/>
            <w:tcBorders>
              <w:top w:val="double" w:sz="6" w:space="0" w:color="auto"/>
            </w:tcBorders>
            <w:shd w:val="clear" w:color="auto" w:fill="auto"/>
            <w:noWrap/>
            <w:vAlign w:val="center"/>
          </w:tcPr>
          <w:p w14:paraId="63FF71EF" w14:textId="77777777" w:rsidR="00917F3F" w:rsidRPr="00F15667" w:rsidRDefault="00917F3F" w:rsidP="00917F3F">
            <w:pPr>
              <w:spacing w:line="240" w:lineRule="auto"/>
              <w:jc w:val="center"/>
              <w:rPr>
                <w:rFonts w:eastAsia="Times New Roman"/>
                <w:b/>
                <w:bCs/>
                <w:szCs w:val="24"/>
                <w:lang w:eastAsia="cs-CZ"/>
              </w:rPr>
            </w:pPr>
          </w:p>
        </w:tc>
        <w:tc>
          <w:tcPr>
            <w:tcW w:w="892" w:type="dxa"/>
            <w:tcBorders>
              <w:top w:val="double" w:sz="6" w:space="0" w:color="auto"/>
            </w:tcBorders>
            <w:shd w:val="clear" w:color="auto" w:fill="auto"/>
            <w:noWrap/>
            <w:vAlign w:val="center"/>
          </w:tcPr>
          <w:p w14:paraId="59C2C6F3" w14:textId="77777777" w:rsidR="00917F3F" w:rsidRPr="00F15667" w:rsidRDefault="00917F3F" w:rsidP="00917F3F">
            <w:pPr>
              <w:spacing w:line="240" w:lineRule="auto"/>
              <w:jc w:val="center"/>
              <w:rPr>
                <w:rFonts w:eastAsia="Times New Roman"/>
                <w:b/>
                <w:bCs/>
                <w:sz w:val="20"/>
                <w:szCs w:val="20"/>
                <w:lang w:eastAsia="cs-CZ"/>
              </w:rPr>
            </w:pPr>
          </w:p>
        </w:tc>
        <w:tc>
          <w:tcPr>
            <w:tcW w:w="1033" w:type="dxa"/>
            <w:tcBorders>
              <w:top w:val="double" w:sz="6" w:space="0" w:color="auto"/>
            </w:tcBorders>
            <w:shd w:val="clear" w:color="auto" w:fill="auto"/>
            <w:noWrap/>
            <w:vAlign w:val="center"/>
          </w:tcPr>
          <w:p w14:paraId="20572C0D" w14:textId="77777777" w:rsidR="00917F3F" w:rsidRPr="00F15667" w:rsidRDefault="00917F3F" w:rsidP="00917F3F">
            <w:pPr>
              <w:spacing w:line="240" w:lineRule="auto"/>
              <w:jc w:val="center"/>
              <w:rPr>
                <w:rFonts w:eastAsia="Times New Roman"/>
                <w:b/>
                <w:bCs/>
                <w:szCs w:val="24"/>
                <w:lang w:eastAsia="cs-CZ"/>
              </w:rPr>
            </w:pPr>
          </w:p>
        </w:tc>
        <w:tc>
          <w:tcPr>
            <w:tcW w:w="892" w:type="dxa"/>
            <w:tcBorders>
              <w:top w:val="double" w:sz="6" w:space="0" w:color="auto"/>
            </w:tcBorders>
            <w:shd w:val="clear" w:color="auto" w:fill="auto"/>
            <w:noWrap/>
            <w:vAlign w:val="center"/>
          </w:tcPr>
          <w:p w14:paraId="4B41A50C" w14:textId="77777777" w:rsidR="00917F3F" w:rsidRPr="00F15667" w:rsidRDefault="00917F3F" w:rsidP="00917F3F">
            <w:pPr>
              <w:spacing w:line="240" w:lineRule="auto"/>
              <w:jc w:val="center"/>
              <w:rPr>
                <w:rFonts w:eastAsia="Times New Roman"/>
                <w:b/>
                <w:bCs/>
                <w:sz w:val="20"/>
                <w:szCs w:val="20"/>
                <w:lang w:eastAsia="cs-CZ"/>
              </w:rPr>
            </w:pPr>
          </w:p>
        </w:tc>
        <w:tc>
          <w:tcPr>
            <w:tcW w:w="1017" w:type="dxa"/>
            <w:tcBorders>
              <w:top w:val="double" w:sz="6" w:space="0" w:color="auto"/>
            </w:tcBorders>
            <w:shd w:val="clear" w:color="auto" w:fill="auto"/>
            <w:noWrap/>
            <w:vAlign w:val="center"/>
          </w:tcPr>
          <w:p w14:paraId="30658B49" w14:textId="77777777" w:rsidR="00917F3F" w:rsidRPr="00F15667" w:rsidRDefault="00917F3F" w:rsidP="00917F3F">
            <w:pPr>
              <w:spacing w:line="240" w:lineRule="auto"/>
              <w:jc w:val="center"/>
              <w:rPr>
                <w:rFonts w:eastAsia="Times New Roman"/>
                <w:b/>
                <w:bCs/>
                <w:szCs w:val="24"/>
                <w:lang w:eastAsia="cs-CZ"/>
              </w:rPr>
            </w:pPr>
          </w:p>
        </w:tc>
        <w:tc>
          <w:tcPr>
            <w:tcW w:w="892" w:type="dxa"/>
            <w:tcBorders>
              <w:top w:val="double" w:sz="6" w:space="0" w:color="auto"/>
              <w:right w:val="nil"/>
            </w:tcBorders>
            <w:shd w:val="clear" w:color="auto" w:fill="auto"/>
            <w:noWrap/>
            <w:vAlign w:val="center"/>
          </w:tcPr>
          <w:p w14:paraId="429D45C3" w14:textId="77777777" w:rsidR="00917F3F" w:rsidRPr="00F15667" w:rsidRDefault="00917F3F" w:rsidP="00917F3F">
            <w:pPr>
              <w:spacing w:line="240" w:lineRule="auto"/>
              <w:jc w:val="center"/>
              <w:rPr>
                <w:rFonts w:eastAsia="Times New Roman"/>
                <w:b/>
                <w:bCs/>
                <w:sz w:val="20"/>
                <w:szCs w:val="20"/>
                <w:lang w:eastAsia="cs-CZ"/>
              </w:rPr>
            </w:pPr>
          </w:p>
        </w:tc>
      </w:tr>
    </w:tbl>
    <w:p w14:paraId="54BFC752" w14:textId="6378CF92" w:rsidR="00CA48BD" w:rsidRPr="00F15667" w:rsidRDefault="00CA48BD" w:rsidP="00CA48BD">
      <w:bookmarkStart w:id="472" w:name="_Hlk160454252"/>
      <w:r w:rsidRPr="00F15667">
        <w:t xml:space="preserve">Změny oproti předchozímu roku vyplývají </w:t>
      </w:r>
      <w:r w:rsidR="003E0798" w:rsidRPr="00F15667">
        <w:t>spíše</w:t>
      </w:r>
      <w:r w:rsidRPr="00F15667">
        <w:t xml:space="preserve"> ze změn v počtu </w:t>
      </w:r>
      <w:r w:rsidR="003E0798" w:rsidRPr="00F15667">
        <w:t>příchozích, vyřízených a</w:t>
      </w:r>
      <w:r w:rsidR="00917F3F">
        <w:t> </w:t>
      </w:r>
      <w:r w:rsidRPr="00F15667">
        <w:t>nevyřízených věcí</w:t>
      </w:r>
      <w:r w:rsidR="003E0798" w:rsidRPr="00F15667">
        <w:t>, protože c</w:t>
      </w:r>
      <w:r w:rsidRPr="00F15667">
        <w:t>elorepublikově zůstal počet soudců v </w:t>
      </w:r>
      <w:r w:rsidR="003E0798" w:rsidRPr="00F15667">
        <w:t>téměř</w:t>
      </w:r>
      <w:r w:rsidRPr="00F15667">
        <w:t xml:space="preserve"> stejný. K menším změnám došlo na úrovni krajů a samozřejmě na úrovni jednotlivých okresních soudů.</w:t>
      </w:r>
    </w:p>
    <w:p w14:paraId="4B57E990" w14:textId="30825AEF" w:rsidR="00340ACB" w:rsidRPr="00F15667" w:rsidRDefault="00340ACB" w:rsidP="00340ACB">
      <w:pPr>
        <w:pStyle w:val="Podnadpis"/>
        <w:rPr>
          <w:color w:val="auto"/>
        </w:rPr>
      </w:pPr>
      <w:bookmarkStart w:id="473" w:name="_Toc43841419"/>
      <w:bookmarkStart w:id="474" w:name="_Toc75952223"/>
      <w:bookmarkStart w:id="475" w:name="_Toc106106675"/>
      <w:bookmarkStart w:id="476" w:name="_Toc109801999"/>
      <w:bookmarkStart w:id="477" w:name="_Toc144104150"/>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38</w:t>
      </w:r>
      <w:r w:rsidR="009A10E2" w:rsidRPr="00F15667">
        <w:rPr>
          <w:color w:val="auto"/>
        </w:rPr>
        <w:fldChar w:fldCharType="end"/>
      </w:r>
      <w:r w:rsidRPr="00F15667">
        <w:rPr>
          <w:color w:val="auto"/>
        </w:rPr>
        <w:t>: OS – počet nevyříz. opatrov. věcí na úvaz</w:t>
      </w:r>
      <w:r w:rsidR="00917F3F">
        <w:rPr>
          <w:color w:val="auto"/>
        </w:rPr>
        <w:t>ek</w:t>
      </w:r>
      <w:r w:rsidRPr="00F15667">
        <w:rPr>
          <w:color w:val="auto"/>
        </w:rPr>
        <w:t xml:space="preserve"> u </w:t>
      </w:r>
      <w:bookmarkEnd w:id="473"/>
      <w:bookmarkEnd w:id="474"/>
      <w:bookmarkEnd w:id="475"/>
      <w:bookmarkEnd w:id="476"/>
      <w:r w:rsidR="00DF657F" w:rsidRPr="00F15667">
        <w:rPr>
          <w:color w:val="auto"/>
        </w:rPr>
        <w:t>jednotlivých</w:t>
      </w:r>
      <w:r w:rsidR="00DF657F" w:rsidRPr="00F15667">
        <w:rPr>
          <w:b w:val="0"/>
          <w:iCs w:val="0"/>
          <w:color w:val="auto"/>
        </w:rPr>
        <w:t xml:space="preserve"> </w:t>
      </w:r>
      <w:r w:rsidR="00DF657F" w:rsidRPr="00F15667">
        <w:rPr>
          <w:color w:val="auto"/>
        </w:rPr>
        <w:t>soudů</w:t>
      </w:r>
      <w:bookmarkEnd w:id="477"/>
    </w:p>
    <w:bookmarkEnd w:id="472"/>
    <w:p w14:paraId="0E680426" w14:textId="6BCD3080" w:rsidR="008152A8" w:rsidRPr="00F15667" w:rsidRDefault="00FE230F" w:rsidP="00917F3F">
      <w:pPr>
        <w:pStyle w:val="OdstavecASR"/>
      </w:pPr>
      <w:r w:rsidRPr="00F15667">
        <w:rPr>
          <w:noProof/>
          <w:lang w:eastAsia="cs-CZ"/>
        </w:rPr>
        <w:drawing>
          <wp:anchor distT="0" distB="0" distL="114300" distR="114300" simplePos="0" relativeHeight="251676672" behindDoc="0" locked="0" layoutInCell="1" allowOverlap="1" wp14:anchorId="44DE037E" wp14:editId="28AA3506">
            <wp:simplePos x="0" y="0"/>
            <wp:positionH relativeFrom="margin">
              <wp:posOffset>4476750</wp:posOffset>
            </wp:positionH>
            <wp:positionV relativeFrom="paragraph">
              <wp:posOffset>49530</wp:posOffset>
            </wp:positionV>
            <wp:extent cx="1257300" cy="914400"/>
            <wp:effectExtent l="0" t="0" r="0" b="0"/>
            <wp:wrapNone/>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573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52A8" w:rsidRPr="00F15667">
        <w:rPr>
          <w:noProof/>
          <w:lang w:eastAsia="cs-CZ"/>
        </w:rPr>
        <w:drawing>
          <wp:inline distT="0" distB="0" distL="0" distR="0" wp14:anchorId="54AF14B2" wp14:editId="67D9895F">
            <wp:extent cx="5759450" cy="3296285"/>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4488263B" w14:textId="17B62E2F" w:rsidR="00773FBF" w:rsidRPr="00F15667" w:rsidRDefault="00773FBF" w:rsidP="00773FBF">
      <w:bookmarkStart w:id="478" w:name="_Hlk160455262"/>
      <w:r w:rsidRPr="00F15667">
        <w:t xml:space="preserve">Pokud jde o nevyřízené věci na soudce, nejlépe jsou na tom (obdobně jako u délek řízení) OS spadající pod KS České Budějovice. Celkově je ale situace poměrně vyrovnaná. Z jednotlivých soudů jsou pak na tom nejlépe </w:t>
      </w:r>
      <w:r w:rsidR="00FE230F" w:rsidRPr="00F15667">
        <w:t>Ústí nad Orlicí</w:t>
      </w:r>
      <w:r w:rsidRPr="00F15667">
        <w:t xml:space="preserve"> (</w:t>
      </w:r>
      <w:r w:rsidR="00FE230F" w:rsidRPr="00F15667">
        <w:t>50</w:t>
      </w:r>
      <w:r w:rsidRPr="00F15667">
        <w:t xml:space="preserve">), </w:t>
      </w:r>
      <w:r w:rsidR="00FE230F" w:rsidRPr="00F15667">
        <w:t>Svitavy</w:t>
      </w:r>
      <w:r w:rsidRPr="00F15667">
        <w:t xml:space="preserve"> </w:t>
      </w:r>
      <w:r w:rsidR="00FE230F" w:rsidRPr="00F15667">
        <w:t xml:space="preserve">(53) </w:t>
      </w:r>
      <w:r w:rsidRPr="00F15667">
        <w:t>a </w:t>
      </w:r>
      <w:r w:rsidR="00FE230F" w:rsidRPr="00F15667">
        <w:t>Praha 2</w:t>
      </w:r>
      <w:r w:rsidRPr="00F15667">
        <w:t xml:space="preserve"> (</w:t>
      </w:r>
      <w:r w:rsidR="00FE230F" w:rsidRPr="00F15667">
        <w:t>57</w:t>
      </w:r>
      <w:r w:rsidRPr="00F15667">
        <w:t xml:space="preserve">). </w:t>
      </w:r>
      <w:r w:rsidR="00FE230F" w:rsidRPr="00F15667">
        <w:t xml:space="preserve">Nejvyšší počet věcí na soudce naopak vykazují </w:t>
      </w:r>
      <w:r w:rsidR="00674A6A">
        <w:t>Brno</w:t>
      </w:r>
      <w:r w:rsidR="00FE230F" w:rsidRPr="00F15667">
        <w:t xml:space="preserve"> (22</w:t>
      </w:r>
      <w:r w:rsidR="00674A6A">
        <w:t>9</w:t>
      </w:r>
      <w:r w:rsidR="00FE230F" w:rsidRPr="00F15667">
        <w:t>), Cheb (</w:t>
      </w:r>
      <w:r w:rsidR="00674A6A">
        <w:t>207</w:t>
      </w:r>
      <w:r w:rsidR="00FE230F" w:rsidRPr="00F15667">
        <w:t>) a Hodonín (</w:t>
      </w:r>
      <w:r w:rsidR="00674A6A">
        <w:t>203</w:t>
      </w:r>
      <w:r w:rsidR="00FE230F" w:rsidRPr="00F15667">
        <w:t>).</w:t>
      </w:r>
    </w:p>
    <w:p w14:paraId="58F24227" w14:textId="1501B5CF" w:rsidR="008430BD" w:rsidRPr="00F15667" w:rsidRDefault="008430BD" w:rsidP="004F2E3F">
      <w:pPr>
        <w:pStyle w:val="Nadpis3"/>
        <w:numPr>
          <w:ilvl w:val="2"/>
          <w:numId w:val="1"/>
        </w:numPr>
        <w:rPr>
          <w:color w:val="auto"/>
        </w:rPr>
      </w:pPr>
      <w:bookmarkStart w:id="479" w:name="_Toc515871369"/>
      <w:bookmarkStart w:id="480" w:name="_Toc106092741"/>
      <w:bookmarkStart w:id="481" w:name="_Toc144104358"/>
      <w:bookmarkEnd w:id="478"/>
      <w:r w:rsidRPr="00F15667">
        <w:rPr>
          <w:color w:val="auto"/>
        </w:rPr>
        <w:lastRenderedPageBreak/>
        <w:t>Disposition time (dispoziční čas)</w:t>
      </w:r>
      <w:bookmarkStart w:id="482" w:name="_Toc43931204"/>
      <w:bookmarkEnd w:id="479"/>
      <w:bookmarkEnd w:id="480"/>
      <w:bookmarkEnd w:id="481"/>
    </w:p>
    <w:p w14:paraId="19AF3FC6" w14:textId="16595F44" w:rsidR="00A020B4" w:rsidRPr="00F15667" w:rsidRDefault="00A020B4" w:rsidP="00A020B4">
      <w:pPr>
        <w:pStyle w:val="OdstavecASR"/>
      </w:pPr>
      <w:r w:rsidRPr="00F15667">
        <w:t>V roce 2014 je patrný obrovský nárůst DT. Ten byl způsoben výše popsaným velkým nárůstem v počtu nevyřízených věcí spojený s nabytím účinnosti nového občanského zákoníku od 1. 1. 2014. Počet vyřízených věcí vzrostl méně, což vedlo k nárůstu DT. V roce 2015 vzrostl výrazněji počet vyřízených věcí, takže DT klesl. V roce 2016 pak klesl nápad a tím i nevyřízené věci. Došlo tedy k poklesu DT na úroveň roku 2014. V roce 2017 poklesl počet vyřízených i nevyřízených věcí asi o 12 %. DT tím pádem zůstal stejný jako v roce 2016. V roce 2018 se vyřídilo více věcí než v roce 2017, přičemž počet nevyřízených věcí příliš neklesal – výsledkem byla do té doby nejlepší hodnota DT. V roce 2019 došlo spíše ke kosmetickému nárůstu na 106 – vzrostl počet nevyřízených i vyřízených věcí a nárůst v počtu nevyřízených věcí velmi mírně převýšil nárůst v počtu věcí vyřízených. V roce 2020 DT o 9 dnů narostl v důsledku poklesu počtu vyřízených věcí. V roce 2021 klesl DT na nejnižší hodnotu (101) od roku 2008, což plyne z citelného poklesu v počtu nevyřízených věcí.</w:t>
      </w:r>
      <w:r w:rsidR="000B381E" w:rsidRPr="00F15667">
        <w:t xml:space="preserve"> V roce 2022 vzrostl počet vyřízených i nevyřízených </w:t>
      </w:r>
      <w:r w:rsidR="00263DAF" w:rsidRPr="00F15667">
        <w:t>věcí,</w:t>
      </w:r>
      <w:r w:rsidR="000B381E" w:rsidRPr="00F15667">
        <w:t xml:space="preserve"> a to tím způsobem, že to vedlo k nepatrnému zvýšení DT.</w:t>
      </w:r>
    </w:p>
    <w:p w14:paraId="4E34855D" w14:textId="3709494F" w:rsidR="002714F6" w:rsidRPr="00F15667" w:rsidRDefault="002714F6" w:rsidP="002714F6">
      <w:pPr>
        <w:pStyle w:val="Podnadpis"/>
        <w:numPr>
          <w:ilvl w:val="0"/>
          <w:numId w:val="0"/>
        </w:numPr>
        <w:rPr>
          <w:color w:val="auto"/>
        </w:rPr>
      </w:pPr>
      <w:bookmarkStart w:id="483" w:name="_Toc43841420"/>
      <w:bookmarkStart w:id="484" w:name="_Toc75952224"/>
      <w:bookmarkStart w:id="485" w:name="_Toc106106676"/>
      <w:bookmarkStart w:id="486" w:name="_Toc144104151"/>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39</w:t>
      </w:r>
      <w:r w:rsidR="009A10E2" w:rsidRPr="00F15667">
        <w:rPr>
          <w:color w:val="auto"/>
        </w:rPr>
        <w:fldChar w:fldCharType="end"/>
      </w:r>
      <w:r w:rsidRPr="00F15667">
        <w:rPr>
          <w:color w:val="auto"/>
        </w:rPr>
        <w:t>: OS – disposition time v opatrovnické agendě v letech 2008–20</w:t>
      </w:r>
      <w:bookmarkEnd w:id="483"/>
      <w:r w:rsidRPr="00F15667">
        <w:rPr>
          <w:color w:val="auto"/>
        </w:rPr>
        <w:t>2</w:t>
      </w:r>
      <w:bookmarkEnd w:id="484"/>
      <w:bookmarkEnd w:id="485"/>
      <w:r w:rsidR="001E5E45" w:rsidRPr="00F15667">
        <w:rPr>
          <w:color w:val="auto"/>
        </w:rPr>
        <w:t>2</w:t>
      </w:r>
      <w:bookmarkEnd w:id="486"/>
    </w:p>
    <w:p w14:paraId="57F155FA" w14:textId="35DEB0D8" w:rsidR="00FA32BF" w:rsidRDefault="002714F6" w:rsidP="002E09CF">
      <w:pPr>
        <w:pStyle w:val="OdstavecASR"/>
      </w:pPr>
      <w:r w:rsidRPr="00F15667">
        <w:rPr>
          <w:noProof/>
          <w:lang w:eastAsia="cs-CZ"/>
        </w:rPr>
        <w:drawing>
          <wp:inline distT="0" distB="0" distL="0" distR="0" wp14:anchorId="1B4E5DA9" wp14:editId="44993EB4">
            <wp:extent cx="5029200" cy="3657600"/>
            <wp:effectExtent l="0" t="0" r="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B33180D" w14:textId="1717C125" w:rsidR="002E09CF" w:rsidRDefault="002E09CF">
      <w:pPr>
        <w:spacing w:after="160" w:line="259" w:lineRule="auto"/>
        <w:jc w:val="left"/>
      </w:pPr>
      <w:r>
        <w:br w:type="page"/>
      </w:r>
    </w:p>
    <w:p w14:paraId="539B48ED" w14:textId="52B1E61D" w:rsidR="00706448" w:rsidRPr="00F15667" w:rsidRDefault="00706448" w:rsidP="00706448">
      <w:pPr>
        <w:pStyle w:val="Podnadpis"/>
        <w:rPr>
          <w:color w:val="auto"/>
        </w:rPr>
      </w:pPr>
      <w:bookmarkStart w:id="487" w:name="_Toc144104272"/>
      <w:bookmarkStart w:id="488" w:name="_Hlk128573144"/>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33</w:t>
      </w:r>
      <w:r w:rsidRPr="00F15667">
        <w:rPr>
          <w:noProof/>
          <w:color w:val="auto"/>
        </w:rPr>
        <w:fldChar w:fldCharType="end"/>
      </w:r>
      <w:r w:rsidRPr="00F15667">
        <w:rPr>
          <w:color w:val="auto"/>
        </w:rPr>
        <w:t>: OS – disposition time v opatrovnické agendě dle krajů</w:t>
      </w:r>
      <w:bookmarkEnd w:id="487"/>
    </w:p>
    <w:tbl>
      <w:tblPr>
        <w:tblW w:w="5812" w:type="dxa"/>
        <w:tblCellMar>
          <w:left w:w="70" w:type="dxa"/>
          <w:right w:w="70" w:type="dxa"/>
        </w:tblCellMar>
        <w:tblLook w:val="04A0" w:firstRow="1" w:lastRow="0" w:firstColumn="1" w:lastColumn="0" w:noHBand="0" w:noVBand="1"/>
      </w:tblPr>
      <w:tblGrid>
        <w:gridCol w:w="2780"/>
        <w:gridCol w:w="1756"/>
        <w:gridCol w:w="1276"/>
      </w:tblGrid>
      <w:tr w:rsidR="00F15667" w:rsidRPr="00F15667" w14:paraId="4D025484" w14:textId="77777777" w:rsidTr="002E09CF">
        <w:trPr>
          <w:trHeight w:val="345"/>
        </w:trPr>
        <w:tc>
          <w:tcPr>
            <w:tcW w:w="2780" w:type="dxa"/>
            <w:tcBorders>
              <w:top w:val="double" w:sz="6" w:space="0" w:color="auto"/>
              <w:left w:val="nil"/>
              <w:bottom w:val="double" w:sz="6" w:space="0" w:color="auto"/>
              <w:right w:val="nil"/>
            </w:tcBorders>
            <w:shd w:val="clear" w:color="auto" w:fill="auto"/>
            <w:noWrap/>
            <w:vAlign w:val="center"/>
            <w:hideMark/>
          </w:tcPr>
          <w:bookmarkEnd w:id="488"/>
          <w:p w14:paraId="57486B32" w14:textId="77777777" w:rsidR="00706448" w:rsidRPr="00F15667" w:rsidRDefault="00706448" w:rsidP="002E09CF">
            <w:pPr>
              <w:spacing w:line="240" w:lineRule="auto"/>
              <w:jc w:val="center"/>
              <w:rPr>
                <w:rFonts w:eastAsia="Times New Roman"/>
                <w:b/>
                <w:bCs/>
                <w:szCs w:val="24"/>
                <w:lang w:eastAsia="cs-CZ"/>
              </w:rPr>
            </w:pPr>
            <w:r w:rsidRPr="00F15667">
              <w:rPr>
                <w:rFonts w:eastAsia="Times New Roman"/>
                <w:b/>
                <w:bCs/>
                <w:szCs w:val="24"/>
                <w:lang w:eastAsia="cs-CZ"/>
              </w:rPr>
              <w:t>Nadřízený soud</w:t>
            </w:r>
          </w:p>
        </w:tc>
        <w:tc>
          <w:tcPr>
            <w:tcW w:w="3032" w:type="dxa"/>
            <w:gridSpan w:val="2"/>
            <w:tcBorders>
              <w:top w:val="double" w:sz="6" w:space="0" w:color="auto"/>
              <w:left w:val="nil"/>
              <w:bottom w:val="double" w:sz="6" w:space="0" w:color="auto"/>
              <w:right w:val="nil"/>
            </w:tcBorders>
            <w:shd w:val="clear" w:color="auto" w:fill="auto"/>
            <w:noWrap/>
            <w:vAlign w:val="center"/>
            <w:hideMark/>
          </w:tcPr>
          <w:p w14:paraId="104548B0" w14:textId="77777777" w:rsidR="00706448" w:rsidRPr="00F15667" w:rsidRDefault="00706448" w:rsidP="002E09CF">
            <w:pPr>
              <w:spacing w:line="240" w:lineRule="auto"/>
              <w:jc w:val="center"/>
              <w:rPr>
                <w:rFonts w:eastAsia="Times New Roman"/>
                <w:b/>
                <w:bCs/>
                <w:szCs w:val="24"/>
                <w:lang w:eastAsia="cs-CZ"/>
              </w:rPr>
            </w:pPr>
            <w:r w:rsidRPr="00F15667">
              <w:rPr>
                <w:rFonts w:eastAsia="Times New Roman"/>
                <w:b/>
                <w:bCs/>
                <w:szCs w:val="24"/>
                <w:lang w:eastAsia="cs-CZ"/>
              </w:rPr>
              <w:t>Disposition time</w:t>
            </w:r>
          </w:p>
        </w:tc>
      </w:tr>
      <w:tr w:rsidR="00F15667" w:rsidRPr="00F15667" w14:paraId="23C84ADA" w14:textId="77777777" w:rsidTr="002E09CF">
        <w:trPr>
          <w:trHeight w:val="330"/>
        </w:trPr>
        <w:tc>
          <w:tcPr>
            <w:tcW w:w="2780" w:type="dxa"/>
            <w:tcBorders>
              <w:top w:val="nil"/>
              <w:left w:val="nil"/>
              <w:bottom w:val="single" w:sz="4" w:space="0" w:color="auto"/>
              <w:right w:val="nil"/>
            </w:tcBorders>
            <w:shd w:val="clear" w:color="auto" w:fill="auto"/>
            <w:noWrap/>
            <w:vAlign w:val="center"/>
            <w:hideMark/>
          </w:tcPr>
          <w:p w14:paraId="6D7117DA" w14:textId="77777777" w:rsidR="00706448" w:rsidRPr="00F15667" w:rsidRDefault="00706448" w:rsidP="002E09CF">
            <w:pPr>
              <w:spacing w:line="240" w:lineRule="auto"/>
              <w:jc w:val="left"/>
              <w:rPr>
                <w:rFonts w:eastAsia="Times New Roman"/>
                <w:szCs w:val="24"/>
                <w:lang w:eastAsia="cs-CZ"/>
              </w:rPr>
            </w:pPr>
            <w:r w:rsidRPr="00F15667">
              <w:rPr>
                <w:rFonts w:eastAsia="Times New Roman"/>
                <w:szCs w:val="24"/>
                <w:lang w:eastAsia="cs-CZ"/>
              </w:rPr>
              <w:t>MS Praha</w:t>
            </w:r>
          </w:p>
        </w:tc>
        <w:tc>
          <w:tcPr>
            <w:tcW w:w="1756" w:type="dxa"/>
            <w:tcBorders>
              <w:top w:val="nil"/>
              <w:left w:val="nil"/>
              <w:bottom w:val="single" w:sz="4" w:space="0" w:color="auto"/>
              <w:right w:val="nil"/>
            </w:tcBorders>
            <w:shd w:val="clear" w:color="auto" w:fill="auto"/>
            <w:noWrap/>
            <w:vAlign w:val="center"/>
            <w:hideMark/>
          </w:tcPr>
          <w:p w14:paraId="26AD0679" w14:textId="77777777" w:rsidR="00706448" w:rsidRPr="00F15667" w:rsidRDefault="00706448" w:rsidP="002E09CF">
            <w:pPr>
              <w:spacing w:line="240" w:lineRule="auto"/>
              <w:jc w:val="center"/>
              <w:rPr>
                <w:rFonts w:eastAsia="Times New Roman"/>
                <w:szCs w:val="24"/>
                <w:lang w:eastAsia="cs-CZ"/>
              </w:rPr>
            </w:pPr>
            <w:r w:rsidRPr="00F15667">
              <w:rPr>
                <w:rFonts w:eastAsia="Times New Roman"/>
                <w:szCs w:val="24"/>
                <w:lang w:eastAsia="cs-CZ"/>
              </w:rPr>
              <w:t>90</w:t>
            </w:r>
          </w:p>
        </w:tc>
        <w:tc>
          <w:tcPr>
            <w:tcW w:w="1276" w:type="dxa"/>
            <w:tcBorders>
              <w:top w:val="nil"/>
              <w:left w:val="nil"/>
              <w:bottom w:val="single" w:sz="4" w:space="0" w:color="auto"/>
              <w:right w:val="nil"/>
            </w:tcBorders>
            <w:shd w:val="clear" w:color="auto" w:fill="auto"/>
            <w:noWrap/>
            <w:vAlign w:val="center"/>
            <w:hideMark/>
          </w:tcPr>
          <w:p w14:paraId="56DE2899" w14:textId="0D6ED3CA" w:rsidR="00706448" w:rsidRPr="00F15667" w:rsidRDefault="00706448" w:rsidP="002E09CF">
            <w:pPr>
              <w:spacing w:line="240" w:lineRule="auto"/>
              <w:jc w:val="center"/>
              <w:rPr>
                <w:rFonts w:eastAsia="Times New Roman"/>
                <w:sz w:val="20"/>
                <w:szCs w:val="20"/>
                <w:lang w:eastAsia="cs-CZ"/>
              </w:rPr>
            </w:pPr>
            <w:r w:rsidRPr="00F15667">
              <w:rPr>
                <w:rFonts w:eastAsia="Times New Roman"/>
                <w:sz w:val="20"/>
                <w:szCs w:val="20"/>
                <w:lang w:eastAsia="cs-CZ"/>
              </w:rPr>
              <w:t>-11 %</w:t>
            </w:r>
          </w:p>
        </w:tc>
      </w:tr>
      <w:tr w:rsidR="00F15667" w:rsidRPr="00F15667" w14:paraId="1DFE485D" w14:textId="77777777" w:rsidTr="002E09CF">
        <w:trPr>
          <w:trHeight w:val="315"/>
        </w:trPr>
        <w:tc>
          <w:tcPr>
            <w:tcW w:w="2780" w:type="dxa"/>
            <w:tcBorders>
              <w:top w:val="nil"/>
              <w:left w:val="nil"/>
              <w:bottom w:val="single" w:sz="4" w:space="0" w:color="auto"/>
              <w:right w:val="nil"/>
            </w:tcBorders>
            <w:shd w:val="clear" w:color="auto" w:fill="auto"/>
            <w:noWrap/>
            <w:vAlign w:val="center"/>
            <w:hideMark/>
          </w:tcPr>
          <w:p w14:paraId="55EC5BCB" w14:textId="77777777" w:rsidR="00706448" w:rsidRPr="00F15667" w:rsidRDefault="00706448" w:rsidP="002E09CF">
            <w:pPr>
              <w:spacing w:line="240" w:lineRule="auto"/>
              <w:jc w:val="left"/>
              <w:rPr>
                <w:rFonts w:eastAsia="Times New Roman"/>
                <w:szCs w:val="24"/>
                <w:lang w:eastAsia="cs-CZ"/>
              </w:rPr>
            </w:pPr>
            <w:r w:rsidRPr="00F15667">
              <w:rPr>
                <w:rFonts w:eastAsia="Times New Roman"/>
                <w:szCs w:val="24"/>
                <w:lang w:eastAsia="cs-CZ"/>
              </w:rPr>
              <w:t>KS Praha</w:t>
            </w:r>
          </w:p>
        </w:tc>
        <w:tc>
          <w:tcPr>
            <w:tcW w:w="1756" w:type="dxa"/>
            <w:tcBorders>
              <w:top w:val="nil"/>
              <w:left w:val="nil"/>
              <w:bottom w:val="single" w:sz="4" w:space="0" w:color="auto"/>
              <w:right w:val="nil"/>
            </w:tcBorders>
            <w:shd w:val="clear" w:color="auto" w:fill="auto"/>
            <w:noWrap/>
            <w:vAlign w:val="center"/>
            <w:hideMark/>
          </w:tcPr>
          <w:p w14:paraId="678A6957" w14:textId="77777777" w:rsidR="00706448" w:rsidRPr="00F15667" w:rsidRDefault="00706448" w:rsidP="002E09CF">
            <w:pPr>
              <w:spacing w:line="240" w:lineRule="auto"/>
              <w:jc w:val="center"/>
              <w:rPr>
                <w:rFonts w:eastAsia="Times New Roman"/>
                <w:szCs w:val="24"/>
                <w:lang w:eastAsia="cs-CZ"/>
              </w:rPr>
            </w:pPr>
            <w:r w:rsidRPr="00F15667">
              <w:rPr>
                <w:rFonts w:eastAsia="Times New Roman"/>
                <w:szCs w:val="24"/>
                <w:lang w:eastAsia="cs-CZ"/>
              </w:rPr>
              <w:t>78</w:t>
            </w:r>
          </w:p>
        </w:tc>
        <w:tc>
          <w:tcPr>
            <w:tcW w:w="1276" w:type="dxa"/>
            <w:tcBorders>
              <w:top w:val="nil"/>
              <w:left w:val="nil"/>
              <w:bottom w:val="single" w:sz="4" w:space="0" w:color="auto"/>
              <w:right w:val="nil"/>
            </w:tcBorders>
            <w:shd w:val="clear" w:color="auto" w:fill="auto"/>
            <w:noWrap/>
            <w:vAlign w:val="center"/>
            <w:hideMark/>
          </w:tcPr>
          <w:p w14:paraId="43F80C57" w14:textId="6FBFA494" w:rsidR="00706448" w:rsidRPr="00F15667" w:rsidRDefault="00706448" w:rsidP="002E09CF">
            <w:pPr>
              <w:spacing w:line="240" w:lineRule="auto"/>
              <w:jc w:val="center"/>
              <w:rPr>
                <w:rFonts w:eastAsia="Times New Roman"/>
                <w:sz w:val="20"/>
                <w:szCs w:val="20"/>
                <w:lang w:eastAsia="cs-CZ"/>
              </w:rPr>
            </w:pPr>
            <w:r w:rsidRPr="00F15667">
              <w:rPr>
                <w:rFonts w:eastAsia="Times New Roman"/>
                <w:sz w:val="20"/>
                <w:szCs w:val="20"/>
                <w:lang w:eastAsia="cs-CZ"/>
              </w:rPr>
              <w:t>-1 %</w:t>
            </w:r>
          </w:p>
        </w:tc>
      </w:tr>
      <w:tr w:rsidR="00F15667" w:rsidRPr="00F15667" w14:paraId="547115AD" w14:textId="77777777" w:rsidTr="002E09CF">
        <w:trPr>
          <w:trHeight w:val="315"/>
        </w:trPr>
        <w:tc>
          <w:tcPr>
            <w:tcW w:w="2780" w:type="dxa"/>
            <w:tcBorders>
              <w:top w:val="nil"/>
              <w:left w:val="nil"/>
              <w:bottom w:val="single" w:sz="4" w:space="0" w:color="auto"/>
              <w:right w:val="nil"/>
            </w:tcBorders>
            <w:shd w:val="clear" w:color="auto" w:fill="auto"/>
            <w:noWrap/>
            <w:vAlign w:val="center"/>
            <w:hideMark/>
          </w:tcPr>
          <w:p w14:paraId="3F2ADAB2" w14:textId="77777777" w:rsidR="00706448" w:rsidRPr="00F15667" w:rsidRDefault="00706448" w:rsidP="002E09CF">
            <w:pPr>
              <w:spacing w:line="240" w:lineRule="auto"/>
              <w:jc w:val="left"/>
              <w:rPr>
                <w:rFonts w:eastAsia="Times New Roman"/>
                <w:szCs w:val="24"/>
                <w:lang w:eastAsia="cs-CZ"/>
              </w:rPr>
            </w:pPr>
            <w:r w:rsidRPr="00F15667">
              <w:rPr>
                <w:rFonts w:eastAsia="Times New Roman"/>
                <w:szCs w:val="24"/>
                <w:lang w:eastAsia="cs-CZ"/>
              </w:rPr>
              <w:t>KS Č. Budějovice</w:t>
            </w:r>
          </w:p>
        </w:tc>
        <w:tc>
          <w:tcPr>
            <w:tcW w:w="1756" w:type="dxa"/>
            <w:tcBorders>
              <w:top w:val="nil"/>
              <w:left w:val="nil"/>
              <w:bottom w:val="single" w:sz="4" w:space="0" w:color="auto"/>
              <w:right w:val="nil"/>
            </w:tcBorders>
            <w:shd w:val="clear" w:color="auto" w:fill="auto"/>
            <w:noWrap/>
            <w:vAlign w:val="center"/>
            <w:hideMark/>
          </w:tcPr>
          <w:p w14:paraId="6A14C05E" w14:textId="77777777" w:rsidR="00706448" w:rsidRPr="00F15667" w:rsidRDefault="00706448" w:rsidP="002E09CF">
            <w:pPr>
              <w:spacing w:line="240" w:lineRule="auto"/>
              <w:jc w:val="center"/>
              <w:rPr>
                <w:rFonts w:eastAsia="Times New Roman"/>
                <w:szCs w:val="24"/>
                <w:lang w:eastAsia="cs-CZ"/>
              </w:rPr>
            </w:pPr>
            <w:r w:rsidRPr="00F15667">
              <w:rPr>
                <w:rFonts w:eastAsia="Times New Roman"/>
                <w:szCs w:val="24"/>
                <w:lang w:eastAsia="cs-CZ"/>
              </w:rPr>
              <w:t>84</w:t>
            </w:r>
          </w:p>
        </w:tc>
        <w:tc>
          <w:tcPr>
            <w:tcW w:w="1276" w:type="dxa"/>
            <w:tcBorders>
              <w:top w:val="nil"/>
              <w:left w:val="nil"/>
              <w:bottom w:val="single" w:sz="4" w:space="0" w:color="auto"/>
              <w:right w:val="nil"/>
            </w:tcBorders>
            <w:shd w:val="clear" w:color="auto" w:fill="auto"/>
            <w:noWrap/>
            <w:vAlign w:val="center"/>
            <w:hideMark/>
          </w:tcPr>
          <w:p w14:paraId="3924D0F5" w14:textId="2619A473" w:rsidR="00706448" w:rsidRPr="00F15667" w:rsidRDefault="00706448" w:rsidP="002E09CF">
            <w:pPr>
              <w:spacing w:line="240" w:lineRule="auto"/>
              <w:jc w:val="center"/>
              <w:rPr>
                <w:rFonts w:eastAsia="Times New Roman"/>
                <w:sz w:val="20"/>
                <w:szCs w:val="20"/>
                <w:lang w:eastAsia="cs-CZ"/>
              </w:rPr>
            </w:pPr>
            <w:r w:rsidRPr="00F15667">
              <w:rPr>
                <w:rFonts w:eastAsia="Times New Roman"/>
                <w:sz w:val="20"/>
                <w:szCs w:val="20"/>
                <w:lang w:eastAsia="cs-CZ"/>
              </w:rPr>
              <w:t>+21 %</w:t>
            </w:r>
          </w:p>
        </w:tc>
      </w:tr>
      <w:tr w:rsidR="00F15667" w:rsidRPr="00F15667" w14:paraId="0049AD11" w14:textId="77777777" w:rsidTr="002E09CF">
        <w:trPr>
          <w:trHeight w:val="315"/>
        </w:trPr>
        <w:tc>
          <w:tcPr>
            <w:tcW w:w="2780" w:type="dxa"/>
            <w:tcBorders>
              <w:top w:val="nil"/>
              <w:left w:val="nil"/>
              <w:bottom w:val="single" w:sz="4" w:space="0" w:color="auto"/>
              <w:right w:val="nil"/>
            </w:tcBorders>
            <w:shd w:val="clear" w:color="auto" w:fill="auto"/>
            <w:noWrap/>
            <w:vAlign w:val="center"/>
            <w:hideMark/>
          </w:tcPr>
          <w:p w14:paraId="1159836A" w14:textId="3C768F4D" w:rsidR="00706448" w:rsidRPr="00F15667" w:rsidRDefault="00706448" w:rsidP="002E09CF">
            <w:pPr>
              <w:spacing w:line="240" w:lineRule="auto"/>
              <w:jc w:val="left"/>
              <w:rPr>
                <w:rFonts w:eastAsia="Times New Roman"/>
                <w:szCs w:val="24"/>
                <w:lang w:eastAsia="cs-CZ"/>
              </w:rPr>
            </w:pPr>
            <w:r w:rsidRPr="00F15667">
              <w:rPr>
                <w:rFonts w:eastAsia="Times New Roman"/>
                <w:szCs w:val="24"/>
                <w:lang w:eastAsia="cs-CZ"/>
              </w:rPr>
              <w:t>KS Plzeň</w:t>
            </w:r>
          </w:p>
        </w:tc>
        <w:tc>
          <w:tcPr>
            <w:tcW w:w="1756" w:type="dxa"/>
            <w:tcBorders>
              <w:top w:val="nil"/>
              <w:left w:val="nil"/>
              <w:bottom w:val="single" w:sz="4" w:space="0" w:color="auto"/>
              <w:right w:val="nil"/>
            </w:tcBorders>
            <w:shd w:val="clear" w:color="auto" w:fill="auto"/>
            <w:noWrap/>
            <w:vAlign w:val="center"/>
            <w:hideMark/>
          </w:tcPr>
          <w:p w14:paraId="32132CC3" w14:textId="77777777" w:rsidR="00706448" w:rsidRPr="00F15667" w:rsidRDefault="00706448" w:rsidP="002E09CF">
            <w:pPr>
              <w:spacing w:line="240" w:lineRule="auto"/>
              <w:jc w:val="center"/>
              <w:rPr>
                <w:rFonts w:eastAsia="Times New Roman"/>
                <w:szCs w:val="24"/>
                <w:lang w:eastAsia="cs-CZ"/>
              </w:rPr>
            </w:pPr>
            <w:r w:rsidRPr="00F15667">
              <w:rPr>
                <w:rFonts w:eastAsia="Times New Roman"/>
                <w:szCs w:val="24"/>
                <w:lang w:eastAsia="cs-CZ"/>
              </w:rPr>
              <w:t>102</w:t>
            </w:r>
          </w:p>
        </w:tc>
        <w:tc>
          <w:tcPr>
            <w:tcW w:w="1276" w:type="dxa"/>
            <w:tcBorders>
              <w:top w:val="nil"/>
              <w:left w:val="nil"/>
              <w:bottom w:val="single" w:sz="4" w:space="0" w:color="auto"/>
              <w:right w:val="nil"/>
            </w:tcBorders>
            <w:shd w:val="clear" w:color="auto" w:fill="auto"/>
            <w:noWrap/>
            <w:vAlign w:val="center"/>
            <w:hideMark/>
          </w:tcPr>
          <w:p w14:paraId="24A8F19C" w14:textId="40C68BCC" w:rsidR="00706448" w:rsidRPr="00F15667" w:rsidRDefault="00706448" w:rsidP="002E09CF">
            <w:pPr>
              <w:spacing w:line="240" w:lineRule="auto"/>
              <w:jc w:val="center"/>
              <w:rPr>
                <w:rFonts w:eastAsia="Times New Roman"/>
                <w:sz w:val="20"/>
                <w:szCs w:val="20"/>
                <w:lang w:eastAsia="cs-CZ"/>
              </w:rPr>
            </w:pPr>
            <w:r w:rsidRPr="00F15667">
              <w:rPr>
                <w:rFonts w:eastAsia="Times New Roman"/>
                <w:sz w:val="20"/>
                <w:szCs w:val="20"/>
                <w:lang w:eastAsia="cs-CZ"/>
              </w:rPr>
              <w:t>+10 %</w:t>
            </w:r>
          </w:p>
        </w:tc>
      </w:tr>
      <w:tr w:rsidR="00F15667" w:rsidRPr="00F15667" w14:paraId="6414D38F" w14:textId="77777777" w:rsidTr="002E09CF">
        <w:trPr>
          <w:trHeight w:val="315"/>
        </w:trPr>
        <w:tc>
          <w:tcPr>
            <w:tcW w:w="2780" w:type="dxa"/>
            <w:tcBorders>
              <w:top w:val="nil"/>
              <w:left w:val="nil"/>
              <w:bottom w:val="single" w:sz="4" w:space="0" w:color="auto"/>
              <w:right w:val="nil"/>
            </w:tcBorders>
            <w:shd w:val="clear" w:color="auto" w:fill="auto"/>
            <w:noWrap/>
            <w:vAlign w:val="center"/>
            <w:hideMark/>
          </w:tcPr>
          <w:p w14:paraId="25810BEA" w14:textId="496F8A97" w:rsidR="00706448" w:rsidRPr="00F15667" w:rsidRDefault="00706448" w:rsidP="002E09CF">
            <w:pPr>
              <w:spacing w:line="240" w:lineRule="auto"/>
              <w:jc w:val="left"/>
              <w:rPr>
                <w:rFonts w:eastAsia="Times New Roman"/>
                <w:szCs w:val="24"/>
                <w:lang w:eastAsia="cs-CZ"/>
              </w:rPr>
            </w:pPr>
            <w:r w:rsidRPr="00F15667">
              <w:rPr>
                <w:rFonts w:eastAsia="Times New Roman"/>
                <w:szCs w:val="24"/>
                <w:lang w:eastAsia="cs-CZ"/>
              </w:rPr>
              <w:t>KS Ústí n. Labem</w:t>
            </w:r>
          </w:p>
        </w:tc>
        <w:tc>
          <w:tcPr>
            <w:tcW w:w="1756" w:type="dxa"/>
            <w:tcBorders>
              <w:top w:val="nil"/>
              <w:left w:val="nil"/>
              <w:bottom w:val="single" w:sz="4" w:space="0" w:color="auto"/>
              <w:right w:val="nil"/>
            </w:tcBorders>
            <w:shd w:val="clear" w:color="auto" w:fill="auto"/>
            <w:noWrap/>
            <w:vAlign w:val="center"/>
            <w:hideMark/>
          </w:tcPr>
          <w:p w14:paraId="62B2E653" w14:textId="77777777" w:rsidR="00706448" w:rsidRPr="00F15667" w:rsidRDefault="00706448" w:rsidP="002E09CF">
            <w:pPr>
              <w:spacing w:line="240" w:lineRule="auto"/>
              <w:jc w:val="center"/>
              <w:rPr>
                <w:rFonts w:eastAsia="Times New Roman"/>
                <w:szCs w:val="24"/>
                <w:lang w:eastAsia="cs-CZ"/>
              </w:rPr>
            </w:pPr>
            <w:r w:rsidRPr="00F15667">
              <w:rPr>
                <w:rFonts w:eastAsia="Times New Roman"/>
                <w:szCs w:val="24"/>
                <w:lang w:eastAsia="cs-CZ"/>
              </w:rPr>
              <w:t>103</w:t>
            </w:r>
          </w:p>
        </w:tc>
        <w:tc>
          <w:tcPr>
            <w:tcW w:w="1276" w:type="dxa"/>
            <w:tcBorders>
              <w:top w:val="nil"/>
              <w:left w:val="nil"/>
              <w:bottom w:val="single" w:sz="4" w:space="0" w:color="auto"/>
              <w:right w:val="nil"/>
            </w:tcBorders>
            <w:shd w:val="clear" w:color="auto" w:fill="auto"/>
            <w:noWrap/>
            <w:vAlign w:val="center"/>
            <w:hideMark/>
          </w:tcPr>
          <w:p w14:paraId="043AEFF9" w14:textId="1BEDD78B" w:rsidR="00706448" w:rsidRPr="00F15667" w:rsidRDefault="00706448" w:rsidP="002E09CF">
            <w:pPr>
              <w:spacing w:line="240" w:lineRule="auto"/>
              <w:jc w:val="center"/>
              <w:rPr>
                <w:rFonts w:eastAsia="Times New Roman"/>
                <w:sz w:val="20"/>
                <w:szCs w:val="20"/>
                <w:lang w:eastAsia="cs-CZ"/>
              </w:rPr>
            </w:pPr>
            <w:r w:rsidRPr="00F15667">
              <w:rPr>
                <w:rFonts w:eastAsia="Times New Roman"/>
                <w:sz w:val="20"/>
                <w:szCs w:val="20"/>
                <w:lang w:eastAsia="cs-CZ"/>
              </w:rPr>
              <w:t>-12 %</w:t>
            </w:r>
          </w:p>
        </w:tc>
      </w:tr>
      <w:tr w:rsidR="00F15667" w:rsidRPr="00F15667" w14:paraId="4AEC154A" w14:textId="77777777" w:rsidTr="002E09CF">
        <w:trPr>
          <w:trHeight w:val="315"/>
        </w:trPr>
        <w:tc>
          <w:tcPr>
            <w:tcW w:w="2780" w:type="dxa"/>
            <w:tcBorders>
              <w:top w:val="nil"/>
              <w:left w:val="nil"/>
              <w:bottom w:val="single" w:sz="4" w:space="0" w:color="auto"/>
              <w:right w:val="nil"/>
            </w:tcBorders>
            <w:shd w:val="clear" w:color="auto" w:fill="auto"/>
            <w:noWrap/>
            <w:vAlign w:val="center"/>
            <w:hideMark/>
          </w:tcPr>
          <w:p w14:paraId="0E050652" w14:textId="3CF2B52A" w:rsidR="00706448" w:rsidRPr="00F15667" w:rsidRDefault="00706448" w:rsidP="002E09CF">
            <w:pPr>
              <w:spacing w:line="240" w:lineRule="auto"/>
              <w:jc w:val="left"/>
              <w:rPr>
                <w:rFonts w:eastAsia="Times New Roman"/>
                <w:szCs w:val="24"/>
                <w:lang w:eastAsia="cs-CZ"/>
              </w:rPr>
            </w:pPr>
            <w:r w:rsidRPr="00F15667">
              <w:rPr>
                <w:rFonts w:eastAsia="Times New Roman"/>
                <w:szCs w:val="24"/>
                <w:lang w:eastAsia="cs-CZ"/>
              </w:rPr>
              <w:t>KS Hr. Králové</w:t>
            </w:r>
          </w:p>
        </w:tc>
        <w:tc>
          <w:tcPr>
            <w:tcW w:w="1756" w:type="dxa"/>
            <w:tcBorders>
              <w:top w:val="nil"/>
              <w:left w:val="nil"/>
              <w:bottom w:val="single" w:sz="4" w:space="0" w:color="auto"/>
              <w:right w:val="nil"/>
            </w:tcBorders>
            <w:shd w:val="clear" w:color="auto" w:fill="auto"/>
            <w:noWrap/>
            <w:vAlign w:val="center"/>
            <w:hideMark/>
          </w:tcPr>
          <w:p w14:paraId="71D02472" w14:textId="77777777" w:rsidR="00706448" w:rsidRPr="00F15667" w:rsidRDefault="00706448" w:rsidP="002E09CF">
            <w:pPr>
              <w:spacing w:line="240" w:lineRule="auto"/>
              <w:jc w:val="center"/>
              <w:rPr>
                <w:rFonts w:eastAsia="Times New Roman"/>
                <w:szCs w:val="24"/>
                <w:lang w:eastAsia="cs-CZ"/>
              </w:rPr>
            </w:pPr>
            <w:r w:rsidRPr="00F15667">
              <w:rPr>
                <w:rFonts w:eastAsia="Times New Roman"/>
                <w:szCs w:val="24"/>
                <w:lang w:eastAsia="cs-CZ"/>
              </w:rPr>
              <w:t>101</w:t>
            </w:r>
          </w:p>
        </w:tc>
        <w:tc>
          <w:tcPr>
            <w:tcW w:w="1276" w:type="dxa"/>
            <w:tcBorders>
              <w:top w:val="nil"/>
              <w:left w:val="nil"/>
              <w:bottom w:val="single" w:sz="4" w:space="0" w:color="auto"/>
              <w:right w:val="nil"/>
            </w:tcBorders>
            <w:shd w:val="clear" w:color="auto" w:fill="auto"/>
            <w:noWrap/>
            <w:vAlign w:val="center"/>
            <w:hideMark/>
          </w:tcPr>
          <w:p w14:paraId="59130D24" w14:textId="0E72BF73" w:rsidR="00706448" w:rsidRPr="00F15667" w:rsidRDefault="00706448" w:rsidP="002E09CF">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5CE30B33" w14:textId="77777777" w:rsidTr="002E09CF">
        <w:trPr>
          <w:trHeight w:val="315"/>
        </w:trPr>
        <w:tc>
          <w:tcPr>
            <w:tcW w:w="2780" w:type="dxa"/>
            <w:tcBorders>
              <w:top w:val="nil"/>
              <w:left w:val="nil"/>
              <w:bottom w:val="single" w:sz="4" w:space="0" w:color="auto"/>
              <w:right w:val="nil"/>
            </w:tcBorders>
            <w:shd w:val="clear" w:color="auto" w:fill="auto"/>
            <w:noWrap/>
            <w:vAlign w:val="center"/>
            <w:hideMark/>
          </w:tcPr>
          <w:p w14:paraId="5DF99158" w14:textId="7B07374F" w:rsidR="00706448" w:rsidRPr="00F15667" w:rsidRDefault="00706448" w:rsidP="002E09CF">
            <w:pPr>
              <w:spacing w:line="240" w:lineRule="auto"/>
              <w:jc w:val="left"/>
              <w:rPr>
                <w:rFonts w:eastAsia="Times New Roman"/>
                <w:szCs w:val="24"/>
                <w:lang w:eastAsia="cs-CZ"/>
              </w:rPr>
            </w:pPr>
            <w:r w:rsidRPr="00F15667">
              <w:rPr>
                <w:rFonts w:eastAsia="Times New Roman"/>
                <w:szCs w:val="24"/>
                <w:lang w:eastAsia="cs-CZ"/>
              </w:rPr>
              <w:t>KS Brno</w:t>
            </w:r>
          </w:p>
        </w:tc>
        <w:tc>
          <w:tcPr>
            <w:tcW w:w="1756" w:type="dxa"/>
            <w:tcBorders>
              <w:top w:val="nil"/>
              <w:left w:val="nil"/>
              <w:bottom w:val="single" w:sz="4" w:space="0" w:color="auto"/>
              <w:right w:val="nil"/>
            </w:tcBorders>
            <w:shd w:val="clear" w:color="auto" w:fill="auto"/>
            <w:noWrap/>
            <w:vAlign w:val="center"/>
            <w:hideMark/>
          </w:tcPr>
          <w:p w14:paraId="4A49D886" w14:textId="77777777" w:rsidR="00706448" w:rsidRPr="00F15667" w:rsidRDefault="00706448" w:rsidP="002E09CF">
            <w:pPr>
              <w:spacing w:line="240" w:lineRule="auto"/>
              <w:jc w:val="center"/>
              <w:rPr>
                <w:rFonts w:eastAsia="Times New Roman"/>
                <w:szCs w:val="24"/>
                <w:lang w:eastAsia="cs-CZ"/>
              </w:rPr>
            </w:pPr>
            <w:r w:rsidRPr="00F15667">
              <w:rPr>
                <w:rFonts w:eastAsia="Times New Roman"/>
                <w:szCs w:val="24"/>
                <w:lang w:eastAsia="cs-CZ"/>
              </w:rPr>
              <w:t>127</w:t>
            </w:r>
          </w:p>
        </w:tc>
        <w:tc>
          <w:tcPr>
            <w:tcW w:w="1276" w:type="dxa"/>
            <w:tcBorders>
              <w:top w:val="nil"/>
              <w:left w:val="nil"/>
              <w:bottom w:val="single" w:sz="4" w:space="0" w:color="auto"/>
              <w:right w:val="nil"/>
            </w:tcBorders>
            <w:shd w:val="clear" w:color="auto" w:fill="auto"/>
            <w:noWrap/>
            <w:vAlign w:val="center"/>
            <w:hideMark/>
          </w:tcPr>
          <w:p w14:paraId="0E047AAE" w14:textId="63274AFC" w:rsidR="00706448" w:rsidRPr="00F15667" w:rsidRDefault="00706448" w:rsidP="002E09CF">
            <w:pPr>
              <w:spacing w:line="240" w:lineRule="auto"/>
              <w:jc w:val="center"/>
              <w:rPr>
                <w:rFonts w:eastAsia="Times New Roman"/>
                <w:sz w:val="20"/>
                <w:szCs w:val="20"/>
                <w:lang w:eastAsia="cs-CZ"/>
              </w:rPr>
            </w:pPr>
            <w:r w:rsidRPr="00F15667">
              <w:rPr>
                <w:rFonts w:eastAsia="Times New Roman"/>
                <w:sz w:val="20"/>
                <w:szCs w:val="20"/>
                <w:lang w:eastAsia="cs-CZ"/>
              </w:rPr>
              <w:t>+8 %</w:t>
            </w:r>
          </w:p>
        </w:tc>
      </w:tr>
      <w:tr w:rsidR="00F15667" w:rsidRPr="00F15667" w14:paraId="1992D7F8" w14:textId="77777777" w:rsidTr="002E09CF">
        <w:trPr>
          <w:trHeight w:val="330"/>
        </w:trPr>
        <w:tc>
          <w:tcPr>
            <w:tcW w:w="2780" w:type="dxa"/>
            <w:tcBorders>
              <w:top w:val="nil"/>
              <w:left w:val="nil"/>
              <w:bottom w:val="double" w:sz="6" w:space="0" w:color="auto"/>
              <w:right w:val="nil"/>
            </w:tcBorders>
            <w:shd w:val="clear" w:color="auto" w:fill="auto"/>
            <w:noWrap/>
            <w:vAlign w:val="center"/>
            <w:hideMark/>
          </w:tcPr>
          <w:p w14:paraId="0D3180E4" w14:textId="77777777" w:rsidR="00706448" w:rsidRPr="00F15667" w:rsidRDefault="00706448" w:rsidP="002E09CF">
            <w:pPr>
              <w:spacing w:line="240" w:lineRule="auto"/>
              <w:jc w:val="left"/>
              <w:rPr>
                <w:rFonts w:eastAsia="Times New Roman"/>
                <w:szCs w:val="24"/>
                <w:lang w:eastAsia="cs-CZ"/>
              </w:rPr>
            </w:pPr>
            <w:r w:rsidRPr="00F15667">
              <w:rPr>
                <w:rFonts w:eastAsia="Times New Roman"/>
                <w:szCs w:val="24"/>
                <w:lang w:eastAsia="cs-CZ"/>
              </w:rPr>
              <w:t>KS Ostrava</w:t>
            </w:r>
          </w:p>
        </w:tc>
        <w:tc>
          <w:tcPr>
            <w:tcW w:w="1756" w:type="dxa"/>
            <w:tcBorders>
              <w:top w:val="nil"/>
              <w:left w:val="nil"/>
              <w:bottom w:val="double" w:sz="6" w:space="0" w:color="auto"/>
              <w:right w:val="nil"/>
            </w:tcBorders>
            <w:shd w:val="clear" w:color="auto" w:fill="auto"/>
            <w:noWrap/>
            <w:vAlign w:val="center"/>
            <w:hideMark/>
          </w:tcPr>
          <w:p w14:paraId="3F2A6ABE" w14:textId="2DA6EEB1" w:rsidR="00706448" w:rsidRPr="00F15667" w:rsidRDefault="00706448" w:rsidP="002E09CF">
            <w:pPr>
              <w:spacing w:line="240" w:lineRule="auto"/>
              <w:jc w:val="center"/>
              <w:rPr>
                <w:rFonts w:eastAsia="Times New Roman"/>
                <w:szCs w:val="24"/>
                <w:lang w:eastAsia="cs-CZ"/>
              </w:rPr>
            </w:pPr>
            <w:r w:rsidRPr="00F15667">
              <w:rPr>
                <w:rFonts w:eastAsia="Times New Roman"/>
                <w:szCs w:val="24"/>
                <w:lang w:eastAsia="cs-CZ"/>
              </w:rPr>
              <w:t>123</w:t>
            </w:r>
          </w:p>
        </w:tc>
        <w:tc>
          <w:tcPr>
            <w:tcW w:w="1276" w:type="dxa"/>
            <w:tcBorders>
              <w:top w:val="nil"/>
              <w:left w:val="nil"/>
              <w:bottom w:val="double" w:sz="6" w:space="0" w:color="auto"/>
              <w:right w:val="nil"/>
            </w:tcBorders>
            <w:shd w:val="clear" w:color="auto" w:fill="auto"/>
            <w:noWrap/>
            <w:vAlign w:val="center"/>
            <w:hideMark/>
          </w:tcPr>
          <w:p w14:paraId="594DD28A" w14:textId="757485D4" w:rsidR="00706448" w:rsidRPr="00F15667" w:rsidRDefault="00706448" w:rsidP="002E09CF">
            <w:pPr>
              <w:spacing w:line="240" w:lineRule="auto"/>
              <w:jc w:val="center"/>
              <w:rPr>
                <w:rFonts w:eastAsia="Times New Roman"/>
                <w:sz w:val="20"/>
                <w:szCs w:val="20"/>
                <w:lang w:eastAsia="cs-CZ"/>
              </w:rPr>
            </w:pPr>
            <w:r w:rsidRPr="00F15667">
              <w:rPr>
                <w:rFonts w:eastAsia="Times New Roman"/>
                <w:sz w:val="20"/>
                <w:szCs w:val="20"/>
                <w:lang w:eastAsia="cs-CZ"/>
              </w:rPr>
              <w:t>+10 %</w:t>
            </w:r>
          </w:p>
        </w:tc>
      </w:tr>
      <w:tr w:rsidR="00706448" w:rsidRPr="00F15667" w14:paraId="39903781" w14:textId="77777777" w:rsidTr="002E09CF">
        <w:trPr>
          <w:trHeight w:val="345"/>
        </w:trPr>
        <w:tc>
          <w:tcPr>
            <w:tcW w:w="2780" w:type="dxa"/>
            <w:tcBorders>
              <w:top w:val="nil"/>
              <w:left w:val="nil"/>
              <w:bottom w:val="double" w:sz="6" w:space="0" w:color="auto"/>
              <w:right w:val="nil"/>
            </w:tcBorders>
            <w:shd w:val="clear" w:color="auto" w:fill="auto"/>
            <w:noWrap/>
            <w:vAlign w:val="center"/>
            <w:hideMark/>
          </w:tcPr>
          <w:p w14:paraId="317404C9" w14:textId="77777777" w:rsidR="00706448" w:rsidRPr="00F15667" w:rsidRDefault="00706448" w:rsidP="002E09CF">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756" w:type="dxa"/>
            <w:tcBorders>
              <w:top w:val="nil"/>
              <w:left w:val="nil"/>
              <w:bottom w:val="double" w:sz="6" w:space="0" w:color="auto"/>
              <w:right w:val="nil"/>
            </w:tcBorders>
            <w:shd w:val="clear" w:color="auto" w:fill="auto"/>
            <w:noWrap/>
            <w:vAlign w:val="center"/>
            <w:hideMark/>
          </w:tcPr>
          <w:p w14:paraId="4AE855A1" w14:textId="4C7DFD68" w:rsidR="00706448" w:rsidRPr="00F15667" w:rsidRDefault="00706448" w:rsidP="002E09CF">
            <w:pPr>
              <w:spacing w:line="240" w:lineRule="auto"/>
              <w:jc w:val="center"/>
              <w:rPr>
                <w:rFonts w:eastAsia="Times New Roman"/>
                <w:b/>
                <w:bCs/>
                <w:szCs w:val="24"/>
                <w:lang w:eastAsia="cs-CZ"/>
              </w:rPr>
            </w:pPr>
            <w:r w:rsidRPr="00F15667">
              <w:rPr>
                <w:rFonts w:eastAsia="Times New Roman"/>
                <w:b/>
                <w:bCs/>
                <w:szCs w:val="24"/>
                <w:lang w:eastAsia="cs-CZ"/>
              </w:rPr>
              <w:t>103</w:t>
            </w:r>
          </w:p>
        </w:tc>
        <w:tc>
          <w:tcPr>
            <w:tcW w:w="1276" w:type="dxa"/>
            <w:tcBorders>
              <w:top w:val="nil"/>
              <w:left w:val="nil"/>
              <w:bottom w:val="double" w:sz="6" w:space="0" w:color="auto"/>
              <w:right w:val="nil"/>
            </w:tcBorders>
            <w:shd w:val="clear" w:color="auto" w:fill="auto"/>
            <w:noWrap/>
            <w:vAlign w:val="center"/>
            <w:hideMark/>
          </w:tcPr>
          <w:p w14:paraId="4E29EDAF" w14:textId="123EFF85" w:rsidR="00706448" w:rsidRPr="00F15667" w:rsidRDefault="00706448" w:rsidP="002E09CF">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r>
      <w:tr w:rsidR="002E09CF" w:rsidRPr="00F15667" w14:paraId="33A7C91D" w14:textId="77777777" w:rsidTr="002E09CF">
        <w:trPr>
          <w:trHeight w:val="345"/>
        </w:trPr>
        <w:tc>
          <w:tcPr>
            <w:tcW w:w="2780" w:type="dxa"/>
            <w:tcBorders>
              <w:top w:val="double" w:sz="6" w:space="0" w:color="auto"/>
              <w:left w:val="nil"/>
              <w:right w:val="nil"/>
            </w:tcBorders>
            <w:shd w:val="clear" w:color="auto" w:fill="auto"/>
            <w:noWrap/>
            <w:vAlign w:val="center"/>
          </w:tcPr>
          <w:p w14:paraId="61435DE8" w14:textId="77777777" w:rsidR="002E09CF" w:rsidRPr="00F15667" w:rsidRDefault="002E09CF" w:rsidP="002E09CF">
            <w:pPr>
              <w:spacing w:line="240" w:lineRule="auto"/>
              <w:jc w:val="center"/>
              <w:rPr>
                <w:rFonts w:eastAsia="Times New Roman"/>
                <w:b/>
                <w:bCs/>
                <w:szCs w:val="24"/>
                <w:lang w:eastAsia="cs-CZ"/>
              </w:rPr>
            </w:pPr>
          </w:p>
        </w:tc>
        <w:tc>
          <w:tcPr>
            <w:tcW w:w="1756" w:type="dxa"/>
            <w:tcBorders>
              <w:top w:val="double" w:sz="6" w:space="0" w:color="auto"/>
              <w:left w:val="nil"/>
              <w:right w:val="nil"/>
            </w:tcBorders>
            <w:shd w:val="clear" w:color="auto" w:fill="auto"/>
            <w:noWrap/>
            <w:vAlign w:val="center"/>
          </w:tcPr>
          <w:p w14:paraId="707665EB" w14:textId="77777777" w:rsidR="002E09CF" w:rsidRPr="00F15667" w:rsidRDefault="002E09CF" w:rsidP="002E09CF">
            <w:pPr>
              <w:spacing w:line="240" w:lineRule="auto"/>
              <w:jc w:val="center"/>
              <w:rPr>
                <w:rFonts w:eastAsia="Times New Roman"/>
                <w:b/>
                <w:bCs/>
                <w:szCs w:val="24"/>
                <w:lang w:eastAsia="cs-CZ"/>
              </w:rPr>
            </w:pPr>
          </w:p>
        </w:tc>
        <w:tc>
          <w:tcPr>
            <w:tcW w:w="1276" w:type="dxa"/>
            <w:tcBorders>
              <w:top w:val="double" w:sz="6" w:space="0" w:color="auto"/>
              <w:left w:val="nil"/>
              <w:right w:val="nil"/>
            </w:tcBorders>
            <w:shd w:val="clear" w:color="auto" w:fill="auto"/>
            <w:noWrap/>
            <w:vAlign w:val="center"/>
          </w:tcPr>
          <w:p w14:paraId="0930E402" w14:textId="77777777" w:rsidR="002E09CF" w:rsidRPr="00F15667" w:rsidRDefault="002E09CF" w:rsidP="002E09CF">
            <w:pPr>
              <w:spacing w:line="240" w:lineRule="auto"/>
              <w:jc w:val="center"/>
              <w:rPr>
                <w:rFonts w:eastAsia="Times New Roman"/>
                <w:b/>
                <w:bCs/>
                <w:sz w:val="20"/>
                <w:szCs w:val="20"/>
                <w:lang w:eastAsia="cs-CZ"/>
              </w:rPr>
            </w:pPr>
          </w:p>
        </w:tc>
      </w:tr>
    </w:tbl>
    <w:p w14:paraId="5283A049" w14:textId="51B46953" w:rsidR="000B381E" w:rsidRPr="00F15667" w:rsidRDefault="000B381E" w:rsidP="000B381E">
      <w:pPr>
        <w:pStyle w:val="OdstavecASR"/>
      </w:pPr>
      <w:r w:rsidRPr="00F15667">
        <w:t xml:space="preserve">Pozorujeme, že (stejně jako u nevyřízených věcí na soudce) jsou hodnoty DT relativně vyrovnané – rozhodně mnohem vyrovnanější než dříve. Je to vidět i na kartogramu. Již několik let přitom platí, že Severočeský kraj není zdaleka „nejčervenější“. Ten naopak tento rok vykázal snížení DT. Největší DT nyní mají Jihomoravský a Severomoravský kraj. </w:t>
      </w:r>
    </w:p>
    <w:p w14:paraId="531C471C" w14:textId="65A701A4" w:rsidR="000B381E" w:rsidRPr="00F15667" w:rsidRDefault="000B381E" w:rsidP="000B381E">
      <w:pPr>
        <w:pStyle w:val="OdstavecASR"/>
      </w:pPr>
      <w:r w:rsidRPr="00F15667">
        <w:t>Jak jsme uvedli již dříve, ukazatel disposition time slouží zejména k porovnání mezi jednotlivými soudy a nesmí být zaměňován s délkou řízení.</w:t>
      </w:r>
    </w:p>
    <w:p w14:paraId="2C311D23" w14:textId="614B502A" w:rsidR="00706448" w:rsidRPr="00F15667" w:rsidRDefault="00706448" w:rsidP="00706448">
      <w:pPr>
        <w:pStyle w:val="Podnadpis"/>
        <w:rPr>
          <w:color w:val="auto"/>
        </w:rPr>
      </w:pPr>
      <w:bookmarkStart w:id="489" w:name="_Toc515871370"/>
      <w:bookmarkStart w:id="490" w:name="_Toc11135102"/>
      <w:bookmarkStart w:id="491" w:name="_Toc43841421"/>
      <w:bookmarkStart w:id="492" w:name="_Toc75952225"/>
      <w:bookmarkStart w:id="493" w:name="_Toc106106677"/>
      <w:bookmarkStart w:id="494" w:name="_Toc109802001"/>
      <w:bookmarkStart w:id="495" w:name="_Toc144104152"/>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40</w:t>
      </w:r>
      <w:r w:rsidR="009A10E2" w:rsidRPr="00F15667">
        <w:rPr>
          <w:color w:val="auto"/>
        </w:rPr>
        <w:fldChar w:fldCharType="end"/>
      </w:r>
      <w:r w:rsidRPr="00F15667">
        <w:rPr>
          <w:color w:val="auto"/>
        </w:rPr>
        <w:t>: OS – disposition time v opatrovnické agendě u jednotlivých soudů</w:t>
      </w:r>
      <w:bookmarkEnd w:id="489"/>
      <w:bookmarkEnd w:id="490"/>
      <w:bookmarkEnd w:id="491"/>
      <w:bookmarkEnd w:id="492"/>
      <w:bookmarkEnd w:id="493"/>
      <w:bookmarkEnd w:id="494"/>
      <w:bookmarkEnd w:id="495"/>
    </w:p>
    <w:p w14:paraId="73378527" w14:textId="6C14A52A" w:rsidR="00706448" w:rsidRPr="00F15667" w:rsidRDefault="00F716CD" w:rsidP="00F177BF">
      <w:pPr>
        <w:pStyle w:val="OdstavecASR"/>
      </w:pPr>
      <w:r w:rsidRPr="00F716CD">
        <w:rPr>
          <w:noProof/>
          <w:lang w:eastAsia="cs-CZ"/>
        </w:rPr>
        <w:drawing>
          <wp:anchor distT="0" distB="0" distL="114300" distR="114300" simplePos="0" relativeHeight="251679744" behindDoc="0" locked="0" layoutInCell="1" allowOverlap="1" wp14:anchorId="151C57C0" wp14:editId="4D7DDE25">
            <wp:simplePos x="0" y="0"/>
            <wp:positionH relativeFrom="margin">
              <wp:posOffset>4451350</wp:posOffset>
            </wp:positionH>
            <wp:positionV relativeFrom="paragraph">
              <wp:posOffset>237490</wp:posOffset>
            </wp:positionV>
            <wp:extent cx="1285200" cy="932400"/>
            <wp:effectExtent l="0" t="0" r="0" b="1270"/>
            <wp:wrapNone/>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852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6CD">
        <w:rPr>
          <w:noProof/>
          <w:lang w:eastAsia="cs-CZ"/>
        </w:rPr>
        <w:t xml:space="preserve"> </w:t>
      </w:r>
      <w:r w:rsidR="00706448" w:rsidRPr="00F15667">
        <w:rPr>
          <w:noProof/>
          <w:lang w:eastAsia="cs-CZ"/>
        </w:rPr>
        <w:drawing>
          <wp:inline distT="0" distB="0" distL="0" distR="0" wp14:anchorId="33FC2746" wp14:editId="6B7B76E1">
            <wp:extent cx="5759450" cy="3296285"/>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1C7AB69A" w14:textId="005410AB" w:rsidR="00B0017B" w:rsidRPr="00F15667" w:rsidRDefault="00B0017B" w:rsidP="00B0017B">
      <w:pPr>
        <w:pStyle w:val="OdstavecASR"/>
      </w:pPr>
      <w:r w:rsidRPr="00F15667">
        <w:t xml:space="preserve">Data v této kapitole můžeme shrnout tak, že před rokem 2014 byla situace v opatrovnické agendě velmi podobná situaci v agendě občanskoprávní, a pokud jde o rozdíly mezi soudy, problémy měly především okresní soudy spadající pod KS Brno a KS Ústí nad Labem. V letech 2014 a 2015 došlo k velkému nárůstu počtu napadlých věcí. To negativně ovlivnilo rychlost vyřizování agendy v celé ČR. Na některé soudy byl dopad horší než na jiné. V letech 2015 a 2016 se soudům pozvolna dařilo </w:t>
      </w:r>
      <w:r w:rsidRPr="00F15667">
        <w:lastRenderedPageBreak/>
        <w:t>vyrovnat se s nárůstem vyřizované agendy a tento trend pokračoval i v letech 2017 a 2018, kdy se rozdíly mezi jednotlivými okresními soudy dále zmenšovaly (šedé boxy jsou kompaktnější, „vousy“ kratší a odlehlé OS / body jsou blíže k hornímu „vousu“, tedy přibližují se k ostatním okresním soudům). V roce 2019 nedošlo k velkým změnám oproti roku 2018. Rok 2020 byl ovlivněn pandemií COVID</w:t>
      </w:r>
      <w:r w:rsidRPr="00F15667">
        <w:noBreakHyphen/>
        <w:t>19 a došlo tak k výraznému poklesu nápadu. Pandemie ale nezabránila soudům úspěšně vyřizovat věci. Došlo proto k mírným poklesům počtu nevyřízených věcí, a také k poklesu ve variabilitě mezi soudy. Obdobný závěr platí i pro rok 2021, pokles v počtu nevyřízených věcí byl ale markantnější než v roce 2020. V roce 2022 opět začal růst počet příchozích věcí a soudy na to reagovaly. Celkově se situace v roce 2022 příliš nezměnila, co se týče vyřizování věcí. Klesla ale délka řízení, je ovšem třeba počkat na další roky, zda se jedná o trvalejší změnu či spíš mírný výkyv, kter</w:t>
      </w:r>
      <w:r w:rsidR="000B331D" w:rsidRPr="00F15667">
        <w:t>ý</w:t>
      </w:r>
      <w:r w:rsidRPr="00F15667">
        <w:t xml:space="preserve"> j</w:t>
      </w:r>
      <w:r w:rsidR="000B331D" w:rsidRPr="00F15667">
        <w:t>e</w:t>
      </w:r>
      <w:r w:rsidRPr="00F15667">
        <w:t xml:space="preserve"> běžn</w:t>
      </w:r>
      <w:r w:rsidR="000B331D" w:rsidRPr="00F15667">
        <w:t>ý</w:t>
      </w:r>
      <w:r w:rsidRPr="00F15667">
        <w:t>.</w:t>
      </w:r>
    </w:p>
    <w:p w14:paraId="01C2AB46" w14:textId="50257422" w:rsidR="008856B2" w:rsidRPr="00F15667" w:rsidRDefault="008856B2" w:rsidP="008856B2">
      <w:pPr>
        <w:pStyle w:val="Podnadpis"/>
        <w:rPr>
          <w:b w:val="0"/>
          <w:iCs w:val="0"/>
          <w:color w:val="auto"/>
        </w:rPr>
      </w:pPr>
      <w:bookmarkStart w:id="496" w:name="_Toc144104153"/>
      <w:r w:rsidRPr="00F15667">
        <w:rPr>
          <w:color w:val="auto"/>
        </w:rPr>
        <w:t xml:space="preserve">Graf </w:t>
      </w:r>
      <w:r w:rsidR="00476024" w:rsidRPr="00F15667">
        <w:rPr>
          <w:color w:val="auto"/>
        </w:rPr>
        <w:fldChar w:fldCharType="begin"/>
      </w:r>
      <w:r w:rsidR="00476024" w:rsidRPr="00F15667">
        <w:rPr>
          <w:color w:val="auto"/>
        </w:rPr>
        <w:instrText xml:space="preserve"> SEQ Graf \* ARABIC </w:instrText>
      </w:r>
      <w:r w:rsidR="00476024" w:rsidRPr="00F15667">
        <w:rPr>
          <w:color w:val="auto"/>
        </w:rPr>
        <w:fldChar w:fldCharType="separate"/>
      </w:r>
      <w:r w:rsidR="001E1A67">
        <w:rPr>
          <w:noProof/>
          <w:color w:val="auto"/>
        </w:rPr>
        <w:t>41</w:t>
      </w:r>
      <w:r w:rsidR="00476024" w:rsidRPr="00F15667">
        <w:rPr>
          <w:color w:val="auto"/>
        </w:rPr>
        <w:fldChar w:fldCharType="end"/>
      </w:r>
      <w:r w:rsidRPr="00F15667">
        <w:rPr>
          <w:color w:val="auto"/>
        </w:rPr>
        <w:t>: OS – krabicové grafy, DT opatrovnické agendy</w:t>
      </w:r>
      <w:bookmarkEnd w:id="496"/>
    </w:p>
    <w:p w14:paraId="716B34E2" w14:textId="1AE83CC6" w:rsidR="008856B2" w:rsidRPr="00F15667" w:rsidRDefault="00FF624D" w:rsidP="004C14FE">
      <w:pPr>
        <w:pStyle w:val="OdstavecASR"/>
      </w:pPr>
      <w:r w:rsidRPr="00FF624D">
        <w:rPr>
          <w:noProof/>
        </w:rPr>
        <w:drawing>
          <wp:inline distT="0" distB="0" distL="0" distR="0" wp14:anchorId="10433C31" wp14:editId="450CE634">
            <wp:extent cx="5029200" cy="3657600"/>
            <wp:effectExtent l="0" t="0" r="0" b="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B2932C2" w14:textId="0F7B1DB5" w:rsidR="00F802F9" w:rsidRPr="00F15667" w:rsidRDefault="008430BD" w:rsidP="00F802F9">
      <w:pPr>
        <w:pStyle w:val="Nadpis3"/>
        <w:numPr>
          <w:ilvl w:val="2"/>
          <w:numId w:val="1"/>
        </w:numPr>
        <w:rPr>
          <w:color w:val="auto"/>
        </w:rPr>
      </w:pPr>
      <w:bookmarkStart w:id="497" w:name="_Toc515871240"/>
      <w:bookmarkStart w:id="498" w:name="_Toc106092742"/>
      <w:bookmarkStart w:id="499" w:name="_Toc144104359"/>
      <w:bookmarkEnd w:id="482"/>
      <w:r w:rsidRPr="00F15667">
        <w:rPr>
          <w:color w:val="auto"/>
        </w:rPr>
        <w:t>Další statistiky</w:t>
      </w:r>
      <w:bookmarkEnd w:id="497"/>
      <w:bookmarkEnd w:id="498"/>
      <w:bookmarkEnd w:id="499"/>
    </w:p>
    <w:p w14:paraId="03543F23" w14:textId="611572C2" w:rsidR="00D82390" w:rsidRPr="00F15667" w:rsidRDefault="00F802F9" w:rsidP="00DF657F">
      <w:pPr>
        <w:pStyle w:val="OdstavecASR"/>
      </w:pPr>
      <w:r w:rsidRPr="00F15667">
        <w:t>S</w:t>
      </w:r>
      <w:r w:rsidR="00D82390" w:rsidRPr="00F15667">
        <w:t>tejně jako u civilní či trestní agendy uvádíme míru odvolání a míru změny rozsudku.</w:t>
      </w:r>
      <w:r w:rsidRPr="00F15667">
        <w:t xml:space="preserve"> </w:t>
      </w:r>
      <w:r w:rsidR="00D82390" w:rsidRPr="00F15667">
        <w:t xml:space="preserve">Jednou z nejrozsáhlejších a nejvýznamnějších agend, které jsou na opatrovnickém úseku soudů vyřizovány, je rozhodování o výživném (nyní § 910 a násl. o. z.), tedy rozhodování o tom, který z rodičů a kolik má platit na výživu svého nezletilého potomka (případně zletilého dítěte, bylo-li řízení zahájeno před nabytím jeho zletilosti). S výživným úzce souvisí rozhodování o svěření dítěte do péče. Dále se tedy věnujeme této problematice. Opatrovnická agenda ale nezahrnuje pouze rozhodování o dětech, ale i o dospělých. </w:t>
      </w:r>
      <w:r w:rsidRPr="00F15667">
        <w:t>Dále se podíváme na smírná alternativní řešení sporů.</w:t>
      </w:r>
    </w:p>
    <w:p w14:paraId="34EEC825" w14:textId="77777777" w:rsidR="00DD77A6" w:rsidRPr="00F15667" w:rsidRDefault="00DD77A6" w:rsidP="00DD77A6">
      <w:pPr>
        <w:pStyle w:val="OdstavecASR"/>
        <w:keepNext/>
        <w:outlineLvl w:val="3"/>
        <w:rPr>
          <w:b/>
          <w:bCs/>
        </w:rPr>
      </w:pPr>
      <w:r w:rsidRPr="00F15667">
        <w:rPr>
          <w:b/>
          <w:bCs/>
        </w:rPr>
        <w:t>Míra odvolání</w:t>
      </w:r>
    </w:p>
    <w:p w14:paraId="4781136D" w14:textId="77777777" w:rsidR="00DD77A6" w:rsidRPr="00F15667" w:rsidRDefault="00DD77A6" w:rsidP="00DD77A6">
      <w:pPr>
        <w:pStyle w:val="OdstavecASR"/>
      </w:pPr>
      <w:r w:rsidRPr="00F15667">
        <w:t>Míra odvolání je vypočtena stejnou metodikou jako míra odvolání u civilního řízení; výsledky uvádíme níže v tabulce a grafu.</w:t>
      </w:r>
    </w:p>
    <w:p w14:paraId="52A8C037" w14:textId="40F30C73" w:rsidR="00DD77A6" w:rsidRPr="00F15667" w:rsidRDefault="00DD77A6" w:rsidP="00DD77A6">
      <w:pPr>
        <w:pStyle w:val="Podnadpis"/>
        <w:rPr>
          <w:color w:val="auto"/>
        </w:rPr>
      </w:pPr>
      <w:bookmarkStart w:id="500" w:name="_Toc106106794"/>
      <w:bookmarkStart w:id="501" w:name="_Toc109802117"/>
      <w:bookmarkStart w:id="502" w:name="_Toc144104273"/>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34</w:t>
      </w:r>
      <w:r w:rsidRPr="00F15667">
        <w:rPr>
          <w:noProof/>
          <w:color w:val="auto"/>
        </w:rPr>
        <w:fldChar w:fldCharType="end"/>
      </w:r>
      <w:r w:rsidRPr="00F15667">
        <w:rPr>
          <w:color w:val="auto"/>
        </w:rPr>
        <w:t>: OS – míra odvolání dle krajů v opatrovnickém řízení</w:t>
      </w:r>
      <w:bookmarkEnd w:id="500"/>
      <w:bookmarkEnd w:id="501"/>
      <w:bookmarkEnd w:id="502"/>
    </w:p>
    <w:tbl>
      <w:tblPr>
        <w:tblW w:w="6096" w:type="dxa"/>
        <w:tblCellMar>
          <w:left w:w="70" w:type="dxa"/>
          <w:right w:w="70" w:type="dxa"/>
        </w:tblCellMar>
        <w:tblLook w:val="04A0" w:firstRow="1" w:lastRow="0" w:firstColumn="1" w:lastColumn="0" w:noHBand="0" w:noVBand="1"/>
      </w:tblPr>
      <w:tblGrid>
        <w:gridCol w:w="2780"/>
        <w:gridCol w:w="1898"/>
        <w:gridCol w:w="1418"/>
      </w:tblGrid>
      <w:tr w:rsidR="00F15667" w:rsidRPr="00F15667" w14:paraId="3AB7C37F" w14:textId="77777777" w:rsidTr="004C14FE">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30FF7B0" w14:textId="77777777" w:rsidR="00DD77A6" w:rsidRPr="00F15667" w:rsidRDefault="00DD77A6" w:rsidP="004C14FE">
            <w:pPr>
              <w:spacing w:line="240" w:lineRule="auto"/>
              <w:jc w:val="center"/>
              <w:rPr>
                <w:rFonts w:eastAsia="Times New Roman"/>
                <w:b/>
                <w:bCs/>
                <w:szCs w:val="24"/>
                <w:lang w:eastAsia="cs-CZ"/>
              </w:rPr>
            </w:pPr>
            <w:r w:rsidRPr="00F15667">
              <w:rPr>
                <w:rFonts w:eastAsia="Times New Roman"/>
                <w:b/>
                <w:bCs/>
                <w:szCs w:val="24"/>
                <w:lang w:eastAsia="cs-CZ"/>
              </w:rPr>
              <w:t>Nadřízený soud</w:t>
            </w:r>
          </w:p>
        </w:tc>
        <w:tc>
          <w:tcPr>
            <w:tcW w:w="3316" w:type="dxa"/>
            <w:gridSpan w:val="2"/>
            <w:tcBorders>
              <w:top w:val="double" w:sz="6" w:space="0" w:color="auto"/>
              <w:left w:val="nil"/>
              <w:bottom w:val="double" w:sz="6" w:space="0" w:color="auto"/>
              <w:right w:val="nil"/>
            </w:tcBorders>
            <w:shd w:val="clear" w:color="auto" w:fill="auto"/>
            <w:noWrap/>
            <w:vAlign w:val="center"/>
            <w:hideMark/>
          </w:tcPr>
          <w:p w14:paraId="469E1C7D" w14:textId="77777777" w:rsidR="00DD77A6" w:rsidRPr="00F15667" w:rsidRDefault="00DD77A6" w:rsidP="004C14FE">
            <w:pPr>
              <w:spacing w:line="240" w:lineRule="auto"/>
              <w:jc w:val="center"/>
              <w:rPr>
                <w:rFonts w:eastAsia="Times New Roman"/>
                <w:b/>
                <w:bCs/>
                <w:szCs w:val="24"/>
                <w:lang w:eastAsia="cs-CZ"/>
              </w:rPr>
            </w:pPr>
            <w:r w:rsidRPr="00F15667">
              <w:rPr>
                <w:rFonts w:eastAsia="Times New Roman"/>
                <w:b/>
                <w:bCs/>
                <w:szCs w:val="24"/>
                <w:lang w:eastAsia="cs-CZ"/>
              </w:rPr>
              <w:t>Míra odvolání</w:t>
            </w:r>
          </w:p>
        </w:tc>
      </w:tr>
      <w:tr w:rsidR="00F15667" w:rsidRPr="00F15667" w14:paraId="0DF3112C" w14:textId="77777777" w:rsidTr="004C14FE">
        <w:trPr>
          <w:trHeight w:val="330"/>
        </w:trPr>
        <w:tc>
          <w:tcPr>
            <w:tcW w:w="2780" w:type="dxa"/>
            <w:tcBorders>
              <w:top w:val="nil"/>
              <w:left w:val="nil"/>
              <w:bottom w:val="single" w:sz="4" w:space="0" w:color="auto"/>
              <w:right w:val="nil"/>
            </w:tcBorders>
            <w:shd w:val="clear" w:color="auto" w:fill="auto"/>
            <w:noWrap/>
            <w:vAlign w:val="center"/>
            <w:hideMark/>
          </w:tcPr>
          <w:p w14:paraId="36D3C20B" w14:textId="77777777" w:rsidR="00DD77A6" w:rsidRPr="00F15667" w:rsidRDefault="00DD77A6" w:rsidP="004C14FE">
            <w:pPr>
              <w:spacing w:line="240" w:lineRule="auto"/>
              <w:jc w:val="left"/>
              <w:rPr>
                <w:rFonts w:eastAsia="Times New Roman"/>
                <w:szCs w:val="24"/>
                <w:lang w:eastAsia="cs-CZ"/>
              </w:rPr>
            </w:pPr>
            <w:r w:rsidRPr="00F15667">
              <w:rPr>
                <w:rFonts w:eastAsia="Times New Roman"/>
                <w:szCs w:val="24"/>
                <w:lang w:eastAsia="cs-CZ"/>
              </w:rPr>
              <w:t>MS Praha</w:t>
            </w:r>
          </w:p>
        </w:tc>
        <w:tc>
          <w:tcPr>
            <w:tcW w:w="1898" w:type="dxa"/>
            <w:tcBorders>
              <w:top w:val="nil"/>
              <w:left w:val="nil"/>
              <w:bottom w:val="single" w:sz="4" w:space="0" w:color="auto"/>
              <w:right w:val="nil"/>
            </w:tcBorders>
            <w:shd w:val="clear" w:color="auto" w:fill="auto"/>
            <w:noWrap/>
            <w:vAlign w:val="center"/>
            <w:hideMark/>
          </w:tcPr>
          <w:p w14:paraId="74C7F0D7" w14:textId="75BB7D23" w:rsidR="00DD77A6" w:rsidRPr="00F15667" w:rsidRDefault="00DD77A6" w:rsidP="004C14FE">
            <w:pPr>
              <w:spacing w:line="240" w:lineRule="auto"/>
              <w:jc w:val="center"/>
              <w:rPr>
                <w:rFonts w:eastAsia="Times New Roman"/>
                <w:szCs w:val="24"/>
                <w:lang w:eastAsia="cs-CZ"/>
              </w:rPr>
            </w:pPr>
            <w:r w:rsidRPr="00F15667">
              <w:rPr>
                <w:rFonts w:eastAsia="Times New Roman"/>
                <w:szCs w:val="24"/>
                <w:lang w:eastAsia="cs-CZ"/>
              </w:rPr>
              <w:t>8,56 %</w:t>
            </w:r>
          </w:p>
        </w:tc>
        <w:tc>
          <w:tcPr>
            <w:tcW w:w="1418" w:type="dxa"/>
            <w:tcBorders>
              <w:top w:val="nil"/>
              <w:left w:val="nil"/>
              <w:bottom w:val="single" w:sz="4" w:space="0" w:color="auto"/>
              <w:right w:val="nil"/>
            </w:tcBorders>
            <w:shd w:val="clear" w:color="auto" w:fill="auto"/>
            <w:noWrap/>
            <w:vAlign w:val="center"/>
            <w:hideMark/>
          </w:tcPr>
          <w:p w14:paraId="356F67EF" w14:textId="0A4093B9" w:rsidR="00DD77A6" w:rsidRPr="00F15667" w:rsidRDefault="00DD77A6" w:rsidP="004C14FE">
            <w:pPr>
              <w:spacing w:line="240" w:lineRule="auto"/>
              <w:jc w:val="center"/>
              <w:rPr>
                <w:rFonts w:eastAsia="Times New Roman"/>
                <w:sz w:val="20"/>
                <w:szCs w:val="20"/>
                <w:lang w:eastAsia="cs-CZ"/>
              </w:rPr>
            </w:pPr>
            <w:r w:rsidRPr="00F15667">
              <w:rPr>
                <w:rFonts w:eastAsia="Times New Roman"/>
                <w:sz w:val="20"/>
                <w:szCs w:val="20"/>
                <w:lang w:eastAsia="cs-CZ"/>
              </w:rPr>
              <w:t>+2,8 p.b.</w:t>
            </w:r>
          </w:p>
        </w:tc>
      </w:tr>
      <w:tr w:rsidR="00F15667" w:rsidRPr="00F15667" w14:paraId="3E0DEA59"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40E67431" w14:textId="77777777" w:rsidR="00DD77A6" w:rsidRPr="00F15667" w:rsidRDefault="00DD77A6" w:rsidP="004C14FE">
            <w:pPr>
              <w:spacing w:line="240" w:lineRule="auto"/>
              <w:jc w:val="left"/>
              <w:rPr>
                <w:rFonts w:eastAsia="Times New Roman"/>
                <w:szCs w:val="24"/>
                <w:lang w:eastAsia="cs-CZ"/>
              </w:rPr>
            </w:pPr>
            <w:r w:rsidRPr="00F15667">
              <w:rPr>
                <w:rFonts w:eastAsia="Times New Roman"/>
                <w:szCs w:val="24"/>
                <w:lang w:eastAsia="cs-CZ"/>
              </w:rPr>
              <w:t>KS Praha</w:t>
            </w:r>
          </w:p>
        </w:tc>
        <w:tc>
          <w:tcPr>
            <w:tcW w:w="1898" w:type="dxa"/>
            <w:tcBorders>
              <w:top w:val="nil"/>
              <w:left w:val="nil"/>
              <w:bottom w:val="single" w:sz="4" w:space="0" w:color="auto"/>
              <w:right w:val="nil"/>
            </w:tcBorders>
            <w:shd w:val="clear" w:color="auto" w:fill="auto"/>
            <w:noWrap/>
            <w:vAlign w:val="center"/>
            <w:hideMark/>
          </w:tcPr>
          <w:p w14:paraId="64043FE9" w14:textId="432F8361" w:rsidR="00DD77A6" w:rsidRPr="00F15667" w:rsidRDefault="00DD77A6" w:rsidP="004C14FE">
            <w:pPr>
              <w:spacing w:line="240" w:lineRule="auto"/>
              <w:jc w:val="center"/>
              <w:rPr>
                <w:rFonts w:eastAsia="Times New Roman"/>
                <w:szCs w:val="24"/>
                <w:lang w:eastAsia="cs-CZ"/>
              </w:rPr>
            </w:pPr>
            <w:r w:rsidRPr="00F15667">
              <w:rPr>
                <w:rFonts w:eastAsia="Times New Roman"/>
                <w:szCs w:val="24"/>
                <w:lang w:eastAsia="cs-CZ"/>
              </w:rPr>
              <w:t>5,22 %</w:t>
            </w:r>
          </w:p>
        </w:tc>
        <w:tc>
          <w:tcPr>
            <w:tcW w:w="1418" w:type="dxa"/>
            <w:tcBorders>
              <w:top w:val="nil"/>
              <w:left w:val="nil"/>
              <w:bottom w:val="single" w:sz="4" w:space="0" w:color="auto"/>
              <w:right w:val="nil"/>
            </w:tcBorders>
            <w:shd w:val="clear" w:color="auto" w:fill="auto"/>
            <w:noWrap/>
            <w:vAlign w:val="center"/>
            <w:hideMark/>
          </w:tcPr>
          <w:p w14:paraId="1214ABC2" w14:textId="6A6FDA80" w:rsidR="00DD77A6" w:rsidRPr="00F15667" w:rsidRDefault="00DD77A6" w:rsidP="004C14FE">
            <w:pPr>
              <w:spacing w:line="240" w:lineRule="auto"/>
              <w:jc w:val="center"/>
              <w:rPr>
                <w:rFonts w:eastAsia="Times New Roman"/>
                <w:sz w:val="20"/>
                <w:szCs w:val="20"/>
                <w:lang w:eastAsia="cs-CZ"/>
              </w:rPr>
            </w:pPr>
            <w:r w:rsidRPr="00F15667">
              <w:rPr>
                <w:rFonts w:eastAsia="Times New Roman"/>
                <w:sz w:val="20"/>
                <w:szCs w:val="20"/>
                <w:lang w:eastAsia="cs-CZ"/>
              </w:rPr>
              <w:t>-0,9 p.b.</w:t>
            </w:r>
          </w:p>
        </w:tc>
      </w:tr>
      <w:tr w:rsidR="00F15667" w:rsidRPr="00F15667" w14:paraId="3686F878"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36E42D00" w14:textId="77777777" w:rsidR="00DD77A6" w:rsidRPr="00F15667" w:rsidRDefault="00DD77A6" w:rsidP="004C14FE">
            <w:pPr>
              <w:spacing w:line="240" w:lineRule="auto"/>
              <w:jc w:val="left"/>
              <w:rPr>
                <w:rFonts w:eastAsia="Times New Roman"/>
                <w:szCs w:val="24"/>
                <w:lang w:eastAsia="cs-CZ"/>
              </w:rPr>
            </w:pPr>
            <w:r w:rsidRPr="00F15667">
              <w:rPr>
                <w:rFonts w:eastAsia="Times New Roman"/>
                <w:szCs w:val="24"/>
                <w:lang w:eastAsia="cs-CZ"/>
              </w:rPr>
              <w:t>KS Č. Budějovice</w:t>
            </w:r>
          </w:p>
        </w:tc>
        <w:tc>
          <w:tcPr>
            <w:tcW w:w="1898" w:type="dxa"/>
            <w:tcBorders>
              <w:top w:val="nil"/>
              <w:left w:val="nil"/>
              <w:bottom w:val="single" w:sz="4" w:space="0" w:color="auto"/>
              <w:right w:val="nil"/>
            </w:tcBorders>
            <w:shd w:val="clear" w:color="auto" w:fill="auto"/>
            <w:noWrap/>
            <w:vAlign w:val="center"/>
            <w:hideMark/>
          </w:tcPr>
          <w:p w14:paraId="6A9F3C94" w14:textId="14D68D28" w:rsidR="00DD77A6" w:rsidRPr="00F15667" w:rsidRDefault="00DD77A6" w:rsidP="004C14FE">
            <w:pPr>
              <w:spacing w:line="240" w:lineRule="auto"/>
              <w:jc w:val="center"/>
              <w:rPr>
                <w:rFonts w:eastAsia="Times New Roman"/>
                <w:szCs w:val="24"/>
                <w:lang w:eastAsia="cs-CZ"/>
              </w:rPr>
            </w:pPr>
            <w:r w:rsidRPr="00F15667">
              <w:rPr>
                <w:rFonts w:eastAsia="Times New Roman"/>
                <w:szCs w:val="24"/>
                <w:lang w:eastAsia="cs-CZ"/>
              </w:rPr>
              <w:t>3,59 %</w:t>
            </w:r>
          </w:p>
        </w:tc>
        <w:tc>
          <w:tcPr>
            <w:tcW w:w="1418" w:type="dxa"/>
            <w:tcBorders>
              <w:top w:val="nil"/>
              <w:left w:val="nil"/>
              <w:bottom w:val="single" w:sz="4" w:space="0" w:color="auto"/>
              <w:right w:val="nil"/>
            </w:tcBorders>
            <w:shd w:val="clear" w:color="auto" w:fill="auto"/>
            <w:noWrap/>
            <w:vAlign w:val="center"/>
            <w:hideMark/>
          </w:tcPr>
          <w:p w14:paraId="79E3E2F6" w14:textId="601E467A" w:rsidR="00DD77A6" w:rsidRPr="00F15667" w:rsidRDefault="00DD77A6" w:rsidP="004C14FE">
            <w:pPr>
              <w:spacing w:line="240" w:lineRule="auto"/>
              <w:jc w:val="center"/>
              <w:rPr>
                <w:rFonts w:eastAsia="Times New Roman"/>
                <w:sz w:val="20"/>
                <w:szCs w:val="20"/>
                <w:lang w:eastAsia="cs-CZ"/>
              </w:rPr>
            </w:pPr>
            <w:r w:rsidRPr="00F15667">
              <w:rPr>
                <w:rFonts w:eastAsia="Times New Roman"/>
                <w:sz w:val="20"/>
                <w:szCs w:val="20"/>
                <w:lang w:eastAsia="cs-CZ"/>
              </w:rPr>
              <w:t>-0,3 p.b.</w:t>
            </w:r>
          </w:p>
        </w:tc>
      </w:tr>
      <w:tr w:rsidR="00F15667" w:rsidRPr="00F15667" w14:paraId="303C5344"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72F6EC3B" w14:textId="77777777" w:rsidR="00DD77A6" w:rsidRPr="00F15667" w:rsidRDefault="00DD77A6" w:rsidP="004C14FE">
            <w:pPr>
              <w:spacing w:line="240" w:lineRule="auto"/>
              <w:jc w:val="left"/>
              <w:rPr>
                <w:rFonts w:eastAsia="Times New Roman"/>
                <w:szCs w:val="24"/>
                <w:lang w:eastAsia="cs-CZ"/>
              </w:rPr>
            </w:pPr>
            <w:r w:rsidRPr="00F15667">
              <w:rPr>
                <w:rFonts w:eastAsia="Times New Roman"/>
                <w:szCs w:val="24"/>
                <w:lang w:eastAsia="cs-CZ"/>
              </w:rPr>
              <w:t>KS Plzeň</w:t>
            </w:r>
          </w:p>
        </w:tc>
        <w:tc>
          <w:tcPr>
            <w:tcW w:w="1898" w:type="dxa"/>
            <w:tcBorders>
              <w:top w:val="nil"/>
              <w:left w:val="nil"/>
              <w:bottom w:val="single" w:sz="4" w:space="0" w:color="auto"/>
              <w:right w:val="nil"/>
            </w:tcBorders>
            <w:shd w:val="clear" w:color="auto" w:fill="auto"/>
            <w:noWrap/>
            <w:vAlign w:val="center"/>
            <w:hideMark/>
          </w:tcPr>
          <w:p w14:paraId="05D18F12" w14:textId="2F8BFDF9" w:rsidR="00DD77A6" w:rsidRPr="00F15667" w:rsidRDefault="00DD77A6" w:rsidP="004C14FE">
            <w:pPr>
              <w:spacing w:line="240" w:lineRule="auto"/>
              <w:jc w:val="center"/>
              <w:rPr>
                <w:rFonts w:eastAsia="Times New Roman"/>
                <w:szCs w:val="24"/>
                <w:lang w:eastAsia="cs-CZ"/>
              </w:rPr>
            </w:pPr>
            <w:r w:rsidRPr="00F15667">
              <w:rPr>
                <w:rFonts w:eastAsia="Times New Roman"/>
                <w:szCs w:val="24"/>
                <w:lang w:eastAsia="cs-CZ"/>
              </w:rPr>
              <w:t>3,66 %</w:t>
            </w:r>
          </w:p>
        </w:tc>
        <w:tc>
          <w:tcPr>
            <w:tcW w:w="1418" w:type="dxa"/>
            <w:tcBorders>
              <w:top w:val="nil"/>
              <w:left w:val="nil"/>
              <w:bottom w:val="single" w:sz="4" w:space="0" w:color="auto"/>
              <w:right w:val="nil"/>
            </w:tcBorders>
            <w:shd w:val="clear" w:color="auto" w:fill="auto"/>
            <w:noWrap/>
            <w:vAlign w:val="center"/>
            <w:hideMark/>
          </w:tcPr>
          <w:p w14:paraId="536A4DED" w14:textId="04829855" w:rsidR="00DD77A6" w:rsidRPr="00F15667" w:rsidRDefault="00DD77A6" w:rsidP="004C14FE">
            <w:pPr>
              <w:spacing w:line="240" w:lineRule="auto"/>
              <w:jc w:val="center"/>
              <w:rPr>
                <w:rFonts w:eastAsia="Times New Roman"/>
                <w:sz w:val="20"/>
                <w:szCs w:val="20"/>
                <w:lang w:eastAsia="cs-CZ"/>
              </w:rPr>
            </w:pPr>
            <w:r w:rsidRPr="00F15667">
              <w:rPr>
                <w:rFonts w:eastAsia="Times New Roman"/>
                <w:sz w:val="20"/>
                <w:szCs w:val="20"/>
                <w:lang w:eastAsia="cs-CZ"/>
              </w:rPr>
              <w:t>-0,1 p.b.</w:t>
            </w:r>
          </w:p>
        </w:tc>
      </w:tr>
      <w:tr w:rsidR="00F15667" w:rsidRPr="00F15667" w14:paraId="59C89F8E"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15532D33" w14:textId="77777777" w:rsidR="00DD77A6" w:rsidRPr="00F15667" w:rsidRDefault="00DD77A6" w:rsidP="004C14FE">
            <w:pPr>
              <w:spacing w:line="240" w:lineRule="auto"/>
              <w:jc w:val="left"/>
              <w:rPr>
                <w:rFonts w:eastAsia="Times New Roman"/>
                <w:szCs w:val="24"/>
                <w:lang w:eastAsia="cs-CZ"/>
              </w:rPr>
            </w:pPr>
            <w:r w:rsidRPr="00F15667">
              <w:rPr>
                <w:rFonts w:eastAsia="Times New Roman"/>
                <w:szCs w:val="24"/>
                <w:lang w:eastAsia="cs-CZ"/>
              </w:rPr>
              <w:t>KS Ústí n. Labem</w:t>
            </w:r>
          </w:p>
        </w:tc>
        <w:tc>
          <w:tcPr>
            <w:tcW w:w="1898" w:type="dxa"/>
            <w:tcBorders>
              <w:top w:val="nil"/>
              <w:left w:val="nil"/>
              <w:bottom w:val="single" w:sz="4" w:space="0" w:color="auto"/>
              <w:right w:val="nil"/>
            </w:tcBorders>
            <w:shd w:val="clear" w:color="auto" w:fill="auto"/>
            <w:noWrap/>
            <w:vAlign w:val="center"/>
            <w:hideMark/>
          </w:tcPr>
          <w:p w14:paraId="32F9BAAC" w14:textId="5F9683E9" w:rsidR="00DD77A6" w:rsidRPr="00F15667" w:rsidRDefault="00DD77A6" w:rsidP="004C14FE">
            <w:pPr>
              <w:spacing w:line="240" w:lineRule="auto"/>
              <w:jc w:val="center"/>
              <w:rPr>
                <w:rFonts w:eastAsia="Times New Roman"/>
                <w:szCs w:val="24"/>
                <w:lang w:eastAsia="cs-CZ"/>
              </w:rPr>
            </w:pPr>
            <w:r w:rsidRPr="00F15667">
              <w:rPr>
                <w:rFonts w:eastAsia="Times New Roman"/>
                <w:szCs w:val="24"/>
                <w:lang w:eastAsia="cs-CZ"/>
              </w:rPr>
              <w:t>3,19 %</w:t>
            </w:r>
          </w:p>
        </w:tc>
        <w:tc>
          <w:tcPr>
            <w:tcW w:w="1418" w:type="dxa"/>
            <w:tcBorders>
              <w:top w:val="nil"/>
              <w:left w:val="nil"/>
              <w:bottom w:val="single" w:sz="4" w:space="0" w:color="auto"/>
              <w:right w:val="nil"/>
            </w:tcBorders>
            <w:shd w:val="clear" w:color="auto" w:fill="auto"/>
            <w:noWrap/>
            <w:vAlign w:val="center"/>
            <w:hideMark/>
          </w:tcPr>
          <w:p w14:paraId="317B145A" w14:textId="211A9879" w:rsidR="00DD77A6" w:rsidRPr="00F15667" w:rsidRDefault="00DD77A6" w:rsidP="004C14FE">
            <w:pPr>
              <w:spacing w:line="240" w:lineRule="auto"/>
              <w:jc w:val="center"/>
              <w:rPr>
                <w:rFonts w:eastAsia="Times New Roman"/>
                <w:sz w:val="20"/>
                <w:szCs w:val="20"/>
                <w:lang w:eastAsia="cs-CZ"/>
              </w:rPr>
            </w:pPr>
            <w:r w:rsidRPr="00F15667">
              <w:rPr>
                <w:rFonts w:eastAsia="Times New Roman"/>
                <w:sz w:val="20"/>
                <w:szCs w:val="20"/>
                <w:lang w:eastAsia="cs-CZ"/>
              </w:rPr>
              <w:t>-0,1 p.b.</w:t>
            </w:r>
          </w:p>
        </w:tc>
      </w:tr>
      <w:tr w:rsidR="00F15667" w:rsidRPr="00F15667" w14:paraId="4D0000BB"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009DE2C8" w14:textId="77777777" w:rsidR="00DD77A6" w:rsidRPr="00F15667" w:rsidRDefault="00DD77A6" w:rsidP="004C14FE">
            <w:pPr>
              <w:spacing w:line="240" w:lineRule="auto"/>
              <w:jc w:val="left"/>
              <w:rPr>
                <w:rFonts w:eastAsia="Times New Roman"/>
                <w:szCs w:val="24"/>
                <w:lang w:eastAsia="cs-CZ"/>
              </w:rPr>
            </w:pPr>
            <w:r w:rsidRPr="00F15667">
              <w:rPr>
                <w:rFonts w:eastAsia="Times New Roman"/>
                <w:szCs w:val="24"/>
                <w:lang w:eastAsia="cs-CZ"/>
              </w:rPr>
              <w:t>KS Hr. Králové</w:t>
            </w:r>
          </w:p>
        </w:tc>
        <w:tc>
          <w:tcPr>
            <w:tcW w:w="1898" w:type="dxa"/>
            <w:tcBorders>
              <w:top w:val="nil"/>
              <w:left w:val="nil"/>
              <w:bottom w:val="single" w:sz="4" w:space="0" w:color="auto"/>
              <w:right w:val="nil"/>
            </w:tcBorders>
            <w:shd w:val="clear" w:color="auto" w:fill="auto"/>
            <w:noWrap/>
            <w:vAlign w:val="center"/>
            <w:hideMark/>
          </w:tcPr>
          <w:p w14:paraId="4411BE1D" w14:textId="7D55801E" w:rsidR="00DD77A6" w:rsidRPr="00F15667" w:rsidRDefault="00DD77A6" w:rsidP="004C14FE">
            <w:pPr>
              <w:spacing w:line="240" w:lineRule="auto"/>
              <w:jc w:val="center"/>
              <w:rPr>
                <w:rFonts w:eastAsia="Times New Roman"/>
                <w:szCs w:val="24"/>
                <w:lang w:eastAsia="cs-CZ"/>
              </w:rPr>
            </w:pPr>
            <w:r w:rsidRPr="00F15667">
              <w:rPr>
                <w:rFonts w:eastAsia="Times New Roman"/>
                <w:szCs w:val="24"/>
                <w:lang w:eastAsia="cs-CZ"/>
              </w:rPr>
              <w:t>3,45 %</w:t>
            </w:r>
          </w:p>
        </w:tc>
        <w:tc>
          <w:tcPr>
            <w:tcW w:w="1418" w:type="dxa"/>
            <w:tcBorders>
              <w:top w:val="nil"/>
              <w:left w:val="nil"/>
              <w:bottom w:val="single" w:sz="4" w:space="0" w:color="auto"/>
              <w:right w:val="nil"/>
            </w:tcBorders>
            <w:shd w:val="clear" w:color="auto" w:fill="auto"/>
            <w:noWrap/>
            <w:vAlign w:val="center"/>
            <w:hideMark/>
          </w:tcPr>
          <w:p w14:paraId="77B745DC" w14:textId="14581827" w:rsidR="00DD77A6" w:rsidRPr="00F15667" w:rsidRDefault="00DD77A6" w:rsidP="004C14FE">
            <w:pPr>
              <w:spacing w:line="240" w:lineRule="auto"/>
              <w:jc w:val="center"/>
              <w:rPr>
                <w:rFonts w:eastAsia="Times New Roman"/>
                <w:sz w:val="20"/>
                <w:szCs w:val="20"/>
                <w:lang w:eastAsia="cs-CZ"/>
              </w:rPr>
            </w:pPr>
            <w:r w:rsidRPr="00F15667">
              <w:rPr>
                <w:rFonts w:eastAsia="Times New Roman"/>
                <w:sz w:val="20"/>
                <w:szCs w:val="20"/>
                <w:lang w:eastAsia="cs-CZ"/>
              </w:rPr>
              <w:t>-0,6 p.b.</w:t>
            </w:r>
          </w:p>
        </w:tc>
      </w:tr>
      <w:tr w:rsidR="00F15667" w:rsidRPr="00F15667" w14:paraId="51F5B8B3"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1428F0DC" w14:textId="77777777" w:rsidR="00DD77A6" w:rsidRPr="00F15667" w:rsidRDefault="00DD77A6" w:rsidP="004C14FE">
            <w:pPr>
              <w:spacing w:line="240" w:lineRule="auto"/>
              <w:jc w:val="left"/>
              <w:rPr>
                <w:rFonts w:eastAsia="Times New Roman"/>
                <w:szCs w:val="24"/>
                <w:lang w:eastAsia="cs-CZ"/>
              </w:rPr>
            </w:pPr>
            <w:r w:rsidRPr="00F15667">
              <w:rPr>
                <w:rFonts w:eastAsia="Times New Roman"/>
                <w:szCs w:val="24"/>
                <w:lang w:eastAsia="cs-CZ"/>
              </w:rPr>
              <w:t>KS Brno</w:t>
            </w:r>
          </w:p>
        </w:tc>
        <w:tc>
          <w:tcPr>
            <w:tcW w:w="1898" w:type="dxa"/>
            <w:tcBorders>
              <w:top w:val="nil"/>
              <w:left w:val="nil"/>
              <w:bottom w:val="single" w:sz="4" w:space="0" w:color="auto"/>
              <w:right w:val="nil"/>
            </w:tcBorders>
            <w:shd w:val="clear" w:color="auto" w:fill="auto"/>
            <w:noWrap/>
            <w:vAlign w:val="center"/>
            <w:hideMark/>
          </w:tcPr>
          <w:p w14:paraId="01ACE31F" w14:textId="112F36E3" w:rsidR="00DD77A6" w:rsidRPr="00F15667" w:rsidRDefault="00DD77A6" w:rsidP="004C14FE">
            <w:pPr>
              <w:spacing w:line="240" w:lineRule="auto"/>
              <w:jc w:val="center"/>
              <w:rPr>
                <w:rFonts w:eastAsia="Times New Roman"/>
                <w:szCs w:val="24"/>
                <w:lang w:eastAsia="cs-CZ"/>
              </w:rPr>
            </w:pPr>
            <w:r w:rsidRPr="00F15667">
              <w:rPr>
                <w:rFonts w:eastAsia="Times New Roman"/>
                <w:szCs w:val="24"/>
                <w:lang w:eastAsia="cs-CZ"/>
              </w:rPr>
              <w:t>4,81 %</w:t>
            </w:r>
          </w:p>
        </w:tc>
        <w:tc>
          <w:tcPr>
            <w:tcW w:w="1418" w:type="dxa"/>
            <w:tcBorders>
              <w:top w:val="nil"/>
              <w:left w:val="nil"/>
              <w:bottom w:val="single" w:sz="4" w:space="0" w:color="auto"/>
              <w:right w:val="nil"/>
            </w:tcBorders>
            <w:shd w:val="clear" w:color="auto" w:fill="auto"/>
            <w:noWrap/>
            <w:vAlign w:val="center"/>
            <w:hideMark/>
          </w:tcPr>
          <w:p w14:paraId="6091BC68" w14:textId="12A33A81" w:rsidR="00DD77A6" w:rsidRPr="00F15667" w:rsidRDefault="00DD77A6" w:rsidP="004C14FE">
            <w:pPr>
              <w:spacing w:line="240" w:lineRule="auto"/>
              <w:jc w:val="center"/>
              <w:rPr>
                <w:rFonts w:eastAsia="Times New Roman"/>
                <w:sz w:val="20"/>
                <w:szCs w:val="20"/>
                <w:lang w:eastAsia="cs-CZ"/>
              </w:rPr>
            </w:pPr>
            <w:r w:rsidRPr="00F15667">
              <w:rPr>
                <w:rFonts w:eastAsia="Times New Roman"/>
                <w:sz w:val="20"/>
                <w:szCs w:val="20"/>
                <w:lang w:eastAsia="cs-CZ"/>
              </w:rPr>
              <w:t>+0,2 p.b.</w:t>
            </w:r>
          </w:p>
        </w:tc>
      </w:tr>
      <w:tr w:rsidR="00F15667" w:rsidRPr="00F15667" w14:paraId="05D2D35E" w14:textId="77777777" w:rsidTr="004C14FE">
        <w:trPr>
          <w:trHeight w:val="330"/>
        </w:trPr>
        <w:tc>
          <w:tcPr>
            <w:tcW w:w="2780" w:type="dxa"/>
            <w:tcBorders>
              <w:top w:val="nil"/>
              <w:left w:val="nil"/>
              <w:bottom w:val="double" w:sz="6" w:space="0" w:color="auto"/>
              <w:right w:val="nil"/>
            </w:tcBorders>
            <w:shd w:val="clear" w:color="auto" w:fill="auto"/>
            <w:noWrap/>
            <w:vAlign w:val="center"/>
            <w:hideMark/>
          </w:tcPr>
          <w:p w14:paraId="5ABB907B" w14:textId="77777777" w:rsidR="00DD77A6" w:rsidRPr="00F15667" w:rsidRDefault="00DD77A6" w:rsidP="004C14FE">
            <w:pPr>
              <w:spacing w:line="240" w:lineRule="auto"/>
              <w:jc w:val="left"/>
              <w:rPr>
                <w:rFonts w:eastAsia="Times New Roman"/>
                <w:szCs w:val="24"/>
                <w:lang w:eastAsia="cs-CZ"/>
              </w:rPr>
            </w:pPr>
            <w:r w:rsidRPr="00F15667">
              <w:rPr>
                <w:rFonts w:eastAsia="Times New Roman"/>
                <w:szCs w:val="24"/>
                <w:lang w:eastAsia="cs-CZ"/>
              </w:rPr>
              <w:t>KS Ostrava</w:t>
            </w:r>
          </w:p>
        </w:tc>
        <w:tc>
          <w:tcPr>
            <w:tcW w:w="1898" w:type="dxa"/>
            <w:tcBorders>
              <w:top w:val="nil"/>
              <w:left w:val="nil"/>
              <w:bottom w:val="double" w:sz="6" w:space="0" w:color="auto"/>
              <w:right w:val="nil"/>
            </w:tcBorders>
            <w:shd w:val="clear" w:color="auto" w:fill="auto"/>
            <w:noWrap/>
            <w:vAlign w:val="center"/>
            <w:hideMark/>
          </w:tcPr>
          <w:p w14:paraId="68A29646" w14:textId="0F005C2E" w:rsidR="00DD77A6" w:rsidRPr="00F15667" w:rsidRDefault="00DD77A6" w:rsidP="004C14FE">
            <w:pPr>
              <w:spacing w:line="240" w:lineRule="auto"/>
              <w:jc w:val="center"/>
              <w:rPr>
                <w:rFonts w:eastAsia="Times New Roman"/>
                <w:szCs w:val="24"/>
                <w:lang w:eastAsia="cs-CZ"/>
              </w:rPr>
            </w:pPr>
            <w:r w:rsidRPr="00F15667">
              <w:rPr>
                <w:rFonts w:eastAsia="Times New Roman"/>
                <w:szCs w:val="24"/>
                <w:lang w:eastAsia="cs-CZ"/>
              </w:rPr>
              <w:t>3,30 %</w:t>
            </w:r>
          </w:p>
        </w:tc>
        <w:tc>
          <w:tcPr>
            <w:tcW w:w="1418" w:type="dxa"/>
            <w:tcBorders>
              <w:top w:val="nil"/>
              <w:left w:val="nil"/>
              <w:bottom w:val="double" w:sz="6" w:space="0" w:color="auto"/>
              <w:right w:val="nil"/>
            </w:tcBorders>
            <w:shd w:val="clear" w:color="auto" w:fill="auto"/>
            <w:noWrap/>
            <w:vAlign w:val="center"/>
            <w:hideMark/>
          </w:tcPr>
          <w:p w14:paraId="406BE23B" w14:textId="1B083265" w:rsidR="00DD77A6" w:rsidRPr="00F15667" w:rsidRDefault="00DD77A6" w:rsidP="004C14FE">
            <w:pPr>
              <w:spacing w:line="240" w:lineRule="auto"/>
              <w:jc w:val="center"/>
              <w:rPr>
                <w:rFonts w:eastAsia="Times New Roman"/>
                <w:sz w:val="20"/>
                <w:szCs w:val="20"/>
                <w:lang w:eastAsia="cs-CZ"/>
              </w:rPr>
            </w:pPr>
            <w:r w:rsidRPr="00F15667">
              <w:rPr>
                <w:rFonts w:eastAsia="Times New Roman"/>
                <w:sz w:val="20"/>
                <w:szCs w:val="20"/>
                <w:lang w:eastAsia="cs-CZ"/>
              </w:rPr>
              <w:t>+0,1 p.b.</w:t>
            </w:r>
          </w:p>
        </w:tc>
      </w:tr>
      <w:tr w:rsidR="00F15667" w:rsidRPr="00F15667" w14:paraId="18D048B3" w14:textId="77777777" w:rsidTr="004C14FE">
        <w:trPr>
          <w:trHeight w:val="345"/>
        </w:trPr>
        <w:tc>
          <w:tcPr>
            <w:tcW w:w="2780" w:type="dxa"/>
            <w:tcBorders>
              <w:top w:val="nil"/>
              <w:left w:val="nil"/>
              <w:bottom w:val="double" w:sz="6" w:space="0" w:color="auto"/>
              <w:right w:val="nil"/>
            </w:tcBorders>
            <w:shd w:val="clear" w:color="auto" w:fill="auto"/>
            <w:noWrap/>
            <w:vAlign w:val="center"/>
            <w:hideMark/>
          </w:tcPr>
          <w:p w14:paraId="04038023" w14:textId="77777777" w:rsidR="00DD77A6" w:rsidRPr="00F15667" w:rsidRDefault="00DD77A6" w:rsidP="004C14FE">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898" w:type="dxa"/>
            <w:tcBorders>
              <w:top w:val="nil"/>
              <w:left w:val="nil"/>
              <w:bottom w:val="double" w:sz="6" w:space="0" w:color="auto"/>
              <w:right w:val="nil"/>
            </w:tcBorders>
            <w:shd w:val="clear" w:color="auto" w:fill="auto"/>
            <w:noWrap/>
            <w:vAlign w:val="center"/>
            <w:hideMark/>
          </w:tcPr>
          <w:p w14:paraId="15578108" w14:textId="0AE7C0BD" w:rsidR="00DD77A6" w:rsidRPr="00F15667" w:rsidRDefault="00DD77A6" w:rsidP="004C14FE">
            <w:pPr>
              <w:spacing w:line="240" w:lineRule="auto"/>
              <w:jc w:val="center"/>
              <w:rPr>
                <w:rFonts w:eastAsia="Times New Roman"/>
                <w:b/>
                <w:bCs/>
                <w:szCs w:val="24"/>
                <w:lang w:eastAsia="cs-CZ"/>
              </w:rPr>
            </w:pPr>
            <w:r w:rsidRPr="00F15667">
              <w:rPr>
                <w:rFonts w:eastAsia="Times New Roman"/>
                <w:b/>
                <w:bCs/>
                <w:szCs w:val="24"/>
                <w:lang w:eastAsia="cs-CZ"/>
              </w:rPr>
              <w:t>4,46 %</w:t>
            </w:r>
          </w:p>
        </w:tc>
        <w:tc>
          <w:tcPr>
            <w:tcW w:w="1418" w:type="dxa"/>
            <w:tcBorders>
              <w:top w:val="nil"/>
              <w:left w:val="nil"/>
              <w:bottom w:val="double" w:sz="6" w:space="0" w:color="auto"/>
              <w:right w:val="nil"/>
            </w:tcBorders>
            <w:shd w:val="clear" w:color="auto" w:fill="auto"/>
            <w:noWrap/>
            <w:vAlign w:val="center"/>
            <w:hideMark/>
          </w:tcPr>
          <w:p w14:paraId="58FDB9DD" w14:textId="0675678D" w:rsidR="00DD77A6" w:rsidRPr="00F15667" w:rsidRDefault="00DD77A6" w:rsidP="004C14FE">
            <w:pPr>
              <w:spacing w:line="240" w:lineRule="auto"/>
              <w:jc w:val="center"/>
              <w:rPr>
                <w:rFonts w:eastAsia="Times New Roman"/>
                <w:b/>
                <w:bCs/>
                <w:sz w:val="20"/>
                <w:szCs w:val="20"/>
                <w:lang w:eastAsia="cs-CZ"/>
              </w:rPr>
            </w:pPr>
            <w:r w:rsidRPr="00F15667">
              <w:rPr>
                <w:rFonts w:eastAsia="Times New Roman"/>
                <w:b/>
                <w:bCs/>
                <w:sz w:val="20"/>
                <w:szCs w:val="20"/>
                <w:lang w:eastAsia="cs-CZ"/>
              </w:rPr>
              <w:t>+0</w:t>
            </w:r>
            <w:r w:rsidR="00D706C8" w:rsidRPr="00F15667">
              <w:rPr>
                <w:rFonts w:eastAsia="Times New Roman"/>
                <w:b/>
                <w:bCs/>
                <w:sz w:val="20"/>
                <w:szCs w:val="20"/>
                <w:lang w:eastAsia="cs-CZ"/>
              </w:rPr>
              <w:t>,</w:t>
            </w:r>
            <w:r w:rsidRPr="00F15667">
              <w:rPr>
                <w:rFonts w:eastAsia="Times New Roman"/>
                <w:b/>
                <w:bCs/>
                <w:sz w:val="20"/>
                <w:szCs w:val="20"/>
                <w:lang w:eastAsia="cs-CZ"/>
              </w:rPr>
              <w:t>1 p.b.</w:t>
            </w:r>
          </w:p>
        </w:tc>
      </w:tr>
      <w:tr w:rsidR="00F15667" w:rsidRPr="00F15667" w14:paraId="5FA69D9D" w14:textId="77777777" w:rsidTr="004C14FE">
        <w:trPr>
          <w:trHeight w:val="330"/>
        </w:trPr>
        <w:tc>
          <w:tcPr>
            <w:tcW w:w="2780" w:type="dxa"/>
            <w:tcBorders>
              <w:top w:val="nil"/>
              <w:left w:val="nil"/>
              <w:bottom w:val="nil"/>
              <w:right w:val="nil"/>
            </w:tcBorders>
            <w:shd w:val="clear" w:color="auto" w:fill="auto"/>
            <w:noWrap/>
            <w:vAlign w:val="center"/>
            <w:hideMark/>
          </w:tcPr>
          <w:p w14:paraId="0981C6B5" w14:textId="77777777" w:rsidR="00DD77A6" w:rsidRPr="00F15667" w:rsidRDefault="00DD77A6" w:rsidP="004C14FE">
            <w:pPr>
              <w:spacing w:line="240" w:lineRule="auto"/>
              <w:jc w:val="center"/>
              <w:rPr>
                <w:rFonts w:eastAsia="Times New Roman"/>
                <w:b/>
                <w:bCs/>
                <w:sz w:val="20"/>
                <w:szCs w:val="20"/>
                <w:lang w:eastAsia="cs-CZ"/>
              </w:rPr>
            </w:pPr>
          </w:p>
        </w:tc>
        <w:tc>
          <w:tcPr>
            <w:tcW w:w="1898" w:type="dxa"/>
            <w:tcBorders>
              <w:top w:val="nil"/>
              <w:left w:val="nil"/>
              <w:bottom w:val="nil"/>
              <w:right w:val="nil"/>
            </w:tcBorders>
            <w:shd w:val="clear" w:color="auto" w:fill="auto"/>
            <w:noWrap/>
            <w:vAlign w:val="center"/>
            <w:hideMark/>
          </w:tcPr>
          <w:p w14:paraId="52B0D2C3" w14:textId="77777777" w:rsidR="00DD77A6" w:rsidRPr="00F15667" w:rsidRDefault="00DD77A6" w:rsidP="004C14FE">
            <w:pPr>
              <w:spacing w:line="240" w:lineRule="auto"/>
              <w:jc w:val="center"/>
              <w:rPr>
                <w:rFonts w:ascii="Times New Roman" w:eastAsia="Times New Roman" w:hAnsi="Times New Roman"/>
                <w:sz w:val="20"/>
                <w:szCs w:val="20"/>
                <w:lang w:eastAsia="cs-CZ"/>
              </w:rPr>
            </w:pPr>
          </w:p>
        </w:tc>
        <w:tc>
          <w:tcPr>
            <w:tcW w:w="1418" w:type="dxa"/>
            <w:tcBorders>
              <w:top w:val="nil"/>
              <w:left w:val="nil"/>
              <w:bottom w:val="nil"/>
              <w:right w:val="nil"/>
            </w:tcBorders>
            <w:shd w:val="clear" w:color="auto" w:fill="auto"/>
            <w:noWrap/>
            <w:vAlign w:val="center"/>
            <w:hideMark/>
          </w:tcPr>
          <w:p w14:paraId="649267D7" w14:textId="77777777" w:rsidR="00DD77A6" w:rsidRPr="00F15667" w:rsidRDefault="00DD77A6" w:rsidP="004C14FE">
            <w:pPr>
              <w:spacing w:line="240" w:lineRule="auto"/>
              <w:jc w:val="center"/>
              <w:rPr>
                <w:rFonts w:ascii="Times New Roman" w:eastAsia="Times New Roman" w:hAnsi="Times New Roman"/>
                <w:sz w:val="20"/>
                <w:szCs w:val="20"/>
                <w:lang w:eastAsia="cs-CZ"/>
              </w:rPr>
            </w:pPr>
          </w:p>
        </w:tc>
      </w:tr>
    </w:tbl>
    <w:p w14:paraId="6422BDEA" w14:textId="60AACF9B" w:rsidR="00DD77A6" w:rsidRPr="00F15667" w:rsidRDefault="00DD77A6" w:rsidP="00DD77A6">
      <w:r w:rsidRPr="00F15667">
        <w:t>Z tabulky vyplývá, že míra odvolání je nižší než v civilním řízení, tento rok v absolutním vyjádření přibližně o 3 procentní body. V relativních číslech jde zhruba o 37 %. Rozdíly existují i na úrovni krajů. Nejvyšší míry odvolání jsou v Praze a okolí (soudy spadající pod MS Praha a KS Praha), především soudy v Praze vykázaly po značném růstu vysokou míru odvolání. Nejnižší míra odvolání</w:t>
      </w:r>
      <w:r w:rsidR="00AB70E4" w:rsidRPr="00F15667">
        <w:t xml:space="preserve"> je</w:t>
      </w:r>
      <w:r w:rsidRPr="00F15667">
        <w:t xml:space="preserve"> v Severočeském a Severomoravském kraji. Rozdíly zřejmě budou vyplývat ze socioekonomických faktorů a složení obyvatelstva daných krajů.</w:t>
      </w:r>
    </w:p>
    <w:p w14:paraId="6298DE2C" w14:textId="6817574E" w:rsidR="00AB70E4" w:rsidRPr="00F15667" w:rsidRDefault="00AB70E4" w:rsidP="00AB70E4">
      <w:pPr>
        <w:pStyle w:val="Podnadpis"/>
        <w:rPr>
          <w:color w:val="auto"/>
        </w:rPr>
      </w:pPr>
      <w:bookmarkStart w:id="503" w:name="_Toc106106678"/>
      <w:bookmarkStart w:id="504" w:name="_Toc109802002"/>
      <w:bookmarkStart w:id="505" w:name="_Toc144104154"/>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42</w:t>
      </w:r>
      <w:r w:rsidR="009A10E2" w:rsidRPr="00F15667">
        <w:rPr>
          <w:color w:val="auto"/>
        </w:rPr>
        <w:fldChar w:fldCharType="end"/>
      </w:r>
      <w:r w:rsidRPr="00F15667">
        <w:rPr>
          <w:color w:val="auto"/>
        </w:rPr>
        <w:t>: OS – míra odvolání u jednotlivých soudů v opatrovnickém řízení</w:t>
      </w:r>
      <w:bookmarkEnd w:id="503"/>
      <w:bookmarkEnd w:id="504"/>
      <w:bookmarkEnd w:id="505"/>
    </w:p>
    <w:p w14:paraId="401CD619" w14:textId="5D074AB8" w:rsidR="00AB70E4" w:rsidRPr="00F15667" w:rsidRDefault="004C14FE" w:rsidP="004C14FE">
      <w:pPr>
        <w:pStyle w:val="OdstavecASR"/>
      </w:pPr>
      <w:r w:rsidRPr="00F15667">
        <w:rPr>
          <w:noProof/>
          <w:lang w:eastAsia="cs-CZ"/>
        </w:rPr>
        <w:drawing>
          <wp:anchor distT="0" distB="0" distL="114300" distR="114300" simplePos="0" relativeHeight="251677696" behindDoc="0" locked="0" layoutInCell="1" allowOverlap="1" wp14:anchorId="204D2A06" wp14:editId="75312BBE">
            <wp:simplePos x="0" y="0"/>
            <wp:positionH relativeFrom="column">
              <wp:posOffset>4490720</wp:posOffset>
            </wp:positionH>
            <wp:positionV relativeFrom="paragraph">
              <wp:posOffset>45720</wp:posOffset>
            </wp:positionV>
            <wp:extent cx="1245600" cy="907200"/>
            <wp:effectExtent l="0" t="0" r="0" b="7620"/>
            <wp:wrapNone/>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45600" cy="90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4492" w:rsidRPr="00F15667">
        <w:rPr>
          <w:noProof/>
          <w:lang w:eastAsia="cs-CZ"/>
        </w:rPr>
        <w:drawing>
          <wp:inline distT="0" distB="0" distL="0" distR="0" wp14:anchorId="5CE63300" wp14:editId="689A7740">
            <wp:extent cx="5759450" cy="3296285"/>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4E57352A" w14:textId="71E6E7BD" w:rsidR="00264492" w:rsidRPr="00F15667" w:rsidRDefault="00264492" w:rsidP="00264492">
      <w:pPr>
        <w:pStyle w:val="OdstavecASR"/>
      </w:pPr>
      <w:bookmarkStart w:id="506" w:name="_Hlk130458045"/>
      <w:r w:rsidRPr="00F15667">
        <w:t xml:space="preserve">Z jednotlivých okresních soudů byla v roce </w:t>
      </w:r>
      <w:r w:rsidR="00BD410E" w:rsidRPr="00F15667">
        <w:t xml:space="preserve">2022 </w:t>
      </w:r>
      <w:r w:rsidRPr="00F15667">
        <w:t>nejvyšší míra odvolání u OS Praha 2 (39,16 %), OS Praha-západ (13,15 %) a OS Praha 9 (10,55 %). Nejnižší je naopak míra odvolání u OS Praha 7</w:t>
      </w:r>
      <w:r w:rsidRPr="00F15667">
        <w:rPr>
          <w:rStyle w:val="Znakapoznpodarou"/>
        </w:rPr>
        <w:footnoteReference w:id="9"/>
      </w:r>
      <w:r w:rsidRPr="00F15667">
        <w:t xml:space="preserve"> (0 %), OS Strakonice (0,99 %) a OS Tachov (1,47 %).</w:t>
      </w:r>
    </w:p>
    <w:bookmarkEnd w:id="506"/>
    <w:p w14:paraId="53351931" w14:textId="6A43048B" w:rsidR="00AB70E4" w:rsidRPr="004C14FE" w:rsidRDefault="00AB70E4" w:rsidP="00AB70E4">
      <w:pPr>
        <w:pStyle w:val="OdstavecASR"/>
        <w:keepNext/>
        <w:outlineLvl w:val="3"/>
        <w:rPr>
          <w:b/>
        </w:rPr>
      </w:pPr>
      <w:r w:rsidRPr="00F15667">
        <w:rPr>
          <w:b/>
        </w:rPr>
        <w:lastRenderedPageBreak/>
        <w:t xml:space="preserve">Míra změny </w:t>
      </w:r>
      <w:r w:rsidRPr="004C14FE">
        <w:rPr>
          <w:b/>
        </w:rPr>
        <w:t>rozsudku</w:t>
      </w:r>
    </w:p>
    <w:p w14:paraId="371455A0" w14:textId="6F80A4D2" w:rsidR="00AB70E4" w:rsidRPr="004C14FE" w:rsidRDefault="00AB70E4" w:rsidP="00AB70E4">
      <w:pPr>
        <w:pStyle w:val="OdstavecASR"/>
      </w:pPr>
      <w:r w:rsidRPr="004C14FE">
        <w:t>Stejně jako u civilního řízení je dalším sledovaným ukazatelem míra změny rozsudku. Jedná se o podíl věcí v procentech, ve kterých odvolací soud na podkladě odvolání změnil rozhodnutí soudu I. stupně.</w:t>
      </w:r>
    </w:p>
    <w:p w14:paraId="2225B963" w14:textId="03582CB7" w:rsidR="00AB70E4" w:rsidRPr="004C14FE" w:rsidRDefault="00AB70E4" w:rsidP="00AB70E4">
      <w:pPr>
        <w:pStyle w:val="Podnadpis"/>
        <w:rPr>
          <w:color w:val="auto"/>
        </w:rPr>
      </w:pPr>
      <w:bookmarkStart w:id="507" w:name="_Toc106106795"/>
      <w:bookmarkStart w:id="508" w:name="_Toc109802118"/>
      <w:bookmarkStart w:id="509" w:name="_Toc144104274"/>
      <w:r w:rsidRPr="004C14FE">
        <w:rPr>
          <w:color w:val="auto"/>
        </w:rPr>
        <w:t xml:space="preserve">Tabulka </w:t>
      </w:r>
      <w:r w:rsidRPr="004C14FE">
        <w:rPr>
          <w:color w:val="auto"/>
        </w:rPr>
        <w:fldChar w:fldCharType="begin"/>
      </w:r>
      <w:r w:rsidRPr="004C14FE">
        <w:rPr>
          <w:color w:val="auto"/>
        </w:rPr>
        <w:instrText xml:space="preserve"> SEQ Tabulka \* ARABIC </w:instrText>
      </w:r>
      <w:r w:rsidRPr="004C14FE">
        <w:rPr>
          <w:color w:val="auto"/>
        </w:rPr>
        <w:fldChar w:fldCharType="separate"/>
      </w:r>
      <w:r w:rsidR="001E1A67">
        <w:rPr>
          <w:noProof/>
          <w:color w:val="auto"/>
        </w:rPr>
        <w:t>35</w:t>
      </w:r>
      <w:r w:rsidRPr="004C14FE">
        <w:rPr>
          <w:noProof/>
          <w:color w:val="auto"/>
        </w:rPr>
        <w:fldChar w:fldCharType="end"/>
      </w:r>
      <w:r w:rsidRPr="004C14FE">
        <w:rPr>
          <w:color w:val="auto"/>
        </w:rPr>
        <w:t>: OS – míra změny rozsudku dle krajů v opatrovnickém řízení</w:t>
      </w:r>
      <w:bookmarkEnd w:id="507"/>
      <w:bookmarkEnd w:id="508"/>
      <w:bookmarkEnd w:id="509"/>
      <w:r w:rsidRPr="004C14FE">
        <w:rPr>
          <w:color w:val="auto"/>
        </w:rPr>
        <w:t xml:space="preserve"> </w:t>
      </w:r>
    </w:p>
    <w:tbl>
      <w:tblPr>
        <w:tblW w:w="5980" w:type="dxa"/>
        <w:tblCellMar>
          <w:left w:w="70" w:type="dxa"/>
          <w:right w:w="70" w:type="dxa"/>
        </w:tblCellMar>
        <w:tblLook w:val="04A0" w:firstRow="1" w:lastRow="0" w:firstColumn="1" w:lastColumn="0" w:noHBand="0" w:noVBand="1"/>
      </w:tblPr>
      <w:tblGrid>
        <w:gridCol w:w="2780"/>
        <w:gridCol w:w="1898"/>
        <w:gridCol w:w="1302"/>
      </w:tblGrid>
      <w:tr w:rsidR="00F15667" w:rsidRPr="004C14FE" w14:paraId="394D5C78" w14:textId="77777777" w:rsidTr="004C14FE">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55B8021" w14:textId="77777777" w:rsidR="00AB70E4" w:rsidRPr="004C14FE" w:rsidRDefault="00AB70E4" w:rsidP="004C14FE">
            <w:pPr>
              <w:spacing w:line="240" w:lineRule="auto"/>
              <w:jc w:val="center"/>
              <w:rPr>
                <w:rFonts w:eastAsia="Times New Roman"/>
                <w:b/>
                <w:bCs/>
                <w:szCs w:val="24"/>
                <w:lang w:eastAsia="cs-CZ"/>
              </w:rPr>
            </w:pPr>
            <w:r w:rsidRPr="004C14FE">
              <w:rPr>
                <w:rFonts w:eastAsia="Times New Roman"/>
                <w:b/>
                <w:bCs/>
                <w:szCs w:val="24"/>
                <w:lang w:eastAsia="cs-CZ"/>
              </w:rPr>
              <w:t>Nadřízený soud</w:t>
            </w:r>
          </w:p>
        </w:tc>
        <w:tc>
          <w:tcPr>
            <w:tcW w:w="3200" w:type="dxa"/>
            <w:gridSpan w:val="2"/>
            <w:tcBorders>
              <w:top w:val="double" w:sz="6" w:space="0" w:color="auto"/>
              <w:left w:val="nil"/>
              <w:bottom w:val="double" w:sz="6" w:space="0" w:color="auto"/>
              <w:right w:val="nil"/>
            </w:tcBorders>
            <w:shd w:val="clear" w:color="auto" w:fill="auto"/>
            <w:noWrap/>
            <w:vAlign w:val="center"/>
            <w:hideMark/>
          </w:tcPr>
          <w:p w14:paraId="024F5A71" w14:textId="2BE219A9" w:rsidR="00AB70E4" w:rsidRPr="004C14FE" w:rsidRDefault="00AB70E4" w:rsidP="004C14FE">
            <w:pPr>
              <w:spacing w:line="240" w:lineRule="auto"/>
              <w:jc w:val="center"/>
              <w:rPr>
                <w:rFonts w:eastAsia="Times New Roman"/>
                <w:b/>
                <w:bCs/>
                <w:szCs w:val="24"/>
                <w:lang w:eastAsia="cs-CZ"/>
              </w:rPr>
            </w:pPr>
            <w:r w:rsidRPr="004C14FE">
              <w:rPr>
                <w:rFonts w:eastAsia="Times New Roman"/>
                <w:b/>
                <w:bCs/>
                <w:szCs w:val="24"/>
                <w:lang w:eastAsia="cs-CZ"/>
              </w:rPr>
              <w:t>Míra změny rozsudku</w:t>
            </w:r>
          </w:p>
        </w:tc>
      </w:tr>
      <w:tr w:rsidR="00F15667" w:rsidRPr="004C14FE" w14:paraId="7EE2CB75" w14:textId="77777777" w:rsidTr="004C14FE">
        <w:trPr>
          <w:trHeight w:val="330"/>
        </w:trPr>
        <w:tc>
          <w:tcPr>
            <w:tcW w:w="2780" w:type="dxa"/>
            <w:tcBorders>
              <w:top w:val="nil"/>
              <w:left w:val="nil"/>
              <w:bottom w:val="single" w:sz="4" w:space="0" w:color="auto"/>
              <w:right w:val="nil"/>
            </w:tcBorders>
            <w:shd w:val="clear" w:color="auto" w:fill="auto"/>
            <w:noWrap/>
            <w:vAlign w:val="center"/>
            <w:hideMark/>
          </w:tcPr>
          <w:p w14:paraId="67E14302" w14:textId="77777777" w:rsidR="00AB70E4" w:rsidRPr="004C14FE" w:rsidRDefault="00AB70E4" w:rsidP="004C14FE">
            <w:pPr>
              <w:spacing w:line="240" w:lineRule="auto"/>
              <w:jc w:val="left"/>
              <w:rPr>
                <w:rFonts w:eastAsia="Times New Roman"/>
                <w:szCs w:val="24"/>
                <w:lang w:eastAsia="cs-CZ"/>
              </w:rPr>
            </w:pPr>
            <w:r w:rsidRPr="004C14FE">
              <w:rPr>
                <w:rFonts w:eastAsia="Times New Roman"/>
                <w:szCs w:val="24"/>
                <w:lang w:eastAsia="cs-CZ"/>
              </w:rPr>
              <w:t>MS Praha</w:t>
            </w:r>
          </w:p>
        </w:tc>
        <w:tc>
          <w:tcPr>
            <w:tcW w:w="1898" w:type="dxa"/>
            <w:tcBorders>
              <w:top w:val="nil"/>
              <w:left w:val="nil"/>
              <w:bottom w:val="single" w:sz="4" w:space="0" w:color="auto"/>
              <w:right w:val="nil"/>
            </w:tcBorders>
            <w:shd w:val="clear" w:color="auto" w:fill="auto"/>
            <w:noWrap/>
            <w:vAlign w:val="center"/>
            <w:hideMark/>
          </w:tcPr>
          <w:p w14:paraId="47D48548" w14:textId="1826CD38" w:rsidR="00AB70E4" w:rsidRPr="004C14FE" w:rsidRDefault="00AB70E4" w:rsidP="004C14FE">
            <w:pPr>
              <w:spacing w:line="240" w:lineRule="auto"/>
              <w:jc w:val="center"/>
              <w:rPr>
                <w:rFonts w:eastAsia="Times New Roman"/>
                <w:szCs w:val="24"/>
                <w:lang w:eastAsia="cs-CZ"/>
              </w:rPr>
            </w:pPr>
            <w:r w:rsidRPr="004C14FE">
              <w:rPr>
                <w:rFonts w:eastAsia="Times New Roman"/>
                <w:szCs w:val="24"/>
                <w:lang w:eastAsia="cs-CZ"/>
              </w:rPr>
              <w:t>42</w:t>
            </w:r>
            <w:r w:rsidR="00D706C8" w:rsidRPr="004C14FE">
              <w:rPr>
                <w:rFonts w:eastAsia="Times New Roman"/>
                <w:szCs w:val="24"/>
                <w:lang w:eastAsia="cs-CZ"/>
              </w:rPr>
              <w:t>,</w:t>
            </w:r>
            <w:r w:rsidRPr="004C14FE">
              <w:rPr>
                <w:rFonts w:eastAsia="Times New Roman"/>
                <w:szCs w:val="24"/>
                <w:lang w:eastAsia="cs-CZ"/>
              </w:rPr>
              <w:t>73 %</w:t>
            </w:r>
          </w:p>
        </w:tc>
        <w:tc>
          <w:tcPr>
            <w:tcW w:w="1299" w:type="dxa"/>
            <w:tcBorders>
              <w:top w:val="nil"/>
              <w:left w:val="nil"/>
              <w:bottom w:val="single" w:sz="4" w:space="0" w:color="auto"/>
              <w:right w:val="nil"/>
            </w:tcBorders>
            <w:shd w:val="clear" w:color="auto" w:fill="auto"/>
            <w:noWrap/>
            <w:vAlign w:val="center"/>
            <w:hideMark/>
          </w:tcPr>
          <w:p w14:paraId="3F0A0807" w14:textId="36B42D36" w:rsidR="00AB70E4" w:rsidRPr="004C14FE" w:rsidRDefault="00AB70E4" w:rsidP="004C14FE">
            <w:pPr>
              <w:spacing w:line="240" w:lineRule="auto"/>
              <w:jc w:val="center"/>
              <w:rPr>
                <w:rFonts w:eastAsia="Times New Roman"/>
                <w:sz w:val="20"/>
                <w:szCs w:val="20"/>
                <w:lang w:eastAsia="cs-CZ"/>
              </w:rPr>
            </w:pPr>
            <w:r w:rsidRPr="004C14FE">
              <w:rPr>
                <w:rFonts w:eastAsia="Times New Roman"/>
                <w:sz w:val="20"/>
                <w:szCs w:val="20"/>
                <w:lang w:eastAsia="cs-CZ"/>
              </w:rPr>
              <w:t>-10</w:t>
            </w:r>
            <w:r w:rsidR="00D706C8" w:rsidRPr="004C14FE">
              <w:rPr>
                <w:rFonts w:eastAsia="Times New Roman"/>
                <w:sz w:val="20"/>
                <w:szCs w:val="20"/>
                <w:lang w:eastAsia="cs-CZ"/>
              </w:rPr>
              <w:t>,</w:t>
            </w:r>
            <w:r w:rsidRPr="004C14FE">
              <w:rPr>
                <w:rFonts w:eastAsia="Times New Roman"/>
                <w:sz w:val="20"/>
                <w:szCs w:val="20"/>
                <w:lang w:eastAsia="cs-CZ"/>
              </w:rPr>
              <w:t>7 p.b.</w:t>
            </w:r>
          </w:p>
        </w:tc>
      </w:tr>
      <w:tr w:rsidR="00F15667" w:rsidRPr="004C14FE" w14:paraId="118DD536"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5DA43C51" w14:textId="77777777" w:rsidR="00AB70E4" w:rsidRPr="004C14FE" w:rsidRDefault="00AB70E4" w:rsidP="004C14FE">
            <w:pPr>
              <w:spacing w:line="240" w:lineRule="auto"/>
              <w:jc w:val="left"/>
              <w:rPr>
                <w:rFonts w:eastAsia="Times New Roman"/>
                <w:szCs w:val="24"/>
                <w:lang w:eastAsia="cs-CZ"/>
              </w:rPr>
            </w:pPr>
            <w:r w:rsidRPr="004C14FE">
              <w:rPr>
                <w:rFonts w:eastAsia="Times New Roman"/>
                <w:szCs w:val="24"/>
                <w:lang w:eastAsia="cs-CZ"/>
              </w:rPr>
              <w:t>KS Praha</w:t>
            </w:r>
          </w:p>
        </w:tc>
        <w:tc>
          <w:tcPr>
            <w:tcW w:w="1898" w:type="dxa"/>
            <w:tcBorders>
              <w:top w:val="nil"/>
              <w:left w:val="nil"/>
              <w:bottom w:val="single" w:sz="4" w:space="0" w:color="auto"/>
              <w:right w:val="nil"/>
            </w:tcBorders>
            <w:shd w:val="clear" w:color="auto" w:fill="auto"/>
            <w:noWrap/>
            <w:vAlign w:val="center"/>
            <w:hideMark/>
          </w:tcPr>
          <w:p w14:paraId="00AAD02A" w14:textId="27775D02" w:rsidR="00AB70E4" w:rsidRPr="004C14FE" w:rsidRDefault="00AB70E4" w:rsidP="004C14FE">
            <w:pPr>
              <w:spacing w:line="240" w:lineRule="auto"/>
              <w:jc w:val="center"/>
              <w:rPr>
                <w:rFonts w:eastAsia="Times New Roman"/>
                <w:szCs w:val="24"/>
                <w:lang w:eastAsia="cs-CZ"/>
              </w:rPr>
            </w:pPr>
            <w:r w:rsidRPr="004C14FE">
              <w:rPr>
                <w:rFonts w:eastAsia="Times New Roman"/>
                <w:szCs w:val="24"/>
                <w:lang w:eastAsia="cs-CZ"/>
              </w:rPr>
              <w:t>70</w:t>
            </w:r>
            <w:r w:rsidR="00D706C8" w:rsidRPr="004C14FE">
              <w:rPr>
                <w:rFonts w:eastAsia="Times New Roman"/>
                <w:szCs w:val="24"/>
                <w:lang w:eastAsia="cs-CZ"/>
              </w:rPr>
              <w:t>,</w:t>
            </w:r>
            <w:r w:rsidRPr="004C14FE">
              <w:rPr>
                <w:rFonts w:eastAsia="Times New Roman"/>
                <w:szCs w:val="24"/>
                <w:lang w:eastAsia="cs-CZ"/>
              </w:rPr>
              <w:t>66 %</w:t>
            </w:r>
          </w:p>
        </w:tc>
        <w:tc>
          <w:tcPr>
            <w:tcW w:w="1299" w:type="dxa"/>
            <w:tcBorders>
              <w:top w:val="nil"/>
              <w:left w:val="nil"/>
              <w:bottom w:val="single" w:sz="4" w:space="0" w:color="auto"/>
              <w:right w:val="nil"/>
            </w:tcBorders>
            <w:shd w:val="clear" w:color="auto" w:fill="auto"/>
            <w:noWrap/>
            <w:vAlign w:val="center"/>
            <w:hideMark/>
          </w:tcPr>
          <w:p w14:paraId="34007B7A" w14:textId="577B5930" w:rsidR="00AB70E4" w:rsidRPr="004C14FE" w:rsidRDefault="00AB70E4" w:rsidP="004C14FE">
            <w:pPr>
              <w:spacing w:line="240" w:lineRule="auto"/>
              <w:jc w:val="center"/>
              <w:rPr>
                <w:rFonts w:eastAsia="Times New Roman"/>
                <w:sz w:val="20"/>
                <w:szCs w:val="20"/>
                <w:lang w:eastAsia="cs-CZ"/>
              </w:rPr>
            </w:pPr>
            <w:r w:rsidRPr="004C14FE">
              <w:rPr>
                <w:rFonts w:eastAsia="Times New Roman"/>
                <w:sz w:val="20"/>
                <w:szCs w:val="20"/>
                <w:lang w:eastAsia="cs-CZ"/>
              </w:rPr>
              <w:t>+1</w:t>
            </w:r>
            <w:r w:rsidR="00D706C8" w:rsidRPr="004C14FE">
              <w:rPr>
                <w:rFonts w:eastAsia="Times New Roman"/>
                <w:sz w:val="20"/>
                <w:szCs w:val="20"/>
                <w:lang w:eastAsia="cs-CZ"/>
              </w:rPr>
              <w:t>,</w:t>
            </w:r>
            <w:r w:rsidRPr="004C14FE">
              <w:rPr>
                <w:rFonts w:eastAsia="Times New Roman"/>
                <w:sz w:val="20"/>
                <w:szCs w:val="20"/>
                <w:lang w:eastAsia="cs-CZ"/>
              </w:rPr>
              <w:t>6 p.b.</w:t>
            </w:r>
          </w:p>
        </w:tc>
      </w:tr>
      <w:tr w:rsidR="00F15667" w:rsidRPr="004C14FE" w14:paraId="36131542"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09392817" w14:textId="77777777" w:rsidR="00AB70E4" w:rsidRPr="004C14FE" w:rsidRDefault="00AB70E4" w:rsidP="004C14FE">
            <w:pPr>
              <w:spacing w:line="240" w:lineRule="auto"/>
              <w:jc w:val="left"/>
              <w:rPr>
                <w:rFonts w:eastAsia="Times New Roman"/>
                <w:szCs w:val="24"/>
                <w:lang w:eastAsia="cs-CZ"/>
              </w:rPr>
            </w:pPr>
            <w:r w:rsidRPr="004C14FE">
              <w:rPr>
                <w:rFonts w:eastAsia="Times New Roman"/>
                <w:szCs w:val="24"/>
                <w:lang w:eastAsia="cs-CZ"/>
              </w:rPr>
              <w:t>KS Č. Budějovice</w:t>
            </w:r>
          </w:p>
        </w:tc>
        <w:tc>
          <w:tcPr>
            <w:tcW w:w="1898" w:type="dxa"/>
            <w:tcBorders>
              <w:top w:val="nil"/>
              <w:left w:val="nil"/>
              <w:bottom w:val="single" w:sz="4" w:space="0" w:color="auto"/>
              <w:right w:val="nil"/>
            </w:tcBorders>
            <w:shd w:val="clear" w:color="auto" w:fill="auto"/>
            <w:noWrap/>
            <w:vAlign w:val="center"/>
            <w:hideMark/>
          </w:tcPr>
          <w:p w14:paraId="70C39D4F" w14:textId="272BE5AA" w:rsidR="00AB70E4" w:rsidRPr="004C14FE" w:rsidRDefault="00AB70E4" w:rsidP="004C14FE">
            <w:pPr>
              <w:spacing w:line="240" w:lineRule="auto"/>
              <w:jc w:val="center"/>
              <w:rPr>
                <w:rFonts w:eastAsia="Times New Roman"/>
                <w:szCs w:val="24"/>
                <w:lang w:eastAsia="cs-CZ"/>
              </w:rPr>
            </w:pPr>
            <w:r w:rsidRPr="004C14FE">
              <w:rPr>
                <w:rFonts w:eastAsia="Times New Roman"/>
                <w:szCs w:val="24"/>
                <w:lang w:eastAsia="cs-CZ"/>
              </w:rPr>
              <w:t>51</w:t>
            </w:r>
            <w:r w:rsidR="00D706C8" w:rsidRPr="004C14FE">
              <w:rPr>
                <w:rFonts w:eastAsia="Times New Roman"/>
                <w:szCs w:val="24"/>
                <w:lang w:eastAsia="cs-CZ"/>
              </w:rPr>
              <w:t>,</w:t>
            </w:r>
            <w:r w:rsidRPr="004C14FE">
              <w:rPr>
                <w:rFonts w:eastAsia="Times New Roman"/>
                <w:szCs w:val="24"/>
                <w:lang w:eastAsia="cs-CZ"/>
              </w:rPr>
              <w:t>88 %</w:t>
            </w:r>
          </w:p>
        </w:tc>
        <w:tc>
          <w:tcPr>
            <w:tcW w:w="1299" w:type="dxa"/>
            <w:tcBorders>
              <w:top w:val="nil"/>
              <w:left w:val="nil"/>
              <w:bottom w:val="single" w:sz="4" w:space="0" w:color="auto"/>
              <w:right w:val="nil"/>
            </w:tcBorders>
            <w:shd w:val="clear" w:color="auto" w:fill="auto"/>
            <w:noWrap/>
            <w:vAlign w:val="center"/>
            <w:hideMark/>
          </w:tcPr>
          <w:p w14:paraId="1B76C292" w14:textId="628B2269" w:rsidR="00AB70E4" w:rsidRPr="004C14FE" w:rsidRDefault="00AB70E4" w:rsidP="004C14FE">
            <w:pPr>
              <w:spacing w:line="240" w:lineRule="auto"/>
              <w:jc w:val="center"/>
              <w:rPr>
                <w:rFonts w:eastAsia="Times New Roman"/>
                <w:sz w:val="20"/>
                <w:szCs w:val="20"/>
                <w:lang w:eastAsia="cs-CZ"/>
              </w:rPr>
            </w:pPr>
            <w:r w:rsidRPr="004C14FE">
              <w:rPr>
                <w:rFonts w:eastAsia="Times New Roman"/>
                <w:sz w:val="20"/>
                <w:szCs w:val="20"/>
                <w:lang w:eastAsia="cs-CZ"/>
              </w:rPr>
              <w:t>-1</w:t>
            </w:r>
            <w:r w:rsidR="00D706C8" w:rsidRPr="004C14FE">
              <w:rPr>
                <w:rFonts w:eastAsia="Times New Roman"/>
                <w:sz w:val="20"/>
                <w:szCs w:val="20"/>
                <w:lang w:eastAsia="cs-CZ"/>
              </w:rPr>
              <w:t>,</w:t>
            </w:r>
            <w:r w:rsidRPr="004C14FE">
              <w:rPr>
                <w:rFonts w:eastAsia="Times New Roman"/>
                <w:sz w:val="20"/>
                <w:szCs w:val="20"/>
                <w:lang w:eastAsia="cs-CZ"/>
              </w:rPr>
              <w:t>5 p.b.</w:t>
            </w:r>
          </w:p>
        </w:tc>
      </w:tr>
      <w:tr w:rsidR="00F15667" w:rsidRPr="004C14FE" w14:paraId="37C5FBAD"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152363FD" w14:textId="77777777" w:rsidR="00AB70E4" w:rsidRPr="004C14FE" w:rsidRDefault="00AB70E4" w:rsidP="004C14FE">
            <w:pPr>
              <w:spacing w:line="240" w:lineRule="auto"/>
              <w:jc w:val="left"/>
              <w:rPr>
                <w:rFonts w:eastAsia="Times New Roman"/>
                <w:szCs w:val="24"/>
                <w:lang w:eastAsia="cs-CZ"/>
              </w:rPr>
            </w:pPr>
            <w:r w:rsidRPr="004C14FE">
              <w:rPr>
                <w:rFonts w:eastAsia="Times New Roman"/>
                <w:szCs w:val="24"/>
                <w:lang w:eastAsia="cs-CZ"/>
              </w:rPr>
              <w:t>KS Plzeň</w:t>
            </w:r>
          </w:p>
        </w:tc>
        <w:tc>
          <w:tcPr>
            <w:tcW w:w="1898" w:type="dxa"/>
            <w:tcBorders>
              <w:top w:val="nil"/>
              <w:left w:val="nil"/>
              <w:bottom w:val="single" w:sz="4" w:space="0" w:color="auto"/>
              <w:right w:val="nil"/>
            </w:tcBorders>
            <w:shd w:val="clear" w:color="auto" w:fill="auto"/>
            <w:noWrap/>
            <w:vAlign w:val="center"/>
            <w:hideMark/>
          </w:tcPr>
          <w:p w14:paraId="09BFA0AE" w14:textId="7BE707A4" w:rsidR="00AB70E4" w:rsidRPr="004C14FE" w:rsidRDefault="00AB70E4" w:rsidP="004C14FE">
            <w:pPr>
              <w:spacing w:line="240" w:lineRule="auto"/>
              <w:jc w:val="center"/>
              <w:rPr>
                <w:rFonts w:eastAsia="Times New Roman"/>
                <w:szCs w:val="24"/>
                <w:lang w:eastAsia="cs-CZ"/>
              </w:rPr>
            </w:pPr>
            <w:r w:rsidRPr="004C14FE">
              <w:rPr>
                <w:rFonts w:eastAsia="Times New Roman"/>
                <w:szCs w:val="24"/>
                <w:lang w:eastAsia="cs-CZ"/>
              </w:rPr>
              <w:t>59</w:t>
            </w:r>
            <w:r w:rsidR="00D706C8" w:rsidRPr="004C14FE">
              <w:rPr>
                <w:rFonts w:eastAsia="Times New Roman"/>
                <w:szCs w:val="24"/>
                <w:lang w:eastAsia="cs-CZ"/>
              </w:rPr>
              <w:t>,</w:t>
            </w:r>
            <w:r w:rsidRPr="004C14FE">
              <w:rPr>
                <w:rFonts w:eastAsia="Times New Roman"/>
                <w:szCs w:val="24"/>
                <w:lang w:eastAsia="cs-CZ"/>
              </w:rPr>
              <w:t>26 %</w:t>
            </w:r>
          </w:p>
        </w:tc>
        <w:tc>
          <w:tcPr>
            <w:tcW w:w="1299" w:type="dxa"/>
            <w:tcBorders>
              <w:top w:val="nil"/>
              <w:left w:val="nil"/>
              <w:bottom w:val="single" w:sz="4" w:space="0" w:color="auto"/>
              <w:right w:val="nil"/>
            </w:tcBorders>
            <w:shd w:val="clear" w:color="auto" w:fill="auto"/>
            <w:noWrap/>
            <w:vAlign w:val="center"/>
            <w:hideMark/>
          </w:tcPr>
          <w:p w14:paraId="1783D66E" w14:textId="53964DDE" w:rsidR="00AB70E4" w:rsidRPr="004C14FE" w:rsidRDefault="00AB70E4" w:rsidP="004C14FE">
            <w:pPr>
              <w:spacing w:line="240" w:lineRule="auto"/>
              <w:jc w:val="center"/>
              <w:rPr>
                <w:rFonts w:eastAsia="Times New Roman"/>
                <w:sz w:val="20"/>
                <w:szCs w:val="20"/>
                <w:lang w:eastAsia="cs-CZ"/>
              </w:rPr>
            </w:pPr>
            <w:r w:rsidRPr="004C14FE">
              <w:rPr>
                <w:rFonts w:eastAsia="Times New Roman"/>
                <w:sz w:val="20"/>
                <w:szCs w:val="20"/>
                <w:lang w:eastAsia="cs-CZ"/>
              </w:rPr>
              <w:t>-1</w:t>
            </w:r>
            <w:r w:rsidR="00D706C8" w:rsidRPr="004C14FE">
              <w:rPr>
                <w:rFonts w:eastAsia="Times New Roman"/>
                <w:sz w:val="20"/>
                <w:szCs w:val="20"/>
                <w:lang w:eastAsia="cs-CZ"/>
              </w:rPr>
              <w:t>,</w:t>
            </w:r>
            <w:r w:rsidRPr="004C14FE">
              <w:rPr>
                <w:rFonts w:eastAsia="Times New Roman"/>
                <w:sz w:val="20"/>
                <w:szCs w:val="20"/>
                <w:lang w:eastAsia="cs-CZ"/>
              </w:rPr>
              <w:t>7 p.b.</w:t>
            </w:r>
          </w:p>
        </w:tc>
      </w:tr>
      <w:tr w:rsidR="00F15667" w:rsidRPr="004C14FE" w14:paraId="1CD30F66"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4154DACA" w14:textId="77777777" w:rsidR="00AB70E4" w:rsidRPr="004C14FE" w:rsidRDefault="00AB70E4" w:rsidP="004C14FE">
            <w:pPr>
              <w:spacing w:line="240" w:lineRule="auto"/>
              <w:jc w:val="left"/>
              <w:rPr>
                <w:rFonts w:eastAsia="Times New Roman"/>
                <w:szCs w:val="24"/>
                <w:lang w:eastAsia="cs-CZ"/>
              </w:rPr>
            </w:pPr>
            <w:r w:rsidRPr="004C14FE">
              <w:rPr>
                <w:rFonts w:eastAsia="Times New Roman"/>
                <w:szCs w:val="24"/>
                <w:lang w:eastAsia="cs-CZ"/>
              </w:rPr>
              <w:t>KS Ústí n. Labem</w:t>
            </w:r>
          </w:p>
        </w:tc>
        <w:tc>
          <w:tcPr>
            <w:tcW w:w="1898" w:type="dxa"/>
            <w:tcBorders>
              <w:top w:val="nil"/>
              <w:left w:val="nil"/>
              <w:bottom w:val="single" w:sz="4" w:space="0" w:color="auto"/>
              <w:right w:val="nil"/>
            </w:tcBorders>
            <w:shd w:val="clear" w:color="auto" w:fill="auto"/>
            <w:noWrap/>
            <w:vAlign w:val="center"/>
            <w:hideMark/>
          </w:tcPr>
          <w:p w14:paraId="6F5A4109" w14:textId="3D3064CE" w:rsidR="00AB70E4" w:rsidRPr="004C14FE" w:rsidRDefault="00AB70E4" w:rsidP="004C14FE">
            <w:pPr>
              <w:spacing w:line="240" w:lineRule="auto"/>
              <w:jc w:val="center"/>
              <w:rPr>
                <w:rFonts w:eastAsia="Times New Roman"/>
                <w:szCs w:val="24"/>
                <w:lang w:eastAsia="cs-CZ"/>
              </w:rPr>
            </w:pPr>
            <w:r w:rsidRPr="004C14FE">
              <w:rPr>
                <w:rFonts w:eastAsia="Times New Roman"/>
                <w:szCs w:val="24"/>
                <w:lang w:eastAsia="cs-CZ"/>
              </w:rPr>
              <w:t>61</w:t>
            </w:r>
            <w:r w:rsidR="00D706C8" w:rsidRPr="004C14FE">
              <w:rPr>
                <w:rFonts w:eastAsia="Times New Roman"/>
                <w:szCs w:val="24"/>
                <w:lang w:eastAsia="cs-CZ"/>
              </w:rPr>
              <w:t>,</w:t>
            </w:r>
            <w:r w:rsidRPr="004C14FE">
              <w:rPr>
                <w:rFonts w:eastAsia="Times New Roman"/>
                <w:szCs w:val="24"/>
                <w:lang w:eastAsia="cs-CZ"/>
              </w:rPr>
              <w:t>99 %</w:t>
            </w:r>
          </w:p>
        </w:tc>
        <w:tc>
          <w:tcPr>
            <w:tcW w:w="1299" w:type="dxa"/>
            <w:tcBorders>
              <w:top w:val="nil"/>
              <w:left w:val="nil"/>
              <w:bottom w:val="single" w:sz="4" w:space="0" w:color="auto"/>
              <w:right w:val="nil"/>
            </w:tcBorders>
            <w:shd w:val="clear" w:color="auto" w:fill="auto"/>
            <w:noWrap/>
            <w:vAlign w:val="center"/>
            <w:hideMark/>
          </w:tcPr>
          <w:p w14:paraId="747DE54F" w14:textId="15E00943" w:rsidR="00AB70E4" w:rsidRPr="004C14FE" w:rsidRDefault="00AB70E4" w:rsidP="004C14FE">
            <w:pPr>
              <w:spacing w:line="240" w:lineRule="auto"/>
              <w:jc w:val="center"/>
              <w:rPr>
                <w:rFonts w:eastAsia="Times New Roman"/>
                <w:sz w:val="20"/>
                <w:szCs w:val="20"/>
                <w:lang w:eastAsia="cs-CZ"/>
              </w:rPr>
            </w:pPr>
            <w:r w:rsidRPr="004C14FE">
              <w:rPr>
                <w:rFonts w:eastAsia="Times New Roman"/>
                <w:sz w:val="20"/>
                <w:szCs w:val="20"/>
                <w:lang w:eastAsia="cs-CZ"/>
              </w:rPr>
              <w:t>+2</w:t>
            </w:r>
            <w:r w:rsidR="00D706C8" w:rsidRPr="004C14FE">
              <w:rPr>
                <w:rFonts w:eastAsia="Times New Roman"/>
                <w:sz w:val="20"/>
                <w:szCs w:val="20"/>
                <w:lang w:eastAsia="cs-CZ"/>
              </w:rPr>
              <w:t>,</w:t>
            </w:r>
            <w:r w:rsidRPr="004C14FE">
              <w:rPr>
                <w:rFonts w:eastAsia="Times New Roman"/>
                <w:sz w:val="20"/>
                <w:szCs w:val="20"/>
                <w:lang w:eastAsia="cs-CZ"/>
              </w:rPr>
              <w:t>3 p.b.</w:t>
            </w:r>
          </w:p>
        </w:tc>
      </w:tr>
      <w:tr w:rsidR="00F15667" w:rsidRPr="004C14FE" w14:paraId="434C2464"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68026DBB" w14:textId="77777777" w:rsidR="00AB70E4" w:rsidRPr="004C14FE" w:rsidRDefault="00AB70E4" w:rsidP="004C14FE">
            <w:pPr>
              <w:spacing w:line="240" w:lineRule="auto"/>
              <w:jc w:val="left"/>
              <w:rPr>
                <w:rFonts w:eastAsia="Times New Roman"/>
                <w:szCs w:val="24"/>
                <w:lang w:eastAsia="cs-CZ"/>
              </w:rPr>
            </w:pPr>
            <w:r w:rsidRPr="004C14FE">
              <w:rPr>
                <w:rFonts w:eastAsia="Times New Roman"/>
                <w:szCs w:val="24"/>
                <w:lang w:eastAsia="cs-CZ"/>
              </w:rPr>
              <w:t>KS Hr. Králové</w:t>
            </w:r>
          </w:p>
        </w:tc>
        <w:tc>
          <w:tcPr>
            <w:tcW w:w="1898" w:type="dxa"/>
            <w:tcBorders>
              <w:top w:val="nil"/>
              <w:left w:val="nil"/>
              <w:bottom w:val="single" w:sz="4" w:space="0" w:color="auto"/>
              <w:right w:val="nil"/>
            </w:tcBorders>
            <w:shd w:val="clear" w:color="auto" w:fill="auto"/>
            <w:noWrap/>
            <w:vAlign w:val="center"/>
            <w:hideMark/>
          </w:tcPr>
          <w:p w14:paraId="4038892F" w14:textId="6B358726" w:rsidR="00AB70E4" w:rsidRPr="004C14FE" w:rsidRDefault="00AB70E4" w:rsidP="004C14FE">
            <w:pPr>
              <w:spacing w:line="240" w:lineRule="auto"/>
              <w:jc w:val="center"/>
              <w:rPr>
                <w:rFonts w:eastAsia="Times New Roman"/>
                <w:szCs w:val="24"/>
                <w:lang w:eastAsia="cs-CZ"/>
              </w:rPr>
            </w:pPr>
            <w:r w:rsidRPr="004C14FE">
              <w:rPr>
                <w:rFonts w:eastAsia="Times New Roman"/>
                <w:szCs w:val="24"/>
                <w:lang w:eastAsia="cs-CZ"/>
              </w:rPr>
              <w:t>60</w:t>
            </w:r>
            <w:r w:rsidR="00D706C8" w:rsidRPr="004C14FE">
              <w:rPr>
                <w:rFonts w:eastAsia="Times New Roman"/>
                <w:szCs w:val="24"/>
                <w:lang w:eastAsia="cs-CZ"/>
              </w:rPr>
              <w:t>,</w:t>
            </w:r>
            <w:r w:rsidRPr="004C14FE">
              <w:rPr>
                <w:rFonts w:eastAsia="Times New Roman"/>
                <w:szCs w:val="24"/>
                <w:lang w:eastAsia="cs-CZ"/>
              </w:rPr>
              <w:t>92 %</w:t>
            </w:r>
          </w:p>
        </w:tc>
        <w:tc>
          <w:tcPr>
            <w:tcW w:w="1299" w:type="dxa"/>
            <w:tcBorders>
              <w:top w:val="nil"/>
              <w:left w:val="nil"/>
              <w:bottom w:val="single" w:sz="4" w:space="0" w:color="auto"/>
              <w:right w:val="nil"/>
            </w:tcBorders>
            <w:shd w:val="clear" w:color="auto" w:fill="auto"/>
            <w:noWrap/>
            <w:vAlign w:val="center"/>
            <w:hideMark/>
          </w:tcPr>
          <w:p w14:paraId="53F39947" w14:textId="07ABA219" w:rsidR="00AB70E4" w:rsidRPr="004C14FE" w:rsidRDefault="00AB70E4" w:rsidP="004C14FE">
            <w:pPr>
              <w:spacing w:line="240" w:lineRule="auto"/>
              <w:jc w:val="center"/>
              <w:rPr>
                <w:rFonts w:eastAsia="Times New Roman"/>
                <w:sz w:val="20"/>
                <w:szCs w:val="20"/>
                <w:lang w:eastAsia="cs-CZ"/>
              </w:rPr>
            </w:pPr>
            <w:r w:rsidRPr="004C14FE">
              <w:rPr>
                <w:rFonts w:eastAsia="Times New Roman"/>
                <w:sz w:val="20"/>
                <w:szCs w:val="20"/>
                <w:lang w:eastAsia="cs-CZ"/>
              </w:rPr>
              <w:t>+4</w:t>
            </w:r>
            <w:r w:rsidR="00D706C8" w:rsidRPr="004C14FE">
              <w:rPr>
                <w:rFonts w:eastAsia="Times New Roman"/>
                <w:sz w:val="20"/>
                <w:szCs w:val="20"/>
                <w:lang w:eastAsia="cs-CZ"/>
              </w:rPr>
              <w:t>,</w:t>
            </w:r>
            <w:r w:rsidRPr="004C14FE">
              <w:rPr>
                <w:rFonts w:eastAsia="Times New Roman"/>
                <w:sz w:val="20"/>
                <w:szCs w:val="20"/>
                <w:lang w:eastAsia="cs-CZ"/>
              </w:rPr>
              <w:t>6 p.b.</w:t>
            </w:r>
          </w:p>
        </w:tc>
      </w:tr>
      <w:tr w:rsidR="00F15667" w:rsidRPr="004C14FE" w14:paraId="2516157C" w14:textId="77777777" w:rsidTr="004C14FE">
        <w:trPr>
          <w:trHeight w:val="315"/>
        </w:trPr>
        <w:tc>
          <w:tcPr>
            <w:tcW w:w="2780" w:type="dxa"/>
            <w:tcBorders>
              <w:top w:val="nil"/>
              <w:left w:val="nil"/>
              <w:bottom w:val="single" w:sz="4" w:space="0" w:color="auto"/>
              <w:right w:val="nil"/>
            </w:tcBorders>
            <w:shd w:val="clear" w:color="auto" w:fill="auto"/>
            <w:noWrap/>
            <w:vAlign w:val="center"/>
            <w:hideMark/>
          </w:tcPr>
          <w:p w14:paraId="5B1CE3DF" w14:textId="77777777" w:rsidR="00AB70E4" w:rsidRPr="004C14FE" w:rsidRDefault="00AB70E4" w:rsidP="004C14FE">
            <w:pPr>
              <w:spacing w:line="240" w:lineRule="auto"/>
              <w:jc w:val="left"/>
              <w:rPr>
                <w:rFonts w:eastAsia="Times New Roman"/>
                <w:szCs w:val="24"/>
                <w:lang w:eastAsia="cs-CZ"/>
              </w:rPr>
            </w:pPr>
            <w:r w:rsidRPr="004C14FE">
              <w:rPr>
                <w:rFonts w:eastAsia="Times New Roman"/>
                <w:szCs w:val="24"/>
                <w:lang w:eastAsia="cs-CZ"/>
              </w:rPr>
              <w:t>KS Brno</w:t>
            </w:r>
          </w:p>
        </w:tc>
        <w:tc>
          <w:tcPr>
            <w:tcW w:w="1898" w:type="dxa"/>
            <w:tcBorders>
              <w:top w:val="nil"/>
              <w:left w:val="nil"/>
              <w:bottom w:val="single" w:sz="4" w:space="0" w:color="auto"/>
              <w:right w:val="nil"/>
            </w:tcBorders>
            <w:shd w:val="clear" w:color="auto" w:fill="auto"/>
            <w:noWrap/>
            <w:vAlign w:val="center"/>
            <w:hideMark/>
          </w:tcPr>
          <w:p w14:paraId="7E5ED027" w14:textId="23C26F7A" w:rsidR="00AB70E4" w:rsidRPr="004C14FE" w:rsidRDefault="00AB70E4" w:rsidP="004C14FE">
            <w:pPr>
              <w:spacing w:line="240" w:lineRule="auto"/>
              <w:jc w:val="center"/>
              <w:rPr>
                <w:rFonts w:eastAsia="Times New Roman"/>
                <w:szCs w:val="24"/>
                <w:lang w:eastAsia="cs-CZ"/>
              </w:rPr>
            </w:pPr>
            <w:r w:rsidRPr="004C14FE">
              <w:rPr>
                <w:rFonts w:eastAsia="Times New Roman"/>
                <w:szCs w:val="24"/>
                <w:lang w:eastAsia="cs-CZ"/>
              </w:rPr>
              <w:t>68</w:t>
            </w:r>
            <w:r w:rsidR="00D706C8" w:rsidRPr="004C14FE">
              <w:rPr>
                <w:rFonts w:eastAsia="Times New Roman"/>
                <w:szCs w:val="24"/>
                <w:lang w:eastAsia="cs-CZ"/>
              </w:rPr>
              <w:t>,</w:t>
            </w:r>
            <w:r w:rsidRPr="004C14FE">
              <w:rPr>
                <w:rFonts w:eastAsia="Times New Roman"/>
                <w:szCs w:val="24"/>
                <w:lang w:eastAsia="cs-CZ"/>
              </w:rPr>
              <w:t>09 %</w:t>
            </w:r>
          </w:p>
        </w:tc>
        <w:tc>
          <w:tcPr>
            <w:tcW w:w="1299" w:type="dxa"/>
            <w:tcBorders>
              <w:top w:val="nil"/>
              <w:left w:val="nil"/>
              <w:bottom w:val="single" w:sz="4" w:space="0" w:color="auto"/>
              <w:right w:val="nil"/>
            </w:tcBorders>
            <w:shd w:val="clear" w:color="auto" w:fill="auto"/>
            <w:noWrap/>
            <w:vAlign w:val="center"/>
            <w:hideMark/>
          </w:tcPr>
          <w:p w14:paraId="166468D3" w14:textId="03352713" w:rsidR="00AB70E4" w:rsidRPr="004C14FE" w:rsidRDefault="00AB70E4" w:rsidP="004C14FE">
            <w:pPr>
              <w:spacing w:line="240" w:lineRule="auto"/>
              <w:jc w:val="center"/>
              <w:rPr>
                <w:rFonts w:eastAsia="Times New Roman"/>
                <w:sz w:val="20"/>
                <w:szCs w:val="20"/>
                <w:lang w:eastAsia="cs-CZ"/>
              </w:rPr>
            </w:pPr>
            <w:r w:rsidRPr="004C14FE">
              <w:rPr>
                <w:rFonts w:eastAsia="Times New Roman"/>
                <w:sz w:val="20"/>
                <w:szCs w:val="20"/>
                <w:lang w:eastAsia="cs-CZ"/>
              </w:rPr>
              <w:t>+3.0 p.b.</w:t>
            </w:r>
          </w:p>
        </w:tc>
      </w:tr>
      <w:tr w:rsidR="00F15667" w:rsidRPr="004C14FE" w14:paraId="1D8EC1C4" w14:textId="77777777" w:rsidTr="004C14FE">
        <w:trPr>
          <w:trHeight w:val="330"/>
        </w:trPr>
        <w:tc>
          <w:tcPr>
            <w:tcW w:w="2780" w:type="dxa"/>
            <w:tcBorders>
              <w:top w:val="nil"/>
              <w:left w:val="nil"/>
              <w:bottom w:val="double" w:sz="6" w:space="0" w:color="auto"/>
              <w:right w:val="nil"/>
            </w:tcBorders>
            <w:shd w:val="clear" w:color="auto" w:fill="auto"/>
            <w:noWrap/>
            <w:vAlign w:val="center"/>
            <w:hideMark/>
          </w:tcPr>
          <w:p w14:paraId="5B42FDAD" w14:textId="77777777" w:rsidR="00AB70E4" w:rsidRPr="004C14FE" w:rsidRDefault="00AB70E4" w:rsidP="004C14FE">
            <w:pPr>
              <w:spacing w:line="240" w:lineRule="auto"/>
              <w:jc w:val="left"/>
              <w:rPr>
                <w:rFonts w:eastAsia="Times New Roman"/>
                <w:szCs w:val="24"/>
                <w:lang w:eastAsia="cs-CZ"/>
              </w:rPr>
            </w:pPr>
            <w:r w:rsidRPr="004C14FE">
              <w:rPr>
                <w:rFonts w:eastAsia="Times New Roman"/>
                <w:szCs w:val="24"/>
                <w:lang w:eastAsia="cs-CZ"/>
              </w:rPr>
              <w:t>KS Ostrava</w:t>
            </w:r>
          </w:p>
        </w:tc>
        <w:tc>
          <w:tcPr>
            <w:tcW w:w="1898" w:type="dxa"/>
            <w:tcBorders>
              <w:top w:val="nil"/>
              <w:left w:val="nil"/>
              <w:bottom w:val="double" w:sz="6" w:space="0" w:color="auto"/>
              <w:right w:val="nil"/>
            </w:tcBorders>
            <w:shd w:val="clear" w:color="auto" w:fill="auto"/>
            <w:noWrap/>
            <w:vAlign w:val="center"/>
            <w:hideMark/>
          </w:tcPr>
          <w:p w14:paraId="340AC890" w14:textId="5030734F" w:rsidR="00AB70E4" w:rsidRPr="004C14FE" w:rsidRDefault="00AB70E4" w:rsidP="004C14FE">
            <w:pPr>
              <w:spacing w:line="240" w:lineRule="auto"/>
              <w:jc w:val="center"/>
              <w:rPr>
                <w:rFonts w:eastAsia="Times New Roman"/>
                <w:szCs w:val="24"/>
                <w:lang w:eastAsia="cs-CZ"/>
              </w:rPr>
            </w:pPr>
            <w:r w:rsidRPr="004C14FE">
              <w:rPr>
                <w:rFonts w:eastAsia="Times New Roman"/>
                <w:szCs w:val="24"/>
                <w:lang w:eastAsia="cs-CZ"/>
              </w:rPr>
              <w:t>58</w:t>
            </w:r>
            <w:r w:rsidR="00D706C8" w:rsidRPr="004C14FE">
              <w:rPr>
                <w:rFonts w:eastAsia="Times New Roman"/>
                <w:szCs w:val="24"/>
                <w:lang w:eastAsia="cs-CZ"/>
              </w:rPr>
              <w:t>,</w:t>
            </w:r>
            <w:r w:rsidRPr="004C14FE">
              <w:rPr>
                <w:rFonts w:eastAsia="Times New Roman"/>
                <w:szCs w:val="24"/>
                <w:lang w:eastAsia="cs-CZ"/>
              </w:rPr>
              <w:t>89 %</w:t>
            </w:r>
          </w:p>
        </w:tc>
        <w:tc>
          <w:tcPr>
            <w:tcW w:w="1299" w:type="dxa"/>
            <w:tcBorders>
              <w:top w:val="nil"/>
              <w:left w:val="nil"/>
              <w:bottom w:val="double" w:sz="6" w:space="0" w:color="auto"/>
              <w:right w:val="nil"/>
            </w:tcBorders>
            <w:shd w:val="clear" w:color="auto" w:fill="auto"/>
            <w:noWrap/>
            <w:vAlign w:val="center"/>
            <w:hideMark/>
          </w:tcPr>
          <w:p w14:paraId="1CBD19AD" w14:textId="4F4602F8" w:rsidR="00AB70E4" w:rsidRPr="004C14FE" w:rsidRDefault="00AB70E4" w:rsidP="004C14FE">
            <w:pPr>
              <w:spacing w:line="240" w:lineRule="auto"/>
              <w:jc w:val="center"/>
              <w:rPr>
                <w:rFonts w:eastAsia="Times New Roman"/>
                <w:sz w:val="20"/>
                <w:szCs w:val="20"/>
                <w:lang w:eastAsia="cs-CZ"/>
              </w:rPr>
            </w:pPr>
            <w:r w:rsidRPr="004C14FE">
              <w:rPr>
                <w:rFonts w:eastAsia="Times New Roman"/>
                <w:sz w:val="20"/>
                <w:szCs w:val="20"/>
                <w:lang w:eastAsia="cs-CZ"/>
              </w:rPr>
              <w:t>-3</w:t>
            </w:r>
            <w:r w:rsidR="00D706C8" w:rsidRPr="004C14FE">
              <w:rPr>
                <w:rFonts w:eastAsia="Times New Roman"/>
                <w:sz w:val="20"/>
                <w:szCs w:val="20"/>
                <w:lang w:eastAsia="cs-CZ"/>
              </w:rPr>
              <w:t>,</w:t>
            </w:r>
            <w:r w:rsidRPr="004C14FE">
              <w:rPr>
                <w:rFonts w:eastAsia="Times New Roman"/>
                <w:sz w:val="20"/>
                <w:szCs w:val="20"/>
                <w:lang w:eastAsia="cs-CZ"/>
              </w:rPr>
              <w:t>2 p.b.</w:t>
            </w:r>
          </w:p>
        </w:tc>
      </w:tr>
      <w:tr w:rsidR="00F15667" w:rsidRPr="004C14FE" w14:paraId="14F663B7" w14:textId="77777777" w:rsidTr="004C14FE">
        <w:trPr>
          <w:trHeight w:val="345"/>
        </w:trPr>
        <w:tc>
          <w:tcPr>
            <w:tcW w:w="2780" w:type="dxa"/>
            <w:tcBorders>
              <w:top w:val="nil"/>
              <w:left w:val="nil"/>
              <w:bottom w:val="double" w:sz="6" w:space="0" w:color="auto"/>
              <w:right w:val="nil"/>
            </w:tcBorders>
            <w:shd w:val="clear" w:color="auto" w:fill="auto"/>
            <w:noWrap/>
            <w:vAlign w:val="center"/>
            <w:hideMark/>
          </w:tcPr>
          <w:p w14:paraId="08AC2D5C" w14:textId="77777777" w:rsidR="00AB70E4" w:rsidRPr="004C14FE" w:rsidRDefault="00AB70E4" w:rsidP="004C14FE">
            <w:pPr>
              <w:spacing w:line="240" w:lineRule="auto"/>
              <w:jc w:val="left"/>
              <w:rPr>
                <w:rFonts w:eastAsia="Times New Roman"/>
                <w:b/>
                <w:bCs/>
                <w:szCs w:val="24"/>
                <w:lang w:eastAsia="cs-CZ"/>
              </w:rPr>
            </w:pPr>
            <w:r w:rsidRPr="004C14FE">
              <w:rPr>
                <w:rFonts w:eastAsia="Times New Roman"/>
                <w:b/>
                <w:bCs/>
                <w:szCs w:val="24"/>
                <w:lang w:eastAsia="cs-CZ"/>
              </w:rPr>
              <w:t>Celkem ČR</w:t>
            </w:r>
          </w:p>
        </w:tc>
        <w:tc>
          <w:tcPr>
            <w:tcW w:w="1898" w:type="dxa"/>
            <w:tcBorders>
              <w:top w:val="nil"/>
              <w:left w:val="nil"/>
              <w:bottom w:val="double" w:sz="6" w:space="0" w:color="auto"/>
              <w:right w:val="nil"/>
            </w:tcBorders>
            <w:shd w:val="clear" w:color="auto" w:fill="auto"/>
            <w:noWrap/>
            <w:vAlign w:val="center"/>
            <w:hideMark/>
          </w:tcPr>
          <w:p w14:paraId="5054DBE4" w14:textId="43E5C355" w:rsidR="00AB70E4" w:rsidRPr="004C14FE" w:rsidRDefault="00AB70E4" w:rsidP="004C14FE">
            <w:pPr>
              <w:spacing w:line="240" w:lineRule="auto"/>
              <w:jc w:val="center"/>
              <w:rPr>
                <w:rFonts w:eastAsia="Times New Roman"/>
                <w:b/>
                <w:bCs/>
                <w:szCs w:val="24"/>
                <w:lang w:eastAsia="cs-CZ"/>
              </w:rPr>
            </w:pPr>
            <w:r w:rsidRPr="004C14FE">
              <w:rPr>
                <w:rFonts w:eastAsia="Times New Roman"/>
                <w:b/>
                <w:bCs/>
                <w:szCs w:val="24"/>
                <w:lang w:eastAsia="cs-CZ"/>
              </w:rPr>
              <w:t>58</w:t>
            </w:r>
            <w:r w:rsidR="00D706C8" w:rsidRPr="004C14FE">
              <w:rPr>
                <w:rFonts w:eastAsia="Times New Roman"/>
                <w:b/>
                <w:bCs/>
                <w:szCs w:val="24"/>
                <w:lang w:eastAsia="cs-CZ"/>
              </w:rPr>
              <w:t>,</w:t>
            </w:r>
            <w:r w:rsidRPr="004C14FE">
              <w:rPr>
                <w:rFonts w:eastAsia="Times New Roman"/>
                <w:b/>
                <w:bCs/>
                <w:szCs w:val="24"/>
                <w:lang w:eastAsia="cs-CZ"/>
              </w:rPr>
              <w:t>83 %</w:t>
            </w:r>
          </w:p>
        </w:tc>
        <w:tc>
          <w:tcPr>
            <w:tcW w:w="1299" w:type="dxa"/>
            <w:tcBorders>
              <w:top w:val="nil"/>
              <w:left w:val="nil"/>
              <w:bottom w:val="double" w:sz="6" w:space="0" w:color="auto"/>
              <w:right w:val="nil"/>
            </w:tcBorders>
            <w:shd w:val="clear" w:color="auto" w:fill="auto"/>
            <w:noWrap/>
            <w:vAlign w:val="center"/>
            <w:hideMark/>
          </w:tcPr>
          <w:p w14:paraId="62849FE1" w14:textId="01743FF9" w:rsidR="00AB70E4" w:rsidRPr="004C14FE" w:rsidRDefault="00AB70E4" w:rsidP="004C14FE">
            <w:pPr>
              <w:spacing w:line="240" w:lineRule="auto"/>
              <w:jc w:val="center"/>
              <w:rPr>
                <w:rFonts w:eastAsia="Times New Roman"/>
                <w:b/>
                <w:bCs/>
                <w:sz w:val="20"/>
                <w:szCs w:val="20"/>
                <w:lang w:eastAsia="cs-CZ"/>
              </w:rPr>
            </w:pPr>
            <w:r w:rsidRPr="004C14FE">
              <w:rPr>
                <w:rFonts w:eastAsia="Times New Roman"/>
                <w:b/>
                <w:bCs/>
                <w:sz w:val="20"/>
                <w:szCs w:val="20"/>
                <w:lang w:eastAsia="cs-CZ"/>
              </w:rPr>
              <w:t>-2</w:t>
            </w:r>
            <w:r w:rsidR="00DD7CFD" w:rsidRPr="004C14FE">
              <w:rPr>
                <w:rFonts w:eastAsia="Times New Roman"/>
                <w:b/>
                <w:bCs/>
                <w:sz w:val="20"/>
                <w:szCs w:val="20"/>
                <w:lang w:eastAsia="cs-CZ"/>
              </w:rPr>
              <w:t>,</w:t>
            </w:r>
            <w:r w:rsidRPr="004C14FE">
              <w:rPr>
                <w:rFonts w:eastAsia="Times New Roman"/>
                <w:b/>
                <w:bCs/>
                <w:sz w:val="20"/>
                <w:szCs w:val="20"/>
                <w:lang w:eastAsia="cs-CZ"/>
              </w:rPr>
              <w:t>3 p.b.</w:t>
            </w:r>
          </w:p>
        </w:tc>
      </w:tr>
      <w:tr w:rsidR="00AB70E4" w:rsidRPr="004C14FE" w14:paraId="50E0D810" w14:textId="77777777" w:rsidTr="004C14FE">
        <w:trPr>
          <w:trHeight w:val="330"/>
        </w:trPr>
        <w:tc>
          <w:tcPr>
            <w:tcW w:w="2780" w:type="dxa"/>
            <w:tcBorders>
              <w:top w:val="nil"/>
              <w:left w:val="nil"/>
              <w:bottom w:val="nil"/>
              <w:right w:val="nil"/>
            </w:tcBorders>
            <w:shd w:val="clear" w:color="auto" w:fill="auto"/>
            <w:noWrap/>
            <w:vAlign w:val="center"/>
            <w:hideMark/>
          </w:tcPr>
          <w:p w14:paraId="4B5C2950" w14:textId="77777777" w:rsidR="00AB70E4" w:rsidRPr="004C14FE" w:rsidRDefault="00AB70E4" w:rsidP="004C14FE">
            <w:pPr>
              <w:spacing w:line="240" w:lineRule="auto"/>
              <w:jc w:val="center"/>
              <w:rPr>
                <w:rFonts w:eastAsia="Times New Roman"/>
                <w:b/>
                <w:bCs/>
                <w:sz w:val="20"/>
                <w:szCs w:val="20"/>
                <w:lang w:eastAsia="cs-CZ"/>
              </w:rPr>
            </w:pPr>
          </w:p>
        </w:tc>
        <w:tc>
          <w:tcPr>
            <w:tcW w:w="1898" w:type="dxa"/>
            <w:tcBorders>
              <w:top w:val="nil"/>
              <w:left w:val="nil"/>
              <w:bottom w:val="nil"/>
              <w:right w:val="nil"/>
            </w:tcBorders>
            <w:shd w:val="clear" w:color="auto" w:fill="auto"/>
            <w:noWrap/>
            <w:vAlign w:val="center"/>
            <w:hideMark/>
          </w:tcPr>
          <w:p w14:paraId="29A9C6FE" w14:textId="77777777" w:rsidR="00AB70E4" w:rsidRPr="004C14FE" w:rsidRDefault="00AB70E4" w:rsidP="004C14FE">
            <w:pPr>
              <w:spacing w:line="240" w:lineRule="auto"/>
              <w:jc w:val="center"/>
              <w:rPr>
                <w:rFonts w:eastAsia="Times New Roman"/>
                <w:sz w:val="20"/>
                <w:szCs w:val="20"/>
                <w:lang w:eastAsia="cs-CZ"/>
              </w:rPr>
            </w:pPr>
          </w:p>
        </w:tc>
        <w:tc>
          <w:tcPr>
            <w:tcW w:w="1299" w:type="dxa"/>
            <w:tcBorders>
              <w:top w:val="nil"/>
              <w:left w:val="nil"/>
              <w:bottom w:val="nil"/>
              <w:right w:val="nil"/>
            </w:tcBorders>
            <w:shd w:val="clear" w:color="auto" w:fill="auto"/>
            <w:noWrap/>
            <w:vAlign w:val="center"/>
            <w:hideMark/>
          </w:tcPr>
          <w:p w14:paraId="7143CB72" w14:textId="77777777" w:rsidR="00AB70E4" w:rsidRPr="004C14FE" w:rsidRDefault="00AB70E4" w:rsidP="004C14FE">
            <w:pPr>
              <w:spacing w:line="240" w:lineRule="auto"/>
              <w:jc w:val="center"/>
              <w:rPr>
                <w:rFonts w:eastAsia="Times New Roman"/>
                <w:sz w:val="20"/>
                <w:szCs w:val="20"/>
                <w:lang w:eastAsia="cs-CZ"/>
              </w:rPr>
            </w:pPr>
          </w:p>
        </w:tc>
      </w:tr>
    </w:tbl>
    <w:p w14:paraId="5F27CF10" w14:textId="41A3B9F5" w:rsidR="00264492" w:rsidRPr="004C14FE" w:rsidRDefault="00264492" w:rsidP="00264492">
      <w:pPr>
        <w:pStyle w:val="OdstavecASR"/>
      </w:pPr>
      <w:r w:rsidRPr="004C14FE">
        <w:t xml:space="preserve">Z okresních soudů mají nejnižší míru změny rozsudku (OS pro Prahu 7 nepočítáme) OS pro Prahu 2 (2,62 %), OS pro Prahu 1 (11,11 %) a OS pro Prahu 3 (23,07 %). Na druhém konci se nacházejí OS Kutná Hora (91,30 %), OS Rakovník (89,28 %) a OS Příbram (88,00 %). Mezi soudy jsou tedy obrovské rozdíly. To plyne z malého počtu pozorování – míra odvolání je nízká, tudíž i vzorek pro výpočet míry změny rozsudku je malý. Z toho pak plyne velká variabilita, která může vést k extrémním hodnotám. </w:t>
      </w:r>
    </w:p>
    <w:p w14:paraId="5928A82A" w14:textId="170B0D75" w:rsidR="00264492" w:rsidRPr="004C14FE" w:rsidRDefault="00264492" w:rsidP="00264492">
      <w:pPr>
        <w:pStyle w:val="Podnadpis"/>
        <w:rPr>
          <w:color w:val="auto"/>
        </w:rPr>
      </w:pPr>
      <w:bookmarkStart w:id="510" w:name="_Toc106106679"/>
      <w:bookmarkStart w:id="511" w:name="_Toc109802003"/>
      <w:bookmarkStart w:id="512" w:name="_Toc144104155"/>
      <w:r w:rsidRPr="004C14FE">
        <w:rPr>
          <w:color w:val="auto"/>
        </w:rPr>
        <w:t xml:space="preserve">Graf </w:t>
      </w:r>
      <w:r w:rsidR="009A10E2" w:rsidRPr="004C14FE">
        <w:rPr>
          <w:color w:val="auto"/>
        </w:rPr>
        <w:fldChar w:fldCharType="begin"/>
      </w:r>
      <w:r w:rsidR="009A10E2" w:rsidRPr="004C14FE">
        <w:rPr>
          <w:color w:val="auto"/>
        </w:rPr>
        <w:instrText xml:space="preserve"> SEQ Graf \* ARABIC </w:instrText>
      </w:r>
      <w:r w:rsidR="009A10E2" w:rsidRPr="004C14FE">
        <w:rPr>
          <w:color w:val="auto"/>
        </w:rPr>
        <w:fldChar w:fldCharType="separate"/>
      </w:r>
      <w:r w:rsidR="001E1A67">
        <w:rPr>
          <w:noProof/>
          <w:color w:val="auto"/>
        </w:rPr>
        <w:t>43</w:t>
      </w:r>
      <w:r w:rsidR="009A10E2" w:rsidRPr="004C14FE">
        <w:rPr>
          <w:color w:val="auto"/>
        </w:rPr>
        <w:fldChar w:fldCharType="end"/>
      </w:r>
      <w:r w:rsidRPr="004C14FE">
        <w:rPr>
          <w:color w:val="auto"/>
        </w:rPr>
        <w:t>: OS – míra změny rozsudku u jednotlivých soudů v opatrov. řízení</w:t>
      </w:r>
      <w:bookmarkEnd w:id="510"/>
      <w:bookmarkEnd w:id="511"/>
      <w:bookmarkEnd w:id="512"/>
    </w:p>
    <w:p w14:paraId="7AF5CE45" w14:textId="28124720" w:rsidR="00DD77A6" w:rsidRPr="004C14FE" w:rsidRDefault="00E2781B" w:rsidP="004C14FE">
      <w:pPr>
        <w:pStyle w:val="OdstavecASR"/>
      </w:pPr>
      <w:r w:rsidRPr="004C14FE">
        <w:rPr>
          <w:noProof/>
          <w:lang w:eastAsia="cs-CZ"/>
        </w:rPr>
        <w:drawing>
          <wp:anchor distT="0" distB="0" distL="114300" distR="114300" simplePos="0" relativeHeight="251678720" behindDoc="0" locked="0" layoutInCell="1" allowOverlap="1" wp14:anchorId="074CAF3B" wp14:editId="576CF8FD">
            <wp:simplePos x="0" y="0"/>
            <wp:positionH relativeFrom="margin">
              <wp:posOffset>4466590</wp:posOffset>
            </wp:positionH>
            <wp:positionV relativeFrom="paragraph">
              <wp:posOffset>45085</wp:posOffset>
            </wp:positionV>
            <wp:extent cx="1270800" cy="925200"/>
            <wp:effectExtent l="0" t="0" r="5715" b="8255"/>
            <wp:wrapNone/>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70800" cy="92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14FE">
        <w:rPr>
          <w:noProof/>
          <w:lang w:eastAsia="cs-CZ"/>
        </w:rPr>
        <w:drawing>
          <wp:inline distT="0" distB="0" distL="0" distR="0" wp14:anchorId="287E77C4" wp14:editId="10F008D1">
            <wp:extent cx="5759450" cy="3296285"/>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59450" cy="3296285"/>
                    </a:xfrm>
                    <a:prstGeom prst="rect">
                      <a:avLst/>
                    </a:prstGeom>
                    <a:noFill/>
                    <a:ln>
                      <a:noFill/>
                    </a:ln>
                  </pic:spPr>
                </pic:pic>
              </a:graphicData>
            </a:graphic>
          </wp:inline>
        </w:drawing>
      </w:r>
    </w:p>
    <w:p w14:paraId="7EB9A184" w14:textId="5BD01E75" w:rsidR="00DF657F" w:rsidRPr="004C14FE" w:rsidRDefault="00DF657F" w:rsidP="00DF657F">
      <w:pPr>
        <w:pStyle w:val="OdstavecASR"/>
        <w:keepNext/>
        <w:outlineLvl w:val="3"/>
        <w:rPr>
          <w:b/>
        </w:rPr>
      </w:pPr>
      <w:r w:rsidRPr="004C14FE">
        <w:rPr>
          <w:b/>
        </w:rPr>
        <w:lastRenderedPageBreak/>
        <w:t>Výše výživného a podíl na příjmu</w:t>
      </w:r>
    </w:p>
    <w:p w14:paraId="44345CEF" w14:textId="48339A77" w:rsidR="00EB18EF" w:rsidRPr="004C14FE" w:rsidRDefault="00EB18EF" w:rsidP="00EB18EF">
      <w:pPr>
        <w:pStyle w:val="OdstavecASR"/>
      </w:pPr>
      <w:r w:rsidRPr="004C14FE">
        <w:rPr>
          <w:bCs/>
        </w:rPr>
        <w:t>P</w:t>
      </w:r>
      <w:r w:rsidRPr="004C14FE">
        <w:t>o údajích věnujících se opatrovnické agendě jako celku stojí jistě za zmínku vybrané oblasti práva, kterým je věnována značná pozornost justice i běžné veřejnosti. Jako první lze představit data o rozhodování o výživném nezletilých dětí.</w:t>
      </w:r>
    </w:p>
    <w:p w14:paraId="27DE05CE" w14:textId="146F7562" w:rsidR="00EB18EF" w:rsidRPr="004C14FE" w:rsidRDefault="00EB18EF" w:rsidP="00EB18EF">
      <w:pPr>
        <w:pStyle w:val="OdstavecASR"/>
      </w:pPr>
      <w:r w:rsidRPr="004C14FE">
        <w:t>Zde uvedené statistiky se také týkají dětí, kdy první rozhodnutí o vyživovací povinnosti a údaje (v Kč event. v % z příjmu) se vztahují k jednomu dítěti. Pokud je stanovena povinnost platit výživné oběma rodičům, v grafu je pracováno jen s vyšší částkou výživného a v případě stejné částky výživného s vyšším příjmem rodiče. Od roku 2017 jsou k dispozici obě částky a oba příjmy, pro zachování stejné metodiky jsou v tomto grafu ale i po roce 2017 započítány vyšší částky.</w:t>
      </w:r>
    </w:p>
    <w:p w14:paraId="09B2003D" w14:textId="47C3BABE" w:rsidR="008430BD" w:rsidRPr="004C14FE" w:rsidRDefault="00604E40" w:rsidP="00604E40">
      <w:pPr>
        <w:pStyle w:val="Podnadpis"/>
        <w:numPr>
          <w:ilvl w:val="0"/>
          <w:numId w:val="0"/>
        </w:numPr>
        <w:rPr>
          <w:color w:val="auto"/>
        </w:rPr>
      </w:pPr>
      <w:bookmarkStart w:id="513" w:name="_Ref510766313"/>
      <w:bookmarkStart w:id="514" w:name="_Toc515871373"/>
      <w:bookmarkStart w:id="515" w:name="_Toc11135104"/>
      <w:bookmarkStart w:id="516" w:name="_Toc43841423"/>
      <w:bookmarkStart w:id="517" w:name="_Toc75952227"/>
      <w:bookmarkStart w:id="518" w:name="_Toc106106681"/>
      <w:bookmarkStart w:id="519" w:name="_Toc144104156"/>
      <w:r w:rsidRPr="004C14FE">
        <w:rPr>
          <w:color w:val="auto"/>
        </w:rPr>
        <w:t xml:space="preserve">Graf </w:t>
      </w:r>
      <w:r w:rsidR="009A10E2" w:rsidRPr="004C14FE">
        <w:rPr>
          <w:color w:val="auto"/>
        </w:rPr>
        <w:fldChar w:fldCharType="begin"/>
      </w:r>
      <w:r w:rsidR="009A10E2" w:rsidRPr="004C14FE">
        <w:rPr>
          <w:color w:val="auto"/>
        </w:rPr>
        <w:instrText xml:space="preserve"> SEQ Graf \* ARABIC </w:instrText>
      </w:r>
      <w:r w:rsidR="009A10E2" w:rsidRPr="004C14FE">
        <w:rPr>
          <w:color w:val="auto"/>
        </w:rPr>
        <w:fldChar w:fldCharType="separate"/>
      </w:r>
      <w:r w:rsidR="001E1A67">
        <w:rPr>
          <w:noProof/>
          <w:color w:val="auto"/>
        </w:rPr>
        <w:t>44</w:t>
      </w:r>
      <w:r w:rsidR="009A10E2" w:rsidRPr="004C14FE">
        <w:rPr>
          <w:color w:val="auto"/>
        </w:rPr>
        <w:fldChar w:fldCharType="end"/>
      </w:r>
      <w:bookmarkEnd w:id="513"/>
      <w:r w:rsidRPr="004C14FE">
        <w:rPr>
          <w:color w:val="auto"/>
        </w:rPr>
        <w:t xml:space="preserve">: OS – </w:t>
      </w:r>
      <w:r w:rsidR="00CF32FA">
        <w:rPr>
          <w:color w:val="auto"/>
        </w:rPr>
        <w:t xml:space="preserve">průměrná výše výživného dle </w:t>
      </w:r>
      <w:r w:rsidRPr="004C14FE">
        <w:rPr>
          <w:color w:val="auto"/>
        </w:rPr>
        <w:t>povinné osoby v letech 2012–20</w:t>
      </w:r>
      <w:bookmarkEnd w:id="514"/>
      <w:bookmarkEnd w:id="515"/>
      <w:bookmarkEnd w:id="516"/>
      <w:bookmarkEnd w:id="517"/>
      <w:r w:rsidRPr="004C14FE">
        <w:rPr>
          <w:color w:val="auto"/>
        </w:rPr>
        <w:t>2</w:t>
      </w:r>
      <w:bookmarkEnd w:id="518"/>
      <w:r w:rsidRPr="004C14FE">
        <w:rPr>
          <w:color w:val="auto"/>
        </w:rPr>
        <w:t>2</w:t>
      </w:r>
      <w:bookmarkEnd w:id="519"/>
    </w:p>
    <w:p w14:paraId="08A1254F" w14:textId="2CF88E5B" w:rsidR="00604E40" w:rsidRPr="004C14FE" w:rsidRDefault="00604E40" w:rsidP="00604E40">
      <w:r w:rsidRPr="004C14FE">
        <w:rPr>
          <w:noProof/>
          <w:lang w:eastAsia="cs-CZ"/>
        </w:rPr>
        <w:drawing>
          <wp:inline distT="0" distB="0" distL="0" distR="0" wp14:anchorId="6888F18B" wp14:editId="3B93B7A2">
            <wp:extent cx="5029200" cy="3657600"/>
            <wp:effectExtent l="0" t="0" r="0"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B0E81B8" w14:textId="5F3A1D82" w:rsidR="00EB18EF" w:rsidRPr="004C14FE" w:rsidRDefault="00EB18EF" w:rsidP="00EB18EF">
      <w:pPr>
        <w:pStyle w:val="OdstavecASR"/>
      </w:pPr>
      <w:r w:rsidRPr="004C14FE">
        <w:t>V grafu výše pozorujeme, že průměrné výživné stanovené otci je asi dvakrát vyšší než průměrné výživné stanovované matce a je potřebné dále tento vývoj sledovat. Rozdíl je způsoben několika faktory:</w:t>
      </w:r>
    </w:p>
    <w:p w14:paraId="1913D972" w14:textId="567785F1" w:rsidR="0083382F" w:rsidRPr="004C14FE" w:rsidRDefault="0083382F" w:rsidP="004C14FE">
      <w:pPr>
        <w:pStyle w:val="Odstavecseseznamem"/>
        <w:numPr>
          <w:ilvl w:val="0"/>
          <w:numId w:val="12"/>
        </w:numPr>
        <w:spacing w:before="60" w:after="120"/>
        <w:ind w:left="714" w:hanging="357"/>
      </w:pPr>
      <w:r w:rsidRPr="004C14FE">
        <w:t>Při určování výživného soud přihlíží k majetkovým poměrům povinného. Průměrná mzda žen v ČR je nižší než průměrná mzda mužů a logicky je tedy mužům stanovena povinnost platit vyšší výživné. To ovšem vysvětluje pouze část rozdílu, protože mzda mužů není ani zdaleka dvakrát vyšší než mzda žen a při růstu hrubých mezd žen dochází ke snižování podílu jim určeného výživného na jejich příjmu. Například ve 4. čtvrtletí 2022 byla podle Českého statistického úřadu mediánová hrubá měsíční mzda žen 34 554 Kč</w:t>
      </w:r>
      <w:r w:rsidR="00B56D75" w:rsidRPr="004C14FE">
        <w:t xml:space="preserve"> (31 720 Kč ve 4. čtvrtletí 2021)</w:t>
      </w:r>
      <w:r w:rsidRPr="004C14FE">
        <w:t>, u mužů 40 232 Kč</w:t>
      </w:r>
      <w:r w:rsidR="00B56D75" w:rsidRPr="004C14FE">
        <w:t xml:space="preserve"> (36 792 Kč ve 4. čtvrtletí 2021)</w:t>
      </w:r>
      <w:r w:rsidRPr="004C14FE">
        <w:t>. Hrubé mzdy vykazované ČSÚ navíc nezahrnují přídavky na děti a jiné eventuální přiznané dávky.</w:t>
      </w:r>
    </w:p>
    <w:p w14:paraId="7F920172" w14:textId="77777777" w:rsidR="00EB18EF" w:rsidRPr="004C14FE" w:rsidRDefault="00EB18EF" w:rsidP="004C14FE">
      <w:pPr>
        <w:pStyle w:val="Odstavecseseznamem"/>
        <w:numPr>
          <w:ilvl w:val="0"/>
          <w:numId w:val="12"/>
        </w:numPr>
        <w:spacing w:before="60" w:after="120"/>
        <w:ind w:left="714" w:hanging="357"/>
        <w:rPr>
          <w:b/>
          <w:spacing w:val="15"/>
        </w:rPr>
      </w:pPr>
      <w:r w:rsidRPr="004C14FE">
        <w:t>V dalším grafu vidíme, že u matek je podíl výživného na čistém měsíčním příjmu nižší než u otců. To souvisí právě s výší příjmů. Snížení disponibilního příjmu má větší dopad na lidi s nižší úrovní mzdy.</w:t>
      </w:r>
    </w:p>
    <w:p w14:paraId="1F4E8055" w14:textId="77777777" w:rsidR="00EB18EF" w:rsidRPr="004C14FE" w:rsidRDefault="00EB18EF" w:rsidP="004C14FE">
      <w:pPr>
        <w:pStyle w:val="Odstavecseseznamem"/>
        <w:numPr>
          <w:ilvl w:val="0"/>
          <w:numId w:val="12"/>
        </w:numPr>
        <w:spacing w:before="60" w:after="120"/>
        <w:ind w:left="714" w:hanging="357"/>
        <w:rPr>
          <w:b/>
          <w:spacing w:val="15"/>
        </w:rPr>
      </w:pPr>
      <w:r w:rsidRPr="004C14FE">
        <w:lastRenderedPageBreak/>
        <w:t>Rozdíl mezi příjmy otce a matky, kteří vedou spor o výživné, je větší než rozdíl mezi příjmy mužů a žen v celé populaci ČR. To je zřejmě dáno i tím, že matky mohou být ve sledované době častěji na rodičovské dovolené bez výdělečné činnosti, respektive i v navazujícím období mohou mít častěji nižší pracovní úvazky vzhledem k potřebě zajištění péče o dítě, což se negativně projevuje v jejich příjmech.</w:t>
      </w:r>
    </w:p>
    <w:p w14:paraId="219DF18E" w14:textId="677DA0EC" w:rsidR="00EB18EF" w:rsidRPr="004C14FE" w:rsidRDefault="00EB18EF" w:rsidP="004C14FE">
      <w:pPr>
        <w:pStyle w:val="Odstavecseseznamem"/>
        <w:numPr>
          <w:ilvl w:val="0"/>
          <w:numId w:val="12"/>
        </w:numPr>
        <w:spacing w:before="60" w:after="120"/>
        <w:ind w:left="714" w:hanging="357"/>
      </w:pPr>
      <w:r w:rsidRPr="004C14FE">
        <w:t>Povinné ženy</w:t>
      </w:r>
      <w:r w:rsidRPr="004C14FE">
        <w:rPr>
          <w:rStyle w:val="Znakapoznpodarou"/>
        </w:rPr>
        <w:footnoteReference w:id="10"/>
      </w:r>
      <w:r w:rsidRPr="004C14FE">
        <w:t xml:space="preserve"> mají v průměru více vyživovacích povinností než povinní muži</w:t>
      </w:r>
      <w:r w:rsidRPr="004C14FE">
        <w:rPr>
          <w:rStyle w:val="Znakapoznpodarou"/>
        </w:rPr>
        <w:footnoteReference w:id="11"/>
      </w:r>
      <w:r w:rsidRPr="004C14FE">
        <w:t>. Soud počet vyživovacích povinností při rozhodování rovněž zohledňuje – povinnému s více vyživovacími povinnostmi soud stanoví v průměru nižší výživné.</w:t>
      </w:r>
    </w:p>
    <w:p w14:paraId="16C1B51C" w14:textId="6DC2525E" w:rsidR="006578AD" w:rsidRPr="004C14FE" w:rsidRDefault="0083382F" w:rsidP="004C14FE">
      <w:pPr>
        <w:pStyle w:val="OdstavecASR"/>
      </w:pPr>
      <w:r w:rsidRPr="004C14FE">
        <w:t>Jako zvláštní lze označit pokles výše výživného oběma rodičům v roce 2022. Tento pokles jde zcela proti všem ostatním trendům (jak u obou rodičů, tak i pouze u matek či pouze u otců).</w:t>
      </w:r>
    </w:p>
    <w:p w14:paraId="204DB449" w14:textId="2981AA86" w:rsidR="006578AD" w:rsidRPr="004C14FE" w:rsidRDefault="006578AD" w:rsidP="006578AD">
      <w:pPr>
        <w:pStyle w:val="Podnadpis"/>
        <w:numPr>
          <w:ilvl w:val="0"/>
          <w:numId w:val="0"/>
        </w:numPr>
        <w:rPr>
          <w:color w:val="auto"/>
        </w:rPr>
      </w:pPr>
      <w:bookmarkStart w:id="520" w:name="_Toc109802005"/>
      <w:bookmarkStart w:id="521" w:name="_Toc144104157"/>
      <w:r w:rsidRPr="004C14FE">
        <w:rPr>
          <w:color w:val="auto"/>
        </w:rPr>
        <w:t xml:space="preserve">Graf </w:t>
      </w:r>
      <w:r w:rsidR="009A10E2" w:rsidRPr="004C14FE">
        <w:rPr>
          <w:color w:val="auto"/>
        </w:rPr>
        <w:fldChar w:fldCharType="begin"/>
      </w:r>
      <w:r w:rsidR="009A10E2" w:rsidRPr="004C14FE">
        <w:rPr>
          <w:color w:val="auto"/>
        </w:rPr>
        <w:instrText xml:space="preserve"> SEQ Graf \* ARABIC </w:instrText>
      </w:r>
      <w:r w:rsidR="009A10E2" w:rsidRPr="004C14FE">
        <w:rPr>
          <w:color w:val="auto"/>
        </w:rPr>
        <w:fldChar w:fldCharType="separate"/>
      </w:r>
      <w:r w:rsidR="001E1A67">
        <w:rPr>
          <w:noProof/>
          <w:color w:val="auto"/>
        </w:rPr>
        <w:t>45</w:t>
      </w:r>
      <w:r w:rsidR="009A10E2" w:rsidRPr="004C14FE">
        <w:rPr>
          <w:color w:val="auto"/>
        </w:rPr>
        <w:fldChar w:fldCharType="end"/>
      </w:r>
      <w:r w:rsidRPr="004C14FE">
        <w:rPr>
          <w:color w:val="auto"/>
        </w:rPr>
        <w:t>: OS – podíl na příjmu povinné osoby v letech 2012–202</w:t>
      </w:r>
      <w:bookmarkEnd w:id="520"/>
      <w:r w:rsidRPr="004C14FE">
        <w:rPr>
          <w:color w:val="auto"/>
        </w:rPr>
        <w:t>2</w:t>
      </w:r>
      <w:bookmarkEnd w:id="521"/>
    </w:p>
    <w:p w14:paraId="7320A6FD" w14:textId="77777777" w:rsidR="006578AD" w:rsidRPr="004C14FE" w:rsidRDefault="006578AD" w:rsidP="004C14FE">
      <w:pPr>
        <w:pStyle w:val="OdstavecASR"/>
      </w:pPr>
      <w:r w:rsidRPr="004C14FE">
        <w:rPr>
          <w:noProof/>
          <w:lang w:eastAsia="cs-CZ"/>
        </w:rPr>
        <w:drawing>
          <wp:inline distT="0" distB="0" distL="0" distR="0" wp14:anchorId="4B15ABF4" wp14:editId="0FCE6398">
            <wp:extent cx="5029200" cy="3657600"/>
            <wp:effectExtent l="0" t="0" r="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6B33245" w14:textId="5DC98D34" w:rsidR="006578AD" w:rsidRPr="004C14FE" w:rsidRDefault="006578AD" w:rsidP="006578AD">
      <w:pPr>
        <w:pStyle w:val="OdstavecASR"/>
      </w:pPr>
      <w:r w:rsidRPr="004C14FE">
        <w:t>V grafech pozorujeme, že průměrná stanovená částka výživného na jedno dítě roste (graf 44), podíl stanoveného výživného na čistém měsíčním příjmu povinné osoby nicméně spíše klesá (otcové, oba rodiče) nebo zůstává stejný (matky). To lze vysvětlit zlepšující se ekonomickou situací v ČR a zvyšováním příjmů nejen povinných osob.</w:t>
      </w:r>
      <w:r w:rsidR="00F304EB" w:rsidRPr="004C14FE">
        <w:t xml:space="preserve"> Je otázka, zda se do tohoto promítne současný pokles reálných mezd.</w:t>
      </w:r>
      <w:r w:rsidRPr="004C14FE">
        <w:t xml:space="preserve"> Například u povinnosti stanovené otci vzrostla částka z 2 702 Kč v roce 2014 na 4</w:t>
      </w:r>
      <w:r w:rsidR="004C14FE" w:rsidRPr="004C14FE">
        <w:t> </w:t>
      </w:r>
      <w:r w:rsidRPr="004C14FE">
        <w:t>049 Kč v roce 2022, tedy o 1 347 korun (o 50 %).</w:t>
      </w:r>
    </w:p>
    <w:p w14:paraId="70B15546" w14:textId="77777777" w:rsidR="00C0027F" w:rsidRPr="004C14FE" w:rsidRDefault="00C0027F" w:rsidP="00C0027F">
      <w:pPr>
        <w:pStyle w:val="OdstavecASR"/>
      </w:pPr>
      <w:r w:rsidRPr="004C14FE">
        <w:t xml:space="preserve">Plošný graf (viz seznam pojmů) dále zachycuje statistiku, která úzce souvisí s rozhodováním o výživném, totiž to, jak často je dítě svěřeno do péče matce, otci, jiné fyzické osobě či oběma rodičům do společné nebo střídavé péče. Ve více než 70 % případů svěřil soud dítě do péče matce. Vidíme, že podíl tohoto tradičního modelu nicméně postupně pozvolna klesá ve prospěch alternativních řešení. (Zároveň nedisponujeme statistikami o tom, jak často se jedná v rámci </w:t>
      </w:r>
      <w:r w:rsidRPr="004C14FE">
        <w:lastRenderedPageBreak/>
        <w:t>výhradní péče jednoho rodiče o tzv. rozšířený styk s dítětem.) K tomuto trendu přispívá zřejmě nejen judikatura českého Ústavního soudu; můžeme se domnívat, že ke změně rozhodovací praxe může přispívat i celospolečenské klima, odborné diskuse o rozhodování o dětech na mezinárodní úrovni a další faktory.</w:t>
      </w:r>
    </w:p>
    <w:p w14:paraId="5E21635A" w14:textId="42D87C0F" w:rsidR="00C0027F" w:rsidRPr="004C14FE" w:rsidRDefault="00C0027F" w:rsidP="00C0027F">
      <w:pPr>
        <w:pStyle w:val="OdstavecASR"/>
      </w:pPr>
      <w:r w:rsidRPr="004C14FE">
        <w:t>V řeči konkrétních čísel podíl případů, kdy soud svěřil dítě do péče matce, klesl z 86,6 % v roce 2012 na 71,4 % v roce 2022. Podíl případů, kdy bylo dítě do péče svěřeno oběma rodičům, se výrazně zvýšil z 5,2 % v roce 2012 na 20,2 % v roce 2022, tedy téměř na čtyřnásobek.</w:t>
      </w:r>
    </w:p>
    <w:p w14:paraId="622E2070" w14:textId="1E9F417B" w:rsidR="00C0027F" w:rsidRPr="004C14FE" w:rsidRDefault="00C0027F" w:rsidP="00C0027F">
      <w:pPr>
        <w:pStyle w:val="OdstavecASR"/>
      </w:pPr>
      <w:r w:rsidRPr="004C14FE">
        <w:t>Od roku 2014 jsou k dispozici také o něco podrobnější data. U svěření dítěte do péče obou rodičů se rozlišuje, jestli se jednalo o péči střídavou nebo o péči společnou. Data ukazují, že svěření do střídavé péče je častější a že frekvence využití roste jak u střídavé péče, tak i u péče společné.</w:t>
      </w:r>
    </w:p>
    <w:p w14:paraId="491D42EC" w14:textId="08A4E295" w:rsidR="00C0027F" w:rsidRPr="004C14FE" w:rsidRDefault="00C0027F" w:rsidP="00C0027F">
      <w:pPr>
        <w:pStyle w:val="Podnadpis"/>
        <w:rPr>
          <w:color w:val="auto"/>
        </w:rPr>
      </w:pPr>
      <w:bookmarkStart w:id="522" w:name="_Toc515871374"/>
      <w:bookmarkStart w:id="523" w:name="_Toc11135105"/>
      <w:bookmarkStart w:id="524" w:name="_Toc43841424"/>
      <w:bookmarkStart w:id="525" w:name="_Toc75952228"/>
      <w:bookmarkStart w:id="526" w:name="_Toc106106682"/>
      <w:bookmarkStart w:id="527" w:name="_Toc109802006"/>
      <w:bookmarkStart w:id="528" w:name="_Toc144104158"/>
      <w:r w:rsidRPr="004C14FE">
        <w:rPr>
          <w:color w:val="auto"/>
        </w:rPr>
        <w:t xml:space="preserve">Graf </w:t>
      </w:r>
      <w:r w:rsidR="009A10E2" w:rsidRPr="004C14FE">
        <w:rPr>
          <w:color w:val="auto"/>
        </w:rPr>
        <w:fldChar w:fldCharType="begin"/>
      </w:r>
      <w:r w:rsidR="009A10E2" w:rsidRPr="004C14FE">
        <w:rPr>
          <w:color w:val="auto"/>
        </w:rPr>
        <w:instrText xml:space="preserve"> SEQ Graf \* ARABIC </w:instrText>
      </w:r>
      <w:r w:rsidR="009A10E2" w:rsidRPr="004C14FE">
        <w:rPr>
          <w:color w:val="auto"/>
        </w:rPr>
        <w:fldChar w:fldCharType="separate"/>
      </w:r>
      <w:r w:rsidR="001E1A67">
        <w:rPr>
          <w:noProof/>
          <w:color w:val="auto"/>
        </w:rPr>
        <w:t>46</w:t>
      </w:r>
      <w:r w:rsidR="009A10E2" w:rsidRPr="004C14FE">
        <w:rPr>
          <w:color w:val="auto"/>
        </w:rPr>
        <w:fldChar w:fldCharType="end"/>
      </w:r>
      <w:r w:rsidRPr="004C14FE">
        <w:rPr>
          <w:color w:val="auto"/>
        </w:rPr>
        <w:t>: OS – svěřování dítěte do péče</w:t>
      </w:r>
      <w:bookmarkEnd w:id="522"/>
      <w:bookmarkEnd w:id="523"/>
      <w:bookmarkEnd w:id="524"/>
      <w:bookmarkEnd w:id="525"/>
      <w:bookmarkEnd w:id="526"/>
      <w:bookmarkEnd w:id="527"/>
      <w:bookmarkEnd w:id="528"/>
    </w:p>
    <w:p w14:paraId="75DDA47A" w14:textId="77777777" w:rsidR="00E14789" w:rsidRPr="004C14FE" w:rsidRDefault="00E14789" w:rsidP="004C14FE">
      <w:pPr>
        <w:pStyle w:val="OdstavecASR"/>
      </w:pPr>
      <w:r w:rsidRPr="004C14FE">
        <w:rPr>
          <w:noProof/>
          <w:lang w:eastAsia="cs-CZ"/>
        </w:rPr>
        <w:drawing>
          <wp:inline distT="0" distB="0" distL="0" distR="0" wp14:anchorId="4F0E0999" wp14:editId="5740B312">
            <wp:extent cx="5029200" cy="3657600"/>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AFE02BD" w14:textId="72653874" w:rsidR="00E14789" w:rsidRPr="004C14FE" w:rsidRDefault="00E14789" w:rsidP="00D363A2">
      <w:pPr>
        <w:pStyle w:val="OdstavecASR"/>
        <w:keepNext/>
        <w:outlineLvl w:val="3"/>
        <w:rPr>
          <w:b/>
          <w:bCs/>
        </w:rPr>
      </w:pPr>
      <w:r w:rsidRPr="004C14FE">
        <w:rPr>
          <w:b/>
          <w:bCs/>
        </w:rPr>
        <w:t>Počet nařízených 1.</w:t>
      </w:r>
      <w:r w:rsidR="000B331D" w:rsidRPr="004C14FE">
        <w:rPr>
          <w:b/>
          <w:bCs/>
        </w:rPr>
        <w:t xml:space="preserve"> </w:t>
      </w:r>
      <w:r w:rsidRPr="004C14FE">
        <w:rPr>
          <w:b/>
          <w:bCs/>
        </w:rPr>
        <w:t>setkání s mediátorem</w:t>
      </w:r>
    </w:p>
    <w:p w14:paraId="19823DB2" w14:textId="46BA5EA8" w:rsidR="00E14789" w:rsidRPr="004C14FE" w:rsidRDefault="00E14789" w:rsidP="00E14789">
      <w:pPr>
        <w:pStyle w:val="OdstavecASR"/>
      </w:pPr>
      <w:r w:rsidRPr="004C14FE">
        <w:t>Dále se podíváme na možnost</w:t>
      </w:r>
      <w:r w:rsidR="00DE0533" w:rsidRPr="004C14FE">
        <w:t>i</w:t>
      </w:r>
      <w:r w:rsidRPr="004C14FE">
        <w:t xml:space="preserve"> smírného řešení sporu o péči. Jako první z nich se podíváme na to, jak často soudy </w:t>
      </w:r>
      <w:r w:rsidR="00DE0533" w:rsidRPr="004C14FE">
        <w:t xml:space="preserve">nařizují </w:t>
      </w:r>
      <w:r w:rsidRPr="004C14FE">
        <w:t xml:space="preserve">1. setkání s mediátorem. Mediace je alternativní řešení sporu, které účastníkům umožní se mimosoudně dohodnout za účasti nezávislé osoby, mediátora. Cílem nařízení 1. setkání s mediátorem </w:t>
      </w:r>
      <w:r w:rsidR="000B331D" w:rsidRPr="004C14FE">
        <w:t xml:space="preserve">je </w:t>
      </w:r>
      <w:r w:rsidRPr="004C14FE">
        <w:t>pak seznámit účastníky spor</w:t>
      </w:r>
      <w:r w:rsidR="000B331D" w:rsidRPr="004C14FE">
        <w:t>u</w:t>
      </w:r>
      <w:r w:rsidRPr="004C14FE">
        <w:t xml:space="preserve"> s mediací, jejím účelem a</w:t>
      </w:r>
      <w:r w:rsidR="001F21E7" w:rsidRPr="004C14FE">
        <w:t> </w:t>
      </w:r>
      <w:r w:rsidRPr="004C14FE">
        <w:t>výhodami a zjistit, zda by byli účastníci tomuto řešení nakloněni.</w:t>
      </w:r>
    </w:p>
    <w:p w14:paraId="76CE3496" w14:textId="5FC44B5D" w:rsidR="004C14FE" w:rsidRPr="004C14FE" w:rsidRDefault="004C14FE">
      <w:pPr>
        <w:spacing w:after="160" w:line="259" w:lineRule="auto"/>
        <w:jc w:val="left"/>
      </w:pPr>
      <w:r w:rsidRPr="004C14FE">
        <w:br w:type="page"/>
      </w:r>
    </w:p>
    <w:p w14:paraId="01146F4A" w14:textId="2EA0E7AC" w:rsidR="00D36C74" w:rsidRPr="004C14FE" w:rsidRDefault="00D36C74" w:rsidP="00D36C74">
      <w:pPr>
        <w:pStyle w:val="Podnadpis"/>
        <w:rPr>
          <w:color w:val="auto"/>
        </w:rPr>
      </w:pPr>
      <w:bookmarkStart w:id="529" w:name="_Toc144104275"/>
      <w:r w:rsidRPr="004C14FE">
        <w:rPr>
          <w:color w:val="auto"/>
        </w:rPr>
        <w:lastRenderedPageBreak/>
        <w:t xml:space="preserve">Tabulka </w:t>
      </w:r>
      <w:r w:rsidR="002310B1" w:rsidRPr="004C14FE">
        <w:rPr>
          <w:noProof/>
          <w:color w:val="auto"/>
        </w:rPr>
        <w:fldChar w:fldCharType="begin"/>
      </w:r>
      <w:r w:rsidR="002310B1" w:rsidRPr="004C14FE">
        <w:rPr>
          <w:noProof/>
          <w:color w:val="auto"/>
        </w:rPr>
        <w:instrText xml:space="preserve"> SEQ Tabulka \* ARABIC </w:instrText>
      </w:r>
      <w:r w:rsidR="002310B1" w:rsidRPr="004C14FE">
        <w:rPr>
          <w:noProof/>
          <w:color w:val="auto"/>
        </w:rPr>
        <w:fldChar w:fldCharType="separate"/>
      </w:r>
      <w:r w:rsidR="001E1A67">
        <w:rPr>
          <w:noProof/>
          <w:color w:val="auto"/>
        </w:rPr>
        <w:t>36</w:t>
      </w:r>
      <w:r w:rsidR="002310B1" w:rsidRPr="004C14FE">
        <w:rPr>
          <w:noProof/>
          <w:color w:val="auto"/>
        </w:rPr>
        <w:fldChar w:fldCharType="end"/>
      </w:r>
      <w:r w:rsidRPr="004C14FE">
        <w:rPr>
          <w:color w:val="auto"/>
        </w:rPr>
        <w:t>: OS – nařizování 1.</w:t>
      </w:r>
      <w:r w:rsidR="004C14FE" w:rsidRPr="004C14FE">
        <w:rPr>
          <w:color w:val="auto"/>
        </w:rPr>
        <w:t> </w:t>
      </w:r>
      <w:r w:rsidRPr="004C14FE">
        <w:rPr>
          <w:color w:val="auto"/>
        </w:rPr>
        <w:t>setkání s mediátorem v opatrovnické agendě</w:t>
      </w:r>
      <w:bookmarkEnd w:id="529"/>
    </w:p>
    <w:tbl>
      <w:tblPr>
        <w:tblW w:w="5157" w:type="dxa"/>
        <w:tblCellMar>
          <w:left w:w="70" w:type="dxa"/>
          <w:right w:w="70" w:type="dxa"/>
        </w:tblCellMar>
        <w:tblLook w:val="04A0" w:firstRow="1" w:lastRow="0" w:firstColumn="1" w:lastColumn="0" w:noHBand="0" w:noVBand="1"/>
      </w:tblPr>
      <w:tblGrid>
        <w:gridCol w:w="1134"/>
        <w:gridCol w:w="4023"/>
      </w:tblGrid>
      <w:tr w:rsidR="00F15667" w:rsidRPr="004C14FE" w14:paraId="22B3C17E" w14:textId="77777777" w:rsidTr="004C14FE">
        <w:trPr>
          <w:trHeight w:val="345"/>
        </w:trPr>
        <w:tc>
          <w:tcPr>
            <w:tcW w:w="1134" w:type="dxa"/>
            <w:tcBorders>
              <w:top w:val="double" w:sz="6" w:space="0" w:color="auto"/>
              <w:left w:val="nil"/>
              <w:bottom w:val="double" w:sz="6" w:space="0" w:color="auto"/>
              <w:right w:val="nil"/>
            </w:tcBorders>
            <w:shd w:val="clear" w:color="auto" w:fill="auto"/>
            <w:noWrap/>
            <w:vAlign w:val="center"/>
            <w:hideMark/>
          </w:tcPr>
          <w:p w14:paraId="481C82FB" w14:textId="77777777" w:rsidR="00D36C74" w:rsidRPr="004C14FE" w:rsidRDefault="00D36C74" w:rsidP="004C14FE">
            <w:pPr>
              <w:spacing w:line="240" w:lineRule="auto"/>
              <w:jc w:val="center"/>
              <w:rPr>
                <w:b/>
              </w:rPr>
            </w:pPr>
            <w:r w:rsidRPr="004C14FE">
              <w:rPr>
                <w:b/>
              </w:rPr>
              <w:t>Rok</w:t>
            </w:r>
          </w:p>
        </w:tc>
        <w:tc>
          <w:tcPr>
            <w:tcW w:w="4023" w:type="dxa"/>
            <w:tcBorders>
              <w:top w:val="double" w:sz="6" w:space="0" w:color="auto"/>
              <w:left w:val="nil"/>
              <w:bottom w:val="double" w:sz="6" w:space="0" w:color="auto"/>
              <w:right w:val="nil"/>
            </w:tcBorders>
            <w:shd w:val="clear" w:color="auto" w:fill="auto"/>
            <w:noWrap/>
            <w:vAlign w:val="center"/>
            <w:hideMark/>
          </w:tcPr>
          <w:p w14:paraId="08D9B2F9" w14:textId="77777777" w:rsidR="00D36C74" w:rsidRPr="004C14FE" w:rsidRDefault="00D36C74" w:rsidP="004C14FE">
            <w:pPr>
              <w:spacing w:line="240" w:lineRule="auto"/>
              <w:jc w:val="center"/>
              <w:rPr>
                <w:b/>
              </w:rPr>
            </w:pPr>
            <w:r w:rsidRPr="004C14FE">
              <w:rPr>
                <w:b/>
              </w:rPr>
              <w:t>Nařízeno 1. setkání s mediátorem</w:t>
            </w:r>
          </w:p>
        </w:tc>
      </w:tr>
      <w:tr w:rsidR="00F15667" w:rsidRPr="004C14FE" w14:paraId="505D1E31" w14:textId="77777777" w:rsidTr="004C14FE">
        <w:trPr>
          <w:trHeight w:val="330"/>
        </w:trPr>
        <w:tc>
          <w:tcPr>
            <w:tcW w:w="1134" w:type="dxa"/>
            <w:tcBorders>
              <w:top w:val="nil"/>
              <w:left w:val="nil"/>
              <w:bottom w:val="single" w:sz="4" w:space="0" w:color="auto"/>
              <w:right w:val="nil"/>
            </w:tcBorders>
            <w:shd w:val="clear" w:color="auto" w:fill="auto"/>
            <w:noWrap/>
            <w:vAlign w:val="center"/>
            <w:hideMark/>
          </w:tcPr>
          <w:p w14:paraId="6512B9BD"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2015</w:t>
            </w:r>
          </w:p>
        </w:tc>
        <w:tc>
          <w:tcPr>
            <w:tcW w:w="4023" w:type="dxa"/>
            <w:tcBorders>
              <w:top w:val="nil"/>
              <w:left w:val="nil"/>
              <w:bottom w:val="single" w:sz="4" w:space="0" w:color="auto"/>
              <w:right w:val="nil"/>
            </w:tcBorders>
            <w:shd w:val="clear" w:color="auto" w:fill="auto"/>
            <w:noWrap/>
            <w:vAlign w:val="center"/>
            <w:hideMark/>
          </w:tcPr>
          <w:p w14:paraId="1A6C85FE"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32</w:t>
            </w:r>
          </w:p>
        </w:tc>
      </w:tr>
      <w:tr w:rsidR="00F15667" w:rsidRPr="004C14FE" w14:paraId="5A041CE6"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1F5C0B21"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2016</w:t>
            </w:r>
          </w:p>
        </w:tc>
        <w:tc>
          <w:tcPr>
            <w:tcW w:w="4023" w:type="dxa"/>
            <w:tcBorders>
              <w:top w:val="nil"/>
              <w:left w:val="nil"/>
              <w:bottom w:val="single" w:sz="4" w:space="0" w:color="auto"/>
              <w:right w:val="nil"/>
            </w:tcBorders>
            <w:shd w:val="clear" w:color="auto" w:fill="auto"/>
            <w:noWrap/>
            <w:vAlign w:val="center"/>
            <w:hideMark/>
          </w:tcPr>
          <w:p w14:paraId="2923B5D9"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45</w:t>
            </w:r>
          </w:p>
        </w:tc>
      </w:tr>
      <w:tr w:rsidR="00F15667" w:rsidRPr="004C14FE" w14:paraId="01BCA276"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6AD57FF0"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2017</w:t>
            </w:r>
          </w:p>
        </w:tc>
        <w:tc>
          <w:tcPr>
            <w:tcW w:w="4023" w:type="dxa"/>
            <w:tcBorders>
              <w:top w:val="nil"/>
              <w:left w:val="nil"/>
              <w:bottom w:val="single" w:sz="4" w:space="0" w:color="auto"/>
              <w:right w:val="nil"/>
            </w:tcBorders>
            <w:shd w:val="clear" w:color="auto" w:fill="auto"/>
            <w:noWrap/>
            <w:vAlign w:val="center"/>
            <w:hideMark/>
          </w:tcPr>
          <w:p w14:paraId="1B9A18F8"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64</w:t>
            </w:r>
          </w:p>
        </w:tc>
      </w:tr>
      <w:tr w:rsidR="00F15667" w:rsidRPr="004C14FE" w14:paraId="0A523156"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3CB13D78"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2018</w:t>
            </w:r>
          </w:p>
        </w:tc>
        <w:tc>
          <w:tcPr>
            <w:tcW w:w="4023" w:type="dxa"/>
            <w:tcBorders>
              <w:top w:val="nil"/>
              <w:left w:val="nil"/>
              <w:bottom w:val="single" w:sz="4" w:space="0" w:color="auto"/>
              <w:right w:val="nil"/>
            </w:tcBorders>
            <w:shd w:val="clear" w:color="auto" w:fill="auto"/>
            <w:noWrap/>
            <w:vAlign w:val="center"/>
            <w:hideMark/>
          </w:tcPr>
          <w:p w14:paraId="768FEBB3"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75</w:t>
            </w:r>
          </w:p>
        </w:tc>
      </w:tr>
      <w:tr w:rsidR="00F15667" w:rsidRPr="004C14FE" w14:paraId="3259F636"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0E3B54BC"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2019</w:t>
            </w:r>
          </w:p>
        </w:tc>
        <w:tc>
          <w:tcPr>
            <w:tcW w:w="4023" w:type="dxa"/>
            <w:tcBorders>
              <w:top w:val="nil"/>
              <w:left w:val="nil"/>
              <w:bottom w:val="single" w:sz="4" w:space="0" w:color="auto"/>
              <w:right w:val="nil"/>
            </w:tcBorders>
            <w:shd w:val="clear" w:color="auto" w:fill="auto"/>
            <w:noWrap/>
            <w:vAlign w:val="center"/>
            <w:hideMark/>
          </w:tcPr>
          <w:p w14:paraId="152E7562"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89</w:t>
            </w:r>
          </w:p>
        </w:tc>
      </w:tr>
      <w:tr w:rsidR="00F15667" w:rsidRPr="004C14FE" w14:paraId="16BE2110"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404745A4"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2020</w:t>
            </w:r>
          </w:p>
        </w:tc>
        <w:tc>
          <w:tcPr>
            <w:tcW w:w="4023" w:type="dxa"/>
            <w:tcBorders>
              <w:top w:val="nil"/>
              <w:left w:val="nil"/>
              <w:bottom w:val="single" w:sz="4" w:space="0" w:color="auto"/>
              <w:right w:val="nil"/>
            </w:tcBorders>
            <w:shd w:val="clear" w:color="auto" w:fill="auto"/>
            <w:noWrap/>
            <w:vAlign w:val="center"/>
            <w:hideMark/>
          </w:tcPr>
          <w:p w14:paraId="09477E1F"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65</w:t>
            </w:r>
          </w:p>
        </w:tc>
      </w:tr>
      <w:tr w:rsidR="00F15667" w:rsidRPr="004C14FE" w14:paraId="67EC3393"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17072653"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2021</w:t>
            </w:r>
          </w:p>
        </w:tc>
        <w:tc>
          <w:tcPr>
            <w:tcW w:w="4023" w:type="dxa"/>
            <w:tcBorders>
              <w:top w:val="nil"/>
              <w:left w:val="nil"/>
              <w:bottom w:val="single" w:sz="4" w:space="0" w:color="auto"/>
              <w:right w:val="nil"/>
            </w:tcBorders>
            <w:shd w:val="clear" w:color="auto" w:fill="auto"/>
            <w:noWrap/>
            <w:vAlign w:val="center"/>
            <w:hideMark/>
          </w:tcPr>
          <w:p w14:paraId="08560AE2"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89</w:t>
            </w:r>
          </w:p>
        </w:tc>
      </w:tr>
      <w:tr w:rsidR="00F15667" w:rsidRPr="004C14FE" w14:paraId="5911DD91" w14:textId="77777777" w:rsidTr="004C14FE">
        <w:trPr>
          <w:trHeight w:val="330"/>
        </w:trPr>
        <w:tc>
          <w:tcPr>
            <w:tcW w:w="1134" w:type="dxa"/>
            <w:tcBorders>
              <w:top w:val="nil"/>
              <w:left w:val="nil"/>
              <w:bottom w:val="double" w:sz="6" w:space="0" w:color="auto"/>
              <w:right w:val="nil"/>
            </w:tcBorders>
            <w:shd w:val="clear" w:color="auto" w:fill="auto"/>
            <w:noWrap/>
            <w:vAlign w:val="center"/>
            <w:hideMark/>
          </w:tcPr>
          <w:p w14:paraId="6B83866F"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2022</w:t>
            </w:r>
          </w:p>
        </w:tc>
        <w:tc>
          <w:tcPr>
            <w:tcW w:w="4023" w:type="dxa"/>
            <w:tcBorders>
              <w:top w:val="nil"/>
              <w:left w:val="nil"/>
              <w:bottom w:val="double" w:sz="6" w:space="0" w:color="auto"/>
              <w:right w:val="nil"/>
            </w:tcBorders>
            <w:shd w:val="clear" w:color="auto" w:fill="auto"/>
            <w:noWrap/>
            <w:vAlign w:val="center"/>
            <w:hideMark/>
          </w:tcPr>
          <w:p w14:paraId="2FC95014" w14:textId="77777777" w:rsidR="00D36C74" w:rsidRPr="004C14FE" w:rsidRDefault="00D36C74" w:rsidP="004C14FE">
            <w:pPr>
              <w:spacing w:line="240" w:lineRule="auto"/>
              <w:jc w:val="center"/>
              <w:rPr>
                <w:rFonts w:eastAsia="Times New Roman"/>
                <w:szCs w:val="24"/>
                <w:lang w:eastAsia="cs-CZ"/>
              </w:rPr>
            </w:pPr>
            <w:r w:rsidRPr="004C14FE">
              <w:rPr>
                <w:rFonts w:eastAsia="Times New Roman"/>
                <w:szCs w:val="24"/>
                <w:lang w:eastAsia="cs-CZ"/>
              </w:rPr>
              <w:t>76</w:t>
            </w:r>
          </w:p>
        </w:tc>
      </w:tr>
      <w:tr w:rsidR="00F15667" w:rsidRPr="004C14FE" w14:paraId="7AFCA1E6" w14:textId="77777777" w:rsidTr="004C14FE">
        <w:trPr>
          <w:trHeight w:val="330"/>
        </w:trPr>
        <w:tc>
          <w:tcPr>
            <w:tcW w:w="1134" w:type="dxa"/>
            <w:tcBorders>
              <w:top w:val="nil"/>
              <w:left w:val="nil"/>
              <w:bottom w:val="nil"/>
              <w:right w:val="nil"/>
            </w:tcBorders>
            <w:shd w:val="clear" w:color="auto" w:fill="auto"/>
            <w:noWrap/>
            <w:vAlign w:val="center"/>
            <w:hideMark/>
          </w:tcPr>
          <w:p w14:paraId="1D6DD666" w14:textId="77777777" w:rsidR="00D36C74" w:rsidRPr="004C14FE" w:rsidRDefault="00D36C74" w:rsidP="004C14FE">
            <w:pPr>
              <w:spacing w:line="240" w:lineRule="auto"/>
              <w:jc w:val="center"/>
              <w:rPr>
                <w:rFonts w:eastAsia="Times New Roman"/>
                <w:szCs w:val="24"/>
                <w:lang w:eastAsia="cs-CZ"/>
              </w:rPr>
            </w:pPr>
          </w:p>
        </w:tc>
        <w:tc>
          <w:tcPr>
            <w:tcW w:w="4023" w:type="dxa"/>
            <w:tcBorders>
              <w:top w:val="nil"/>
              <w:left w:val="nil"/>
              <w:bottom w:val="nil"/>
              <w:right w:val="nil"/>
            </w:tcBorders>
            <w:shd w:val="clear" w:color="auto" w:fill="auto"/>
            <w:noWrap/>
            <w:vAlign w:val="center"/>
            <w:hideMark/>
          </w:tcPr>
          <w:p w14:paraId="19C6CEEA" w14:textId="77777777" w:rsidR="00D36C74" w:rsidRPr="004C14FE" w:rsidRDefault="00D36C74" w:rsidP="004C14FE">
            <w:pPr>
              <w:spacing w:line="240" w:lineRule="auto"/>
              <w:jc w:val="center"/>
              <w:rPr>
                <w:rFonts w:eastAsia="Times New Roman"/>
                <w:sz w:val="20"/>
                <w:szCs w:val="20"/>
                <w:lang w:eastAsia="cs-CZ"/>
              </w:rPr>
            </w:pPr>
          </w:p>
        </w:tc>
      </w:tr>
    </w:tbl>
    <w:p w14:paraId="46E53E6D" w14:textId="064A6321" w:rsidR="00D36C74" w:rsidRPr="004C14FE" w:rsidRDefault="004B4723" w:rsidP="004B4723">
      <w:pPr>
        <w:pStyle w:val="OdstavecASR"/>
      </w:pPr>
      <w:r w:rsidRPr="004C14FE">
        <w:t xml:space="preserve">Data se zde opět týkají prvního rozhodnutí o péči. </w:t>
      </w:r>
      <w:r w:rsidR="00D36C74" w:rsidRPr="004C14FE">
        <w:t>Jak vidíme v tabulce, tento institut je využíván soudy velmi zřídka, v posledních letech jen asi 60 až 90 věcech ročně. Počet sporů o péči je v</w:t>
      </w:r>
      <w:r w:rsidR="004C14FE">
        <w:t> </w:t>
      </w:r>
      <w:r w:rsidR="00D36C74" w:rsidRPr="004C14FE">
        <w:t xml:space="preserve">posledních letech ročně asi </w:t>
      </w:r>
      <w:r w:rsidRPr="004C14FE">
        <w:t>18 a</w:t>
      </w:r>
      <w:r w:rsidR="000B331D" w:rsidRPr="004C14FE">
        <w:t>ž</w:t>
      </w:r>
      <w:r w:rsidRPr="004C14FE">
        <w:t xml:space="preserve"> </w:t>
      </w:r>
      <w:r w:rsidR="00D36C74" w:rsidRPr="004C14FE">
        <w:t>2</w:t>
      </w:r>
      <w:r w:rsidRPr="004C14FE">
        <w:t>1 tisíc</w:t>
      </w:r>
      <w:r w:rsidR="00D36C74" w:rsidRPr="004C14FE">
        <w:t>.</w:t>
      </w:r>
      <w:r w:rsidRPr="004C14FE">
        <w:t xml:space="preserve"> První setkání s mediátorem je tedy nařízeno ani ne v 0,5 % sporů. Ovšem smírného výsledku lze dosáhnout i jinými způsoby. Pomoci smírnému řešení spor</w:t>
      </w:r>
      <w:r w:rsidR="000B331D" w:rsidRPr="004C14FE">
        <w:t>u</w:t>
      </w:r>
      <w:r w:rsidRPr="004C14FE">
        <w:t xml:space="preserve"> lze například pomocí nařízení jiného soudního roku.</w:t>
      </w:r>
    </w:p>
    <w:p w14:paraId="6D829E94" w14:textId="3DBBD4F7" w:rsidR="00E14789" w:rsidRPr="004C14FE" w:rsidRDefault="00E14789" w:rsidP="00D363A2">
      <w:pPr>
        <w:pStyle w:val="OdstavecASR"/>
        <w:keepNext/>
        <w:outlineLvl w:val="3"/>
        <w:rPr>
          <w:b/>
        </w:rPr>
      </w:pPr>
      <w:r w:rsidRPr="004C14FE">
        <w:rPr>
          <w:b/>
        </w:rPr>
        <w:t>Počet jiných soudních roků</w:t>
      </w:r>
    </w:p>
    <w:p w14:paraId="2D963C82" w14:textId="4ABE6FCD" w:rsidR="00E14789" w:rsidRPr="004C14FE" w:rsidRDefault="004B4723" w:rsidP="004B4723">
      <w:pPr>
        <w:pStyle w:val="OdstavecASR"/>
      </w:pPr>
      <w:r w:rsidRPr="004C14FE">
        <w:t>V průběhu řízení v případě účelnosti soud nařídí tzv. jiný soudní rok – méně formalizované jednání, kde je věc s rodiči probrána soudem, rodiče jsou soudem poučeni o povinnostech a právech plynoucích z jejich rodičovské odpovědnosti, vyživovací povinnosti k dítěti. Rodiče jsou opět vedeni k dohodě ve věci jejich dítěte.</w:t>
      </w:r>
    </w:p>
    <w:p w14:paraId="374E4466" w14:textId="4E39227F" w:rsidR="00C65CD5" w:rsidRPr="004C14FE" w:rsidRDefault="00C65CD5" w:rsidP="00C65CD5">
      <w:pPr>
        <w:pStyle w:val="Podnadpis"/>
        <w:rPr>
          <w:color w:val="auto"/>
        </w:rPr>
      </w:pPr>
      <w:bookmarkStart w:id="530" w:name="_Toc144104276"/>
      <w:r w:rsidRPr="004C14FE">
        <w:rPr>
          <w:color w:val="auto"/>
        </w:rPr>
        <w:t xml:space="preserve">Tabulka </w:t>
      </w:r>
      <w:r w:rsidR="002310B1" w:rsidRPr="004C14FE">
        <w:rPr>
          <w:noProof/>
          <w:color w:val="auto"/>
        </w:rPr>
        <w:fldChar w:fldCharType="begin"/>
      </w:r>
      <w:r w:rsidR="002310B1" w:rsidRPr="004C14FE">
        <w:rPr>
          <w:noProof/>
          <w:color w:val="auto"/>
        </w:rPr>
        <w:instrText xml:space="preserve"> SEQ Tabulka \* ARABIC </w:instrText>
      </w:r>
      <w:r w:rsidR="002310B1" w:rsidRPr="004C14FE">
        <w:rPr>
          <w:noProof/>
          <w:color w:val="auto"/>
        </w:rPr>
        <w:fldChar w:fldCharType="separate"/>
      </w:r>
      <w:r w:rsidR="001E1A67">
        <w:rPr>
          <w:noProof/>
          <w:color w:val="auto"/>
        </w:rPr>
        <w:t>37</w:t>
      </w:r>
      <w:r w:rsidR="002310B1" w:rsidRPr="004C14FE">
        <w:rPr>
          <w:noProof/>
          <w:color w:val="auto"/>
        </w:rPr>
        <w:fldChar w:fldCharType="end"/>
      </w:r>
      <w:r w:rsidRPr="004C14FE">
        <w:rPr>
          <w:color w:val="auto"/>
        </w:rPr>
        <w:t>: OS – jiné soudní roky v opatrovnické agendě</w:t>
      </w:r>
      <w:bookmarkEnd w:id="530"/>
    </w:p>
    <w:tbl>
      <w:tblPr>
        <w:tblW w:w="6894" w:type="dxa"/>
        <w:tblLayout w:type="fixed"/>
        <w:tblCellMar>
          <w:left w:w="70" w:type="dxa"/>
          <w:right w:w="70" w:type="dxa"/>
        </w:tblCellMar>
        <w:tblLook w:val="04A0" w:firstRow="1" w:lastRow="0" w:firstColumn="1" w:lastColumn="0" w:noHBand="0" w:noVBand="1"/>
      </w:tblPr>
      <w:tblGrid>
        <w:gridCol w:w="1134"/>
        <w:gridCol w:w="1440"/>
        <w:gridCol w:w="1440"/>
        <w:gridCol w:w="1440"/>
        <w:gridCol w:w="1440"/>
      </w:tblGrid>
      <w:tr w:rsidR="00F15667" w:rsidRPr="004C14FE" w14:paraId="25717C87" w14:textId="77777777" w:rsidTr="004C14FE">
        <w:trPr>
          <w:trHeight w:val="345"/>
        </w:trPr>
        <w:tc>
          <w:tcPr>
            <w:tcW w:w="1134" w:type="dxa"/>
            <w:vMerge w:val="restart"/>
            <w:tcBorders>
              <w:top w:val="double" w:sz="6" w:space="0" w:color="auto"/>
              <w:left w:val="nil"/>
              <w:bottom w:val="double" w:sz="6" w:space="0" w:color="000000"/>
              <w:right w:val="nil"/>
            </w:tcBorders>
            <w:shd w:val="clear" w:color="auto" w:fill="auto"/>
            <w:noWrap/>
            <w:vAlign w:val="center"/>
            <w:hideMark/>
          </w:tcPr>
          <w:p w14:paraId="0F49CCE5" w14:textId="77777777" w:rsidR="00737F4F" w:rsidRPr="004C14FE" w:rsidRDefault="00737F4F" w:rsidP="004C14FE">
            <w:pPr>
              <w:spacing w:line="240" w:lineRule="auto"/>
              <w:jc w:val="center"/>
              <w:rPr>
                <w:b/>
              </w:rPr>
            </w:pPr>
            <w:r w:rsidRPr="004C14FE">
              <w:rPr>
                <w:b/>
              </w:rPr>
              <w:t>Rok</w:t>
            </w:r>
          </w:p>
        </w:tc>
        <w:tc>
          <w:tcPr>
            <w:tcW w:w="5760" w:type="dxa"/>
            <w:gridSpan w:val="4"/>
            <w:tcBorders>
              <w:top w:val="double" w:sz="6" w:space="0" w:color="auto"/>
              <w:left w:val="nil"/>
              <w:bottom w:val="nil"/>
              <w:right w:val="nil"/>
            </w:tcBorders>
            <w:shd w:val="clear" w:color="auto" w:fill="auto"/>
            <w:noWrap/>
            <w:vAlign w:val="center"/>
            <w:hideMark/>
          </w:tcPr>
          <w:p w14:paraId="1D461A73" w14:textId="77777777" w:rsidR="00737F4F" w:rsidRPr="004C14FE" w:rsidRDefault="00737F4F" w:rsidP="004C14FE">
            <w:pPr>
              <w:spacing w:line="240" w:lineRule="auto"/>
              <w:jc w:val="center"/>
              <w:rPr>
                <w:b/>
              </w:rPr>
            </w:pPr>
            <w:r w:rsidRPr="004C14FE">
              <w:rPr>
                <w:b/>
              </w:rPr>
              <w:t>Počet jiných soudních roků</w:t>
            </w:r>
          </w:p>
        </w:tc>
      </w:tr>
      <w:tr w:rsidR="00F15667" w:rsidRPr="004C14FE" w14:paraId="47308FD1" w14:textId="77777777" w:rsidTr="004C14FE">
        <w:trPr>
          <w:trHeight w:val="345"/>
        </w:trPr>
        <w:tc>
          <w:tcPr>
            <w:tcW w:w="1134" w:type="dxa"/>
            <w:vMerge/>
            <w:tcBorders>
              <w:top w:val="double" w:sz="6" w:space="0" w:color="auto"/>
              <w:left w:val="nil"/>
              <w:bottom w:val="double" w:sz="6" w:space="0" w:color="000000"/>
              <w:right w:val="nil"/>
            </w:tcBorders>
            <w:vAlign w:val="center"/>
            <w:hideMark/>
          </w:tcPr>
          <w:p w14:paraId="0DC31D37" w14:textId="77777777" w:rsidR="00737F4F" w:rsidRPr="004C14FE" w:rsidRDefault="00737F4F" w:rsidP="004C14FE">
            <w:pPr>
              <w:spacing w:line="240" w:lineRule="auto"/>
              <w:jc w:val="center"/>
              <w:rPr>
                <w:b/>
              </w:rPr>
            </w:pPr>
          </w:p>
        </w:tc>
        <w:tc>
          <w:tcPr>
            <w:tcW w:w="1440" w:type="dxa"/>
            <w:tcBorders>
              <w:top w:val="nil"/>
              <w:left w:val="nil"/>
              <w:bottom w:val="double" w:sz="6" w:space="0" w:color="auto"/>
              <w:right w:val="nil"/>
            </w:tcBorders>
            <w:shd w:val="clear" w:color="auto" w:fill="auto"/>
            <w:noWrap/>
            <w:vAlign w:val="center"/>
            <w:hideMark/>
          </w:tcPr>
          <w:p w14:paraId="1144761D" w14:textId="77777777" w:rsidR="00737F4F" w:rsidRPr="004C14FE" w:rsidRDefault="00737F4F" w:rsidP="004C14FE">
            <w:pPr>
              <w:spacing w:line="240" w:lineRule="auto"/>
              <w:jc w:val="center"/>
              <w:rPr>
                <w:b/>
              </w:rPr>
            </w:pPr>
            <w:r w:rsidRPr="004C14FE">
              <w:rPr>
                <w:b/>
              </w:rPr>
              <w:t>0</w:t>
            </w:r>
          </w:p>
        </w:tc>
        <w:tc>
          <w:tcPr>
            <w:tcW w:w="1440" w:type="dxa"/>
            <w:tcBorders>
              <w:top w:val="nil"/>
              <w:left w:val="nil"/>
              <w:bottom w:val="double" w:sz="6" w:space="0" w:color="auto"/>
              <w:right w:val="nil"/>
            </w:tcBorders>
            <w:shd w:val="clear" w:color="auto" w:fill="auto"/>
            <w:noWrap/>
            <w:vAlign w:val="center"/>
            <w:hideMark/>
          </w:tcPr>
          <w:p w14:paraId="0A73F3AE" w14:textId="77777777" w:rsidR="00737F4F" w:rsidRPr="004C14FE" w:rsidRDefault="00737F4F" w:rsidP="004C14FE">
            <w:pPr>
              <w:spacing w:line="240" w:lineRule="auto"/>
              <w:jc w:val="center"/>
              <w:rPr>
                <w:b/>
              </w:rPr>
            </w:pPr>
            <w:r w:rsidRPr="004C14FE">
              <w:rPr>
                <w:b/>
              </w:rPr>
              <w:t>1</w:t>
            </w:r>
          </w:p>
        </w:tc>
        <w:tc>
          <w:tcPr>
            <w:tcW w:w="1440" w:type="dxa"/>
            <w:tcBorders>
              <w:top w:val="nil"/>
              <w:left w:val="nil"/>
              <w:bottom w:val="double" w:sz="6" w:space="0" w:color="auto"/>
              <w:right w:val="nil"/>
            </w:tcBorders>
            <w:shd w:val="clear" w:color="auto" w:fill="auto"/>
            <w:noWrap/>
            <w:vAlign w:val="center"/>
            <w:hideMark/>
          </w:tcPr>
          <w:p w14:paraId="1D581615" w14:textId="77777777" w:rsidR="00737F4F" w:rsidRPr="004C14FE" w:rsidRDefault="00737F4F" w:rsidP="004C14FE">
            <w:pPr>
              <w:spacing w:line="240" w:lineRule="auto"/>
              <w:jc w:val="center"/>
              <w:rPr>
                <w:b/>
              </w:rPr>
            </w:pPr>
            <w:r w:rsidRPr="004C14FE">
              <w:rPr>
                <w:b/>
              </w:rPr>
              <w:t>2</w:t>
            </w:r>
          </w:p>
        </w:tc>
        <w:tc>
          <w:tcPr>
            <w:tcW w:w="1440" w:type="dxa"/>
            <w:tcBorders>
              <w:top w:val="nil"/>
              <w:left w:val="nil"/>
              <w:bottom w:val="double" w:sz="6" w:space="0" w:color="auto"/>
              <w:right w:val="nil"/>
            </w:tcBorders>
            <w:shd w:val="clear" w:color="auto" w:fill="auto"/>
            <w:noWrap/>
            <w:vAlign w:val="center"/>
            <w:hideMark/>
          </w:tcPr>
          <w:p w14:paraId="5753DC20" w14:textId="77777777" w:rsidR="00737F4F" w:rsidRPr="004C14FE" w:rsidRDefault="00737F4F" w:rsidP="004C14FE">
            <w:pPr>
              <w:spacing w:line="240" w:lineRule="auto"/>
              <w:jc w:val="center"/>
              <w:rPr>
                <w:b/>
              </w:rPr>
            </w:pPr>
            <w:r w:rsidRPr="004C14FE">
              <w:rPr>
                <w:b/>
              </w:rPr>
              <w:t>3 a více</w:t>
            </w:r>
          </w:p>
        </w:tc>
      </w:tr>
      <w:tr w:rsidR="00F15667" w:rsidRPr="004C14FE" w14:paraId="45593D40" w14:textId="77777777" w:rsidTr="004C14FE">
        <w:trPr>
          <w:trHeight w:val="330"/>
        </w:trPr>
        <w:tc>
          <w:tcPr>
            <w:tcW w:w="1134" w:type="dxa"/>
            <w:tcBorders>
              <w:top w:val="nil"/>
              <w:left w:val="nil"/>
              <w:bottom w:val="single" w:sz="4" w:space="0" w:color="auto"/>
              <w:right w:val="nil"/>
            </w:tcBorders>
            <w:shd w:val="clear" w:color="auto" w:fill="auto"/>
            <w:noWrap/>
            <w:vAlign w:val="center"/>
            <w:hideMark/>
          </w:tcPr>
          <w:p w14:paraId="2D0A16C0"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2017</w:t>
            </w:r>
          </w:p>
        </w:tc>
        <w:tc>
          <w:tcPr>
            <w:tcW w:w="1440" w:type="dxa"/>
            <w:tcBorders>
              <w:top w:val="nil"/>
              <w:left w:val="nil"/>
              <w:bottom w:val="single" w:sz="4" w:space="0" w:color="auto"/>
              <w:right w:val="nil"/>
            </w:tcBorders>
            <w:shd w:val="clear" w:color="auto" w:fill="auto"/>
            <w:noWrap/>
            <w:vAlign w:val="center"/>
            <w:hideMark/>
          </w:tcPr>
          <w:p w14:paraId="771784B6" w14:textId="4B3A81B5"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20</w:t>
            </w:r>
            <w:r w:rsidR="00D706C8" w:rsidRPr="004C14FE">
              <w:rPr>
                <w:rFonts w:eastAsia="Times New Roman"/>
                <w:szCs w:val="24"/>
                <w:lang w:eastAsia="cs-CZ"/>
              </w:rPr>
              <w:t xml:space="preserve"> </w:t>
            </w:r>
            <w:r w:rsidRPr="004C14FE">
              <w:rPr>
                <w:rFonts w:eastAsia="Times New Roman"/>
                <w:szCs w:val="24"/>
                <w:lang w:eastAsia="cs-CZ"/>
              </w:rPr>
              <w:t>156</w:t>
            </w:r>
          </w:p>
        </w:tc>
        <w:tc>
          <w:tcPr>
            <w:tcW w:w="1440" w:type="dxa"/>
            <w:tcBorders>
              <w:top w:val="nil"/>
              <w:left w:val="nil"/>
              <w:bottom w:val="single" w:sz="4" w:space="0" w:color="auto"/>
              <w:right w:val="nil"/>
            </w:tcBorders>
            <w:shd w:val="clear" w:color="auto" w:fill="auto"/>
            <w:noWrap/>
            <w:vAlign w:val="center"/>
            <w:hideMark/>
          </w:tcPr>
          <w:p w14:paraId="5C4B2676"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403</w:t>
            </w:r>
          </w:p>
        </w:tc>
        <w:tc>
          <w:tcPr>
            <w:tcW w:w="1440" w:type="dxa"/>
            <w:tcBorders>
              <w:top w:val="nil"/>
              <w:left w:val="nil"/>
              <w:bottom w:val="single" w:sz="4" w:space="0" w:color="auto"/>
              <w:right w:val="nil"/>
            </w:tcBorders>
            <w:shd w:val="clear" w:color="auto" w:fill="auto"/>
            <w:noWrap/>
            <w:vAlign w:val="center"/>
            <w:hideMark/>
          </w:tcPr>
          <w:p w14:paraId="4A0F6FE2"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69</w:t>
            </w:r>
          </w:p>
        </w:tc>
        <w:tc>
          <w:tcPr>
            <w:tcW w:w="1440" w:type="dxa"/>
            <w:tcBorders>
              <w:top w:val="nil"/>
              <w:left w:val="nil"/>
              <w:bottom w:val="single" w:sz="4" w:space="0" w:color="auto"/>
              <w:right w:val="nil"/>
            </w:tcBorders>
            <w:shd w:val="clear" w:color="auto" w:fill="auto"/>
            <w:noWrap/>
            <w:vAlign w:val="center"/>
            <w:hideMark/>
          </w:tcPr>
          <w:p w14:paraId="4D4403F9"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24</w:t>
            </w:r>
          </w:p>
        </w:tc>
      </w:tr>
      <w:tr w:rsidR="00F15667" w:rsidRPr="004C14FE" w14:paraId="7CB3A053"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0B8F9945"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2018</w:t>
            </w:r>
          </w:p>
        </w:tc>
        <w:tc>
          <w:tcPr>
            <w:tcW w:w="1440" w:type="dxa"/>
            <w:tcBorders>
              <w:top w:val="nil"/>
              <w:left w:val="nil"/>
              <w:bottom w:val="single" w:sz="4" w:space="0" w:color="auto"/>
              <w:right w:val="nil"/>
            </w:tcBorders>
            <w:shd w:val="clear" w:color="auto" w:fill="auto"/>
            <w:noWrap/>
            <w:vAlign w:val="center"/>
            <w:hideMark/>
          </w:tcPr>
          <w:p w14:paraId="1EF79774" w14:textId="33530994"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20</w:t>
            </w:r>
            <w:r w:rsidR="00D706C8" w:rsidRPr="004C14FE">
              <w:rPr>
                <w:rFonts w:eastAsia="Times New Roman"/>
                <w:szCs w:val="24"/>
                <w:lang w:eastAsia="cs-CZ"/>
              </w:rPr>
              <w:t xml:space="preserve"> </w:t>
            </w:r>
            <w:r w:rsidRPr="004C14FE">
              <w:rPr>
                <w:rFonts w:eastAsia="Times New Roman"/>
                <w:szCs w:val="24"/>
                <w:lang w:eastAsia="cs-CZ"/>
              </w:rPr>
              <w:t>288</w:t>
            </w:r>
          </w:p>
        </w:tc>
        <w:tc>
          <w:tcPr>
            <w:tcW w:w="1440" w:type="dxa"/>
            <w:tcBorders>
              <w:top w:val="nil"/>
              <w:left w:val="nil"/>
              <w:bottom w:val="single" w:sz="4" w:space="0" w:color="auto"/>
              <w:right w:val="nil"/>
            </w:tcBorders>
            <w:shd w:val="clear" w:color="auto" w:fill="auto"/>
            <w:noWrap/>
            <w:vAlign w:val="center"/>
            <w:hideMark/>
          </w:tcPr>
          <w:p w14:paraId="1B79F723"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582</w:t>
            </w:r>
          </w:p>
        </w:tc>
        <w:tc>
          <w:tcPr>
            <w:tcW w:w="1440" w:type="dxa"/>
            <w:tcBorders>
              <w:top w:val="nil"/>
              <w:left w:val="nil"/>
              <w:bottom w:val="single" w:sz="4" w:space="0" w:color="auto"/>
              <w:right w:val="nil"/>
            </w:tcBorders>
            <w:shd w:val="clear" w:color="auto" w:fill="auto"/>
            <w:noWrap/>
            <w:vAlign w:val="center"/>
            <w:hideMark/>
          </w:tcPr>
          <w:p w14:paraId="310AC3D2"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95</w:t>
            </w:r>
          </w:p>
        </w:tc>
        <w:tc>
          <w:tcPr>
            <w:tcW w:w="1440" w:type="dxa"/>
            <w:tcBorders>
              <w:top w:val="nil"/>
              <w:left w:val="nil"/>
              <w:bottom w:val="single" w:sz="4" w:space="0" w:color="auto"/>
              <w:right w:val="nil"/>
            </w:tcBorders>
            <w:shd w:val="clear" w:color="auto" w:fill="auto"/>
            <w:noWrap/>
            <w:vAlign w:val="center"/>
            <w:hideMark/>
          </w:tcPr>
          <w:p w14:paraId="05071B6C"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41</w:t>
            </w:r>
          </w:p>
        </w:tc>
      </w:tr>
      <w:tr w:rsidR="00F15667" w:rsidRPr="004C14FE" w14:paraId="37C4CDEC"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121A82CC"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2019</w:t>
            </w:r>
          </w:p>
        </w:tc>
        <w:tc>
          <w:tcPr>
            <w:tcW w:w="1440" w:type="dxa"/>
            <w:tcBorders>
              <w:top w:val="nil"/>
              <w:left w:val="nil"/>
              <w:bottom w:val="single" w:sz="4" w:space="0" w:color="auto"/>
              <w:right w:val="nil"/>
            </w:tcBorders>
            <w:shd w:val="clear" w:color="auto" w:fill="auto"/>
            <w:noWrap/>
            <w:vAlign w:val="center"/>
            <w:hideMark/>
          </w:tcPr>
          <w:p w14:paraId="1E187C4A" w14:textId="76DC7344"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19</w:t>
            </w:r>
            <w:r w:rsidR="00D706C8" w:rsidRPr="004C14FE">
              <w:rPr>
                <w:rFonts w:eastAsia="Times New Roman"/>
                <w:szCs w:val="24"/>
                <w:lang w:eastAsia="cs-CZ"/>
              </w:rPr>
              <w:t xml:space="preserve"> </w:t>
            </w:r>
            <w:r w:rsidRPr="004C14FE">
              <w:rPr>
                <w:rFonts w:eastAsia="Times New Roman"/>
                <w:szCs w:val="24"/>
                <w:lang w:eastAsia="cs-CZ"/>
              </w:rPr>
              <w:t>523</w:t>
            </w:r>
          </w:p>
        </w:tc>
        <w:tc>
          <w:tcPr>
            <w:tcW w:w="1440" w:type="dxa"/>
            <w:tcBorders>
              <w:top w:val="nil"/>
              <w:left w:val="nil"/>
              <w:bottom w:val="single" w:sz="4" w:space="0" w:color="auto"/>
              <w:right w:val="nil"/>
            </w:tcBorders>
            <w:shd w:val="clear" w:color="auto" w:fill="auto"/>
            <w:noWrap/>
            <w:vAlign w:val="center"/>
            <w:hideMark/>
          </w:tcPr>
          <w:p w14:paraId="2C64F4DB"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684</w:t>
            </w:r>
          </w:p>
        </w:tc>
        <w:tc>
          <w:tcPr>
            <w:tcW w:w="1440" w:type="dxa"/>
            <w:tcBorders>
              <w:top w:val="nil"/>
              <w:left w:val="nil"/>
              <w:bottom w:val="single" w:sz="4" w:space="0" w:color="auto"/>
              <w:right w:val="nil"/>
            </w:tcBorders>
            <w:shd w:val="clear" w:color="auto" w:fill="auto"/>
            <w:noWrap/>
            <w:vAlign w:val="center"/>
            <w:hideMark/>
          </w:tcPr>
          <w:p w14:paraId="38124475"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109</w:t>
            </w:r>
          </w:p>
        </w:tc>
        <w:tc>
          <w:tcPr>
            <w:tcW w:w="1440" w:type="dxa"/>
            <w:tcBorders>
              <w:top w:val="nil"/>
              <w:left w:val="nil"/>
              <w:bottom w:val="single" w:sz="4" w:space="0" w:color="auto"/>
              <w:right w:val="nil"/>
            </w:tcBorders>
            <w:shd w:val="clear" w:color="auto" w:fill="auto"/>
            <w:noWrap/>
            <w:vAlign w:val="center"/>
            <w:hideMark/>
          </w:tcPr>
          <w:p w14:paraId="2FD9209C"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64</w:t>
            </w:r>
          </w:p>
        </w:tc>
      </w:tr>
      <w:tr w:rsidR="00F15667" w:rsidRPr="004C14FE" w14:paraId="3407B517"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141CBAFE"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2020</w:t>
            </w:r>
          </w:p>
        </w:tc>
        <w:tc>
          <w:tcPr>
            <w:tcW w:w="1440" w:type="dxa"/>
            <w:tcBorders>
              <w:top w:val="nil"/>
              <w:left w:val="nil"/>
              <w:bottom w:val="single" w:sz="4" w:space="0" w:color="auto"/>
              <w:right w:val="nil"/>
            </w:tcBorders>
            <w:shd w:val="clear" w:color="auto" w:fill="auto"/>
            <w:noWrap/>
            <w:vAlign w:val="center"/>
            <w:hideMark/>
          </w:tcPr>
          <w:p w14:paraId="2D3E5719" w14:textId="6B2C627E"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17</w:t>
            </w:r>
            <w:r w:rsidR="00D706C8" w:rsidRPr="004C14FE">
              <w:rPr>
                <w:rFonts w:eastAsia="Times New Roman"/>
                <w:szCs w:val="24"/>
                <w:lang w:eastAsia="cs-CZ"/>
              </w:rPr>
              <w:t xml:space="preserve"> </w:t>
            </w:r>
            <w:r w:rsidRPr="004C14FE">
              <w:rPr>
                <w:rFonts w:eastAsia="Times New Roman"/>
                <w:szCs w:val="24"/>
                <w:lang w:eastAsia="cs-CZ"/>
              </w:rPr>
              <w:t>301</w:t>
            </w:r>
          </w:p>
        </w:tc>
        <w:tc>
          <w:tcPr>
            <w:tcW w:w="1440" w:type="dxa"/>
            <w:tcBorders>
              <w:top w:val="nil"/>
              <w:left w:val="nil"/>
              <w:bottom w:val="single" w:sz="4" w:space="0" w:color="auto"/>
              <w:right w:val="nil"/>
            </w:tcBorders>
            <w:shd w:val="clear" w:color="auto" w:fill="auto"/>
            <w:noWrap/>
            <w:vAlign w:val="center"/>
            <w:hideMark/>
          </w:tcPr>
          <w:p w14:paraId="4BA03618"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668</w:t>
            </w:r>
          </w:p>
        </w:tc>
        <w:tc>
          <w:tcPr>
            <w:tcW w:w="1440" w:type="dxa"/>
            <w:tcBorders>
              <w:top w:val="nil"/>
              <w:left w:val="nil"/>
              <w:bottom w:val="single" w:sz="4" w:space="0" w:color="auto"/>
              <w:right w:val="nil"/>
            </w:tcBorders>
            <w:shd w:val="clear" w:color="auto" w:fill="auto"/>
            <w:noWrap/>
            <w:vAlign w:val="center"/>
            <w:hideMark/>
          </w:tcPr>
          <w:p w14:paraId="5C4812A8"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99</w:t>
            </w:r>
          </w:p>
        </w:tc>
        <w:tc>
          <w:tcPr>
            <w:tcW w:w="1440" w:type="dxa"/>
            <w:tcBorders>
              <w:top w:val="nil"/>
              <w:left w:val="nil"/>
              <w:bottom w:val="single" w:sz="4" w:space="0" w:color="auto"/>
              <w:right w:val="nil"/>
            </w:tcBorders>
            <w:shd w:val="clear" w:color="auto" w:fill="auto"/>
            <w:noWrap/>
            <w:vAlign w:val="center"/>
            <w:hideMark/>
          </w:tcPr>
          <w:p w14:paraId="54008C00"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57</w:t>
            </w:r>
          </w:p>
        </w:tc>
      </w:tr>
      <w:tr w:rsidR="00F15667" w:rsidRPr="004C14FE" w14:paraId="5EC2CC7A" w14:textId="77777777" w:rsidTr="004C14FE">
        <w:trPr>
          <w:trHeight w:val="315"/>
        </w:trPr>
        <w:tc>
          <w:tcPr>
            <w:tcW w:w="1134" w:type="dxa"/>
            <w:tcBorders>
              <w:top w:val="nil"/>
              <w:left w:val="nil"/>
              <w:bottom w:val="single" w:sz="4" w:space="0" w:color="auto"/>
              <w:right w:val="nil"/>
            </w:tcBorders>
            <w:shd w:val="clear" w:color="auto" w:fill="auto"/>
            <w:noWrap/>
            <w:vAlign w:val="center"/>
            <w:hideMark/>
          </w:tcPr>
          <w:p w14:paraId="26BB0C13"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2021</w:t>
            </w:r>
          </w:p>
        </w:tc>
        <w:tc>
          <w:tcPr>
            <w:tcW w:w="1440" w:type="dxa"/>
            <w:tcBorders>
              <w:top w:val="nil"/>
              <w:left w:val="nil"/>
              <w:bottom w:val="single" w:sz="4" w:space="0" w:color="auto"/>
              <w:right w:val="nil"/>
            </w:tcBorders>
            <w:shd w:val="clear" w:color="auto" w:fill="auto"/>
            <w:noWrap/>
            <w:vAlign w:val="center"/>
            <w:hideMark/>
          </w:tcPr>
          <w:p w14:paraId="70CAEAC6" w14:textId="474FFB39"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18</w:t>
            </w:r>
            <w:r w:rsidR="00D706C8" w:rsidRPr="004C14FE">
              <w:rPr>
                <w:rFonts w:eastAsia="Times New Roman"/>
                <w:szCs w:val="24"/>
                <w:lang w:eastAsia="cs-CZ"/>
              </w:rPr>
              <w:t xml:space="preserve"> </w:t>
            </w:r>
            <w:r w:rsidRPr="004C14FE">
              <w:rPr>
                <w:rFonts w:eastAsia="Times New Roman"/>
                <w:szCs w:val="24"/>
                <w:lang w:eastAsia="cs-CZ"/>
              </w:rPr>
              <w:t>753</w:t>
            </w:r>
          </w:p>
        </w:tc>
        <w:tc>
          <w:tcPr>
            <w:tcW w:w="1440" w:type="dxa"/>
            <w:tcBorders>
              <w:top w:val="nil"/>
              <w:left w:val="nil"/>
              <w:bottom w:val="single" w:sz="4" w:space="0" w:color="auto"/>
              <w:right w:val="nil"/>
            </w:tcBorders>
            <w:shd w:val="clear" w:color="auto" w:fill="auto"/>
            <w:noWrap/>
            <w:vAlign w:val="center"/>
            <w:hideMark/>
          </w:tcPr>
          <w:p w14:paraId="339D9EC6"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544</w:t>
            </w:r>
          </w:p>
        </w:tc>
        <w:tc>
          <w:tcPr>
            <w:tcW w:w="1440" w:type="dxa"/>
            <w:tcBorders>
              <w:top w:val="nil"/>
              <w:left w:val="nil"/>
              <w:bottom w:val="single" w:sz="4" w:space="0" w:color="auto"/>
              <w:right w:val="nil"/>
            </w:tcBorders>
            <w:shd w:val="clear" w:color="auto" w:fill="auto"/>
            <w:noWrap/>
            <w:vAlign w:val="center"/>
            <w:hideMark/>
          </w:tcPr>
          <w:p w14:paraId="40E0DAAF"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98</w:t>
            </w:r>
          </w:p>
        </w:tc>
        <w:tc>
          <w:tcPr>
            <w:tcW w:w="1440" w:type="dxa"/>
            <w:tcBorders>
              <w:top w:val="nil"/>
              <w:left w:val="nil"/>
              <w:bottom w:val="single" w:sz="4" w:space="0" w:color="auto"/>
              <w:right w:val="nil"/>
            </w:tcBorders>
            <w:shd w:val="clear" w:color="auto" w:fill="auto"/>
            <w:noWrap/>
            <w:vAlign w:val="center"/>
            <w:hideMark/>
          </w:tcPr>
          <w:p w14:paraId="0D3253BA"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70</w:t>
            </w:r>
          </w:p>
        </w:tc>
      </w:tr>
      <w:tr w:rsidR="00F15667" w:rsidRPr="004C14FE" w14:paraId="28EC61EA" w14:textId="77777777" w:rsidTr="004C14FE">
        <w:trPr>
          <w:trHeight w:val="330"/>
        </w:trPr>
        <w:tc>
          <w:tcPr>
            <w:tcW w:w="1134" w:type="dxa"/>
            <w:tcBorders>
              <w:top w:val="nil"/>
              <w:left w:val="nil"/>
              <w:bottom w:val="double" w:sz="6" w:space="0" w:color="auto"/>
              <w:right w:val="nil"/>
            </w:tcBorders>
            <w:shd w:val="clear" w:color="auto" w:fill="auto"/>
            <w:noWrap/>
            <w:vAlign w:val="center"/>
            <w:hideMark/>
          </w:tcPr>
          <w:p w14:paraId="722B5037"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2022</w:t>
            </w:r>
          </w:p>
        </w:tc>
        <w:tc>
          <w:tcPr>
            <w:tcW w:w="1440" w:type="dxa"/>
            <w:tcBorders>
              <w:top w:val="nil"/>
              <w:left w:val="nil"/>
              <w:bottom w:val="double" w:sz="6" w:space="0" w:color="auto"/>
              <w:right w:val="nil"/>
            </w:tcBorders>
            <w:shd w:val="clear" w:color="auto" w:fill="auto"/>
            <w:noWrap/>
            <w:vAlign w:val="center"/>
            <w:hideMark/>
          </w:tcPr>
          <w:p w14:paraId="02B13D67" w14:textId="36268C46"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17</w:t>
            </w:r>
            <w:r w:rsidR="00D706C8" w:rsidRPr="004C14FE">
              <w:rPr>
                <w:rFonts w:eastAsia="Times New Roman"/>
                <w:szCs w:val="24"/>
                <w:lang w:eastAsia="cs-CZ"/>
              </w:rPr>
              <w:t xml:space="preserve"> </w:t>
            </w:r>
            <w:r w:rsidRPr="004C14FE">
              <w:rPr>
                <w:rFonts w:eastAsia="Times New Roman"/>
                <w:szCs w:val="24"/>
                <w:lang w:eastAsia="cs-CZ"/>
              </w:rPr>
              <w:t>635</w:t>
            </w:r>
          </w:p>
        </w:tc>
        <w:tc>
          <w:tcPr>
            <w:tcW w:w="1440" w:type="dxa"/>
            <w:tcBorders>
              <w:top w:val="nil"/>
              <w:left w:val="nil"/>
              <w:bottom w:val="double" w:sz="6" w:space="0" w:color="auto"/>
              <w:right w:val="nil"/>
            </w:tcBorders>
            <w:shd w:val="clear" w:color="auto" w:fill="auto"/>
            <w:noWrap/>
            <w:vAlign w:val="center"/>
            <w:hideMark/>
          </w:tcPr>
          <w:p w14:paraId="648D4FCA"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491</w:t>
            </w:r>
          </w:p>
        </w:tc>
        <w:tc>
          <w:tcPr>
            <w:tcW w:w="1440" w:type="dxa"/>
            <w:tcBorders>
              <w:top w:val="nil"/>
              <w:left w:val="nil"/>
              <w:bottom w:val="double" w:sz="6" w:space="0" w:color="auto"/>
              <w:right w:val="nil"/>
            </w:tcBorders>
            <w:shd w:val="clear" w:color="auto" w:fill="auto"/>
            <w:noWrap/>
            <w:vAlign w:val="center"/>
            <w:hideMark/>
          </w:tcPr>
          <w:p w14:paraId="1C3ADB25"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67</w:t>
            </w:r>
          </w:p>
        </w:tc>
        <w:tc>
          <w:tcPr>
            <w:tcW w:w="1440" w:type="dxa"/>
            <w:tcBorders>
              <w:top w:val="nil"/>
              <w:left w:val="nil"/>
              <w:bottom w:val="double" w:sz="6" w:space="0" w:color="auto"/>
              <w:right w:val="nil"/>
            </w:tcBorders>
            <w:shd w:val="clear" w:color="auto" w:fill="auto"/>
            <w:noWrap/>
            <w:vAlign w:val="center"/>
            <w:hideMark/>
          </w:tcPr>
          <w:p w14:paraId="18F5CDFF" w14:textId="77777777" w:rsidR="00737F4F" w:rsidRPr="004C14FE" w:rsidRDefault="00737F4F" w:rsidP="004C14FE">
            <w:pPr>
              <w:spacing w:line="240" w:lineRule="auto"/>
              <w:jc w:val="center"/>
              <w:rPr>
                <w:rFonts w:eastAsia="Times New Roman"/>
                <w:szCs w:val="24"/>
                <w:lang w:eastAsia="cs-CZ"/>
              </w:rPr>
            </w:pPr>
            <w:r w:rsidRPr="004C14FE">
              <w:rPr>
                <w:rFonts w:eastAsia="Times New Roman"/>
                <w:szCs w:val="24"/>
                <w:lang w:eastAsia="cs-CZ"/>
              </w:rPr>
              <w:t>47</w:t>
            </w:r>
          </w:p>
        </w:tc>
      </w:tr>
      <w:tr w:rsidR="00F15667" w:rsidRPr="004C14FE" w14:paraId="2435439C" w14:textId="77777777" w:rsidTr="004C14FE">
        <w:trPr>
          <w:trHeight w:val="330"/>
        </w:trPr>
        <w:tc>
          <w:tcPr>
            <w:tcW w:w="1134" w:type="dxa"/>
            <w:tcBorders>
              <w:top w:val="nil"/>
              <w:left w:val="nil"/>
              <w:bottom w:val="nil"/>
              <w:right w:val="nil"/>
            </w:tcBorders>
            <w:shd w:val="clear" w:color="auto" w:fill="auto"/>
            <w:noWrap/>
            <w:vAlign w:val="center"/>
            <w:hideMark/>
          </w:tcPr>
          <w:p w14:paraId="0F752348" w14:textId="77777777" w:rsidR="00737F4F" w:rsidRPr="004C14FE" w:rsidRDefault="00737F4F" w:rsidP="004C14FE">
            <w:pPr>
              <w:spacing w:line="240" w:lineRule="auto"/>
              <w:jc w:val="center"/>
              <w:rPr>
                <w:rFonts w:eastAsia="Times New Roman"/>
                <w:szCs w:val="24"/>
                <w:lang w:eastAsia="cs-CZ"/>
              </w:rPr>
            </w:pPr>
          </w:p>
        </w:tc>
        <w:tc>
          <w:tcPr>
            <w:tcW w:w="1440" w:type="dxa"/>
            <w:tcBorders>
              <w:top w:val="nil"/>
              <w:left w:val="nil"/>
              <w:bottom w:val="nil"/>
              <w:right w:val="nil"/>
            </w:tcBorders>
            <w:shd w:val="clear" w:color="auto" w:fill="auto"/>
            <w:noWrap/>
            <w:vAlign w:val="center"/>
            <w:hideMark/>
          </w:tcPr>
          <w:p w14:paraId="1BD72965" w14:textId="77777777" w:rsidR="00737F4F" w:rsidRPr="004C14FE" w:rsidRDefault="00737F4F" w:rsidP="004C14FE">
            <w:pPr>
              <w:spacing w:line="240" w:lineRule="auto"/>
              <w:jc w:val="center"/>
              <w:rPr>
                <w:rFonts w:eastAsia="Times New Roman"/>
                <w:sz w:val="20"/>
                <w:szCs w:val="20"/>
                <w:lang w:eastAsia="cs-CZ"/>
              </w:rPr>
            </w:pPr>
          </w:p>
        </w:tc>
        <w:tc>
          <w:tcPr>
            <w:tcW w:w="1440" w:type="dxa"/>
            <w:tcBorders>
              <w:top w:val="nil"/>
              <w:left w:val="nil"/>
              <w:bottom w:val="nil"/>
              <w:right w:val="nil"/>
            </w:tcBorders>
            <w:shd w:val="clear" w:color="auto" w:fill="auto"/>
            <w:noWrap/>
            <w:vAlign w:val="center"/>
            <w:hideMark/>
          </w:tcPr>
          <w:p w14:paraId="285BCFED" w14:textId="77777777" w:rsidR="00737F4F" w:rsidRPr="004C14FE" w:rsidRDefault="00737F4F" w:rsidP="004C14FE">
            <w:pPr>
              <w:spacing w:line="240" w:lineRule="auto"/>
              <w:jc w:val="center"/>
              <w:rPr>
                <w:rFonts w:eastAsia="Times New Roman"/>
                <w:sz w:val="20"/>
                <w:szCs w:val="20"/>
                <w:lang w:eastAsia="cs-CZ"/>
              </w:rPr>
            </w:pPr>
          </w:p>
        </w:tc>
        <w:tc>
          <w:tcPr>
            <w:tcW w:w="1440" w:type="dxa"/>
            <w:tcBorders>
              <w:top w:val="nil"/>
              <w:left w:val="nil"/>
              <w:bottom w:val="nil"/>
              <w:right w:val="nil"/>
            </w:tcBorders>
            <w:shd w:val="clear" w:color="auto" w:fill="auto"/>
            <w:noWrap/>
            <w:vAlign w:val="center"/>
            <w:hideMark/>
          </w:tcPr>
          <w:p w14:paraId="65446E78" w14:textId="77777777" w:rsidR="00737F4F" w:rsidRPr="004C14FE" w:rsidRDefault="00737F4F" w:rsidP="004C14FE">
            <w:pPr>
              <w:spacing w:line="240" w:lineRule="auto"/>
              <w:jc w:val="center"/>
              <w:rPr>
                <w:rFonts w:eastAsia="Times New Roman"/>
                <w:sz w:val="20"/>
                <w:szCs w:val="20"/>
                <w:lang w:eastAsia="cs-CZ"/>
              </w:rPr>
            </w:pPr>
          </w:p>
        </w:tc>
        <w:tc>
          <w:tcPr>
            <w:tcW w:w="1440" w:type="dxa"/>
            <w:tcBorders>
              <w:top w:val="nil"/>
              <w:left w:val="nil"/>
              <w:bottom w:val="nil"/>
              <w:right w:val="nil"/>
            </w:tcBorders>
            <w:shd w:val="clear" w:color="auto" w:fill="auto"/>
            <w:noWrap/>
            <w:vAlign w:val="center"/>
            <w:hideMark/>
          </w:tcPr>
          <w:p w14:paraId="0D4ED45A" w14:textId="77777777" w:rsidR="00737F4F" w:rsidRPr="004C14FE" w:rsidRDefault="00737F4F" w:rsidP="004C14FE">
            <w:pPr>
              <w:spacing w:line="240" w:lineRule="auto"/>
              <w:jc w:val="center"/>
              <w:rPr>
                <w:rFonts w:eastAsia="Times New Roman"/>
                <w:sz w:val="20"/>
                <w:szCs w:val="20"/>
                <w:lang w:eastAsia="cs-CZ"/>
              </w:rPr>
            </w:pPr>
          </w:p>
        </w:tc>
      </w:tr>
    </w:tbl>
    <w:p w14:paraId="31AD91A3" w14:textId="7153623A" w:rsidR="00C65CD5" w:rsidRPr="004C14FE" w:rsidRDefault="0050542D" w:rsidP="004C14FE">
      <w:pPr>
        <w:pStyle w:val="OdstavecASR"/>
      </w:pPr>
      <w:r w:rsidRPr="004C14FE">
        <w:t xml:space="preserve">Z tabulky vidíme, že se využívá častěji, než nařízení 1. setkání se mediátorem. Stále jde ale o nepříliš často </w:t>
      </w:r>
      <w:r w:rsidR="00DE0533" w:rsidRPr="004C14FE">
        <w:t xml:space="preserve">využívaný </w:t>
      </w:r>
      <w:r w:rsidRPr="004C14FE">
        <w:t>nástroj – je využit přibližně v</w:t>
      </w:r>
      <w:r w:rsidR="00DE0533" w:rsidRPr="004C14FE">
        <w:t>e</w:t>
      </w:r>
      <w:r w:rsidRPr="004C14FE">
        <w:t> 3 až 5 % řízení.</w:t>
      </w:r>
    </w:p>
    <w:p w14:paraId="73CB9A3A" w14:textId="77777777" w:rsidR="0050542D" w:rsidRPr="004C14FE" w:rsidRDefault="0089113A" w:rsidP="00D363A2">
      <w:pPr>
        <w:pStyle w:val="OdstavecASR"/>
        <w:keepNext/>
        <w:outlineLvl w:val="3"/>
        <w:rPr>
          <w:b/>
          <w:bCs/>
        </w:rPr>
      </w:pPr>
      <w:r w:rsidRPr="004C14FE">
        <w:rPr>
          <w:b/>
          <w:bCs/>
        </w:rPr>
        <w:t>Dohoda rodičů</w:t>
      </w:r>
    </w:p>
    <w:p w14:paraId="6819790F" w14:textId="54DB0DC7" w:rsidR="00CF2F1E" w:rsidRPr="004C14FE" w:rsidRDefault="0050542D" w:rsidP="00D363A2">
      <w:pPr>
        <w:spacing w:after="160" w:line="259" w:lineRule="auto"/>
      </w:pPr>
      <w:r w:rsidRPr="004C14FE">
        <w:t>I bez využití výše popsaných institutů může</w:t>
      </w:r>
      <w:r w:rsidR="00CF2F1E" w:rsidRPr="004C14FE">
        <w:t xml:space="preserve"> řízení skončit</w:t>
      </w:r>
      <w:r w:rsidR="000B331D" w:rsidRPr="004C14FE">
        <w:t>,</w:t>
      </w:r>
      <w:r w:rsidRPr="004C14FE">
        <w:t xml:space="preserve"> a často také</w:t>
      </w:r>
      <w:r w:rsidR="000B331D" w:rsidRPr="004C14FE">
        <w:t xml:space="preserve"> končí,</w:t>
      </w:r>
      <w:r w:rsidRPr="004C14FE">
        <w:t xml:space="preserve"> </w:t>
      </w:r>
      <w:r w:rsidR="00CF2F1E" w:rsidRPr="004C14FE">
        <w:t>dohodou rodičů</w:t>
      </w:r>
      <w:r w:rsidR="000B331D" w:rsidRPr="004C14FE">
        <w:t>,</w:t>
      </w:r>
      <w:r w:rsidR="00CF2F1E" w:rsidRPr="004C14FE">
        <w:t xml:space="preserve"> tedy smírným řešením. To je vidět níže v grafu. </w:t>
      </w:r>
      <w:r w:rsidR="00737F4F" w:rsidRPr="004C14FE">
        <w:t>Vidíme, že asi tři čtvrtiny věcí končí dohodou rodičů.</w:t>
      </w:r>
    </w:p>
    <w:p w14:paraId="2A58F734" w14:textId="2B82D44C" w:rsidR="00737F4F" w:rsidRPr="004C14FE" w:rsidRDefault="00737F4F" w:rsidP="00737F4F">
      <w:pPr>
        <w:pStyle w:val="Podnadpis"/>
        <w:rPr>
          <w:color w:val="auto"/>
        </w:rPr>
      </w:pPr>
      <w:bookmarkStart w:id="531" w:name="_Toc144104159"/>
      <w:r w:rsidRPr="004C14FE">
        <w:rPr>
          <w:color w:val="auto"/>
        </w:rPr>
        <w:lastRenderedPageBreak/>
        <w:t xml:space="preserve">Graf </w:t>
      </w:r>
      <w:r w:rsidR="002310B1" w:rsidRPr="004C14FE">
        <w:rPr>
          <w:noProof/>
          <w:color w:val="auto"/>
        </w:rPr>
        <w:fldChar w:fldCharType="begin"/>
      </w:r>
      <w:r w:rsidR="002310B1" w:rsidRPr="004C14FE">
        <w:rPr>
          <w:noProof/>
          <w:color w:val="auto"/>
        </w:rPr>
        <w:instrText xml:space="preserve"> SEQ Graf \* ARABIC </w:instrText>
      </w:r>
      <w:r w:rsidR="002310B1" w:rsidRPr="004C14FE">
        <w:rPr>
          <w:noProof/>
          <w:color w:val="auto"/>
        </w:rPr>
        <w:fldChar w:fldCharType="separate"/>
      </w:r>
      <w:r w:rsidR="001E1A67">
        <w:rPr>
          <w:noProof/>
          <w:color w:val="auto"/>
        </w:rPr>
        <w:t>47</w:t>
      </w:r>
      <w:r w:rsidR="002310B1" w:rsidRPr="004C14FE">
        <w:rPr>
          <w:noProof/>
          <w:color w:val="auto"/>
        </w:rPr>
        <w:fldChar w:fldCharType="end"/>
      </w:r>
      <w:r w:rsidRPr="004C14FE">
        <w:rPr>
          <w:color w:val="auto"/>
        </w:rPr>
        <w:t>: OS – podíl věcí vyřízených dohodou rodičů</w:t>
      </w:r>
      <w:bookmarkEnd w:id="531"/>
    </w:p>
    <w:p w14:paraId="30BD916D" w14:textId="77777777" w:rsidR="00423451" w:rsidRDefault="00CF2F1E" w:rsidP="00423451">
      <w:pPr>
        <w:pStyle w:val="OdstavecASR"/>
      </w:pPr>
      <w:r w:rsidRPr="004C14FE">
        <w:rPr>
          <w:noProof/>
          <w:lang w:eastAsia="cs-CZ"/>
        </w:rPr>
        <w:drawing>
          <wp:inline distT="0" distB="0" distL="0" distR="0" wp14:anchorId="3B4D9CB6" wp14:editId="6339F5F4">
            <wp:extent cx="5029200" cy="3657600"/>
            <wp:effectExtent l="0" t="0" r="0"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E5F0830" w14:textId="6EE9CD9D" w:rsidR="008430BD" w:rsidRPr="00F15667" w:rsidRDefault="008430BD" w:rsidP="008430BD">
      <w:pPr>
        <w:pStyle w:val="Nadpis1"/>
        <w:pageBreakBefore/>
        <w:numPr>
          <w:ilvl w:val="0"/>
          <w:numId w:val="1"/>
        </w:numPr>
        <w:spacing w:after="120"/>
      </w:pPr>
      <w:bookmarkStart w:id="532" w:name="_Toc515871244"/>
      <w:bookmarkStart w:id="533" w:name="_Toc106092746"/>
      <w:bookmarkStart w:id="534" w:name="_Toc144104360"/>
      <w:r w:rsidRPr="00F15667">
        <w:lastRenderedPageBreak/>
        <w:t>Krajské soudy</w:t>
      </w:r>
      <w:bookmarkEnd w:id="532"/>
      <w:bookmarkEnd w:id="533"/>
      <w:bookmarkEnd w:id="534"/>
    </w:p>
    <w:p w14:paraId="3CC9C1FB" w14:textId="1AA2D92D" w:rsidR="008430BD" w:rsidRPr="00F15667" w:rsidRDefault="008430BD" w:rsidP="008430BD">
      <w:pPr>
        <w:pStyle w:val="Nadpis2"/>
        <w:keepNext w:val="0"/>
        <w:numPr>
          <w:ilvl w:val="1"/>
          <w:numId w:val="1"/>
        </w:numPr>
        <w:spacing w:before="120"/>
        <w:rPr>
          <w:color w:val="auto"/>
        </w:rPr>
      </w:pPr>
      <w:bookmarkStart w:id="535" w:name="_Toc106092747"/>
      <w:bookmarkStart w:id="536" w:name="_Toc515871245"/>
      <w:bookmarkStart w:id="537" w:name="_Toc106092748"/>
      <w:bookmarkStart w:id="538" w:name="_Toc144104361"/>
      <w:bookmarkEnd w:id="535"/>
      <w:r w:rsidRPr="00F15667">
        <w:rPr>
          <w:color w:val="auto"/>
        </w:rPr>
        <w:t>Personál</w:t>
      </w:r>
      <w:bookmarkEnd w:id="536"/>
      <w:bookmarkEnd w:id="537"/>
      <w:bookmarkEnd w:id="538"/>
    </w:p>
    <w:p w14:paraId="61C2DF6A" w14:textId="77777777" w:rsidR="00DF4D03" w:rsidRPr="00F15667" w:rsidRDefault="00DF4D03" w:rsidP="00DF4D03">
      <w:r w:rsidRPr="00F15667">
        <w:t>Struktura kapitoly je stejná jako u okresních soudů – první část se věnuje soudcům, druhá se zaměřuje na ostatní personál ve výkonu a třetí se věnuje přísedícím.</w:t>
      </w:r>
    </w:p>
    <w:p w14:paraId="6BF51150" w14:textId="6CD4CF8C" w:rsidR="002D7898" w:rsidRPr="00F15667" w:rsidRDefault="002D7898" w:rsidP="002D7898">
      <w:pPr>
        <w:pStyle w:val="Nadpis3"/>
        <w:keepNext w:val="0"/>
        <w:numPr>
          <w:ilvl w:val="2"/>
          <w:numId w:val="1"/>
        </w:numPr>
        <w:rPr>
          <w:color w:val="auto"/>
        </w:rPr>
      </w:pPr>
      <w:bookmarkStart w:id="539" w:name="_Toc515871246"/>
      <w:bookmarkStart w:id="540" w:name="_Toc106092749"/>
      <w:bookmarkStart w:id="541" w:name="_Toc144104362"/>
      <w:r w:rsidRPr="00F15667">
        <w:rPr>
          <w:color w:val="auto"/>
        </w:rPr>
        <w:t>Soudci</w:t>
      </w:r>
      <w:bookmarkEnd w:id="539"/>
      <w:bookmarkEnd w:id="540"/>
      <w:bookmarkEnd w:id="541"/>
    </w:p>
    <w:p w14:paraId="01737A7F" w14:textId="789F5ADB" w:rsidR="00DF4D03" w:rsidRPr="00F15667" w:rsidRDefault="00DF4D03" w:rsidP="00DF4D03">
      <w:pPr>
        <w:pStyle w:val="OdstavecASR"/>
      </w:pPr>
      <w:r w:rsidRPr="00F15667">
        <w:t>Z grafu je patrný vývoj v evidenčním a plánovaném počtu soudců. Jak jsme uvedli již v podkapitole 2.1.1, byl v minulosti celkový plánovaný počet soudců v ČR prakticky neměnný (3 062 nebo 3 063) a soudci byli „pouze“ přerozdělováni mezi jednotlivé články soudní soustavy. V tomto přerozdělení si můžeme v delší časové řadě povšimnout stabilního trendu od roku 2013. U OS docházelo k mírnému postupnému snižování počtu plánovaných soudců (1 817 v roce 2013 vs. 1 761 v roce 2018), u KS naopak k postupnému zvyšování plánovaného počtu soudců (1 001 v roce 2013 vs. 1 057 v roce 2018). V roce 2019 se trend u KS zastavil a došlo k poklesu. V roce 2020 pokračoval trend nastavený v roce 2019. Všechny výše diskutované změny jsou ale marginální. V roce 2021 vidíme značný pokles v plánovaném počtu soudců – jde o citelnější pokles než u soudů okresních, a to především procentuálně, neboť celkový plánovaný počet soudců je u krajských soudů nižší než u soudů okresních.</w:t>
      </w:r>
      <w:r w:rsidR="00F04E59" w:rsidRPr="00F15667">
        <w:t xml:space="preserve"> V roce 2022 plánovaný počet soudců vzrostl a byl opět vyšší než počet evidenční. Nicméně, plánovaný počet je stále nižší, než </w:t>
      </w:r>
      <w:r w:rsidR="000B331D" w:rsidRPr="00F15667">
        <w:t xml:space="preserve">byl </w:t>
      </w:r>
      <w:r w:rsidR="00F04E59" w:rsidRPr="00F15667">
        <w:t>do roku 2020.</w:t>
      </w:r>
    </w:p>
    <w:p w14:paraId="11419278" w14:textId="5179F26D" w:rsidR="00DF4D03" w:rsidRPr="00F15667" w:rsidRDefault="00DF4D03" w:rsidP="00DF4D03">
      <w:pPr>
        <w:pStyle w:val="Podnadpis"/>
        <w:rPr>
          <w:color w:val="auto"/>
        </w:rPr>
      </w:pPr>
      <w:bookmarkStart w:id="542" w:name="_Ref512499826"/>
      <w:bookmarkStart w:id="543" w:name="_Toc515871376"/>
      <w:bookmarkStart w:id="544" w:name="_Toc11135107"/>
      <w:bookmarkStart w:id="545" w:name="_Toc43841426"/>
      <w:bookmarkStart w:id="546" w:name="_Toc75952230"/>
      <w:bookmarkStart w:id="547" w:name="_Toc106106686"/>
      <w:bookmarkStart w:id="548" w:name="_Toc109802010"/>
      <w:bookmarkStart w:id="549" w:name="_Toc144104160"/>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48</w:t>
      </w:r>
      <w:r w:rsidR="009A10E2" w:rsidRPr="00F15667">
        <w:rPr>
          <w:color w:val="auto"/>
        </w:rPr>
        <w:fldChar w:fldCharType="end"/>
      </w:r>
      <w:bookmarkEnd w:id="542"/>
      <w:r w:rsidRPr="00F15667">
        <w:rPr>
          <w:color w:val="auto"/>
        </w:rPr>
        <w:t>: KS – počet soudců v letech 2008–20</w:t>
      </w:r>
      <w:bookmarkEnd w:id="543"/>
      <w:bookmarkEnd w:id="544"/>
      <w:bookmarkEnd w:id="545"/>
      <w:r w:rsidRPr="00F15667">
        <w:rPr>
          <w:color w:val="auto"/>
        </w:rPr>
        <w:t>2</w:t>
      </w:r>
      <w:bookmarkEnd w:id="546"/>
      <w:bookmarkEnd w:id="547"/>
      <w:bookmarkEnd w:id="548"/>
      <w:r w:rsidRPr="00F15667">
        <w:rPr>
          <w:color w:val="auto"/>
        </w:rPr>
        <w:t>2</w:t>
      </w:r>
      <w:bookmarkEnd w:id="549"/>
    </w:p>
    <w:p w14:paraId="3B2B2692" w14:textId="7A8CF0F0" w:rsidR="00DF4D03" w:rsidRPr="00F15667" w:rsidRDefault="00F04E59" w:rsidP="00BD4804">
      <w:pPr>
        <w:pStyle w:val="OdstavecASR"/>
      </w:pPr>
      <w:r w:rsidRPr="00F15667">
        <w:rPr>
          <w:noProof/>
          <w:lang w:eastAsia="cs-CZ"/>
        </w:rPr>
        <w:drawing>
          <wp:inline distT="0" distB="0" distL="0" distR="0" wp14:anchorId="48314D2A" wp14:editId="32504A2A">
            <wp:extent cx="5029200" cy="3657600"/>
            <wp:effectExtent l="0" t="0" r="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501089F" w14:textId="6D6C9B41" w:rsidR="00F04E59" w:rsidRPr="00F15667" w:rsidRDefault="00F04E59" w:rsidP="00F04E59">
      <w:pPr>
        <w:pStyle w:val="OdstavecASR"/>
      </w:pPr>
      <w:r w:rsidRPr="00F15667">
        <w:t xml:space="preserve">I přes určité změny v plánovaném počtu soudců v posledních letech zůstává evidenční počet soudců KS stabilní. Až do roku 2020 byl ale dlouhodobě nižší než plánovaný počet soudců </w:t>
      </w:r>
      <w:r w:rsidR="00BD4804">
        <w:br/>
      </w:r>
      <w:r w:rsidRPr="00F15667">
        <w:t xml:space="preserve">(-7 % v roce 2020). U OS je evidenční počet soudců oproti plánovanému dlouhodobě vyšší a zdá se tedy, že předsedové krajských soudů dlouhodobě „dotují“ okresní soudy na úkor svých soudů. </w:t>
      </w:r>
      <w:r w:rsidRPr="00F15667">
        <w:lastRenderedPageBreak/>
        <w:t>Situace je nicméně složitější, protože určitý počet soudců z okresních soudů působí na přechodnou dobu v rámci stáží na soudech krajských.</w:t>
      </w:r>
    </w:p>
    <w:p w14:paraId="4B3228A1" w14:textId="77777777" w:rsidR="00F04E59" w:rsidRPr="00F15667" w:rsidRDefault="00F04E59" w:rsidP="00F04E59">
      <w:pPr>
        <w:pStyle w:val="OdstavecASR"/>
      </w:pPr>
      <w:r w:rsidRPr="00F15667">
        <w:t>Počet soudkyň a soudců na MD/RD zde neuvádíme. U KS obvykle působí starší soudkyně a soudci než u soudů okresních a počet soudkyň a soudců na MD/RD je tedy velmi nízký.</w:t>
      </w:r>
    </w:p>
    <w:p w14:paraId="5E4D8147" w14:textId="429D481C" w:rsidR="00F04E59" w:rsidRPr="00F15667" w:rsidRDefault="00F04E59" w:rsidP="00F04E59">
      <w:pPr>
        <w:pStyle w:val="Podnadpis"/>
        <w:rPr>
          <w:color w:val="auto"/>
        </w:rPr>
      </w:pPr>
      <w:bookmarkStart w:id="550" w:name="_Ref513289709"/>
      <w:bookmarkStart w:id="551" w:name="_Toc515871377"/>
      <w:bookmarkStart w:id="552" w:name="_Toc11135108"/>
      <w:bookmarkStart w:id="553" w:name="_Toc43841427"/>
      <w:bookmarkStart w:id="554" w:name="_Toc75952231"/>
      <w:bookmarkStart w:id="555" w:name="_Toc106106687"/>
      <w:bookmarkStart w:id="556" w:name="_Toc109802011"/>
      <w:bookmarkStart w:id="557" w:name="_Toc144104161"/>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49</w:t>
      </w:r>
      <w:r w:rsidR="009A10E2" w:rsidRPr="00F15667">
        <w:rPr>
          <w:color w:val="auto"/>
        </w:rPr>
        <w:fldChar w:fldCharType="end"/>
      </w:r>
      <w:bookmarkEnd w:id="550"/>
      <w:r w:rsidRPr="00F15667">
        <w:rPr>
          <w:color w:val="auto"/>
        </w:rPr>
        <w:t>: KS – evidenční počet soudců dle soudních úseků v letech 2008–20</w:t>
      </w:r>
      <w:bookmarkEnd w:id="551"/>
      <w:bookmarkEnd w:id="552"/>
      <w:bookmarkEnd w:id="553"/>
      <w:r w:rsidRPr="00F15667">
        <w:rPr>
          <w:color w:val="auto"/>
        </w:rPr>
        <w:t>2</w:t>
      </w:r>
      <w:bookmarkEnd w:id="554"/>
      <w:bookmarkEnd w:id="555"/>
      <w:bookmarkEnd w:id="556"/>
      <w:r w:rsidRPr="00F15667">
        <w:rPr>
          <w:color w:val="auto"/>
        </w:rPr>
        <w:t>2</w:t>
      </w:r>
      <w:bookmarkEnd w:id="557"/>
    </w:p>
    <w:p w14:paraId="5CEC0177" w14:textId="17C42DFE" w:rsidR="00F04E59" w:rsidRPr="00F15667" w:rsidRDefault="00F04E59" w:rsidP="00BD4804">
      <w:pPr>
        <w:pStyle w:val="OdstavecASR"/>
      </w:pPr>
      <w:r w:rsidRPr="00F15667">
        <w:rPr>
          <w:noProof/>
          <w:lang w:eastAsia="cs-CZ"/>
        </w:rPr>
        <w:drawing>
          <wp:inline distT="0" distB="0" distL="0" distR="0" wp14:anchorId="162E694B" wp14:editId="52D74A5B">
            <wp:extent cx="5029200" cy="3657600"/>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73BB0EA" w14:textId="528D3A75" w:rsidR="00F04E59" w:rsidRDefault="00F04E59" w:rsidP="00F04E59">
      <w:pPr>
        <w:pStyle w:val="OdstavecASR"/>
      </w:pPr>
      <w:r w:rsidRPr="00F15667">
        <w:t>Další graf zachycuje evidenční počet soudců KS dle jednotlivých úseků. V roce 2021 byl civilní a obchodní úsek téměř třikrát větší než trestní úsek. Správní úsek byl asi dvakrát menší než úsek trestní. Poměr velikostí úseků je poměrně stabilní. V posledních letech nicméně vidíme citelný nárůst v počtu soudců správního úseku z 88 v roce 2018 na 119 v roce 2022. Jde o reakci na problematickou situaci na správním úseku (viz kapitola 3.6 o správním soudnictví). Naopak</w:t>
      </w:r>
      <w:r w:rsidR="000B331D" w:rsidRPr="00F15667">
        <w:t xml:space="preserve"> v roce 2022 </w:t>
      </w:r>
      <w:r w:rsidRPr="00F15667">
        <w:t>ubyli soudci na civilním úseku výrazněji než v letech předchozích.</w:t>
      </w:r>
    </w:p>
    <w:p w14:paraId="0F0881FC" w14:textId="546F4E1A" w:rsidR="00BD4804" w:rsidRDefault="00BD4804">
      <w:pPr>
        <w:spacing w:after="160" w:line="259" w:lineRule="auto"/>
        <w:jc w:val="left"/>
      </w:pPr>
      <w:r>
        <w:br w:type="page"/>
      </w:r>
    </w:p>
    <w:p w14:paraId="060FDFB3" w14:textId="7637E069" w:rsidR="00F04E59" w:rsidRPr="00F15667" w:rsidRDefault="00F04E59" w:rsidP="00F04E59">
      <w:pPr>
        <w:pStyle w:val="Podnadpis"/>
        <w:rPr>
          <w:color w:val="auto"/>
        </w:rPr>
      </w:pPr>
      <w:bookmarkStart w:id="558" w:name="_Toc75952339"/>
      <w:bookmarkStart w:id="559" w:name="_Toc106106797"/>
      <w:bookmarkStart w:id="560" w:name="_Toc109802120"/>
      <w:bookmarkStart w:id="561" w:name="_Toc144104277"/>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38</w:t>
      </w:r>
      <w:r w:rsidRPr="00F15667">
        <w:rPr>
          <w:noProof/>
          <w:color w:val="auto"/>
        </w:rPr>
        <w:fldChar w:fldCharType="end"/>
      </w:r>
      <w:r w:rsidRPr="00F15667">
        <w:rPr>
          <w:color w:val="auto"/>
        </w:rPr>
        <w:t>: KS – počet soudců dle soudů</w:t>
      </w:r>
      <w:bookmarkEnd w:id="558"/>
      <w:bookmarkEnd w:id="559"/>
      <w:bookmarkEnd w:id="560"/>
      <w:bookmarkEnd w:id="561"/>
    </w:p>
    <w:tbl>
      <w:tblPr>
        <w:tblW w:w="9194" w:type="dxa"/>
        <w:tblLayout w:type="fixed"/>
        <w:tblCellMar>
          <w:left w:w="70" w:type="dxa"/>
          <w:right w:w="70" w:type="dxa"/>
        </w:tblCellMar>
        <w:tblLook w:val="04A0" w:firstRow="1" w:lastRow="0" w:firstColumn="1" w:lastColumn="0" w:noHBand="0" w:noVBand="1"/>
      </w:tblPr>
      <w:tblGrid>
        <w:gridCol w:w="2000"/>
        <w:gridCol w:w="1402"/>
        <w:gridCol w:w="1446"/>
        <w:gridCol w:w="1446"/>
        <w:gridCol w:w="1446"/>
        <w:gridCol w:w="1447"/>
        <w:gridCol w:w="7"/>
      </w:tblGrid>
      <w:tr w:rsidR="00F15667" w:rsidRPr="00F15667" w14:paraId="083935D8" w14:textId="77777777" w:rsidTr="00BD4804">
        <w:trPr>
          <w:trHeight w:val="330"/>
        </w:trPr>
        <w:tc>
          <w:tcPr>
            <w:tcW w:w="2000" w:type="dxa"/>
            <w:vMerge w:val="restart"/>
            <w:tcBorders>
              <w:top w:val="double" w:sz="6" w:space="0" w:color="auto"/>
              <w:left w:val="nil"/>
              <w:bottom w:val="double" w:sz="6" w:space="0" w:color="000000"/>
              <w:right w:val="nil"/>
            </w:tcBorders>
            <w:shd w:val="clear" w:color="auto" w:fill="auto"/>
            <w:noWrap/>
            <w:vAlign w:val="center"/>
            <w:hideMark/>
          </w:tcPr>
          <w:p w14:paraId="4F3F622E"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1402" w:type="dxa"/>
            <w:vMerge w:val="restart"/>
            <w:tcBorders>
              <w:top w:val="double" w:sz="6" w:space="0" w:color="auto"/>
              <w:left w:val="nil"/>
              <w:bottom w:val="double" w:sz="6" w:space="0" w:color="000000"/>
              <w:right w:val="nil"/>
            </w:tcBorders>
            <w:shd w:val="clear" w:color="auto" w:fill="auto"/>
            <w:vAlign w:val="center"/>
            <w:hideMark/>
          </w:tcPr>
          <w:p w14:paraId="4DA66822"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Plánovaný počet soudců</w:t>
            </w:r>
          </w:p>
        </w:tc>
        <w:tc>
          <w:tcPr>
            <w:tcW w:w="5792" w:type="dxa"/>
            <w:gridSpan w:val="5"/>
            <w:tcBorders>
              <w:top w:val="double" w:sz="6" w:space="0" w:color="auto"/>
              <w:left w:val="nil"/>
              <w:bottom w:val="nil"/>
              <w:right w:val="nil"/>
            </w:tcBorders>
            <w:shd w:val="clear" w:color="auto" w:fill="auto"/>
            <w:noWrap/>
            <w:vAlign w:val="center"/>
            <w:hideMark/>
          </w:tcPr>
          <w:p w14:paraId="03F5D000"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Evidenční počet soudců</w:t>
            </w:r>
          </w:p>
        </w:tc>
      </w:tr>
      <w:tr w:rsidR="00F15667" w:rsidRPr="00F15667" w14:paraId="1C506C69" w14:textId="77777777" w:rsidTr="00BD4804">
        <w:trPr>
          <w:gridAfter w:val="1"/>
          <w:wAfter w:w="7" w:type="dxa"/>
          <w:trHeight w:val="645"/>
        </w:trPr>
        <w:tc>
          <w:tcPr>
            <w:tcW w:w="2000" w:type="dxa"/>
            <w:vMerge/>
            <w:tcBorders>
              <w:top w:val="double" w:sz="6" w:space="0" w:color="auto"/>
              <w:left w:val="nil"/>
              <w:bottom w:val="double" w:sz="6" w:space="0" w:color="000000"/>
              <w:right w:val="nil"/>
            </w:tcBorders>
            <w:vAlign w:val="center"/>
            <w:hideMark/>
          </w:tcPr>
          <w:p w14:paraId="15D34888" w14:textId="77777777" w:rsidR="00F04E59" w:rsidRPr="00F15667" w:rsidRDefault="00F04E59" w:rsidP="00BD4804">
            <w:pPr>
              <w:spacing w:line="240" w:lineRule="auto"/>
              <w:jc w:val="center"/>
              <w:rPr>
                <w:rFonts w:eastAsia="Times New Roman"/>
                <w:b/>
                <w:bCs/>
                <w:szCs w:val="24"/>
                <w:lang w:eastAsia="cs-CZ"/>
              </w:rPr>
            </w:pPr>
          </w:p>
        </w:tc>
        <w:tc>
          <w:tcPr>
            <w:tcW w:w="1402" w:type="dxa"/>
            <w:vMerge/>
            <w:tcBorders>
              <w:top w:val="double" w:sz="6" w:space="0" w:color="auto"/>
              <w:left w:val="nil"/>
              <w:bottom w:val="double" w:sz="6" w:space="0" w:color="000000"/>
              <w:right w:val="nil"/>
            </w:tcBorders>
            <w:vAlign w:val="center"/>
            <w:hideMark/>
          </w:tcPr>
          <w:p w14:paraId="6592518F" w14:textId="77777777" w:rsidR="00F04E59" w:rsidRPr="00F15667" w:rsidRDefault="00F04E59" w:rsidP="00BD4804">
            <w:pPr>
              <w:spacing w:line="240" w:lineRule="auto"/>
              <w:jc w:val="center"/>
              <w:rPr>
                <w:rFonts w:eastAsia="Times New Roman"/>
                <w:b/>
                <w:bCs/>
                <w:szCs w:val="24"/>
                <w:lang w:eastAsia="cs-CZ"/>
              </w:rPr>
            </w:pPr>
          </w:p>
        </w:tc>
        <w:tc>
          <w:tcPr>
            <w:tcW w:w="1446" w:type="dxa"/>
            <w:tcBorders>
              <w:top w:val="nil"/>
              <w:left w:val="nil"/>
              <w:bottom w:val="double" w:sz="6" w:space="0" w:color="auto"/>
              <w:right w:val="nil"/>
            </w:tcBorders>
            <w:shd w:val="clear" w:color="auto" w:fill="auto"/>
            <w:vAlign w:val="center"/>
            <w:hideMark/>
          </w:tcPr>
          <w:p w14:paraId="394FD815"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Civ. + obch. úsek</w:t>
            </w:r>
          </w:p>
        </w:tc>
        <w:tc>
          <w:tcPr>
            <w:tcW w:w="1446" w:type="dxa"/>
            <w:tcBorders>
              <w:top w:val="nil"/>
              <w:left w:val="nil"/>
              <w:bottom w:val="double" w:sz="6" w:space="0" w:color="auto"/>
              <w:right w:val="nil"/>
            </w:tcBorders>
            <w:shd w:val="clear" w:color="auto" w:fill="auto"/>
            <w:noWrap/>
            <w:vAlign w:val="center"/>
            <w:hideMark/>
          </w:tcPr>
          <w:p w14:paraId="47215E24"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Trestní úsek</w:t>
            </w:r>
          </w:p>
        </w:tc>
        <w:tc>
          <w:tcPr>
            <w:tcW w:w="1446" w:type="dxa"/>
            <w:tcBorders>
              <w:top w:val="nil"/>
              <w:left w:val="nil"/>
              <w:bottom w:val="double" w:sz="6" w:space="0" w:color="auto"/>
              <w:right w:val="nil"/>
            </w:tcBorders>
            <w:shd w:val="clear" w:color="auto" w:fill="auto"/>
            <w:noWrap/>
            <w:vAlign w:val="center"/>
            <w:hideMark/>
          </w:tcPr>
          <w:p w14:paraId="662573FA"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Správní úsek</w:t>
            </w:r>
          </w:p>
        </w:tc>
        <w:tc>
          <w:tcPr>
            <w:tcW w:w="1447" w:type="dxa"/>
            <w:tcBorders>
              <w:top w:val="nil"/>
              <w:left w:val="nil"/>
              <w:bottom w:val="double" w:sz="6" w:space="0" w:color="auto"/>
              <w:right w:val="nil"/>
            </w:tcBorders>
            <w:shd w:val="clear" w:color="auto" w:fill="auto"/>
            <w:noWrap/>
            <w:vAlign w:val="center"/>
            <w:hideMark/>
          </w:tcPr>
          <w:p w14:paraId="45DF230C"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Celkem</w:t>
            </w:r>
          </w:p>
        </w:tc>
      </w:tr>
      <w:tr w:rsidR="00F15667" w:rsidRPr="00F15667" w14:paraId="1FC582C3" w14:textId="77777777" w:rsidTr="00BD4804">
        <w:trPr>
          <w:gridAfter w:val="1"/>
          <w:wAfter w:w="7" w:type="dxa"/>
          <w:trHeight w:val="330"/>
        </w:trPr>
        <w:tc>
          <w:tcPr>
            <w:tcW w:w="2000" w:type="dxa"/>
            <w:tcBorders>
              <w:top w:val="single" w:sz="4" w:space="0" w:color="auto"/>
              <w:left w:val="nil"/>
              <w:bottom w:val="single" w:sz="4" w:space="0" w:color="auto"/>
              <w:right w:val="nil"/>
            </w:tcBorders>
            <w:shd w:val="clear" w:color="auto" w:fill="auto"/>
            <w:noWrap/>
            <w:vAlign w:val="center"/>
            <w:hideMark/>
          </w:tcPr>
          <w:p w14:paraId="545BC4F2" w14:textId="77777777" w:rsidR="00F04E59" w:rsidRPr="00F15667" w:rsidRDefault="00F04E59" w:rsidP="00BD4804">
            <w:pPr>
              <w:spacing w:line="240" w:lineRule="auto"/>
              <w:jc w:val="left"/>
              <w:rPr>
                <w:rFonts w:eastAsia="Times New Roman"/>
                <w:szCs w:val="24"/>
                <w:lang w:eastAsia="cs-CZ"/>
              </w:rPr>
            </w:pPr>
            <w:r w:rsidRPr="00F15667">
              <w:rPr>
                <w:rFonts w:eastAsia="Times New Roman"/>
                <w:szCs w:val="24"/>
                <w:lang w:eastAsia="cs-CZ"/>
              </w:rPr>
              <w:t>MS Praha</w:t>
            </w:r>
          </w:p>
        </w:tc>
        <w:tc>
          <w:tcPr>
            <w:tcW w:w="1402" w:type="dxa"/>
            <w:tcBorders>
              <w:top w:val="single" w:sz="4" w:space="0" w:color="auto"/>
              <w:left w:val="nil"/>
              <w:bottom w:val="single" w:sz="4" w:space="0" w:color="auto"/>
              <w:right w:val="nil"/>
            </w:tcBorders>
            <w:shd w:val="clear" w:color="auto" w:fill="auto"/>
            <w:noWrap/>
            <w:vAlign w:val="center"/>
            <w:hideMark/>
          </w:tcPr>
          <w:p w14:paraId="5F9F58B8"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233</w:t>
            </w:r>
          </w:p>
        </w:tc>
        <w:tc>
          <w:tcPr>
            <w:tcW w:w="1446" w:type="dxa"/>
            <w:tcBorders>
              <w:top w:val="single" w:sz="4" w:space="0" w:color="auto"/>
              <w:left w:val="nil"/>
              <w:bottom w:val="single" w:sz="4" w:space="0" w:color="auto"/>
              <w:right w:val="nil"/>
            </w:tcBorders>
            <w:shd w:val="clear" w:color="auto" w:fill="auto"/>
            <w:noWrap/>
            <w:vAlign w:val="center"/>
            <w:hideMark/>
          </w:tcPr>
          <w:p w14:paraId="7F1B7EC1"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137</w:t>
            </w:r>
          </w:p>
        </w:tc>
        <w:tc>
          <w:tcPr>
            <w:tcW w:w="1446" w:type="dxa"/>
            <w:tcBorders>
              <w:top w:val="single" w:sz="4" w:space="0" w:color="auto"/>
              <w:left w:val="nil"/>
              <w:bottom w:val="single" w:sz="4" w:space="0" w:color="auto"/>
              <w:right w:val="nil"/>
            </w:tcBorders>
            <w:shd w:val="clear" w:color="auto" w:fill="auto"/>
            <w:noWrap/>
            <w:vAlign w:val="center"/>
            <w:hideMark/>
          </w:tcPr>
          <w:p w14:paraId="5CDAB23D"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39</w:t>
            </w:r>
          </w:p>
        </w:tc>
        <w:tc>
          <w:tcPr>
            <w:tcW w:w="1446" w:type="dxa"/>
            <w:tcBorders>
              <w:top w:val="single" w:sz="4" w:space="0" w:color="auto"/>
              <w:left w:val="nil"/>
              <w:bottom w:val="single" w:sz="4" w:space="0" w:color="auto"/>
              <w:right w:val="nil"/>
            </w:tcBorders>
            <w:shd w:val="clear" w:color="auto" w:fill="auto"/>
            <w:noWrap/>
            <w:vAlign w:val="center"/>
            <w:hideMark/>
          </w:tcPr>
          <w:p w14:paraId="4CF4BF60"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38</w:t>
            </w:r>
          </w:p>
        </w:tc>
        <w:tc>
          <w:tcPr>
            <w:tcW w:w="1447" w:type="dxa"/>
            <w:tcBorders>
              <w:top w:val="single" w:sz="4" w:space="0" w:color="auto"/>
              <w:left w:val="nil"/>
              <w:bottom w:val="single" w:sz="4" w:space="0" w:color="auto"/>
              <w:right w:val="nil"/>
            </w:tcBorders>
            <w:shd w:val="clear" w:color="auto" w:fill="auto"/>
            <w:noWrap/>
            <w:vAlign w:val="center"/>
            <w:hideMark/>
          </w:tcPr>
          <w:p w14:paraId="645EB152"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214</w:t>
            </w:r>
          </w:p>
        </w:tc>
      </w:tr>
      <w:tr w:rsidR="00F15667" w:rsidRPr="00F15667" w14:paraId="7B22B893" w14:textId="77777777" w:rsidTr="00BD4804">
        <w:trPr>
          <w:gridAfter w:val="1"/>
          <w:wAfter w:w="7" w:type="dxa"/>
          <w:trHeight w:val="315"/>
        </w:trPr>
        <w:tc>
          <w:tcPr>
            <w:tcW w:w="2000" w:type="dxa"/>
            <w:tcBorders>
              <w:top w:val="nil"/>
              <w:left w:val="nil"/>
              <w:bottom w:val="single" w:sz="4" w:space="0" w:color="auto"/>
              <w:right w:val="nil"/>
            </w:tcBorders>
            <w:shd w:val="clear" w:color="auto" w:fill="auto"/>
            <w:noWrap/>
            <w:vAlign w:val="center"/>
            <w:hideMark/>
          </w:tcPr>
          <w:p w14:paraId="773642DC" w14:textId="77777777" w:rsidR="00F04E59" w:rsidRPr="00F15667" w:rsidRDefault="00F04E59" w:rsidP="00BD4804">
            <w:pPr>
              <w:spacing w:line="240" w:lineRule="auto"/>
              <w:jc w:val="left"/>
              <w:rPr>
                <w:rFonts w:eastAsia="Times New Roman"/>
                <w:szCs w:val="24"/>
                <w:lang w:eastAsia="cs-CZ"/>
              </w:rPr>
            </w:pPr>
            <w:r w:rsidRPr="00F15667">
              <w:rPr>
                <w:rFonts w:eastAsia="Times New Roman"/>
                <w:szCs w:val="24"/>
                <w:lang w:eastAsia="cs-CZ"/>
              </w:rPr>
              <w:t>KS Praha</w:t>
            </w:r>
          </w:p>
        </w:tc>
        <w:tc>
          <w:tcPr>
            <w:tcW w:w="1402" w:type="dxa"/>
            <w:tcBorders>
              <w:top w:val="nil"/>
              <w:left w:val="nil"/>
              <w:bottom w:val="single" w:sz="4" w:space="0" w:color="auto"/>
              <w:right w:val="nil"/>
            </w:tcBorders>
            <w:shd w:val="clear" w:color="auto" w:fill="auto"/>
            <w:noWrap/>
            <w:vAlign w:val="center"/>
            <w:hideMark/>
          </w:tcPr>
          <w:p w14:paraId="77AFF1D2"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94</w:t>
            </w:r>
          </w:p>
        </w:tc>
        <w:tc>
          <w:tcPr>
            <w:tcW w:w="1446" w:type="dxa"/>
            <w:tcBorders>
              <w:top w:val="nil"/>
              <w:left w:val="nil"/>
              <w:bottom w:val="single" w:sz="4" w:space="0" w:color="auto"/>
              <w:right w:val="nil"/>
            </w:tcBorders>
            <w:shd w:val="clear" w:color="auto" w:fill="auto"/>
            <w:noWrap/>
            <w:vAlign w:val="center"/>
            <w:hideMark/>
          </w:tcPr>
          <w:p w14:paraId="33DD07E4"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66</w:t>
            </w:r>
          </w:p>
        </w:tc>
        <w:tc>
          <w:tcPr>
            <w:tcW w:w="1446" w:type="dxa"/>
            <w:tcBorders>
              <w:top w:val="nil"/>
              <w:left w:val="nil"/>
              <w:bottom w:val="single" w:sz="4" w:space="0" w:color="auto"/>
              <w:right w:val="nil"/>
            </w:tcBorders>
            <w:shd w:val="clear" w:color="auto" w:fill="auto"/>
            <w:noWrap/>
            <w:vAlign w:val="center"/>
            <w:hideMark/>
          </w:tcPr>
          <w:p w14:paraId="41848062"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24</w:t>
            </w:r>
          </w:p>
        </w:tc>
        <w:tc>
          <w:tcPr>
            <w:tcW w:w="1446" w:type="dxa"/>
            <w:tcBorders>
              <w:top w:val="nil"/>
              <w:left w:val="nil"/>
              <w:bottom w:val="single" w:sz="4" w:space="0" w:color="auto"/>
              <w:right w:val="nil"/>
            </w:tcBorders>
            <w:shd w:val="clear" w:color="auto" w:fill="auto"/>
            <w:noWrap/>
            <w:vAlign w:val="center"/>
            <w:hideMark/>
          </w:tcPr>
          <w:p w14:paraId="133DFF2E"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12</w:t>
            </w:r>
          </w:p>
        </w:tc>
        <w:tc>
          <w:tcPr>
            <w:tcW w:w="1447" w:type="dxa"/>
            <w:tcBorders>
              <w:top w:val="nil"/>
              <w:left w:val="nil"/>
              <w:bottom w:val="single" w:sz="4" w:space="0" w:color="auto"/>
              <w:right w:val="nil"/>
            </w:tcBorders>
            <w:shd w:val="clear" w:color="auto" w:fill="auto"/>
            <w:noWrap/>
            <w:vAlign w:val="center"/>
            <w:hideMark/>
          </w:tcPr>
          <w:p w14:paraId="4C733771"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102</w:t>
            </w:r>
          </w:p>
        </w:tc>
      </w:tr>
      <w:tr w:rsidR="00F15667" w:rsidRPr="00F15667" w14:paraId="2D0895DE" w14:textId="77777777" w:rsidTr="00BD4804">
        <w:trPr>
          <w:gridAfter w:val="1"/>
          <w:wAfter w:w="7" w:type="dxa"/>
          <w:trHeight w:val="315"/>
        </w:trPr>
        <w:tc>
          <w:tcPr>
            <w:tcW w:w="2000" w:type="dxa"/>
            <w:tcBorders>
              <w:top w:val="nil"/>
              <w:left w:val="nil"/>
              <w:bottom w:val="single" w:sz="4" w:space="0" w:color="auto"/>
              <w:right w:val="nil"/>
            </w:tcBorders>
            <w:shd w:val="clear" w:color="auto" w:fill="auto"/>
            <w:noWrap/>
            <w:vAlign w:val="center"/>
            <w:hideMark/>
          </w:tcPr>
          <w:p w14:paraId="7E0FC706" w14:textId="77777777" w:rsidR="00F04E59" w:rsidRPr="00F15667" w:rsidRDefault="00F04E59" w:rsidP="00BD4804">
            <w:pPr>
              <w:spacing w:line="240" w:lineRule="auto"/>
              <w:jc w:val="left"/>
              <w:rPr>
                <w:rFonts w:eastAsia="Times New Roman"/>
                <w:szCs w:val="24"/>
                <w:lang w:eastAsia="cs-CZ"/>
              </w:rPr>
            </w:pPr>
            <w:r w:rsidRPr="00F15667">
              <w:rPr>
                <w:rFonts w:eastAsia="Times New Roman"/>
                <w:szCs w:val="24"/>
                <w:lang w:eastAsia="cs-CZ"/>
              </w:rPr>
              <w:t>KS Č. Budějovice</w:t>
            </w:r>
          </w:p>
        </w:tc>
        <w:tc>
          <w:tcPr>
            <w:tcW w:w="1402" w:type="dxa"/>
            <w:tcBorders>
              <w:top w:val="nil"/>
              <w:left w:val="nil"/>
              <w:bottom w:val="single" w:sz="4" w:space="0" w:color="auto"/>
              <w:right w:val="nil"/>
            </w:tcBorders>
            <w:shd w:val="clear" w:color="auto" w:fill="auto"/>
            <w:noWrap/>
            <w:vAlign w:val="center"/>
            <w:hideMark/>
          </w:tcPr>
          <w:p w14:paraId="3E53397A"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43</w:t>
            </w:r>
          </w:p>
        </w:tc>
        <w:tc>
          <w:tcPr>
            <w:tcW w:w="1446" w:type="dxa"/>
            <w:tcBorders>
              <w:top w:val="nil"/>
              <w:left w:val="nil"/>
              <w:bottom w:val="single" w:sz="4" w:space="0" w:color="auto"/>
              <w:right w:val="nil"/>
            </w:tcBorders>
            <w:shd w:val="clear" w:color="auto" w:fill="auto"/>
            <w:noWrap/>
            <w:vAlign w:val="center"/>
            <w:hideMark/>
          </w:tcPr>
          <w:p w14:paraId="19D0C062"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32</w:t>
            </w:r>
          </w:p>
        </w:tc>
        <w:tc>
          <w:tcPr>
            <w:tcW w:w="1446" w:type="dxa"/>
            <w:tcBorders>
              <w:top w:val="nil"/>
              <w:left w:val="nil"/>
              <w:bottom w:val="single" w:sz="4" w:space="0" w:color="auto"/>
              <w:right w:val="nil"/>
            </w:tcBorders>
            <w:shd w:val="clear" w:color="auto" w:fill="auto"/>
            <w:noWrap/>
            <w:vAlign w:val="center"/>
            <w:hideMark/>
          </w:tcPr>
          <w:p w14:paraId="787138E1"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16</w:t>
            </w:r>
          </w:p>
        </w:tc>
        <w:tc>
          <w:tcPr>
            <w:tcW w:w="1446" w:type="dxa"/>
            <w:tcBorders>
              <w:top w:val="nil"/>
              <w:left w:val="nil"/>
              <w:bottom w:val="single" w:sz="4" w:space="0" w:color="auto"/>
              <w:right w:val="nil"/>
            </w:tcBorders>
            <w:shd w:val="clear" w:color="auto" w:fill="auto"/>
            <w:noWrap/>
            <w:vAlign w:val="center"/>
            <w:hideMark/>
          </w:tcPr>
          <w:p w14:paraId="2AA0024E"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5</w:t>
            </w:r>
          </w:p>
        </w:tc>
        <w:tc>
          <w:tcPr>
            <w:tcW w:w="1447" w:type="dxa"/>
            <w:tcBorders>
              <w:top w:val="nil"/>
              <w:left w:val="nil"/>
              <w:bottom w:val="single" w:sz="4" w:space="0" w:color="auto"/>
              <w:right w:val="nil"/>
            </w:tcBorders>
            <w:shd w:val="clear" w:color="auto" w:fill="auto"/>
            <w:noWrap/>
            <w:vAlign w:val="center"/>
            <w:hideMark/>
          </w:tcPr>
          <w:p w14:paraId="578539D5"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53</w:t>
            </w:r>
          </w:p>
        </w:tc>
      </w:tr>
      <w:tr w:rsidR="00F15667" w:rsidRPr="00F15667" w14:paraId="6EF49C91" w14:textId="77777777" w:rsidTr="00BD4804">
        <w:trPr>
          <w:gridAfter w:val="1"/>
          <w:wAfter w:w="7" w:type="dxa"/>
          <w:trHeight w:val="315"/>
        </w:trPr>
        <w:tc>
          <w:tcPr>
            <w:tcW w:w="2000" w:type="dxa"/>
            <w:tcBorders>
              <w:top w:val="nil"/>
              <w:left w:val="nil"/>
              <w:bottom w:val="single" w:sz="4" w:space="0" w:color="auto"/>
              <w:right w:val="nil"/>
            </w:tcBorders>
            <w:shd w:val="clear" w:color="auto" w:fill="auto"/>
            <w:noWrap/>
            <w:vAlign w:val="center"/>
            <w:hideMark/>
          </w:tcPr>
          <w:p w14:paraId="3D6A384B" w14:textId="77777777" w:rsidR="00F04E59" w:rsidRPr="00F15667" w:rsidRDefault="00F04E59" w:rsidP="00BD4804">
            <w:pPr>
              <w:spacing w:line="240" w:lineRule="auto"/>
              <w:jc w:val="left"/>
              <w:rPr>
                <w:rFonts w:eastAsia="Times New Roman"/>
                <w:szCs w:val="24"/>
                <w:lang w:eastAsia="cs-CZ"/>
              </w:rPr>
            </w:pPr>
            <w:r w:rsidRPr="00F15667">
              <w:rPr>
                <w:rFonts w:eastAsia="Times New Roman"/>
                <w:szCs w:val="24"/>
                <w:lang w:eastAsia="cs-CZ"/>
              </w:rPr>
              <w:t>KS Plzeň</w:t>
            </w:r>
          </w:p>
        </w:tc>
        <w:tc>
          <w:tcPr>
            <w:tcW w:w="1402" w:type="dxa"/>
            <w:tcBorders>
              <w:top w:val="nil"/>
              <w:left w:val="nil"/>
              <w:bottom w:val="single" w:sz="4" w:space="0" w:color="auto"/>
              <w:right w:val="nil"/>
            </w:tcBorders>
            <w:shd w:val="clear" w:color="auto" w:fill="auto"/>
            <w:noWrap/>
            <w:vAlign w:val="center"/>
            <w:hideMark/>
          </w:tcPr>
          <w:p w14:paraId="2EFE7C80"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74</w:t>
            </w:r>
          </w:p>
        </w:tc>
        <w:tc>
          <w:tcPr>
            <w:tcW w:w="1446" w:type="dxa"/>
            <w:tcBorders>
              <w:top w:val="nil"/>
              <w:left w:val="nil"/>
              <w:bottom w:val="single" w:sz="4" w:space="0" w:color="auto"/>
              <w:right w:val="nil"/>
            </w:tcBorders>
            <w:shd w:val="clear" w:color="auto" w:fill="auto"/>
            <w:noWrap/>
            <w:vAlign w:val="center"/>
            <w:hideMark/>
          </w:tcPr>
          <w:p w14:paraId="73FAF983"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43</w:t>
            </w:r>
          </w:p>
        </w:tc>
        <w:tc>
          <w:tcPr>
            <w:tcW w:w="1446" w:type="dxa"/>
            <w:tcBorders>
              <w:top w:val="nil"/>
              <w:left w:val="nil"/>
              <w:bottom w:val="single" w:sz="4" w:space="0" w:color="auto"/>
              <w:right w:val="nil"/>
            </w:tcBorders>
            <w:shd w:val="clear" w:color="auto" w:fill="auto"/>
            <w:noWrap/>
            <w:vAlign w:val="center"/>
            <w:hideMark/>
          </w:tcPr>
          <w:p w14:paraId="7E430D93"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22</w:t>
            </w:r>
          </w:p>
        </w:tc>
        <w:tc>
          <w:tcPr>
            <w:tcW w:w="1446" w:type="dxa"/>
            <w:tcBorders>
              <w:top w:val="nil"/>
              <w:left w:val="nil"/>
              <w:bottom w:val="single" w:sz="4" w:space="0" w:color="auto"/>
              <w:right w:val="nil"/>
            </w:tcBorders>
            <w:shd w:val="clear" w:color="auto" w:fill="auto"/>
            <w:noWrap/>
            <w:vAlign w:val="center"/>
            <w:hideMark/>
          </w:tcPr>
          <w:p w14:paraId="6D6CAB53"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10</w:t>
            </w:r>
          </w:p>
        </w:tc>
        <w:tc>
          <w:tcPr>
            <w:tcW w:w="1447" w:type="dxa"/>
            <w:tcBorders>
              <w:top w:val="nil"/>
              <w:left w:val="nil"/>
              <w:bottom w:val="single" w:sz="4" w:space="0" w:color="auto"/>
              <w:right w:val="nil"/>
            </w:tcBorders>
            <w:shd w:val="clear" w:color="auto" w:fill="auto"/>
            <w:noWrap/>
            <w:vAlign w:val="center"/>
            <w:hideMark/>
          </w:tcPr>
          <w:p w14:paraId="7CF570C8"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75</w:t>
            </w:r>
          </w:p>
        </w:tc>
      </w:tr>
      <w:tr w:rsidR="00F15667" w:rsidRPr="00F15667" w14:paraId="39D4A802" w14:textId="77777777" w:rsidTr="00BD4804">
        <w:trPr>
          <w:gridAfter w:val="1"/>
          <w:wAfter w:w="7" w:type="dxa"/>
          <w:trHeight w:val="315"/>
        </w:trPr>
        <w:tc>
          <w:tcPr>
            <w:tcW w:w="2000" w:type="dxa"/>
            <w:tcBorders>
              <w:top w:val="nil"/>
              <w:left w:val="nil"/>
              <w:bottom w:val="single" w:sz="4" w:space="0" w:color="auto"/>
              <w:right w:val="nil"/>
            </w:tcBorders>
            <w:shd w:val="clear" w:color="auto" w:fill="auto"/>
            <w:noWrap/>
            <w:vAlign w:val="center"/>
            <w:hideMark/>
          </w:tcPr>
          <w:p w14:paraId="392766E1" w14:textId="77777777" w:rsidR="00F04E59" w:rsidRPr="00F15667" w:rsidRDefault="00F04E59" w:rsidP="00BD4804">
            <w:pPr>
              <w:spacing w:line="240" w:lineRule="auto"/>
              <w:jc w:val="left"/>
              <w:rPr>
                <w:rFonts w:eastAsia="Times New Roman"/>
                <w:szCs w:val="24"/>
                <w:lang w:eastAsia="cs-CZ"/>
              </w:rPr>
            </w:pPr>
            <w:r w:rsidRPr="00F15667">
              <w:rPr>
                <w:rFonts w:eastAsia="Times New Roman"/>
                <w:szCs w:val="24"/>
                <w:lang w:eastAsia="cs-CZ"/>
              </w:rPr>
              <w:t>KS Ústí n. Labem</w:t>
            </w:r>
          </w:p>
        </w:tc>
        <w:tc>
          <w:tcPr>
            <w:tcW w:w="1402" w:type="dxa"/>
            <w:tcBorders>
              <w:top w:val="nil"/>
              <w:left w:val="nil"/>
              <w:bottom w:val="single" w:sz="4" w:space="0" w:color="auto"/>
              <w:right w:val="nil"/>
            </w:tcBorders>
            <w:shd w:val="clear" w:color="auto" w:fill="auto"/>
            <w:noWrap/>
            <w:vAlign w:val="center"/>
            <w:hideMark/>
          </w:tcPr>
          <w:p w14:paraId="37A2977C"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128</w:t>
            </w:r>
          </w:p>
        </w:tc>
        <w:tc>
          <w:tcPr>
            <w:tcW w:w="1446" w:type="dxa"/>
            <w:tcBorders>
              <w:top w:val="nil"/>
              <w:left w:val="nil"/>
              <w:bottom w:val="single" w:sz="4" w:space="0" w:color="auto"/>
              <w:right w:val="nil"/>
            </w:tcBorders>
            <w:shd w:val="clear" w:color="auto" w:fill="auto"/>
            <w:noWrap/>
            <w:vAlign w:val="center"/>
            <w:hideMark/>
          </w:tcPr>
          <w:p w14:paraId="739A5067"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74</w:t>
            </w:r>
          </w:p>
        </w:tc>
        <w:tc>
          <w:tcPr>
            <w:tcW w:w="1446" w:type="dxa"/>
            <w:tcBorders>
              <w:top w:val="nil"/>
              <w:left w:val="nil"/>
              <w:bottom w:val="single" w:sz="4" w:space="0" w:color="auto"/>
              <w:right w:val="nil"/>
            </w:tcBorders>
            <w:shd w:val="clear" w:color="auto" w:fill="auto"/>
            <w:noWrap/>
            <w:vAlign w:val="center"/>
            <w:hideMark/>
          </w:tcPr>
          <w:p w14:paraId="020B6FE4"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30</w:t>
            </w:r>
          </w:p>
        </w:tc>
        <w:tc>
          <w:tcPr>
            <w:tcW w:w="1446" w:type="dxa"/>
            <w:tcBorders>
              <w:top w:val="nil"/>
              <w:left w:val="nil"/>
              <w:bottom w:val="single" w:sz="4" w:space="0" w:color="auto"/>
              <w:right w:val="nil"/>
            </w:tcBorders>
            <w:shd w:val="clear" w:color="auto" w:fill="auto"/>
            <w:noWrap/>
            <w:vAlign w:val="center"/>
            <w:hideMark/>
          </w:tcPr>
          <w:p w14:paraId="0BD023AC"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9</w:t>
            </w:r>
          </w:p>
        </w:tc>
        <w:tc>
          <w:tcPr>
            <w:tcW w:w="1447" w:type="dxa"/>
            <w:tcBorders>
              <w:top w:val="nil"/>
              <w:left w:val="nil"/>
              <w:bottom w:val="single" w:sz="4" w:space="0" w:color="auto"/>
              <w:right w:val="nil"/>
            </w:tcBorders>
            <w:shd w:val="clear" w:color="auto" w:fill="auto"/>
            <w:noWrap/>
            <w:vAlign w:val="center"/>
            <w:hideMark/>
          </w:tcPr>
          <w:p w14:paraId="4AF5268C"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113</w:t>
            </w:r>
          </w:p>
        </w:tc>
      </w:tr>
      <w:tr w:rsidR="00F15667" w:rsidRPr="00F15667" w14:paraId="24E5FAF5" w14:textId="77777777" w:rsidTr="00BD4804">
        <w:trPr>
          <w:gridAfter w:val="1"/>
          <w:wAfter w:w="7" w:type="dxa"/>
          <w:trHeight w:val="315"/>
        </w:trPr>
        <w:tc>
          <w:tcPr>
            <w:tcW w:w="2000" w:type="dxa"/>
            <w:tcBorders>
              <w:top w:val="nil"/>
              <w:left w:val="nil"/>
              <w:bottom w:val="single" w:sz="4" w:space="0" w:color="auto"/>
              <w:right w:val="nil"/>
            </w:tcBorders>
            <w:shd w:val="clear" w:color="auto" w:fill="auto"/>
            <w:noWrap/>
            <w:vAlign w:val="center"/>
            <w:hideMark/>
          </w:tcPr>
          <w:p w14:paraId="2E3E3982" w14:textId="77777777" w:rsidR="00F04E59" w:rsidRPr="00F15667" w:rsidRDefault="00F04E59" w:rsidP="00BD4804">
            <w:pPr>
              <w:spacing w:line="240" w:lineRule="auto"/>
              <w:jc w:val="left"/>
              <w:rPr>
                <w:rFonts w:eastAsia="Times New Roman"/>
                <w:szCs w:val="24"/>
                <w:lang w:eastAsia="cs-CZ"/>
              </w:rPr>
            </w:pPr>
            <w:r w:rsidRPr="00F15667">
              <w:rPr>
                <w:rFonts w:eastAsia="Times New Roman"/>
                <w:szCs w:val="24"/>
                <w:lang w:eastAsia="cs-CZ"/>
              </w:rPr>
              <w:t>KS Hr. Králové</w:t>
            </w:r>
          </w:p>
        </w:tc>
        <w:tc>
          <w:tcPr>
            <w:tcW w:w="1402" w:type="dxa"/>
            <w:tcBorders>
              <w:top w:val="nil"/>
              <w:left w:val="nil"/>
              <w:bottom w:val="single" w:sz="4" w:space="0" w:color="auto"/>
              <w:right w:val="nil"/>
            </w:tcBorders>
            <w:shd w:val="clear" w:color="auto" w:fill="auto"/>
            <w:noWrap/>
            <w:vAlign w:val="center"/>
            <w:hideMark/>
          </w:tcPr>
          <w:p w14:paraId="2430EF78"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83</w:t>
            </w:r>
          </w:p>
        </w:tc>
        <w:tc>
          <w:tcPr>
            <w:tcW w:w="1446" w:type="dxa"/>
            <w:tcBorders>
              <w:top w:val="nil"/>
              <w:left w:val="nil"/>
              <w:bottom w:val="single" w:sz="4" w:space="0" w:color="auto"/>
              <w:right w:val="nil"/>
            </w:tcBorders>
            <w:shd w:val="clear" w:color="auto" w:fill="auto"/>
            <w:noWrap/>
            <w:vAlign w:val="center"/>
            <w:hideMark/>
          </w:tcPr>
          <w:p w14:paraId="045F8DC3"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49</w:t>
            </w:r>
          </w:p>
        </w:tc>
        <w:tc>
          <w:tcPr>
            <w:tcW w:w="1446" w:type="dxa"/>
            <w:tcBorders>
              <w:top w:val="nil"/>
              <w:left w:val="nil"/>
              <w:bottom w:val="single" w:sz="4" w:space="0" w:color="auto"/>
              <w:right w:val="nil"/>
            </w:tcBorders>
            <w:shd w:val="clear" w:color="auto" w:fill="auto"/>
            <w:noWrap/>
            <w:vAlign w:val="center"/>
            <w:hideMark/>
          </w:tcPr>
          <w:p w14:paraId="60CE2A09"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19</w:t>
            </w:r>
          </w:p>
        </w:tc>
        <w:tc>
          <w:tcPr>
            <w:tcW w:w="1446" w:type="dxa"/>
            <w:tcBorders>
              <w:top w:val="nil"/>
              <w:left w:val="nil"/>
              <w:bottom w:val="single" w:sz="4" w:space="0" w:color="auto"/>
              <w:right w:val="nil"/>
            </w:tcBorders>
            <w:shd w:val="clear" w:color="auto" w:fill="auto"/>
            <w:noWrap/>
            <w:vAlign w:val="center"/>
            <w:hideMark/>
          </w:tcPr>
          <w:p w14:paraId="602F7DF3"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12</w:t>
            </w:r>
          </w:p>
        </w:tc>
        <w:tc>
          <w:tcPr>
            <w:tcW w:w="1447" w:type="dxa"/>
            <w:tcBorders>
              <w:top w:val="nil"/>
              <w:left w:val="nil"/>
              <w:bottom w:val="single" w:sz="4" w:space="0" w:color="auto"/>
              <w:right w:val="nil"/>
            </w:tcBorders>
            <w:shd w:val="clear" w:color="auto" w:fill="auto"/>
            <w:noWrap/>
            <w:vAlign w:val="center"/>
            <w:hideMark/>
          </w:tcPr>
          <w:p w14:paraId="18FFB596"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80</w:t>
            </w:r>
          </w:p>
        </w:tc>
      </w:tr>
      <w:tr w:rsidR="00F15667" w:rsidRPr="00F15667" w14:paraId="73577A70" w14:textId="77777777" w:rsidTr="00BD4804">
        <w:trPr>
          <w:gridAfter w:val="1"/>
          <w:wAfter w:w="7" w:type="dxa"/>
          <w:trHeight w:val="315"/>
        </w:trPr>
        <w:tc>
          <w:tcPr>
            <w:tcW w:w="2000" w:type="dxa"/>
            <w:tcBorders>
              <w:top w:val="nil"/>
              <w:left w:val="nil"/>
              <w:bottom w:val="single" w:sz="4" w:space="0" w:color="auto"/>
              <w:right w:val="nil"/>
            </w:tcBorders>
            <w:shd w:val="clear" w:color="auto" w:fill="auto"/>
            <w:noWrap/>
            <w:vAlign w:val="center"/>
            <w:hideMark/>
          </w:tcPr>
          <w:p w14:paraId="25D95D13" w14:textId="77777777" w:rsidR="00F04E59" w:rsidRPr="00F15667" w:rsidRDefault="00F04E59" w:rsidP="00BD4804">
            <w:pPr>
              <w:spacing w:line="240" w:lineRule="auto"/>
              <w:jc w:val="left"/>
              <w:rPr>
                <w:rFonts w:eastAsia="Times New Roman"/>
                <w:szCs w:val="24"/>
                <w:lang w:eastAsia="cs-CZ"/>
              </w:rPr>
            </w:pPr>
            <w:r w:rsidRPr="00F15667">
              <w:rPr>
                <w:rFonts w:eastAsia="Times New Roman"/>
                <w:szCs w:val="24"/>
                <w:lang w:eastAsia="cs-CZ"/>
              </w:rPr>
              <w:t>KS Brno</w:t>
            </w:r>
          </w:p>
        </w:tc>
        <w:tc>
          <w:tcPr>
            <w:tcW w:w="1402" w:type="dxa"/>
            <w:tcBorders>
              <w:top w:val="nil"/>
              <w:left w:val="nil"/>
              <w:bottom w:val="single" w:sz="4" w:space="0" w:color="auto"/>
              <w:right w:val="nil"/>
            </w:tcBorders>
            <w:shd w:val="clear" w:color="auto" w:fill="auto"/>
            <w:noWrap/>
            <w:vAlign w:val="center"/>
            <w:hideMark/>
          </w:tcPr>
          <w:p w14:paraId="1ED4741A"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154</w:t>
            </w:r>
          </w:p>
        </w:tc>
        <w:tc>
          <w:tcPr>
            <w:tcW w:w="1446" w:type="dxa"/>
            <w:tcBorders>
              <w:top w:val="nil"/>
              <w:left w:val="nil"/>
              <w:bottom w:val="single" w:sz="4" w:space="0" w:color="auto"/>
              <w:right w:val="nil"/>
            </w:tcBorders>
            <w:shd w:val="clear" w:color="auto" w:fill="auto"/>
            <w:noWrap/>
            <w:vAlign w:val="center"/>
            <w:hideMark/>
          </w:tcPr>
          <w:p w14:paraId="5776C6E3"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102</w:t>
            </w:r>
          </w:p>
        </w:tc>
        <w:tc>
          <w:tcPr>
            <w:tcW w:w="1446" w:type="dxa"/>
            <w:tcBorders>
              <w:top w:val="nil"/>
              <w:left w:val="nil"/>
              <w:bottom w:val="single" w:sz="4" w:space="0" w:color="auto"/>
              <w:right w:val="nil"/>
            </w:tcBorders>
            <w:shd w:val="clear" w:color="auto" w:fill="auto"/>
            <w:noWrap/>
            <w:vAlign w:val="center"/>
            <w:hideMark/>
          </w:tcPr>
          <w:p w14:paraId="02B8CA36"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33</w:t>
            </w:r>
          </w:p>
        </w:tc>
        <w:tc>
          <w:tcPr>
            <w:tcW w:w="1446" w:type="dxa"/>
            <w:tcBorders>
              <w:top w:val="nil"/>
              <w:left w:val="nil"/>
              <w:bottom w:val="single" w:sz="4" w:space="0" w:color="auto"/>
              <w:right w:val="nil"/>
            </w:tcBorders>
            <w:shd w:val="clear" w:color="auto" w:fill="auto"/>
            <w:noWrap/>
            <w:vAlign w:val="center"/>
            <w:hideMark/>
          </w:tcPr>
          <w:p w14:paraId="063221A2"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20</w:t>
            </w:r>
          </w:p>
        </w:tc>
        <w:tc>
          <w:tcPr>
            <w:tcW w:w="1447" w:type="dxa"/>
            <w:tcBorders>
              <w:top w:val="nil"/>
              <w:left w:val="nil"/>
              <w:bottom w:val="single" w:sz="4" w:space="0" w:color="auto"/>
              <w:right w:val="nil"/>
            </w:tcBorders>
            <w:shd w:val="clear" w:color="auto" w:fill="auto"/>
            <w:noWrap/>
            <w:vAlign w:val="center"/>
            <w:hideMark/>
          </w:tcPr>
          <w:p w14:paraId="4C40F72E"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155</w:t>
            </w:r>
          </w:p>
        </w:tc>
      </w:tr>
      <w:tr w:rsidR="00F15667" w:rsidRPr="00F15667" w14:paraId="5EBF638E" w14:textId="77777777" w:rsidTr="00BD4804">
        <w:trPr>
          <w:gridAfter w:val="1"/>
          <w:wAfter w:w="7" w:type="dxa"/>
          <w:trHeight w:val="330"/>
        </w:trPr>
        <w:tc>
          <w:tcPr>
            <w:tcW w:w="2000" w:type="dxa"/>
            <w:tcBorders>
              <w:top w:val="nil"/>
              <w:left w:val="nil"/>
              <w:bottom w:val="double" w:sz="6" w:space="0" w:color="auto"/>
              <w:right w:val="nil"/>
            </w:tcBorders>
            <w:shd w:val="clear" w:color="auto" w:fill="auto"/>
            <w:noWrap/>
            <w:vAlign w:val="center"/>
            <w:hideMark/>
          </w:tcPr>
          <w:p w14:paraId="7E010A54" w14:textId="77777777" w:rsidR="00F04E59" w:rsidRPr="00F15667" w:rsidRDefault="00F04E59" w:rsidP="00BD4804">
            <w:pPr>
              <w:spacing w:line="240" w:lineRule="auto"/>
              <w:jc w:val="left"/>
              <w:rPr>
                <w:rFonts w:eastAsia="Times New Roman"/>
                <w:szCs w:val="24"/>
                <w:lang w:eastAsia="cs-CZ"/>
              </w:rPr>
            </w:pPr>
            <w:r w:rsidRPr="00F15667">
              <w:rPr>
                <w:rFonts w:eastAsia="Times New Roman"/>
                <w:szCs w:val="24"/>
                <w:lang w:eastAsia="cs-CZ"/>
              </w:rPr>
              <w:t>KS Ostrava</w:t>
            </w:r>
          </w:p>
        </w:tc>
        <w:tc>
          <w:tcPr>
            <w:tcW w:w="1402" w:type="dxa"/>
            <w:tcBorders>
              <w:top w:val="nil"/>
              <w:left w:val="nil"/>
              <w:bottom w:val="double" w:sz="6" w:space="0" w:color="auto"/>
              <w:right w:val="nil"/>
            </w:tcBorders>
            <w:shd w:val="clear" w:color="auto" w:fill="auto"/>
            <w:noWrap/>
            <w:vAlign w:val="center"/>
            <w:hideMark/>
          </w:tcPr>
          <w:p w14:paraId="08F62B3C"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164</w:t>
            </w:r>
          </w:p>
        </w:tc>
        <w:tc>
          <w:tcPr>
            <w:tcW w:w="1446" w:type="dxa"/>
            <w:tcBorders>
              <w:top w:val="nil"/>
              <w:left w:val="nil"/>
              <w:bottom w:val="double" w:sz="6" w:space="0" w:color="auto"/>
              <w:right w:val="nil"/>
            </w:tcBorders>
            <w:shd w:val="clear" w:color="auto" w:fill="auto"/>
            <w:noWrap/>
            <w:vAlign w:val="center"/>
            <w:hideMark/>
          </w:tcPr>
          <w:p w14:paraId="66E553DE"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87</w:t>
            </w:r>
          </w:p>
        </w:tc>
        <w:tc>
          <w:tcPr>
            <w:tcW w:w="1446" w:type="dxa"/>
            <w:tcBorders>
              <w:top w:val="nil"/>
              <w:left w:val="nil"/>
              <w:bottom w:val="double" w:sz="6" w:space="0" w:color="auto"/>
              <w:right w:val="nil"/>
            </w:tcBorders>
            <w:shd w:val="clear" w:color="auto" w:fill="auto"/>
            <w:noWrap/>
            <w:vAlign w:val="center"/>
            <w:hideMark/>
          </w:tcPr>
          <w:p w14:paraId="06CF58E6"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45</w:t>
            </w:r>
          </w:p>
        </w:tc>
        <w:tc>
          <w:tcPr>
            <w:tcW w:w="1446" w:type="dxa"/>
            <w:tcBorders>
              <w:top w:val="nil"/>
              <w:left w:val="nil"/>
              <w:bottom w:val="double" w:sz="6" w:space="0" w:color="auto"/>
              <w:right w:val="nil"/>
            </w:tcBorders>
            <w:shd w:val="clear" w:color="auto" w:fill="auto"/>
            <w:noWrap/>
            <w:vAlign w:val="center"/>
            <w:hideMark/>
          </w:tcPr>
          <w:p w14:paraId="5B921C96"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13</w:t>
            </w:r>
          </w:p>
        </w:tc>
        <w:tc>
          <w:tcPr>
            <w:tcW w:w="1447" w:type="dxa"/>
            <w:tcBorders>
              <w:top w:val="nil"/>
              <w:left w:val="nil"/>
              <w:bottom w:val="double" w:sz="6" w:space="0" w:color="auto"/>
              <w:right w:val="nil"/>
            </w:tcBorders>
            <w:shd w:val="clear" w:color="auto" w:fill="auto"/>
            <w:noWrap/>
            <w:vAlign w:val="center"/>
            <w:hideMark/>
          </w:tcPr>
          <w:p w14:paraId="0F5F86B4" w14:textId="77777777" w:rsidR="00F04E59" w:rsidRPr="00F15667" w:rsidRDefault="00F04E59" w:rsidP="00BD4804">
            <w:pPr>
              <w:spacing w:line="240" w:lineRule="auto"/>
              <w:jc w:val="center"/>
              <w:rPr>
                <w:rFonts w:eastAsia="Times New Roman"/>
                <w:szCs w:val="24"/>
                <w:lang w:eastAsia="cs-CZ"/>
              </w:rPr>
            </w:pPr>
            <w:r w:rsidRPr="00F15667">
              <w:rPr>
                <w:rFonts w:eastAsia="Times New Roman"/>
                <w:szCs w:val="24"/>
                <w:lang w:eastAsia="cs-CZ"/>
              </w:rPr>
              <w:t>145</w:t>
            </w:r>
          </w:p>
        </w:tc>
      </w:tr>
      <w:tr w:rsidR="00F15667" w:rsidRPr="00F15667" w14:paraId="33685637" w14:textId="77777777" w:rsidTr="00BD4804">
        <w:trPr>
          <w:gridAfter w:val="1"/>
          <w:wAfter w:w="7" w:type="dxa"/>
          <w:trHeight w:val="345"/>
        </w:trPr>
        <w:tc>
          <w:tcPr>
            <w:tcW w:w="2000" w:type="dxa"/>
            <w:tcBorders>
              <w:top w:val="nil"/>
              <w:left w:val="nil"/>
              <w:bottom w:val="double" w:sz="6" w:space="0" w:color="auto"/>
              <w:right w:val="nil"/>
            </w:tcBorders>
            <w:shd w:val="clear" w:color="auto" w:fill="auto"/>
            <w:noWrap/>
            <w:vAlign w:val="center"/>
            <w:hideMark/>
          </w:tcPr>
          <w:p w14:paraId="6F5B3951" w14:textId="77777777" w:rsidR="00F04E59" w:rsidRPr="00F15667" w:rsidRDefault="00F04E59" w:rsidP="00BD480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402" w:type="dxa"/>
            <w:tcBorders>
              <w:top w:val="nil"/>
              <w:left w:val="nil"/>
              <w:bottom w:val="double" w:sz="6" w:space="0" w:color="auto"/>
              <w:right w:val="nil"/>
            </w:tcBorders>
            <w:shd w:val="clear" w:color="auto" w:fill="auto"/>
            <w:noWrap/>
            <w:vAlign w:val="center"/>
            <w:hideMark/>
          </w:tcPr>
          <w:p w14:paraId="19B2C680"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973</w:t>
            </w:r>
          </w:p>
        </w:tc>
        <w:tc>
          <w:tcPr>
            <w:tcW w:w="1446" w:type="dxa"/>
            <w:tcBorders>
              <w:top w:val="nil"/>
              <w:left w:val="nil"/>
              <w:bottom w:val="double" w:sz="6" w:space="0" w:color="auto"/>
              <w:right w:val="nil"/>
            </w:tcBorders>
            <w:shd w:val="clear" w:color="auto" w:fill="auto"/>
            <w:noWrap/>
            <w:vAlign w:val="center"/>
            <w:hideMark/>
          </w:tcPr>
          <w:p w14:paraId="7A75C987"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590</w:t>
            </w:r>
          </w:p>
        </w:tc>
        <w:tc>
          <w:tcPr>
            <w:tcW w:w="1446" w:type="dxa"/>
            <w:tcBorders>
              <w:top w:val="nil"/>
              <w:left w:val="nil"/>
              <w:bottom w:val="double" w:sz="6" w:space="0" w:color="auto"/>
              <w:right w:val="nil"/>
            </w:tcBorders>
            <w:shd w:val="clear" w:color="auto" w:fill="auto"/>
            <w:noWrap/>
            <w:vAlign w:val="center"/>
            <w:hideMark/>
          </w:tcPr>
          <w:p w14:paraId="13C1469E"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228</w:t>
            </w:r>
          </w:p>
        </w:tc>
        <w:tc>
          <w:tcPr>
            <w:tcW w:w="1446" w:type="dxa"/>
            <w:tcBorders>
              <w:top w:val="nil"/>
              <w:left w:val="nil"/>
              <w:bottom w:val="double" w:sz="6" w:space="0" w:color="auto"/>
              <w:right w:val="nil"/>
            </w:tcBorders>
            <w:shd w:val="clear" w:color="auto" w:fill="auto"/>
            <w:noWrap/>
            <w:vAlign w:val="center"/>
            <w:hideMark/>
          </w:tcPr>
          <w:p w14:paraId="78BED790"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119</w:t>
            </w:r>
          </w:p>
        </w:tc>
        <w:tc>
          <w:tcPr>
            <w:tcW w:w="1447" w:type="dxa"/>
            <w:tcBorders>
              <w:top w:val="nil"/>
              <w:left w:val="nil"/>
              <w:bottom w:val="double" w:sz="6" w:space="0" w:color="auto"/>
              <w:right w:val="nil"/>
            </w:tcBorders>
            <w:shd w:val="clear" w:color="auto" w:fill="auto"/>
            <w:noWrap/>
            <w:vAlign w:val="center"/>
            <w:hideMark/>
          </w:tcPr>
          <w:p w14:paraId="4C60AA0B" w14:textId="77777777" w:rsidR="00F04E59" w:rsidRPr="00F15667" w:rsidRDefault="00F04E59" w:rsidP="00BD4804">
            <w:pPr>
              <w:spacing w:line="240" w:lineRule="auto"/>
              <w:jc w:val="center"/>
              <w:rPr>
                <w:rFonts w:eastAsia="Times New Roman"/>
                <w:b/>
                <w:bCs/>
                <w:szCs w:val="24"/>
                <w:lang w:eastAsia="cs-CZ"/>
              </w:rPr>
            </w:pPr>
            <w:r w:rsidRPr="00F15667">
              <w:rPr>
                <w:rFonts w:eastAsia="Times New Roman"/>
                <w:b/>
                <w:bCs/>
                <w:szCs w:val="24"/>
                <w:lang w:eastAsia="cs-CZ"/>
              </w:rPr>
              <w:t>937</w:t>
            </w:r>
          </w:p>
        </w:tc>
      </w:tr>
      <w:tr w:rsidR="00F15667" w:rsidRPr="00F15667" w14:paraId="2F76590C" w14:textId="77777777" w:rsidTr="00BD4804">
        <w:trPr>
          <w:gridAfter w:val="1"/>
          <w:wAfter w:w="7" w:type="dxa"/>
          <w:trHeight w:val="330"/>
        </w:trPr>
        <w:tc>
          <w:tcPr>
            <w:tcW w:w="2000" w:type="dxa"/>
            <w:tcBorders>
              <w:top w:val="nil"/>
              <w:left w:val="nil"/>
              <w:bottom w:val="nil"/>
              <w:right w:val="nil"/>
            </w:tcBorders>
            <w:shd w:val="clear" w:color="auto" w:fill="auto"/>
            <w:noWrap/>
            <w:vAlign w:val="center"/>
            <w:hideMark/>
          </w:tcPr>
          <w:p w14:paraId="44C05D3D" w14:textId="77777777" w:rsidR="00F04E59" w:rsidRPr="00F15667" w:rsidRDefault="00F04E59" w:rsidP="00BD4804">
            <w:pPr>
              <w:spacing w:line="240" w:lineRule="auto"/>
              <w:jc w:val="center"/>
              <w:rPr>
                <w:rFonts w:eastAsia="Times New Roman"/>
                <w:b/>
                <w:bCs/>
                <w:szCs w:val="24"/>
                <w:lang w:eastAsia="cs-CZ"/>
              </w:rPr>
            </w:pPr>
          </w:p>
        </w:tc>
        <w:tc>
          <w:tcPr>
            <w:tcW w:w="1402" w:type="dxa"/>
            <w:tcBorders>
              <w:top w:val="nil"/>
              <w:left w:val="nil"/>
              <w:bottom w:val="nil"/>
              <w:right w:val="nil"/>
            </w:tcBorders>
            <w:shd w:val="clear" w:color="auto" w:fill="auto"/>
            <w:noWrap/>
            <w:vAlign w:val="center"/>
            <w:hideMark/>
          </w:tcPr>
          <w:p w14:paraId="22C5BE29" w14:textId="77777777" w:rsidR="00F04E59" w:rsidRPr="00F15667" w:rsidRDefault="00F04E59" w:rsidP="00BD4804">
            <w:pPr>
              <w:spacing w:line="240" w:lineRule="auto"/>
              <w:jc w:val="center"/>
              <w:rPr>
                <w:rFonts w:ascii="Times New Roman" w:eastAsia="Times New Roman" w:hAnsi="Times New Roman"/>
                <w:sz w:val="20"/>
                <w:szCs w:val="20"/>
                <w:lang w:eastAsia="cs-CZ"/>
              </w:rPr>
            </w:pPr>
          </w:p>
        </w:tc>
        <w:tc>
          <w:tcPr>
            <w:tcW w:w="1446" w:type="dxa"/>
            <w:tcBorders>
              <w:top w:val="nil"/>
              <w:left w:val="nil"/>
              <w:bottom w:val="nil"/>
              <w:right w:val="nil"/>
            </w:tcBorders>
            <w:shd w:val="clear" w:color="auto" w:fill="auto"/>
            <w:noWrap/>
            <w:vAlign w:val="center"/>
            <w:hideMark/>
          </w:tcPr>
          <w:p w14:paraId="171CEBEF" w14:textId="77777777" w:rsidR="00F04E59" w:rsidRPr="00F15667" w:rsidRDefault="00F04E59" w:rsidP="00BD4804">
            <w:pPr>
              <w:spacing w:line="240" w:lineRule="auto"/>
              <w:jc w:val="center"/>
              <w:rPr>
                <w:rFonts w:ascii="Times New Roman" w:eastAsia="Times New Roman" w:hAnsi="Times New Roman"/>
                <w:sz w:val="20"/>
                <w:szCs w:val="20"/>
                <w:lang w:eastAsia="cs-CZ"/>
              </w:rPr>
            </w:pPr>
          </w:p>
        </w:tc>
        <w:tc>
          <w:tcPr>
            <w:tcW w:w="1446" w:type="dxa"/>
            <w:tcBorders>
              <w:top w:val="nil"/>
              <w:left w:val="nil"/>
              <w:bottom w:val="nil"/>
              <w:right w:val="nil"/>
            </w:tcBorders>
            <w:shd w:val="clear" w:color="auto" w:fill="auto"/>
            <w:noWrap/>
            <w:vAlign w:val="center"/>
            <w:hideMark/>
          </w:tcPr>
          <w:p w14:paraId="4B93FCC6" w14:textId="77777777" w:rsidR="00F04E59" w:rsidRPr="00F15667" w:rsidRDefault="00F04E59" w:rsidP="00BD4804">
            <w:pPr>
              <w:spacing w:line="240" w:lineRule="auto"/>
              <w:jc w:val="center"/>
              <w:rPr>
                <w:rFonts w:ascii="Times New Roman" w:eastAsia="Times New Roman" w:hAnsi="Times New Roman"/>
                <w:sz w:val="20"/>
                <w:szCs w:val="20"/>
                <w:lang w:eastAsia="cs-CZ"/>
              </w:rPr>
            </w:pPr>
          </w:p>
        </w:tc>
        <w:tc>
          <w:tcPr>
            <w:tcW w:w="1446" w:type="dxa"/>
            <w:tcBorders>
              <w:top w:val="nil"/>
              <w:left w:val="nil"/>
              <w:bottom w:val="nil"/>
              <w:right w:val="nil"/>
            </w:tcBorders>
            <w:shd w:val="clear" w:color="auto" w:fill="auto"/>
            <w:noWrap/>
            <w:vAlign w:val="center"/>
            <w:hideMark/>
          </w:tcPr>
          <w:p w14:paraId="075526AD" w14:textId="77777777" w:rsidR="00F04E59" w:rsidRPr="00F15667" w:rsidRDefault="00F04E59" w:rsidP="00BD4804">
            <w:pPr>
              <w:spacing w:line="240" w:lineRule="auto"/>
              <w:jc w:val="center"/>
              <w:rPr>
                <w:rFonts w:ascii="Times New Roman" w:eastAsia="Times New Roman" w:hAnsi="Times New Roman"/>
                <w:sz w:val="20"/>
                <w:szCs w:val="20"/>
                <w:lang w:eastAsia="cs-CZ"/>
              </w:rPr>
            </w:pPr>
          </w:p>
        </w:tc>
        <w:tc>
          <w:tcPr>
            <w:tcW w:w="1447" w:type="dxa"/>
            <w:tcBorders>
              <w:top w:val="nil"/>
              <w:left w:val="nil"/>
              <w:bottom w:val="nil"/>
              <w:right w:val="nil"/>
            </w:tcBorders>
            <w:shd w:val="clear" w:color="auto" w:fill="auto"/>
            <w:noWrap/>
            <w:vAlign w:val="center"/>
            <w:hideMark/>
          </w:tcPr>
          <w:p w14:paraId="68B98027" w14:textId="77777777" w:rsidR="00F04E59" w:rsidRPr="00F15667" w:rsidRDefault="00F04E59" w:rsidP="00BD4804">
            <w:pPr>
              <w:spacing w:line="240" w:lineRule="auto"/>
              <w:jc w:val="center"/>
              <w:rPr>
                <w:rFonts w:ascii="Times New Roman" w:eastAsia="Times New Roman" w:hAnsi="Times New Roman"/>
                <w:sz w:val="20"/>
                <w:szCs w:val="20"/>
                <w:lang w:eastAsia="cs-CZ"/>
              </w:rPr>
            </w:pPr>
          </w:p>
        </w:tc>
      </w:tr>
    </w:tbl>
    <w:p w14:paraId="7FCDD863" w14:textId="2C203BC3" w:rsidR="00AC5978" w:rsidRPr="00F15667" w:rsidRDefault="00AC5978" w:rsidP="00AC5978">
      <w:pPr>
        <w:pStyle w:val="OdstavecASR"/>
      </w:pPr>
      <w:r w:rsidRPr="00F15667">
        <w:t>Mírné pohyby v počtu soudců jsou vidět i mezi jednotlivými KS. Poměry mezi velikostmi úseků jsou u všech krajských soudů podobné. Existují zde ale určité odchylky, například MS v Praze má relativně menší trestní úsek. Jak je z tabulky patrné, největší je MS Praha a nejmenší je KS České Budějovice. MS Praha je asi čtyřikrát větší než KS České Budějovice.</w:t>
      </w:r>
    </w:p>
    <w:p w14:paraId="16F35331" w14:textId="1BFC5BC6" w:rsidR="00AC5978" w:rsidRPr="00F15667" w:rsidRDefault="00AC5978" w:rsidP="00AC5978">
      <w:pPr>
        <w:pStyle w:val="OdstavecASR"/>
      </w:pPr>
      <w:r w:rsidRPr="00F15667">
        <w:t>Velikost soudů (počet soudců) je stejně jako u OS určena dle systemizace, zohledňuje tedy počet napadlých věcí. Ten pak vyplývá z</w:t>
      </w:r>
      <w:r w:rsidR="009C6207" w:rsidRPr="00F15667">
        <w:t> </w:t>
      </w:r>
      <w:r w:rsidRPr="00F15667">
        <w:t>ukazatelů</w:t>
      </w:r>
      <w:r w:rsidR="009C6207" w:rsidRPr="00F15667">
        <w:t>,</w:t>
      </w:r>
      <w:r w:rsidRPr="00F15667">
        <w:t xml:space="preserve"> jako je počet obyvatel, nezaměstnanost apod.</w:t>
      </w:r>
    </w:p>
    <w:p w14:paraId="0FCB30C8" w14:textId="77777777" w:rsidR="00AC5978" w:rsidRPr="00F15667" w:rsidRDefault="00AC5978" w:rsidP="00AC5978">
      <w:pPr>
        <w:pStyle w:val="OdstavecASR"/>
      </w:pPr>
      <w:r w:rsidRPr="00F15667">
        <w:t>Další graf a tabulka zobrazují podíl žen v soudnictví v časových řadách a podle soudů.</w:t>
      </w:r>
      <w:bookmarkStart w:id="562" w:name="_Hlk137205439"/>
    </w:p>
    <w:p w14:paraId="5C252B5C" w14:textId="2912B775" w:rsidR="00F04E59" w:rsidRPr="00F15667" w:rsidRDefault="00AC5978" w:rsidP="00AC5978">
      <w:pPr>
        <w:pStyle w:val="Podnadpis"/>
        <w:rPr>
          <w:color w:val="auto"/>
        </w:rPr>
      </w:pPr>
      <w:bookmarkStart w:id="563" w:name="_Toc515871378"/>
      <w:bookmarkStart w:id="564" w:name="_Toc11135109"/>
      <w:bookmarkStart w:id="565" w:name="_Toc43841428"/>
      <w:bookmarkStart w:id="566" w:name="_Toc75952232"/>
      <w:bookmarkStart w:id="567" w:name="_Toc106106688"/>
      <w:bookmarkStart w:id="568" w:name="_Toc109802012"/>
      <w:bookmarkStart w:id="569" w:name="_Toc144104162"/>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50</w:t>
      </w:r>
      <w:r w:rsidR="009A10E2" w:rsidRPr="00F15667">
        <w:rPr>
          <w:color w:val="auto"/>
        </w:rPr>
        <w:fldChar w:fldCharType="end"/>
      </w:r>
      <w:r w:rsidRPr="00F15667">
        <w:rPr>
          <w:color w:val="auto"/>
        </w:rPr>
        <w:t>: KS – evidenční počet soudců dle pohlaví v letech 2008–20</w:t>
      </w:r>
      <w:bookmarkEnd w:id="563"/>
      <w:bookmarkEnd w:id="564"/>
      <w:bookmarkEnd w:id="565"/>
      <w:bookmarkEnd w:id="566"/>
      <w:r w:rsidRPr="00F15667">
        <w:rPr>
          <w:color w:val="auto"/>
        </w:rPr>
        <w:t>2</w:t>
      </w:r>
      <w:bookmarkEnd w:id="567"/>
      <w:bookmarkEnd w:id="568"/>
      <w:r w:rsidRPr="00F15667">
        <w:rPr>
          <w:color w:val="auto"/>
        </w:rPr>
        <w:t>2</w:t>
      </w:r>
      <w:bookmarkEnd w:id="569"/>
    </w:p>
    <w:p w14:paraId="15477869" w14:textId="41825A9D" w:rsidR="00AC5978" w:rsidRPr="00F15667" w:rsidRDefault="00AC5978" w:rsidP="00BD4804">
      <w:pPr>
        <w:pStyle w:val="OdstavecASR"/>
      </w:pPr>
      <w:r w:rsidRPr="00F15667">
        <w:rPr>
          <w:noProof/>
          <w:lang w:eastAsia="cs-CZ"/>
        </w:rPr>
        <w:drawing>
          <wp:inline distT="0" distB="0" distL="0" distR="0" wp14:anchorId="3568EDF3" wp14:editId="08CDFE15">
            <wp:extent cx="5029200" cy="3657600"/>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82C9508" w14:textId="09287C6C" w:rsidR="00AC5978" w:rsidRPr="00F15667" w:rsidRDefault="00AC5978" w:rsidP="00AC5978">
      <w:pPr>
        <w:pStyle w:val="Podnadpis"/>
        <w:rPr>
          <w:color w:val="auto"/>
        </w:rPr>
      </w:pPr>
      <w:bookmarkStart w:id="570" w:name="_Toc106106798"/>
      <w:bookmarkStart w:id="571" w:name="_Toc109802121"/>
      <w:bookmarkStart w:id="572" w:name="_Toc144104278"/>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39</w:t>
      </w:r>
      <w:r w:rsidRPr="00F15667">
        <w:rPr>
          <w:noProof/>
          <w:color w:val="auto"/>
        </w:rPr>
        <w:fldChar w:fldCharType="end"/>
      </w:r>
      <w:r w:rsidRPr="00F15667">
        <w:rPr>
          <w:color w:val="auto"/>
        </w:rPr>
        <w:t>: KS – evidenční počet soudců dle pohlaví a soudů</w:t>
      </w:r>
      <w:bookmarkEnd w:id="570"/>
      <w:bookmarkEnd w:id="571"/>
      <w:bookmarkEnd w:id="572"/>
    </w:p>
    <w:tbl>
      <w:tblPr>
        <w:tblW w:w="6800" w:type="dxa"/>
        <w:tblLayout w:type="fixed"/>
        <w:tblCellMar>
          <w:left w:w="70" w:type="dxa"/>
          <w:right w:w="70" w:type="dxa"/>
        </w:tblCellMar>
        <w:tblLook w:val="04A0" w:firstRow="1" w:lastRow="0" w:firstColumn="1" w:lastColumn="0" w:noHBand="0" w:noVBand="1"/>
      </w:tblPr>
      <w:tblGrid>
        <w:gridCol w:w="2480"/>
        <w:gridCol w:w="1360"/>
        <w:gridCol w:w="1360"/>
        <w:gridCol w:w="1600"/>
      </w:tblGrid>
      <w:tr w:rsidR="00F15667" w:rsidRPr="00F15667" w14:paraId="2955F302" w14:textId="77777777" w:rsidTr="00BD480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BCE2035" w14:textId="77777777" w:rsidR="00AC5978" w:rsidRPr="00F15667" w:rsidRDefault="00AC5978" w:rsidP="00BD4804">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2720" w:type="dxa"/>
            <w:gridSpan w:val="2"/>
            <w:tcBorders>
              <w:top w:val="double" w:sz="6" w:space="0" w:color="auto"/>
              <w:left w:val="nil"/>
              <w:bottom w:val="nil"/>
              <w:right w:val="nil"/>
            </w:tcBorders>
            <w:shd w:val="clear" w:color="auto" w:fill="auto"/>
            <w:noWrap/>
            <w:vAlign w:val="center"/>
            <w:hideMark/>
          </w:tcPr>
          <w:p w14:paraId="2DB69820" w14:textId="77777777" w:rsidR="00AC5978" w:rsidRPr="00F15667" w:rsidRDefault="00AC5978" w:rsidP="00BD4804">
            <w:pPr>
              <w:spacing w:line="240" w:lineRule="auto"/>
              <w:jc w:val="center"/>
              <w:rPr>
                <w:rFonts w:eastAsia="Times New Roman"/>
                <w:b/>
                <w:bCs/>
                <w:szCs w:val="24"/>
                <w:lang w:eastAsia="cs-CZ"/>
              </w:rPr>
            </w:pPr>
            <w:r w:rsidRPr="00F15667">
              <w:rPr>
                <w:rFonts w:eastAsia="Times New Roman"/>
                <w:b/>
                <w:bCs/>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50F6DBAA" w14:textId="77777777" w:rsidR="00AC5978" w:rsidRPr="00F15667" w:rsidRDefault="00AC5978" w:rsidP="00BD4804">
            <w:pPr>
              <w:spacing w:line="240" w:lineRule="auto"/>
              <w:jc w:val="center"/>
              <w:rPr>
                <w:rFonts w:eastAsia="Times New Roman"/>
                <w:b/>
                <w:bCs/>
                <w:szCs w:val="24"/>
                <w:lang w:eastAsia="cs-CZ"/>
              </w:rPr>
            </w:pPr>
            <w:r w:rsidRPr="00F15667">
              <w:rPr>
                <w:rFonts w:eastAsia="Times New Roman"/>
                <w:b/>
                <w:bCs/>
                <w:szCs w:val="24"/>
                <w:lang w:eastAsia="cs-CZ"/>
              </w:rPr>
              <w:t>Podíl žen v %</w:t>
            </w:r>
          </w:p>
        </w:tc>
      </w:tr>
      <w:tr w:rsidR="00F15667" w:rsidRPr="00F15667" w14:paraId="00C0552A" w14:textId="77777777" w:rsidTr="00BD4804">
        <w:trPr>
          <w:trHeight w:val="330"/>
        </w:trPr>
        <w:tc>
          <w:tcPr>
            <w:tcW w:w="2480" w:type="dxa"/>
            <w:vMerge/>
            <w:tcBorders>
              <w:top w:val="double" w:sz="6" w:space="0" w:color="auto"/>
              <w:left w:val="nil"/>
              <w:bottom w:val="double" w:sz="6" w:space="0" w:color="000000"/>
              <w:right w:val="nil"/>
            </w:tcBorders>
            <w:vAlign w:val="center"/>
            <w:hideMark/>
          </w:tcPr>
          <w:p w14:paraId="61585CEE" w14:textId="77777777" w:rsidR="00AC5978" w:rsidRPr="00F15667" w:rsidRDefault="00AC5978" w:rsidP="00BD4804">
            <w:pPr>
              <w:spacing w:line="240" w:lineRule="auto"/>
              <w:jc w:val="center"/>
              <w:rPr>
                <w:rFonts w:eastAsia="Times New Roman"/>
                <w:b/>
                <w:bCs/>
                <w:szCs w:val="24"/>
                <w:lang w:eastAsia="cs-CZ"/>
              </w:rPr>
            </w:pPr>
          </w:p>
        </w:tc>
        <w:tc>
          <w:tcPr>
            <w:tcW w:w="1360" w:type="dxa"/>
            <w:tcBorders>
              <w:top w:val="nil"/>
              <w:left w:val="nil"/>
              <w:bottom w:val="double" w:sz="6" w:space="0" w:color="auto"/>
              <w:right w:val="nil"/>
            </w:tcBorders>
            <w:shd w:val="clear" w:color="auto" w:fill="auto"/>
            <w:noWrap/>
            <w:vAlign w:val="center"/>
            <w:hideMark/>
          </w:tcPr>
          <w:p w14:paraId="15F20210" w14:textId="77777777" w:rsidR="00AC5978" w:rsidRPr="00F15667" w:rsidRDefault="00AC5978" w:rsidP="00BD4804">
            <w:pPr>
              <w:spacing w:line="240" w:lineRule="auto"/>
              <w:jc w:val="center"/>
              <w:rPr>
                <w:rFonts w:eastAsia="Times New Roman"/>
                <w:b/>
                <w:bCs/>
                <w:szCs w:val="24"/>
                <w:lang w:eastAsia="cs-CZ"/>
              </w:rPr>
            </w:pPr>
            <w:r w:rsidRPr="00F15667">
              <w:rPr>
                <w:rFonts w:eastAsia="Times New Roman"/>
                <w:b/>
                <w:bCs/>
                <w:szCs w:val="24"/>
                <w:lang w:eastAsia="cs-CZ"/>
              </w:rPr>
              <w:t>Žen</w:t>
            </w:r>
          </w:p>
        </w:tc>
        <w:tc>
          <w:tcPr>
            <w:tcW w:w="1360" w:type="dxa"/>
            <w:tcBorders>
              <w:top w:val="nil"/>
              <w:left w:val="nil"/>
              <w:bottom w:val="double" w:sz="6" w:space="0" w:color="auto"/>
              <w:right w:val="nil"/>
            </w:tcBorders>
            <w:shd w:val="clear" w:color="auto" w:fill="auto"/>
            <w:noWrap/>
            <w:vAlign w:val="center"/>
            <w:hideMark/>
          </w:tcPr>
          <w:p w14:paraId="0045CD00" w14:textId="77777777" w:rsidR="00AC5978" w:rsidRPr="00F15667" w:rsidRDefault="00AC5978" w:rsidP="00BD4804">
            <w:pPr>
              <w:spacing w:line="240" w:lineRule="auto"/>
              <w:jc w:val="center"/>
              <w:rPr>
                <w:rFonts w:eastAsia="Times New Roman"/>
                <w:b/>
                <w:bCs/>
                <w:szCs w:val="24"/>
                <w:lang w:eastAsia="cs-CZ"/>
              </w:rPr>
            </w:pPr>
            <w:r w:rsidRPr="00F15667">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10D61A6C" w14:textId="77777777" w:rsidR="00AC5978" w:rsidRPr="00F15667" w:rsidRDefault="00AC5978" w:rsidP="00BD4804">
            <w:pPr>
              <w:spacing w:line="240" w:lineRule="auto"/>
              <w:jc w:val="center"/>
              <w:rPr>
                <w:rFonts w:eastAsia="Times New Roman"/>
                <w:b/>
                <w:bCs/>
                <w:szCs w:val="24"/>
                <w:lang w:eastAsia="cs-CZ"/>
              </w:rPr>
            </w:pPr>
          </w:p>
        </w:tc>
      </w:tr>
      <w:tr w:rsidR="00F15667" w:rsidRPr="00F15667" w14:paraId="60E6A377" w14:textId="77777777" w:rsidTr="00BD4804">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6D8FE961" w14:textId="77777777" w:rsidR="00AC5978" w:rsidRPr="00F15667" w:rsidRDefault="00AC5978" w:rsidP="00BD4804">
            <w:pPr>
              <w:spacing w:line="240" w:lineRule="auto"/>
              <w:jc w:val="left"/>
              <w:rPr>
                <w:rFonts w:eastAsia="Times New Roman"/>
                <w:szCs w:val="24"/>
                <w:lang w:eastAsia="cs-CZ"/>
              </w:rPr>
            </w:pPr>
            <w:r w:rsidRPr="00F15667">
              <w:rPr>
                <w:rFonts w:eastAsia="Times New Roman"/>
                <w:szCs w:val="24"/>
                <w:lang w:eastAsia="cs-CZ"/>
              </w:rPr>
              <w:t>MS Praha</w:t>
            </w:r>
          </w:p>
        </w:tc>
        <w:tc>
          <w:tcPr>
            <w:tcW w:w="1360" w:type="dxa"/>
            <w:tcBorders>
              <w:top w:val="single" w:sz="4" w:space="0" w:color="auto"/>
              <w:left w:val="nil"/>
              <w:bottom w:val="single" w:sz="4" w:space="0" w:color="auto"/>
              <w:right w:val="nil"/>
            </w:tcBorders>
            <w:shd w:val="clear" w:color="auto" w:fill="auto"/>
            <w:noWrap/>
            <w:vAlign w:val="center"/>
            <w:hideMark/>
          </w:tcPr>
          <w:p w14:paraId="44F91852"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135</w:t>
            </w:r>
          </w:p>
        </w:tc>
        <w:tc>
          <w:tcPr>
            <w:tcW w:w="1360" w:type="dxa"/>
            <w:tcBorders>
              <w:top w:val="single" w:sz="4" w:space="0" w:color="auto"/>
              <w:left w:val="nil"/>
              <w:bottom w:val="single" w:sz="4" w:space="0" w:color="auto"/>
              <w:right w:val="nil"/>
            </w:tcBorders>
            <w:shd w:val="clear" w:color="auto" w:fill="auto"/>
            <w:noWrap/>
            <w:vAlign w:val="center"/>
            <w:hideMark/>
          </w:tcPr>
          <w:p w14:paraId="2326D08A"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79</w:t>
            </w:r>
          </w:p>
        </w:tc>
        <w:tc>
          <w:tcPr>
            <w:tcW w:w="1600" w:type="dxa"/>
            <w:tcBorders>
              <w:top w:val="single" w:sz="4" w:space="0" w:color="auto"/>
              <w:left w:val="nil"/>
              <w:bottom w:val="single" w:sz="4" w:space="0" w:color="auto"/>
              <w:right w:val="nil"/>
            </w:tcBorders>
            <w:shd w:val="clear" w:color="auto" w:fill="auto"/>
            <w:noWrap/>
            <w:vAlign w:val="center"/>
            <w:hideMark/>
          </w:tcPr>
          <w:p w14:paraId="231B144D" w14:textId="45C5EDF4"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63,08</w:t>
            </w:r>
          </w:p>
        </w:tc>
      </w:tr>
      <w:tr w:rsidR="00F15667" w:rsidRPr="00F15667" w14:paraId="6E5CA7BC"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0B19EFBD" w14:textId="77777777" w:rsidR="00AC5978" w:rsidRPr="00F15667" w:rsidRDefault="00AC5978" w:rsidP="00BD4804">
            <w:pPr>
              <w:spacing w:line="240" w:lineRule="auto"/>
              <w:jc w:val="left"/>
              <w:rPr>
                <w:rFonts w:eastAsia="Times New Roman"/>
                <w:szCs w:val="24"/>
                <w:lang w:eastAsia="cs-CZ"/>
              </w:rPr>
            </w:pPr>
            <w:r w:rsidRPr="00F15667">
              <w:rPr>
                <w:rFonts w:eastAsia="Times New Roman"/>
                <w:szCs w:val="24"/>
                <w:lang w:eastAsia="cs-CZ"/>
              </w:rPr>
              <w:t>KS Praha</w:t>
            </w:r>
          </w:p>
        </w:tc>
        <w:tc>
          <w:tcPr>
            <w:tcW w:w="1360" w:type="dxa"/>
            <w:tcBorders>
              <w:top w:val="nil"/>
              <w:left w:val="nil"/>
              <w:bottom w:val="single" w:sz="4" w:space="0" w:color="auto"/>
              <w:right w:val="nil"/>
            </w:tcBorders>
            <w:shd w:val="clear" w:color="auto" w:fill="auto"/>
            <w:noWrap/>
            <w:vAlign w:val="center"/>
            <w:hideMark/>
          </w:tcPr>
          <w:p w14:paraId="7D0EE186"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63</w:t>
            </w:r>
          </w:p>
        </w:tc>
        <w:tc>
          <w:tcPr>
            <w:tcW w:w="1360" w:type="dxa"/>
            <w:tcBorders>
              <w:top w:val="nil"/>
              <w:left w:val="nil"/>
              <w:bottom w:val="single" w:sz="4" w:space="0" w:color="auto"/>
              <w:right w:val="nil"/>
            </w:tcBorders>
            <w:shd w:val="clear" w:color="auto" w:fill="auto"/>
            <w:noWrap/>
            <w:vAlign w:val="center"/>
            <w:hideMark/>
          </w:tcPr>
          <w:p w14:paraId="3EEED6E7"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39</w:t>
            </w:r>
          </w:p>
        </w:tc>
        <w:tc>
          <w:tcPr>
            <w:tcW w:w="1600" w:type="dxa"/>
            <w:tcBorders>
              <w:top w:val="nil"/>
              <w:left w:val="nil"/>
              <w:bottom w:val="single" w:sz="4" w:space="0" w:color="auto"/>
              <w:right w:val="nil"/>
            </w:tcBorders>
            <w:shd w:val="clear" w:color="auto" w:fill="auto"/>
            <w:noWrap/>
            <w:vAlign w:val="center"/>
            <w:hideMark/>
          </w:tcPr>
          <w:p w14:paraId="6BB73442" w14:textId="0DD86FBB"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61,76</w:t>
            </w:r>
          </w:p>
        </w:tc>
      </w:tr>
      <w:tr w:rsidR="00F15667" w:rsidRPr="00F15667" w14:paraId="73644DEE"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739BB687" w14:textId="77777777" w:rsidR="00AC5978" w:rsidRPr="00F15667" w:rsidRDefault="00AC5978" w:rsidP="00BD4804">
            <w:pPr>
              <w:spacing w:line="240" w:lineRule="auto"/>
              <w:jc w:val="left"/>
              <w:rPr>
                <w:rFonts w:eastAsia="Times New Roman"/>
                <w:szCs w:val="24"/>
                <w:lang w:eastAsia="cs-CZ"/>
              </w:rPr>
            </w:pPr>
            <w:r w:rsidRPr="00F15667">
              <w:rPr>
                <w:rFonts w:eastAsia="Times New Roman"/>
                <w:szCs w:val="24"/>
                <w:lang w:eastAsia="cs-CZ"/>
              </w:rPr>
              <w:t>KS Č. Budějovice</w:t>
            </w:r>
          </w:p>
        </w:tc>
        <w:tc>
          <w:tcPr>
            <w:tcW w:w="1360" w:type="dxa"/>
            <w:tcBorders>
              <w:top w:val="nil"/>
              <w:left w:val="nil"/>
              <w:bottom w:val="single" w:sz="4" w:space="0" w:color="auto"/>
              <w:right w:val="nil"/>
            </w:tcBorders>
            <w:shd w:val="clear" w:color="auto" w:fill="auto"/>
            <w:noWrap/>
            <w:vAlign w:val="center"/>
            <w:hideMark/>
          </w:tcPr>
          <w:p w14:paraId="37B65427"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23</w:t>
            </w:r>
          </w:p>
        </w:tc>
        <w:tc>
          <w:tcPr>
            <w:tcW w:w="1360" w:type="dxa"/>
            <w:tcBorders>
              <w:top w:val="nil"/>
              <w:left w:val="nil"/>
              <w:bottom w:val="single" w:sz="4" w:space="0" w:color="auto"/>
              <w:right w:val="nil"/>
            </w:tcBorders>
            <w:shd w:val="clear" w:color="auto" w:fill="auto"/>
            <w:noWrap/>
            <w:vAlign w:val="center"/>
            <w:hideMark/>
          </w:tcPr>
          <w:p w14:paraId="68C7206D"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30</w:t>
            </w:r>
          </w:p>
        </w:tc>
        <w:tc>
          <w:tcPr>
            <w:tcW w:w="1600" w:type="dxa"/>
            <w:tcBorders>
              <w:top w:val="nil"/>
              <w:left w:val="nil"/>
              <w:bottom w:val="single" w:sz="4" w:space="0" w:color="auto"/>
              <w:right w:val="nil"/>
            </w:tcBorders>
            <w:shd w:val="clear" w:color="auto" w:fill="auto"/>
            <w:noWrap/>
            <w:vAlign w:val="center"/>
            <w:hideMark/>
          </w:tcPr>
          <w:p w14:paraId="3A33E1A5" w14:textId="7C3D60F6"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43,40</w:t>
            </w:r>
          </w:p>
        </w:tc>
      </w:tr>
      <w:tr w:rsidR="00F15667" w:rsidRPr="00F15667" w14:paraId="4D4FAFCA"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6A0E9F3D" w14:textId="77777777" w:rsidR="00AC5978" w:rsidRPr="00F15667" w:rsidRDefault="00AC5978" w:rsidP="00BD4804">
            <w:pPr>
              <w:spacing w:line="240" w:lineRule="auto"/>
              <w:jc w:val="left"/>
              <w:rPr>
                <w:rFonts w:eastAsia="Times New Roman"/>
                <w:szCs w:val="24"/>
                <w:lang w:eastAsia="cs-CZ"/>
              </w:rPr>
            </w:pPr>
            <w:r w:rsidRPr="00F15667">
              <w:rPr>
                <w:rFonts w:eastAsia="Times New Roman"/>
                <w:szCs w:val="24"/>
                <w:lang w:eastAsia="cs-CZ"/>
              </w:rPr>
              <w:t>KS Plzeň</w:t>
            </w:r>
          </w:p>
        </w:tc>
        <w:tc>
          <w:tcPr>
            <w:tcW w:w="1360" w:type="dxa"/>
            <w:tcBorders>
              <w:top w:val="nil"/>
              <w:left w:val="nil"/>
              <w:bottom w:val="single" w:sz="4" w:space="0" w:color="auto"/>
              <w:right w:val="nil"/>
            </w:tcBorders>
            <w:shd w:val="clear" w:color="auto" w:fill="auto"/>
            <w:noWrap/>
            <w:vAlign w:val="center"/>
            <w:hideMark/>
          </w:tcPr>
          <w:p w14:paraId="4DFFEA0F"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44</w:t>
            </w:r>
          </w:p>
        </w:tc>
        <w:tc>
          <w:tcPr>
            <w:tcW w:w="1360" w:type="dxa"/>
            <w:tcBorders>
              <w:top w:val="nil"/>
              <w:left w:val="nil"/>
              <w:bottom w:val="single" w:sz="4" w:space="0" w:color="auto"/>
              <w:right w:val="nil"/>
            </w:tcBorders>
            <w:shd w:val="clear" w:color="auto" w:fill="auto"/>
            <w:noWrap/>
            <w:vAlign w:val="center"/>
            <w:hideMark/>
          </w:tcPr>
          <w:p w14:paraId="6DC327CC"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31</w:t>
            </w:r>
          </w:p>
        </w:tc>
        <w:tc>
          <w:tcPr>
            <w:tcW w:w="1600" w:type="dxa"/>
            <w:tcBorders>
              <w:top w:val="nil"/>
              <w:left w:val="nil"/>
              <w:bottom w:val="single" w:sz="4" w:space="0" w:color="auto"/>
              <w:right w:val="nil"/>
            </w:tcBorders>
            <w:shd w:val="clear" w:color="auto" w:fill="auto"/>
            <w:noWrap/>
            <w:vAlign w:val="center"/>
            <w:hideMark/>
          </w:tcPr>
          <w:p w14:paraId="72DAC1F4" w14:textId="605D6D81"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58,67</w:t>
            </w:r>
          </w:p>
        </w:tc>
      </w:tr>
      <w:tr w:rsidR="00F15667" w:rsidRPr="00F15667" w14:paraId="55A108C8"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0517C5DB" w14:textId="77777777" w:rsidR="00AC5978" w:rsidRPr="00F15667" w:rsidRDefault="00AC5978" w:rsidP="00BD4804">
            <w:pPr>
              <w:spacing w:line="240" w:lineRule="auto"/>
              <w:jc w:val="left"/>
              <w:rPr>
                <w:rFonts w:eastAsia="Times New Roman"/>
                <w:szCs w:val="24"/>
                <w:lang w:eastAsia="cs-CZ"/>
              </w:rPr>
            </w:pPr>
            <w:r w:rsidRPr="00F15667">
              <w:rPr>
                <w:rFonts w:eastAsia="Times New Roman"/>
                <w:szCs w:val="24"/>
                <w:lang w:eastAsia="cs-CZ"/>
              </w:rPr>
              <w:t>KS Ústí n. Labem</w:t>
            </w:r>
          </w:p>
        </w:tc>
        <w:tc>
          <w:tcPr>
            <w:tcW w:w="1360" w:type="dxa"/>
            <w:tcBorders>
              <w:top w:val="nil"/>
              <w:left w:val="nil"/>
              <w:bottom w:val="single" w:sz="4" w:space="0" w:color="auto"/>
              <w:right w:val="nil"/>
            </w:tcBorders>
            <w:shd w:val="clear" w:color="auto" w:fill="auto"/>
            <w:noWrap/>
            <w:vAlign w:val="center"/>
            <w:hideMark/>
          </w:tcPr>
          <w:p w14:paraId="7C0E247E"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58</w:t>
            </w:r>
          </w:p>
        </w:tc>
        <w:tc>
          <w:tcPr>
            <w:tcW w:w="1360" w:type="dxa"/>
            <w:tcBorders>
              <w:top w:val="nil"/>
              <w:left w:val="nil"/>
              <w:bottom w:val="single" w:sz="4" w:space="0" w:color="auto"/>
              <w:right w:val="nil"/>
            </w:tcBorders>
            <w:shd w:val="clear" w:color="auto" w:fill="auto"/>
            <w:noWrap/>
            <w:vAlign w:val="center"/>
            <w:hideMark/>
          </w:tcPr>
          <w:p w14:paraId="459AEFFB"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55</w:t>
            </w:r>
          </w:p>
        </w:tc>
        <w:tc>
          <w:tcPr>
            <w:tcW w:w="1600" w:type="dxa"/>
            <w:tcBorders>
              <w:top w:val="nil"/>
              <w:left w:val="nil"/>
              <w:bottom w:val="single" w:sz="4" w:space="0" w:color="auto"/>
              <w:right w:val="nil"/>
            </w:tcBorders>
            <w:shd w:val="clear" w:color="auto" w:fill="auto"/>
            <w:noWrap/>
            <w:vAlign w:val="center"/>
            <w:hideMark/>
          </w:tcPr>
          <w:p w14:paraId="63F553E9" w14:textId="34F599BE"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51,33</w:t>
            </w:r>
          </w:p>
        </w:tc>
      </w:tr>
      <w:tr w:rsidR="00F15667" w:rsidRPr="00F15667" w14:paraId="6EBD3738"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1DDAB328" w14:textId="77777777" w:rsidR="00AC5978" w:rsidRPr="00F15667" w:rsidRDefault="00AC5978" w:rsidP="00BD4804">
            <w:pPr>
              <w:spacing w:line="240" w:lineRule="auto"/>
              <w:jc w:val="left"/>
              <w:rPr>
                <w:rFonts w:eastAsia="Times New Roman"/>
                <w:szCs w:val="24"/>
                <w:lang w:eastAsia="cs-CZ"/>
              </w:rPr>
            </w:pPr>
            <w:r w:rsidRPr="00F15667">
              <w:rPr>
                <w:rFonts w:eastAsia="Times New Roman"/>
                <w:szCs w:val="24"/>
                <w:lang w:eastAsia="cs-CZ"/>
              </w:rPr>
              <w:t>KS Hr. Králové</w:t>
            </w:r>
          </w:p>
        </w:tc>
        <w:tc>
          <w:tcPr>
            <w:tcW w:w="1360" w:type="dxa"/>
            <w:tcBorders>
              <w:top w:val="nil"/>
              <w:left w:val="nil"/>
              <w:bottom w:val="single" w:sz="4" w:space="0" w:color="auto"/>
              <w:right w:val="nil"/>
            </w:tcBorders>
            <w:shd w:val="clear" w:color="auto" w:fill="auto"/>
            <w:noWrap/>
            <w:vAlign w:val="center"/>
            <w:hideMark/>
          </w:tcPr>
          <w:p w14:paraId="6A17B87B"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33</w:t>
            </w:r>
          </w:p>
        </w:tc>
        <w:tc>
          <w:tcPr>
            <w:tcW w:w="1360" w:type="dxa"/>
            <w:tcBorders>
              <w:top w:val="nil"/>
              <w:left w:val="nil"/>
              <w:bottom w:val="single" w:sz="4" w:space="0" w:color="auto"/>
              <w:right w:val="nil"/>
            </w:tcBorders>
            <w:shd w:val="clear" w:color="auto" w:fill="auto"/>
            <w:noWrap/>
            <w:vAlign w:val="center"/>
            <w:hideMark/>
          </w:tcPr>
          <w:p w14:paraId="2B0D344E"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47</w:t>
            </w:r>
          </w:p>
        </w:tc>
        <w:tc>
          <w:tcPr>
            <w:tcW w:w="1600" w:type="dxa"/>
            <w:tcBorders>
              <w:top w:val="nil"/>
              <w:left w:val="nil"/>
              <w:bottom w:val="single" w:sz="4" w:space="0" w:color="auto"/>
              <w:right w:val="nil"/>
            </w:tcBorders>
            <w:shd w:val="clear" w:color="auto" w:fill="auto"/>
            <w:noWrap/>
            <w:vAlign w:val="center"/>
            <w:hideMark/>
          </w:tcPr>
          <w:p w14:paraId="349C6436" w14:textId="26133E65"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41,25</w:t>
            </w:r>
          </w:p>
        </w:tc>
      </w:tr>
      <w:tr w:rsidR="00F15667" w:rsidRPr="00F15667" w14:paraId="7E7DEFFC"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6BFC43BF" w14:textId="77777777" w:rsidR="00AC5978" w:rsidRPr="00F15667" w:rsidRDefault="00AC5978" w:rsidP="00BD4804">
            <w:pPr>
              <w:spacing w:line="240" w:lineRule="auto"/>
              <w:jc w:val="left"/>
              <w:rPr>
                <w:rFonts w:eastAsia="Times New Roman"/>
                <w:szCs w:val="24"/>
                <w:lang w:eastAsia="cs-CZ"/>
              </w:rPr>
            </w:pPr>
            <w:r w:rsidRPr="00F15667">
              <w:rPr>
                <w:rFonts w:eastAsia="Times New Roman"/>
                <w:szCs w:val="24"/>
                <w:lang w:eastAsia="cs-CZ"/>
              </w:rPr>
              <w:t>KS Brno</w:t>
            </w:r>
          </w:p>
        </w:tc>
        <w:tc>
          <w:tcPr>
            <w:tcW w:w="1360" w:type="dxa"/>
            <w:tcBorders>
              <w:top w:val="nil"/>
              <w:left w:val="nil"/>
              <w:bottom w:val="single" w:sz="4" w:space="0" w:color="auto"/>
              <w:right w:val="nil"/>
            </w:tcBorders>
            <w:shd w:val="clear" w:color="auto" w:fill="auto"/>
            <w:noWrap/>
            <w:vAlign w:val="center"/>
            <w:hideMark/>
          </w:tcPr>
          <w:p w14:paraId="47BFDF83"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73</w:t>
            </w:r>
          </w:p>
        </w:tc>
        <w:tc>
          <w:tcPr>
            <w:tcW w:w="1360" w:type="dxa"/>
            <w:tcBorders>
              <w:top w:val="nil"/>
              <w:left w:val="nil"/>
              <w:bottom w:val="single" w:sz="4" w:space="0" w:color="auto"/>
              <w:right w:val="nil"/>
            </w:tcBorders>
            <w:shd w:val="clear" w:color="auto" w:fill="auto"/>
            <w:noWrap/>
            <w:vAlign w:val="center"/>
            <w:hideMark/>
          </w:tcPr>
          <w:p w14:paraId="26EE7870"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82</w:t>
            </w:r>
          </w:p>
        </w:tc>
        <w:tc>
          <w:tcPr>
            <w:tcW w:w="1600" w:type="dxa"/>
            <w:tcBorders>
              <w:top w:val="nil"/>
              <w:left w:val="nil"/>
              <w:bottom w:val="single" w:sz="4" w:space="0" w:color="auto"/>
              <w:right w:val="nil"/>
            </w:tcBorders>
            <w:shd w:val="clear" w:color="auto" w:fill="auto"/>
            <w:noWrap/>
            <w:vAlign w:val="center"/>
            <w:hideMark/>
          </w:tcPr>
          <w:p w14:paraId="258F1DFB" w14:textId="7442935B"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47,10</w:t>
            </w:r>
          </w:p>
        </w:tc>
      </w:tr>
      <w:tr w:rsidR="00F15667" w:rsidRPr="00F15667" w14:paraId="049E7496" w14:textId="77777777" w:rsidTr="00BD4804">
        <w:trPr>
          <w:trHeight w:val="330"/>
        </w:trPr>
        <w:tc>
          <w:tcPr>
            <w:tcW w:w="2480" w:type="dxa"/>
            <w:tcBorders>
              <w:top w:val="nil"/>
              <w:left w:val="nil"/>
              <w:bottom w:val="double" w:sz="6" w:space="0" w:color="auto"/>
              <w:right w:val="nil"/>
            </w:tcBorders>
            <w:shd w:val="clear" w:color="auto" w:fill="auto"/>
            <w:noWrap/>
            <w:vAlign w:val="center"/>
            <w:hideMark/>
          </w:tcPr>
          <w:p w14:paraId="406C9387" w14:textId="77777777" w:rsidR="00AC5978" w:rsidRPr="00F15667" w:rsidRDefault="00AC5978" w:rsidP="00BD4804">
            <w:pPr>
              <w:spacing w:line="240" w:lineRule="auto"/>
              <w:jc w:val="left"/>
              <w:rPr>
                <w:rFonts w:eastAsia="Times New Roman"/>
                <w:szCs w:val="24"/>
                <w:lang w:eastAsia="cs-CZ"/>
              </w:rPr>
            </w:pPr>
            <w:r w:rsidRPr="00F15667">
              <w:rPr>
                <w:rFonts w:eastAsia="Times New Roman"/>
                <w:szCs w:val="24"/>
                <w:lang w:eastAsia="cs-CZ"/>
              </w:rPr>
              <w:t>KS Ostrava</w:t>
            </w:r>
          </w:p>
        </w:tc>
        <w:tc>
          <w:tcPr>
            <w:tcW w:w="1360" w:type="dxa"/>
            <w:tcBorders>
              <w:top w:val="nil"/>
              <w:left w:val="nil"/>
              <w:bottom w:val="double" w:sz="6" w:space="0" w:color="auto"/>
              <w:right w:val="nil"/>
            </w:tcBorders>
            <w:shd w:val="clear" w:color="auto" w:fill="auto"/>
            <w:noWrap/>
            <w:vAlign w:val="center"/>
            <w:hideMark/>
          </w:tcPr>
          <w:p w14:paraId="20647AFC"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79</w:t>
            </w:r>
          </w:p>
        </w:tc>
        <w:tc>
          <w:tcPr>
            <w:tcW w:w="1360" w:type="dxa"/>
            <w:tcBorders>
              <w:top w:val="nil"/>
              <w:left w:val="nil"/>
              <w:bottom w:val="double" w:sz="6" w:space="0" w:color="auto"/>
              <w:right w:val="nil"/>
            </w:tcBorders>
            <w:shd w:val="clear" w:color="auto" w:fill="auto"/>
            <w:noWrap/>
            <w:vAlign w:val="center"/>
            <w:hideMark/>
          </w:tcPr>
          <w:p w14:paraId="49CEE053" w14:textId="77777777"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66</w:t>
            </w:r>
          </w:p>
        </w:tc>
        <w:tc>
          <w:tcPr>
            <w:tcW w:w="1600" w:type="dxa"/>
            <w:tcBorders>
              <w:top w:val="nil"/>
              <w:left w:val="nil"/>
              <w:bottom w:val="double" w:sz="6" w:space="0" w:color="auto"/>
              <w:right w:val="nil"/>
            </w:tcBorders>
            <w:shd w:val="clear" w:color="auto" w:fill="auto"/>
            <w:noWrap/>
            <w:vAlign w:val="center"/>
            <w:hideMark/>
          </w:tcPr>
          <w:p w14:paraId="2080B4A2" w14:textId="02864C51" w:rsidR="00AC5978" w:rsidRPr="00F15667" w:rsidRDefault="00AC5978" w:rsidP="00BD4804">
            <w:pPr>
              <w:spacing w:line="240" w:lineRule="auto"/>
              <w:jc w:val="center"/>
              <w:rPr>
                <w:rFonts w:eastAsia="Times New Roman"/>
                <w:szCs w:val="24"/>
                <w:lang w:eastAsia="cs-CZ"/>
              </w:rPr>
            </w:pPr>
            <w:r w:rsidRPr="00F15667">
              <w:rPr>
                <w:rFonts w:eastAsia="Times New Roman"/>
                <w:szCs w:val="24"/>
                <w:lang w:eastAsia="cs-CZ"/>
              </w:rPr>
              <w:t>54,48</w:t>
            </w:r>
          </w:p>
        </w:tc>
      </w:tr>
      <w:tr w:rsidR="00F15667" w:rsidRPr="00F15667" w14:paraId="60FA97FB" w14:textId="77777777" w:rsidTr="00BD4804">
        <w:trPr>
          <w:trHeight w:val="345"/>
        </w:trPr>
        <w:tc>
          <w:tcPr>
            <w:tcW w:w="2480" w:type="dxa"/>
            <w:tcBorders>
              <w:top w:val="nil"/>
              <w:left w:val="nil"/>
              <w:bottom w:val="double" w:sz="6" w:space="0" w:color="auto"/>
              <w:right w:val="nil"/>
            </w:tcBorders>
            <w:shd w:val="clear" w:color="auto" w:fill="auto"/>
            <w:noWrap/>
            <w:vAlign w:val="center"/>
            <w:hideMark/>
          </w:tcPr>
          <w:p w14:paraId="4DEB47C7" w14:textId="77777777" w:rsidR="00AC5978" w:rsidRPr="00F15667" w:rsidRDefault="00AC5978" w:rsidP="00BD480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360" w:type="dxa"/>
            <w:tcBorders>
              <w:top w:val="nil"/>
              <w:left w:val="nil"/>
              <w:bottom w:val="double" w:sz="6" w:space="0" w:color="auto"/>
              <w:right w:val="nil"/>
            </w:tcBorders>
            <w:shd w:val="clear" w:color="auto" w:fill="auto"/>
            <w:noWrap/>
            <w:vAlign w:val="center"/>
            <w:hideMark/>
          </w:tcPr>
          <w:p w14:paraId="562D7A5A" w14:textId="77777777" w:rsidR="00AC5978" w:rsidRPr="00F15667" w:rsidRDefault="00AC5978" w:rsidP="00BD4804">
            <w:pPr>
              <w:spacing w:line="240" w:lineRule="auto"/>
              <w:jc w:val="center"/>
              <w:rPr>
                <w:rFonts w:eastAsia="Times New Roman"/>
                <w:b/>
                <w:bCs/>
                <w:szCs w:val="24"/>
                <w:lang w:eastAsia="cs-CZ"/>
              </w:rPr>
            </w:pPr>
            <w:r w:rsidRPr="00F15667">
              <w:rPr>
                <w:rFonts w:eastAsia="Times New Roman"/>
                <w:b/>
                <w:bCs/>
                <w:szCs w:val="24"/>
                <w:lang w:eastAsia="cs-CZ"/>
              </w:rPr>
              <w:t>508</w:t>
            </w:r>
          </w:p>
        </w:tc>
        <w:tc>
          <w:tcPr>
            <w:tcW w:w="1360" w:type="dxa"/>
            <w:tcBorders>
              <w:top w:val="nil"/>
              <w:left w:val="nil"/>
              <w:bottom w:val="double" w:sz="6" w:space="0" w:color="auto"/>
              <w:right w:val="nil"/>
            </w:tcBorders>
            <w:shd w:val="clear" w:color="auto" w:fill="auto"/>
            <w:noWrap/>
            <w:vAlign w:val="center"/>
            <w:hideMark/>
          </w:tcPr>
          <w:p w14:paraId="29BBBF77" w14:textId="77777777" w:rsidR="00AC5978" w:rsidRPr="00F15667" w:rsidRDefault="00AC5978" w:rsidP="00BD4804">
            <w:pPr>
              <w:spacing w:line="240" w:lineRule="auto"/>
              <w:jc w:val="center"/>
              <w:rPr>
                <w:rFonts w:eastAsia="Times New Roman"/>
                <w:b/>
                <w:bCs/>
                <w:szCs w:val="24"/>
                <w:lang w:eastAsia="cs-CZ"/>
              </w:rPr>
            </w:pPr>
            <w:r w:rsidRPr="00F15667">
              <w:rPr>
                <w:rFonts w:eastAsia="Times New Roman"/>
                <w:b/>
                <w:bCs/>
                <w:szCs w:val="24"/>
                <w:lang w:eastAsia="cs-CZ"/>
              </w:rPr>
              <w:t>429</w:t>
            </w:r>
          </w:p>
        </w:tc>
        <w:tc>
          <w:tcPr>
            <w:tcW w:w="1600" w:type="dxa"/>
            <w:tcBorders>
              <w:top w:val="nil"/>
              <w:left w:val="nil"/>
              <w:bottom w:val="double" w:sz="6" w:space="0" w:color="auto"/>
              <w:right w:val="nil"/>
            </w:tcBorders>
            <w:shd w:val="clear" w:color="auto" w:fill="auto"/>
            <w:noWrap/>
            <w:vAlign w:val="center"/>
            <w:hideMark/>
          </w:tcPr>
          <w:p w14:paraId="22ACF9DF" w14:textId="7872BA7F" w:rsidR="00AC5978" w:rsidRPr="00F15667" w:rsidRDefault="00AC5978" w:rsidP="00BD4804">
            <w:pPr>
              <w:spacing w:line="240" w:lineRule="auto"/>
              <w:jc w:val="center"/>
              <w:rPr>
                <w:rFonts w:eastAsia="Times New Roman"/>
                <w:b/>
                <w:bCs/>
                <w:szCs w:val="24"/>
                <w:lang w:eastAsia="cs-CZ"/>
              </w:rPr>
            </w:pPr>
            <w:r w:rsidRPr="00F15667">
              <w:rPr>
                <w:rFonts w:eastAsia="Times New Roman"/>
                <w:b/>
                <w:bCs/>
                <w:szCs w:val="24"/>
                <w:lang w:eastAsia="cs-CZ"/>
              </w:rPr>
              <w:t>54,22</w:t>
            </w:r>
          </w:p>
        </w:tc>
      </w:tr>
      <w:tr w:rsidR="00F15667" w:rsidRPr="00F15667" w14:paraId="1D93FA1E" w14:textId="77777777" w:rsidTr="00BD4804">
        <w:trPr>
          <w:trHeight w:val="330"/>
        </w:trPr>
        <w:tc>
          <w:tcPr>
            <w:tcW w:w="2480" w:type="dxa"/>
            <w:tcBorders>
              <w:top w:val="nil"/>
              <w:left w:val="nil"/>
              <w:bottom w:val="nil"/>
              <w:right w:val="nil"/>
            </w:tcBorders>
            <w:shd w:val="clear" w:color="auto" w:fill="auto"/>
            <w:noWrap/>
            <w:vAlign w:val="center"/>
            <w:hideMark/>
          </w:tcPr>
          <w:p w14:paraId="08A56C53" w14:textId="77777777" w:rsidR="00AC5978" w:rsidRPr="00F15667" w:rsidRDefault="00AC5978" w:rsidP="00BD4804">
            <w:pPr>
              <w:spacing w:line="240" w:lineRule="auto"/>
              <w:jc w:val="center"/>
              <w:rPr>
                <w:rFonts w:eastAsia="Times New Roman"/>
                <w:b/>
                <w:bCs/>
                <w:szCs w:val="24"/>
                <w:lang w:eastAsia="cs-CZ"/>
              </w:rPr>
            </w:pPr>
          </w:p>
        </w:tc>
        <w:tc>
          <w:tcPr>
            <w:tcW w:w="1360" w:type="dxa"/>
            <w:tcBorders>
              <w:top w:val="nil"/>
              <w:left w:val="nil"/>
              <w:bottom w:val="nil"/>
              <w:right w:val="nil"/>
            </w:tcBorders>
            <w:shd w:val="clear" w:color="auto" w:fill="auto"/>
            <w:noWrap/>
            <w:vAlign w:val="center"/>
            <w:hideMark/>
          </w:tcPr>
          <w:p w14:paraId="4D397475" w14:textId="77777777" w:rsidR="00AC5978" w:rsidRPr="00F15667" w:rsidRDefault="00AC5978" w:rsidP="00BD4804">
            <w:pPr>
              <w:spacing w:line="240" w:lineRule="auto"/>
              <w:jc w:val="center"/>
              <w:rPr>
                <w:rFonts w:ascii="Times New Roman" w:eastAsia="Times New Roman" w:hAnsi="Times New Roman"/>
                <w:sz w:val="20"/>
                <w:szCs w:val="20"/>
                <w:lang w:eastAsia="cs-CZ"/>
              </w:rPr>
            </w:pPr>
          </w:p>
        </w:tc>
        <w:tc>
          <w:tcPr>
            <w:tcW w:w="1360" w:type="dxa"/>
            <w:tcBorders>
              <w:top w:val="nil"/>
              <w:left w:val="nil"/>
              <w:bottom w:val="nil"/>
              <w:right w:val="nil"/>
            </w:tcBorders>
            <w:shd w:val="clear" w:color="auto" w:fill="auto"/>
            <w:noWrap/>
            <w:vAlign w:val="center"/>
            <w:hideMark/>
          </w:tcPr>
          <w:p w14:paraId="30359135" w14:textId="77777777" w:rsidR="00AC5978" w:rsidRPr="00F15667" w:rsidRDefault="00AC5978" w:rsidP="00BD4804">
            <w:pPr>
              <w:spacing w:line="240" w:lineRule="auto"/>
              <w:jc w:val="center"/>
              <w:rPr>
                <w:rFonts w:ascii="Times New Roman" w:eastAsia="Times New Roman" w:hAnsi="Times New Roman"/>
                <w:sz w:val="20"/>
                <w:szCs w:val="20"/>
                <w:lang w:eastAsia="cs-CZ"/>
              </w:rPr>
            </w:pPr>
          </w:p>
        </w:tc>
        <w:tc>
          <w:tcPr>
            <w:tcW w:w="1600" w:type="dxa"/>
            <w:tcBorders>
              <w:top w:val="nil"/>
              <w:left w:val="nil"/>
              <w:bottom w:val="nil"/>
              <w:right w:val="nil"/>
            </w:tcBorders>
            <w:shd w:val="clear" w:color="auto" w:fill="auto"/>
            <w:noWrap/>
            <w:vAlign w:val="center"/>
            <w:hideMark/>
          </w:tcPr>
          <w:p w14:paraId="12107CE4" w14:textId="77777777" w:rsidR="00AC5978" w:rsidRPr="00F15667" w:rsidRDefault="00AC5978" w:rsidP="00BD4804">
            <w:pPr>
              <w:spacing w:line="240" w:lineRule="auto"/>
              <w:jc w:val="center"/>
              <w:rPr>
                <w:rFonts w:ascii="Times New Roman" w:eastAsia="Times New Roman" w:hAnsi="Times New Roman"/>
                <w:sz w:val="20"/>
                <w:szCs w:val="20"/>
                <w:lang w:eastAsia="cs-CZ"/>
              </w:rPr>
            </w:pPr>
          </w:p>
        </w:tc>
      </w:tr>
    </w:tbl>
    <w:p w14:paraId="2A0ABCA8" w14:textId="272B9472" w:rsidR="00AC5978" w:rsidRPr="00F15667" w:rsidRDefault="00AC5978" w:rsidP="00AC5978">
      <w:pPr>
        <w:pStyle w:val="OdstavecASR"/>
        <w:numPr>
          <w:ilvl w:val="0"/>
          <w:numId w:val="14"/>
        </w:numPr>
      </w:pPr>
      <w:r w:rsidRPr="00F15667">
        <w:t>Stejně jako u OS působí i u krajských soudů více soudkyň než soudců. Podíl žen je ale nižší než u okresních soudů (66,68 %, viz tabulka č. 2). Jak uvidíme níže, tento jev se dále prohlubuje s každým dalším stupněm soudní soustavy.</w:t>
      </w:r>
    </w:p>
    <w:p w14:paraId="78F44634" w14:textId="6410804B" w:rsidR="00AC5978" w:rsidRPr="00F15667" w:rsidRDefault="00AC5978" w:rsidP="00AC5978">
      <w:pPr>
        <w:pStyle w:val="OdstavecASR"/>
        <w:numPr>
          <w:ilvl w:val="0"/>
          <w:numId w:val="14"/>
        </w:numPr>
      </w:pPr>
      <w:r w:rsidRPr="00F15667">
        <w:t>Rozdíly mezi soudy jsou výrazně větší než u okresních soudů. Nejvyšší podíl žen mezi soudci má MS Praha (63 %) a nejnižší KS Hradec Králové (41 %), což je o 22 procentních bodů méně.</w:t>
      </w:r>
    </w:p>
    <w:p w14:paraId="4E363C8A" w14:textId="707727BF" w:rsidR="00AC5978" w:rsidRPr="00F15667" w:rsidRDefault="00AC5978" w:rsidP="00AC5978">
      <w:pPr>
        <w:pStyle w:val="OdstavecASR"/>
        <w:numPr>
          <w:ilvl w:val="0"/>
          <w:numId w:val="14"/>
        </w:numPr>
      </w:pPr>
      <w:r w:rsidRPr="00F15667">
        <w:t>Podíl žen v krajském soudnictví velmi zvolna klesá. V roce 2008 byl podíl žen kolem 60 %, v roce 2020 je již o šest procentních bodů nižší (v průběhu roku 2017 odešlo 10 soudkyň a přišlo 12 soudců krajských soudů, v roce 2018 odešly další 4 soudkyně a přibylo 10</w:t>
      </w:r>
      <w:r w:rsidR="00BD4804">
        <w:t> </w:t>
      </w:r>
      <w:r w:rsidRPr="00F15667">
        <w:t>nových soudců krajských soudů, v roce 2019 ubylo 10 soudkyň a přibyli 2 soudci a v roce 2020 ubyly 2 soudkyně a přibylo 5 soudců). Analýza příčin této skutečnosti by překročila rámec této zprávy. Tento trend se v roce 2021 zastavil, neboť přibylo 10 soudkyň a 1 soudce. V roce 2022 pak klesl počet žen i mužů. Zde je na místě zdůraznit, že stavy jsou vždy k 1.1.; později v daném roce se tedy čísla budou mírně lišit.</w:t>
      </w:r>
    </w:p>
    <w:p w14:paraId="62ED21EF" w14:textId="2B10D57D" w:rsidR="00AC5978" w:rsidRPr="00F15667" w:rsidRDefault="00AC5978" w:rsidP="00AC5978">
      <w:pPr>
        <w:pStyle w:val="Podnadpis"/>
        <w:numPr>
          <w:ilvl w:val="0"/>
          <w:numId w:val="0"/>
        </w:numPr>
        <w:rPr>
          <w:color w:val="auto"/>
        </w:rPr>
      </w:pPr>
      <w:bookmarkStart w:id="573" w:name="_Toc11135110"/>
      <w:bookmarkStart w:id="574" w:name="_Toc43841429"/>
      <w:bookmarkStart w:id="575" w:name="_Toc75952233"/>
      <w:bookmarkStart w:id="576" w:name="_Toc106106689"/>
      <w:bookmarkStart w:id="577" w:name="_Toc109802013"/>
      <w:bookmarkStart w:id="578" w:name="_Toc144104163"/>
      <w:bookmarkEnd w:id="562"/>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51</w:t>
      </w:r>
      <w:r w:rsidR="009A10E2" w:rsidRPr="00F15667">
        <w:rPr>
          <w:color w:val="auto"/>
        </w:rPr>
        <w:fldChar w:fldCharType="end"/>
      </w:r>
      <w:r w:rsidRPr="00F15667">
        <w:rPr>
          <w:color w:val="auto"/>
        </w:rPr>
        <w:t>: KS – věkové složení soudců v letech 2008–</w:t>
      </w:r>
      <w:bookmarkEnd w:id="573"/>
      <w:bookmarkEnd w:id="574"/>
      <w:bookmarkEnd w:id="575"/>
      <w:bookmarkEnd w:id="576"/>
      <w:bookmarkEnd w:id="577"/>
      <w:r w:rsidR="00E173B2" w:rsidRPr="00F15667">
        <w:rPr>
          <w:color w:val="auto"/>
        </w:rPr>
        <w:t>2022</w:t>
      </w:r>
      <w:bookmarkEnd w:id="578"/>
    </w:p>
    <w:p w14:paraId="40DB19C5" w14:textId="45B8C0AE" w:rsidR="000933DC" w:rsidRPr="00F15667" w:rsidRDefault="00AC5978" w:rsidP="00BD4804">
      <w:pPr>
        <w:pStyle w:val="OdstavecASR"/>
      </w:pPr>
      <w:r w:rsidRPr="00F15667">
        <w:rPr>
          <w:noProof/>
          <w:lang w:eastAsia="cs-CZ"/>
        </w:rPr>
        <w:drawing>
          <wp:inline distT="0" distB="0" distL="0" distR="0" wp14:anchorId="5174D073" wp14:editId="0C484CC6">
            <wp:extent cx="5029200" cy="3657600"/>
            <wp:effectExtent l="0" t="0" r="0" b="0"/>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47FEE44" w14:textId="74F9E7B5" w:rsidR="000933DC" w:rsidRPr="00F15667" w:rsidRDefault="000933DC" w:rsidP="000933DC">
      <w:pPr>
        <w:pStyle w:val="Podnadpis"/>
        <w:rPr>
          <w:color w:val="auto"/>
        </w:rPr>
      </w:pPr>
      <w:bookmarkStart w:id="579" w:name="_Toc75952341"/>
      <w:bookmarkStart w:id="580" w:name="_Toc106106799"/>
      <w:bookmarkStart w:id="581" w:name="_Toc109802122"/>
      <w:bookmarkStart w:id="582" w:name="_Toc144104279"/>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40</w:t>
      </w:r>
      <w:r w:rsidRPr="00F15667">
        <w:rPr>
          <w:noProof/>
          <w:color w:val="auto"/>
        </w:rPr>
        <w:fldChar w:fldCharType="end"/>
      </w:r>
      <w:r w:rsidRPr="00F15667">
        <w:rPr>
          <w:color w:val="auto"/>
        </w:rPr>
        <w:t>: KS – věková struktura soudců dle krajů</w:t>
      </w:r>
      <w:bookmarkEnd w:id="579"/>
      <w:bookmarkEnd w:id="580"/>
      <w:bookmarkEnd w:id="581"/>
      <w:bookmarkEnd w:id="582"/>
    </w:p>
    <w:tbl>
      <w:tblPr>
        <w:tblW w:w="7921" w:type="dxa"/>
        <w:tblLayout w:type="fixed"/>
        <w:tblCellMar>
          <w:left w:w="70" w:type="dxa"/>
          <w:right w:w="70" w:type="dxa"/>
        </w:tblCellMar>
        <w:tblLook w:val="04A0" w:firstRow="1" w:lastRow="0" w:firstColumn="1" w:lastColumn="0" w:noHBand="0" w:noVBand="1"/>
      </w:tblPr>
      <w:tblGrid>
        <w:gridCol w:w="2480"/>
        <w:gridCol w:w="1360"/>
        <w:gridCol w:w="1360"/>
        <w:gridCol w:w="1360"/>
        <w:gridCol w:w="1361"/>
      </w:tblGrid>
      <w:tr w:rsidR="00F15667" w:rsidRPr="00F15667" w14:paraId="1D65A0E5" w14:textId="77777777" w:rsidTr="00BD480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CA6224C" w14:textId="109D46CD" w:rsidR="000933DC" w:rsidRPr="00F15667" w:rsidRDefault="00BD4804" w:rsidP="00BD4804">
            <w:pPr>
              <w:spacing w:line="240" w:lineRule="auto"/>
              <w:jc w:val="center"/>
              <w:rPr>
                <w:rFonts w:eastAsia="Times New Roman"/>
                <w:b/>
                <w:bCs/>
                <w:szCs w:val="24"/>
                <w:lang w:eastAsia="cs-CZ"/>
              </w:rPr>
            </w:pPr>
            <w:r>
              <w:rPr>
                <w:rFonts w:eastAsia="Times New Roman"/>
                <w:b/>
                <w:bCs/>
                <w:szCs w:val="24"/>
                <w:lang w:eastAsia="cs-CZ"/>
              </w:rPr>
              <w:t>S</w:t>
            </w:r>
            <w:r w:rsidR="000933DC" w:rsidRPr="00F15667">
              <w:rPr>
                <w:rFonts w:eastAsia="Times New Roman"/>
                <w:b/>
                <w:bCs/>
                <w:szCs w:val="24"/>
                <w:lang w:eastAsia="cs-CZ"/>
              </w:rPr>
              <w:t>oud</w:t>
            </w:r>
          </w:p>
        </w:tc>
        <w:tc>
          <w:tcPr>
            <w:tcW w:w="5441" w:type="dxa"/>
            <w:gridSpan w:val="4"/>
            <w:tcBorders>
              <w:top w:val="double" w:sz="6" w:space="0" w:color="auto"/>
              <w:left w:val="nil"/>
              <w:bottom w:val="nil"/>
              <w:right w:val="nil"/>
            </w:tcBorders>
            <w:shd w:val="clear" w:color="auto" w:fill="auto"/>
            <w:noWrap/>
            <w:vAlign w:val="center"/>
            <w:hideMark/>
          </w:tcPr>
          <w:p w14:paraId="7C7E8949"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Podíl na celkovém počtu soudců dle věku</w:t>
            </w:r>
          </w:p>
        </w:tc>
      </w:tr>
      <w:tr w:rsidR="00F15667" w:rsidRPr="00F15667" w14:paraId="11A9192C" w14:textId="77777777" w:rsidTr="00BD4804">
        <w:trPr>
          <w:trHeight w:val="330"/>
        </w:trPr>
        <w:tc>
          <w:tcPr>
            <w:tcW w:w="2480" w:type="dxa"/>
            <w:vMerge/>
            <w:tcBorders>
              <w:top w:val="double" w:sz="6" w:space="0" w:color="auto"/>
              <w:left w:val="nil"/>
              <w:bottom w:val="double" w:sz="6" w:space="0" w:color="000000"/>
              <w:right w:val="nil"/>
            </w:tcBorders>
            <w:vAlign w:val="center"/>
            <w:hideMark/>
          </w:tcPr>
          <w:p w14:paraId="5EDA2FE8" w14:textId="77777777" w:rsidR="000933DC" w:rsidRPr="00F15667" w:rsidRDefault="000933DC" w:rsidP="00BD4804">
            <w:pPr>
              <w:spacing w:line="240" w:lineRule="auto"/>
              <w:jc w:val="center"/>
              <w:rPr>
                <w:rFonts w:eastAsia="Times New Roman"/>
                <w:b/>
                <w:bCs/>
                <w:szCs w:val="24"/>
                <w:lang w:eastAsia="cs-CZ"/>
              </w:rPr>
            </w:pPr>
          </w:p>
        </w:tc>
        <w:tc>
          <w:tcPr>
            <w:tcW w:w="1360" w:type="dxa"/>
            <w:tcBorders>
              <w:top w:val="nil"/>
              <w:left w:val="nil"/>
              <w:bottom w:val="double" w:sz="6" w:space="0" w:color="auto"/>
              <w:right w:val="nil"/>
            </w:tcBorders>
            <w:shd w:val="clear" w:color="auto" w:fill="auto"/>
            <w:noWrap/>
            <w:vAlign w:val="center"/>
            <w:hideMark/>
          </w:tcPr>
          <w:p w14:paraId="736CB264"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30 až 40 let</w:t>
            </w:r>
          </w:p>
        </w:tc>
        <w:tc>
          <w:tcPr>
            <w:tcW w:w="1360" w:type="dxa"/>
            <w:tcBorders>
              <w:top w:val="nil"/>
              <w:left w:val="nil"/>
              <w:bottom w:val="double" w:sz="6" w:space="0" w:color="auto"/>
              <w:right w:val="nil"/>
            </w:tcBorders>
            <w:shd w:val="clear" w:color="auto" w:fill="auto"/>
            <w:noWrap/>
            <w:vAlign w:val="center"/>
            <w:hideMark/>
          </w:tcPr>
          <w:p w14:paraId="2C04A1BD"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41 až 50 let</w:t>
            </w:r>
          </w:p>
        </w:tc>
        <w:tc>
          <w:tcPr>
            <w:tcW w:w="1360" w:type="dxa"/>
            <w:tcBorders>
              <w:top w:val="nil"/>
              <w:left w:val="nil"/>
              <w:bottom w:val="double" w:sz="6" w:space="0" w:color="auto"/>
              <w:right w:val="nil"/>
            </w:tcBorders>
            <w:shd w:val="clear" w:color="auto" w:fill="auto"/>
            <w:noWrap/>
            <w:vAlign w:val="center"/>
            <w:hideMark/>
          </w:tcPr>
          <w:p w14:paraId="48BD896E"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51 až 60 let</w:t>
            </w:r>
          </w:p>
        </w:tc>
        <w:tc>
          <w:tcPr>
            <w:tcW w:w="1361" w:type="dxa"/>
            <w:tcBorders>
              <w:top w:val="nil"/>
              <w:left w:val="nil"/>
              <w:bottom w:val="double" w:sz="6" w:space="0" w:color="auto"/>
              <w:right w:val="nil"/>
            </w:tcBorders>
            <w:shd w:val="clear" w:color="auto" w:fill="auto"/>
            <w:noWrap/>
            <w:vAlign w:val="center"/>
            <w:hideMark/>
          </w:tcPr>
          <w:p w14:paraId="2A4E1C86"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61 až 70 let</w:t>
            </w:r>
          </w:p>
        </w:tc>
      </w:tr>
      <w:tr w:rsidR="00F15667" w:rsidRPr="00F15667" w14:paraId="66862C74" w14:textId="77777777" w:rsidTr="00BD4804">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1F377452"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MS Praha</w:t>
            </w:r>
          </w:p>
        </w:tc>
        <w:tc>
          <w:tcPr>
            <w:tcW w:w="1360" w:type="dxa"/>
            <w:tcBorders>
              <w:top w:val="single" w:sz="4" w:space="0" w:color="auto"/>
              <w:left w:val="nil"/>
              <w:bottom w:val="single" w:sz="4" w:space="0" w:color="auto"/>
              <w:right w:val="nil"/>
            </w:tcBorders>
            <w:shd w:val="clear" w:color="auto" w:fill="auto"/>
            <w:noWrap/>
            <w:vAlign w:val="center"/>
            <w:hideMark/>
          </w:tcPr>
          <w:p w14:paraId="2D761E45" w14:textId="23DA7A55"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3,74</w:t>
            </w:r>
          </w:p>
        </w:tc>
        <w:tc>
          <w:tcPr>
            <w:tcW w:w="1360" w:type="dxa"/>
            <w:tcBorders>
              <w:top w:val="single" w:sz="4" w:space="0" w:color="auto"/>
              <w:left w:val="nil"/>
              <w:bottom w:val="single" w:sz="4" w:space="0" w:color="auto"/>
              <w:right w:val="nil"/>
            </w:tcBorders>
            <w:shd w:val="clear" w:color="auto" w:fill="auto"/>
            <w:noWrap/>
            <w:vAlign w:val="center"/>
            <w:hideMark/>
          </w:tcPr>
          <w:p w14:paraId="2774048D" w14:textId="32EA2ADA"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32,71</w:t>
            </w:r>
          </w:p>
        </w:tc>
        <w:tc>
          <w:tcPr>
            <w:tcW w:w="1360" w:type="dxa"/>
            <w:tcBorders>
              <w:top w:val="single" w:sz="4" w:space="0" w:color="auto"/>
              <w:left w:val="nil"/>
              <w:bottom w:val="single" w:sz="4" w:space="0" w:color="auto"/>
              <w:right w:val="nil"/>
            </w:tcBorders>
            <w:shd w:val="clear" w:color="auto" w:fill="auto"/>
            <w:noWrap/>
            <w:vAlign w:val="center"/>
            <w:hideMark/>
          </w:tcPr>
          <w:p w14:paraId="28DF53A4" w14:textId="6BD98575"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36,45</w:t>
            </w:r>
          </w:p>
        </w:tc>
        <w:tc>
          <w:tcPr>
            <w:tcW w:w="1361" w:type="dxa"/>
            <w:tcBorders>
              <w:top w:val="single" w:sz="4" w:space="0" w:color="auto"/>
              <w:left w:val="nil"/>
              <w:bottom w:val="single" w:sz="4" w:space="0" w:color="auto"/>
              <w:right w:val="nil"/>
            </w:tcBorders>
            <w:shd w:val="clear" w:color="auto" w:fill="auto"/>
            <w:noWrap/>
            <w:vAlign w:val="center"/>
            <w:hideMark/>
          </w:tcPr>
          <w:p w14:paraId="1A9879D2" w14:textId="7CB78E84"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27,10</w:t>
            </w:r>
          </w:p>
        </w:tc>
      </w:tr>
      <w:tr w:rsidR="00F15667" w:rsidRPr="00F15667" w14:paraId="6004937B"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44643CB3"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Praha</w:t>
            </w:r>
          </w:p>
        </w:tc>
        <w:tc>
          <w:tcPr>
            <w:tcW w:w="1360" w:type="dxa"/>
            <w:tcBorders>
              <w:top w:val="nil"/>
              <w:left w:val="nil"/>
              <w:bottom w:val="single" w:sz="4" w:space="0" w:color="auto"/>
              <w:right w:val="nil"/>
            </w:tcBorders>
            <w:shd w:val="clear" w:color="auto" w:fill="auto"/>
            <w:noWrap/>
            <w:vAlign w:val="center"/>
            <w:hideMark/>
          </w:tcPr>
          <w:p w14:paraId="547981B5" w14:textId="34A5E175"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15,69</w:t>
            </w:r>
          </w:p>
        </w:tc>
        <w:tc>
          <w:tcPr>
            <w:tcW w:w="1360" w:type="dxa"/>
            <w:tcBorders>
              <w:top w:val="nil"/>
              <w:left w:val="nil"/>
              <w:bottom w:val="single" w:sz="4" w:space="0" w:color="auto"/>
              <w:right w:val="nil"/>
            </w:tcBorders>
            <w:shd w:val="clear" w:color="auto" w:fill="auto"/>
            <w:noWrap/>
            <w:vAlign w:val="center"/>
            <w:hideMark/>
          </w:tcPr>
          <w:p w14:paraId="5471DF0F" w14:textId="203610BE"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29,41</w:t>
            </w:r>
          </w:p>
        </w:tc>
        <w:tc>
          <w:tcPr>
            <w:tcW w:w="1360" w:type="dxa"/>
            <w:tcBorders>
              <w:top w:val="nil"/>
              <w:left w:val="nil"/>
              <w:bottom w:val="single" w:sz="4" w:space="0" w:color="auto"/>
              <w:right w:val="nil"/>
            </w:tcBorders>
            <w:shd w:val="clear" w:color="auto" w:fill="auto"/>
            <w:noWrap/>
            <w:vAlign w:val="center"/>
            <w:hideMark/>
          </w:tcPr>
          <w:p w14:paraId="2F872847" w14:textId="3D6EC32D"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33,33</w:t>
            </w:r>
          </w:p>
        </w:tc>
        <w:tc>
          <w:tcPr>
            <w:tcW w:w="1361" w:type="dxa"/>
            <w:tcBorders>
              <w:top w:val="nil"/>
              <w:left w:val="nil"/>
              <w:bottom w:val="single" w:sz="4" w:space="0" w:color="auto"/>
              <w:right w:val="nil"/>
            </w:tcBorders>
            <w:shd w:val="clear" w:color="auto" w:fill="auto"/>
            <w:noWrap/>
            <w:vAlign w:val="center"/>
            <w:hideMark/>
          </w:tcPr>
          <w:p w14:paraId="6F20FFDC" w14:textId="58517A60"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21,57</w:t>
            </w:r>
          </w:p>
        </w:tc>
      </w:tr>
      <w:tr w:rsidR="00F15667" w:rsidRPr="00F15667" w14:paraId="2011E186"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2A9AB991"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Č. Budějovice</w:t>
            </w:r>
          </w:p>
        </w:tc>
        <w:tc>
          <w:tcPr>
            <w:tcW w:w="1360" w:type="dxa"/>
            <w:tcBorders>
              <w:top w:val="nil"/>
              <w:left w:val="nil"/>
              <w:bottom w:val="single" w:sz="4" w:space="0" w:color="auto"/>
              <w:right w:val="nil"/>
            </w:tcBorders>
            <w:shd w:val="clear" w:color="auto" w:fill="auto"/>
            <w:noWrap/>
            <w:vAlign w:val="center"/>
            <w:hideMark/>
          </w:tcPr>
          <w:p w14:paraId="0CCDA806" w14:textId="071090DA"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9,43</w:t>
            </w:r>
          </w:p>
        </w:tc>
        <w:tc>
          <w:tcPr>
            <w:tcW w:w="1360" w:type="dxa"/>
            <w:tcBorders>
              <w:top w:val="nil"/>
              <w:left w:val="nil"/>
              <w:bottom w:val="single" w:sz="4" w:space="0" w:color="auto"/>
              <w:right w:val="nil"/>
            </w:tcBorders>
            <w:shd w:val="clear" w:color="auto" w:fill="auto"/>
            <w:noWrap/>
            <w:vAlign w:val="center"/>
            <w:hideMark/>
          </w:tcPr>
          <w:p w14:paraId="48B3B86F" w14:textId="6AF5848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30,19</w:t>
            </w:r>
          </w:p>
        </w:tc>
        <w:tc>
          <w:tcPr>
            <w:tcW w:w="1360" w:type="dxa"/>
            <w:tcBorders>
              <w:top w:val="nil"/>
              <w:left w:val="nil"/>
              <w:bottom w:val="single" w:sz="4" w:space="0" w:color="auto"/>
              <w:right w:val="nil"/>
            </w:tcBorders>
            <w:shd w:val="clear" w:color="auto" w:fill="auto"/>
            <w:noWrap/>
            <w:vAlign w:val="center"/>
            <w:hideMark/>
          </w:tcPr>
          <w:p w14:paraId="31B75464" w14:textId="1BADD1E2"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32,08</w:t>
            </w:r>
          </w:p>
        </w:tc>
        <w:tc>
          <w:tcPr>
            <w:tcW w:w="1361" w:type="dxa"/>
            <w:tcBorders>
              <w:top w:val="nil"/>
              <w:left w:val="nil"/>
              <w:bottom w:val="single" w:sz="4" w:space="0" w:color="auto"/>
              <w:right w:val="nil"/>
            </w:tcBorders>
            <w:shd w:val="clear" w:color="auto" w:fill="auto"/>
            <w:noWrap/>
            <w:vAlign w:val="center"/>
            <w:hideMark/>
          </w:tcPr>
          <w:p w14:paraId="612D408A" w14:textId="654DC36C"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28,30</w:t>
            </w:r>
          </w:p>
        </w:tc>
      </w:tr>
      <w:tr w:rsidR="00F15667" w:rsidRPr="00F15667" w14:paraId="030AD43C"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6905A107"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Plzeň</w:t>
            </w:r>
          </w:p>
        </w:tc>
        <w:tc>
          <w:tcPr>
            <w:tcW w:w="1360" w:type="dxa"/>
            <w:tcBorders>
              <w:top w:val="nil"/>
              <w:left w:val="nil"/>
              <w:bottom w:val="single" w:sz="4" w:space="0" w:color="auto"/>
              <w:right w:val="nil"/>
            </w:tcBorders>
            <w:shd w:val="clear" w:color="auto" w:fill="auto"/>
            <w:noWrap/>
            <w:vAlign w:val="center"/>
            <w:hideMark/>
          </w:tcPr>
          <w:p w14:paraId="17FF7119" w14:textId="383599B1"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4,00</w:t>
            </w:r>
          </w:p>
        </w:tc>
        <w:tc>
          <w:tcPr>
            <w:tcW w:w="1360" w:type="dxa"/>
            <w:tcBorders>
              <w:top w:val="nil"/>
              <w:left w:val="nil"/>
              <w:bottom w:val="single" w:sz="4" w:space="0" w:color="auto"/>
              <w:right w:val="nil"/>
            </w:tcBorders>
            <w:shd w:val="clear" w:color="auto" w:fill="auto"/>
            <w:noWrap/>
            <w:vAlign w:val="center"/>
            <w:hideMark/>
          </w:tcPr>
          <w:p w14:paraId="3DA2809B" w14:textId="281DE09E"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34,67</w:t>
            </w:r>
          </w:p>
        </w:tc>
        <w:tc>
          <w:tcPr>
            <w:tcW w:w="1360" w:type="dxa"/>
            <w:tcBorders>
              <w:top w:val="nil"/>
              <w:left w:val="nil"/>
              <w:bottom w:val="single" w:sz="4" w:space="0" w:color="auto"/>
              <w:right w:val="nil"/>
            </w:tcBorders>
            <w:shd w:val="clear" w:color="auto" w:fill="auto"/>
            <w:noWrap/>
            <w:vAlign w:val="center"/>
            <w:hideMark/>
          </w:tcPr>
          <w:p w14:paraId="1E2CA0D0" w14:textId="10DDE4F9"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36,00</w:t>
            </w:r>
          </w:p>
        </w:tc>
        <w:tc>
          <w:tcPr>
            <w:tcW w:w="1361" w:type="dxa"/>
            <w:tcBorders>
              <w:top w:val="nil"/>
              <w:left w:val="nil"/>
              <w:bottom w:val="single" w:sz="4" w:space="0" w:color="auto"/>
              <w:right w:val="nil"/>
            </w:tcBorders>
            <w:shd w:val="clear" w:color="auto" w:fill="auto"/>
            <w:noWrap/>
            <w:vAlign w:val="center"/>
            <w:hideMark/>
          </w:tcPr>
          <w:p w14:paraId="3122119F" w14:textId="16CC614E"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25,33</w:t>
            </w:r>
          </w:p>
        </w:tc>
      </w:tr>
      <w:tr w:rsidR="00F15667" w:rsidRPr="00F15667" w14:paraId="2A21E268"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517CC29C"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Ústí n. Labem</w:t>
            </w:r>
          </w:p>
        </w:tc>
        <w:tc>
          <w:tcPr>
            <w:tcW w:w="1360" w:type="dxa"/>
            <w:tcBorders>
              <w:top w:val="nil"/>
              <w:left w:val="nil"/>
              <w:bottom w:val="single" w:sz="4" w:space="0" w:color="auto"/>
              <w:right w:val="nil"/>
            </w:tcBorders>
            <w:shd w:val="clear" w:color="auto" w:fill="auto"/>
            <w:noWrap/>
            <w:vAlign w:val="center"/>
            <w:hideMark/>
          </w:tcPr>
          <w:p w14:paraId="3A42B916" w14:textId="3E167779"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5,31</w:t>
            </w:r>
          </w:p>
        </w:tc>
        <w:tc>
          <w:tcPr>
            <w:tcW w:w="1360" w:type="dxa"/>
            <w:tcBorders>
              <w:top w:val="nil"/>
              <w:left w:val="nil"/>
              <w:bottom w:val="single" w:sz="4" w:space="0" w:color="auto"/>
              <w:right w:val="nil"/>
            </w:tcBorders>
            <w:shd w:val="clear" w:color="auto" w:fill="auto"/>
            <w:noWrap/>
            <w:vAlign w:val="center"/>
            <w:hideMark/>
          </w:tcPr>
          <w:p w14:paraId="2CC34661" w14:textId="2AFF5ADF"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51,33</w:t>
            </w:r>
          </w:p>
        </w:tc>
        <w:tc>
          <w:tcPr>
            <w:tcW w:w="1360" w:type="dxa"/>
            <w:tcBorders>
              <w:top w:val="nil"/>
              <w:left w:val="nil"/>
              <w:bottom w:val="single" w:sz="4" w:space="0" w:color="auto"/>
              <w:right w:val="nil"/>
            </w:tcBorders>
            <w:shd w:val="clear" w:color="auto" w:fill="auto"/>
            <w:noWrap/>
            <w:vAlign w:val="center"/>
            <w:hideMark/>
          </w:tcPr>
          <w:p w14:paraId="5A6FB25B" w14:textId="4606E63F"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29,20</w:t>
            </w:r>
          </w:p>
        </w:tc>
        <w:tc>
          <w:tcPr>
            <w:tcW w:w="1361" w:type="dxa"/>
            <w:tcBorders>
              <w:top w:val="nil"/>
              <w:left w:val="nil"/>
              <w:bottom w:val="single" w:sz="4" w:space="0" w:color="auto"/>
              <w:right w:val="nil"/>
            </w:tcBorders>
            <w:shd w:val="clear" w:color="auto" w:fill="auto"/>
            <w:noWrap/>
            <w:vAlign w:val="center"/>
            <w:hideMark/>
          </w:tcPr>
          <w:p w14:paraId="0A1A32F7" w14:textId="70FFCC03"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14,16</w:t>
            </w:r>
          </w:p>
        </w:tc>
      </w:tr>
      <w:tr w:rsidR="00F15667" w:rsidRPr="00F15667" w14:paraId="413E6918"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70F77DDB"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Hr. Králové</w:t>
            </w:r>
          </w:p>
        </w:tc>
        <w:tc>
          <w:tcPr>
            <w:tcW w:w="1360" w:type="dxa"/>
            <w:tcBorders>
              <w:top w:val="nil"/>
              <w:left w:val="nil"/>
              <w:bottom w:val="single" w:sz="4" w:space="0" w:color="auto"/>
              <w:right w:val="nil"/>
            </w:tcBorders>
            <w:shd w:val="clear" w:color="auto" w:fill="auto"/>
            <w:noWrap/>
            <w:vAlign w:val="center"/>
            <w:hideMark/>
          </w:tcPr>
          <w:p w14:paraId="61A41EBC" w14:textId="32D69522"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5,06</w:t>
            </w:r>
          </w:p>
        </w:tc>
        <w:tc>
          <w:tcPr>
            <w:tcW w:w="1360" w:type="dxa"/>
            <w:tcBorders>
              <w:top w:val="nil"/>
              <w:left w:val="nil"/>
              <w:bottom w:val="single" w:sz="4" w:space="0" w:color="auto"/>
              <w:right w:val="nil"/>
            </w:tcBorders>
            <w:shd w:val="clear" w:color="auto" w:fill="auto"/>
            <w:noWrap/>
            <w:vAlign w:val="center"/>
            <w:hideMark/>
          </w:tcPr>
          <w:p w14:paraId="703C0CF4" w14:textId="1C65ABF3"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29,11</w:t>
            </w:r>
          </w:p>
        </w:tc>
        <w:tc>
          <w:tcPr>
            <w:tcW w:w="1360" w:type="dxa"/>
            <w:tcBorders>
              <w:top w:val="nil"/>
              <w:left w:val="nil"/>
              <w:bottom w:val="single" w:sz="4" w:space="0" w:color="auto"/>
              <w:right w:val="nil"/>
            </w:tcBorders>
            <w:shd w:val="clear" w:color="auto" w:fill="auto"/>
            <w:noWrap/>
            <w:vAlign w:val="center"/>
            <w:hideMark/>
          </w:tcPr>
          <w:p w14:paraId="4AC9D3BE" w14:textId="37B4BA8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43,04</w:t>
            </w:r>
          </w:p>
        </w:tc>
        <w:tc>
          <w:tcPr>
            <w:tcW w:w="1361" w:type="dxa"/>
            <w:tcBorders>
              <w:top w:val="nil"/>
              <w:left w:val="nil"/>
              <w:bottom w:val="single" w:sz="4" w:space="0" w:color="auto"/>
              <w:right w:val="nil"/>
            </w:tcBorders>
            <w:shd w:val="clear" w:color="auto" w:fill="auto"/>
            <w:noWrap/>
            <w:vAlign w:val="center"/>
            <w:hideMark/>
          </w:tcPr>
          <w:p w14:paraId="3BCCF777" w14:textId="4B6F2B4C"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22,78</w:t>
            </w:r>
          </w:p>
        </w:tc>
      </w:tr>
      <w:tr w:rsidR="00F15667" w:rsidRPr="00F15667" w14:paraId="746C01BC" w14:textId="77777777" w:rsidTr="00BD4804">
        <w:trPr>
          <w:trHeight w:val="315"/>
        </w:trPr>
        <w:tc>
          <w:tcPr>
            <w:tcW w:w="2480" w:type="dxa"/>
            <w:tcBorders>
              <w:top w:val="nil"/>
              <w:left w:val="nil"/>
              <w:bottom w:val="single" w:sz="4" w:space="0" w:color="auto"/>
              <w:right w:val="nil"/>
            </w:tcBorders>
            <w:shd w:val="clear" w:color="auto" w:fill="auto"/>
            <w:noWrap/>
            <w:vAlign w:val="center"/>
            <w:hideMark/>
          </w:tcPr>
          <w:p w14:paraId="1252A7E5"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Brno</w:t>
            </w:r>
          </w:p>
        </w:tc>
        <w:tc>
          <w:tcPr>
            <w:tcW w:w="1360" w:type="dxa"/>
            <w:tcBorders>
              <w:top w:val="nil"/>
              <w:left w:val="nil"/>
              <w:bottom w:val="single" w:sz="4" w:space="0" w:color="auto"/>
              <w:right w:val="nil"/>
            </w:tcBorders>
            <w:shd w:val="clear" w:color="auto" w:fill="auto"/>
            <w:noWrap/>
            <w:vAlign w:val="center"/>
            <w:hideMark/>
          </w:tcPr>
          <w:p w14:paraId="07FFBE6F" w14:textId="6CDCC6A3"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7,74</w:t>
            </w:r>
          </w:p>
        </w:tc>
        <w:tc>
          <w:tcPr>
            <w:tcW w:w="1360" w:type="dxa"/>
            <w:tcBorders>
              <w:top w:val="nil"/>
              <w:left w:val="nil"/>
              <w:bottom w:val="single" w:sz="4" w:space="0" w:color="auto"/>
              <w:right w:val="nil"/>
            </w:tcBorders>
            <w:shd w:val="clear" w:color="auto" w:fill="auto"/>
            <w:noWrap/>
            <w:vAlign w:val="center"/>
            <w:hideMark/>
          </w:tcPr>
          <w:p w14:paraId="79394B50" w14:textId="3718842B"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32,26</w:t>
            </w:r>
          </w:p>
        </w:tc>
        <w:tc>
          <w:tcPr>
            <w:tcW w:w="1360" w:type="dxa"/>
            <w:tcBorders>
              <w:top w:val="nil"/>
              <w:left w:val="nil"/>
              <w:bottom w:val="single" w:sz="4" w:space="0" w:color="auto"/>
              <w:right w:val="nil"/>
            </w:tcBorders>
            <w:shd w:val="clear" w:color="auto" w:fill="auto"/>
            <w:noWrap/>
            <w:vAlign w:val="center"/>
            <w:hideMark/>
          </w:tcPr>
          <w:p w14:paraId="260B3599" w14:textId="2497B352"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39,35</w:t>
            </w:r>
          </w:p>
        </w:tc>
        <w:tc>
          <w:tcPr>
            <w:tcW w:w="1361" w:type="dxa"/>
            <w:tcBorders>
              <w:top w:val="nil"/>
              <w:left w:val="nil"/>
              <w:bottom w:val="single" w:sz="4" w:space="0" w:color="auto"/>
              <w:right w:val="nil"/>
            </w:tcBorders>
            <w:shd w:val="clear" w:color="auto" w:fill="auto"/>
            <w:noWrap/>
            <w:vAlign w:val="center"/>
            <w:hideMark/>
          </w:tcPr>
          <w:p w14:paraId="1713FA0A" w14:textId="7085702A"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20,65</w:t>
            </w:r>
          </w:p>
        </w:tc>
      </w:tr>
      <w:tr w:rsidR="00F15667" w:rsidRPr="00F15667" w14:paraId="1BA2F25D" w14:textId="77777777" w:rsidTr="00BD4804">
        <w:trPr>
          <w:trHeight w:val="330"/>
        </w:trPr>
        <w:tc>
          <w:tcPr>
            <w:tcW w:w="2480" w:type="dxa"/>
            <w:tcBorders>
              <w:top w:val="nil"/>
              <w:left w:val="nil"/>
              <w:bottom w:val="double" w:sz="6" w:space="0" w:color="auto"/>
              <w:right w:val="nil"/>
            </w:tcBorders>
            <w:shd w:val="clear" w:color="auto" w:fill="auto"/>
            <w:noWrap/>
            <w:vAlign w:val="center"/>
            <w:hideMark/>
          </w:tcPr>
          <w:p w14:paraId="6E8B7AA9"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Ostrava</w:t>
            </w:r>
          </w:p>
        </w:tc>
        <w:tc>
          <w:tcPr>
            <w:tcW w:w="1360" w:type="dxa"/>
            <w:tcBorders>
              <w:top w:val="nil"/>
              <w:left w:val="nil"/>
              <w:bottom w:val="double" w:sz="6" w:space="0" w:color="auto"/>
              <w:right w:val="nil"/>
            </w:tcBorders>
            <w:shd w:val="clear" w:color="auto" w:fill="auto"/>
            <w:noWrap/>
            <w:vAlign w:val="center"/>
            <w:hideMark/>
          </w:tcPr>
          <w:p w14:paraId="77ED9EDA" w14:textId="39C63A7A"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4,83</w:t>
            </w:r>
          </w:p>
        </w:tc>
        <w:tc>
          <w:tcPr>
            <w:tcW w:w="1360" w:type="dxa"/>
            <w:tcBorders>
              <w:top w:val="nil"/>
              <w:left w:val="nil"/>
              <w:bottom w:val="double" w:sz="6" w:space="0" w:color="auto"/>
              <w:right w:val="nil"/>
            </w:tcBorders>
            <w:shd w:val="clear" w:color="auto" w:fill="auto"/>
            <w:noWrap/>
            <w:vAlign w:val="center"/>
            <w:hideMark/>
          </w:tcPr>
          <w:p w14:paraId="71F3FBF7" w14:textId="11006DC4"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42,76</w:t>
            </w:r>
          </w:p>
        </w:tc>
        <w:tc>
          <w:tcPr>
            <w:tcW w:w="1360" w:type="dxa"/>
            <w:tcBorders>
              <w:top w:val="nil"/>
              <w:left w:val="nil"/>
              <w:bottom w:val="double" w:sz="6" w:space="0" w:color="auto"/>
              <w:right w:val="nil"/>
            </w:tcBorders>
            <w:shd w:val="clear" w:color="auto" w:fill="auto"/>
            <w:noWrap/>
            <w:vAlign w:val="center"/>
            <w:hideMark/>
          </w:tcPr>
          <w:p w14:paraId="38162CCA" w14:textId="36F24C7A"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35,86</w:t>
            </w:r>
          </w:p>
        </w:tc>
        <w:tc>
          <w:tcPr>
            <w:tcW w:w="1361" w:type="dxa"/>
            <w:tcBorders>
              <w:top w:val="nil"/>
              <w:left w:val="nil"/>
              <w:bottom w:val="double" w:sz="6" w:space="0" w:color="auto"/>
              <w:right w:val="nil"/>
            </w:tcBorders>
            <w:shd w:val="clear" w:color="auto" w:fill="auto"/>
            <w:noWrap/>
            <w:vAlign w:val="center"/>
            <w:hideMark/>
          </w:tcPr>
          <w:p w14:paraId="45C1172D" w14:textId="4C2A3AB3"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16,55</w:t>
            </w:r>
          </w:p>
        </w:tc>
      </w:tr>
      <w:tr w:rsidR="00F15667" w:rsidRPr="00F15667" w14:paraId="00A5F021" w14:textId="77777777" w:rsidTr="00BD4804">
        <w:trPr>
          <w:trHeight w:val="345"/>
        </w:trPr>
        <w:tc>
          <w:tcPr>
            <w:tcW w:w="2480" w:type="dxa"/>
            <w:tcBorders>
              <w:top w:val="nil"/>
              <w:left w:val="nil"/>
              <w:bottom w:val="double" w:sz="6" w:space="0" w:color="auto"/>
              <w:right w:val="nil"/>
            </w:tcBorders>
            <w:shd w:val="clear" w:color="auto" w:fill="auto"/>
            <w:noWrap/>
            <w:vAlign w:val="center"/>
            <w:hideMark/>
          </w:tcPr>
          <w:p w14:paraId="5538AB88" w14:textId="77777777" w:rsidR="000933DC" w:rsidRPr="00F15667" w:rsidRDefault="000933DC" w:rsidP="00BD480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360" w:type="dxa"/>
            <w:tcBorders>
              <w:top w:val="nil"/>
              <w:left w:val="nil"/>
              <w:bottom w:val="double" w:sz="6" w:space="0" w:color="auto"/>
              <w:right w:val="nil"/>
            </w:tcBorders>
            <w:shd w:val="clear" w:color="auto" w:fill="auto"/>
            <w:noWrap/>
            <w:vAlign w:val="center"/>
            <w:hideMark/>
          </w:tcPr>
          <w:p w14:paraId="7A1960C3" w14:textId="1C32FB29"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6,52</w:t>
            </w:r>
          </w:p>
        </w:tc>
        <w:tc>
          <w:tcPr>
            <w:tcW w:w="1360" w:type="dxa"/>
            <w:tcBorders>
              <w:top w:val="nil"/>
              <w:left w:val="nil"/>
              <w:bottom w:val="double" w:sz="6" w:space="0" w:color="auto"/>
              <w:right w:val="nil"/>
            </w:tcBorders>
            <w:shd w:val="clear" w:color="auto" w:fill="auto"/>
            <w:noWrap/>
            <w:vAlign w:val="center"/>
            <w:hideMark/>
          </w:tcPr>
          <w:p w14:paraId="3AA2094F" w14:textId="497937C3"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35,79</w:t>
            </w:r>
          </w:p>
        </w:tc>
        <w:tc>
          <w:tcPr>
            <w:tcW w:w="1360" w:type="dxa"/>
            <w:tcBorders>
              <w:top w:val="nil"/>
              <w:left w:val="nil"/>
              <w:bottom w:val="double" w:sz="6" w:space="0" w:color="auto"/>
              <w:right w:val="nil"/>
            </w:tcBorders>
            <w:shd w:val="clear" w:color="auto" w:fill="auto"/>
            <w:noWrap/>
            <w:vAlign w:val="center"/>
            <w:hideMark/>
          </w:tcPr>
          <w:p w14:paraId="754BE7E6" w14:textId="6DC8EA8E"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35,90</w:t>
            </w:r>
          </w:p>
        </w:tc>
        <w:tc>
          <w:tcPr>
            <w:tcW w:w="1361" w:type="dxa"/>
            <w:tcBorders>
              <w:top w:val="nil"/>
              <w:left w:val="nil"/>
              <w:bottom w:val="double" w:sz="6" w:space="0" w:color="auto"/>
              <w:right w:val="nil"/>
            </w:tcBorders>
            <w:shd w:val="clear" w:color="auto" w:fill="auto"/>
            <w:noWrap/>
            <w:vAlign w:val="center"/>
            <w:hideMark/>
          </w:tcPr>
          <w:p w14:paraId="7C0C5857" w14:textId="27E1BC34"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21,79</w:t>
            </w:r>
          </w:p>
        </w:tc>
      </w:tr>
      <w:tr w:rsidR="00F15667" w:rsidRPr="00F15667" w14:paraId="4F39C324" w14:textId="77777777" w:rsidTr="00BD4804">
        <w:trPr>
          <w:trHeight w:val="330"/>
        </w:trPr>
        <w:tc>
          <w:tcPr>
            <w:tcW w:w="2480" w:type="dxa"/>
            <w:tcBorders>
              <w:top w:val="nil"/>
              <w:left w:val="nil"/>
              <w:bottom w:val="nil"/>
              <w:right w:val="nil"/>
            </w:tcBorders>
            <w:shd w:val="clear" w:color="auto" w:fill="auto"/>
            <w:noWrap/>
            <w:vAlign w:val="center"/>
            <w:hideMark/>
          </w:tcPr>
          <w:p w14:paraId="78F9D277" w14:textId="77777777" w:rsidR="000933DC" w:rsidRPr="00F15667" w:rsidRDefault="000933DC" w:rsidP="00BD4804">
            <w:pPr>
              <w:spacing w:line="240" w:lineRule="auto"/>
              <w:jc w:val="center"/>
              <w:rPr>
                <w:rFonts w:eastAsia="Times New Roman"/>
                <w:b/>
                <w:bCs/>
                <w:szCs w:val="24"/>
                <w:lang w:eastAsia="cs-CZ"/>
              </w:rPr>
            </w:pPr>
          </w:p>
        </w:tc>
        <w:tc>
          <w:tcPr>
            <w:tcW w:w="1360" w:type="dxa"/>
            <w:tcBorders>
              <w:top w:val="nil"/>
              <w:left w:val="nil"/>
              <w:bottom w:val="nil"/>
              <w:right w:val="nil"/>
            </w:tcBorders>
            <w:shd w:val="clear" w:color="auto" w:fill="auto"/>
            <w:noWrap/>
            <w:vAlign w:val="center"/>
            <w:hideMark/>
          </w:tcPr>
          <w:p w14:paraId="230C0D14"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1360" w:type="dxa"/>
            <w:tcBorders>
              <w:top w:val="nil"/>
              <w:left w:val="nil"/>
              <w:bottom w:val="nil"/>
              <w:right w:val="nil"/>
            </w:tcBorders>
            <w:shd w:val="clear" w:color="auto" w:fill="auto"/>
            <w:noWrap/>
            <w:vAlign w:val="center"/>
            <w:hideMark/>
          </w:tcPr>
          <w:p w14:paraId="205E8239"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1360" w:type="dxa"/>
            <w:tcBorders>
              <w:top w:val="nil"/>
              <w:left w:val="nil"/>
              <w:bottom w:val="nil"/>
              <w:right w:val="nil"/>
            </w:tcBorders>
            <w:shd w:val="clear" w:color="auto" w:fill="auto"/>
            <w:noWrap/>
            <w:vAlign w:val="center"/>
            <w:hideMark/>
          </w:tcPr>
          <w:p w14:paraId="64B682E5"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1361" w:type="dxa"/>
            <w:tcBorders>
              <w:top w:val="nil"/>
              <w:left w:val="nil"/>
              <w:bottom w:val="nil"/>
              <w:right w:val="nil"/>
            </w:tcBorders>
            <w:shd w:val="clear" w:color="auto" w:fill="auto"/>
            <w:noWrap/>
            <w:vAlign w:val="center"/>
            <w:hideMark/>
          </w:tcPr>
          <w:p w14:paraId="48C88241"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r>
    </w:tbl>
    <w:p w14:paraId="7E6F7992" w14:textId="77777777" w:rsidR="000933DC" w:rsidRPr="00F15667" w:rsidRDefault="000933DC" w:rsidP="000933DC">
      <w:pPr>
        <w:pStyle w:val="OdstavecASR"/>
      </w:pPr>
      <w:r w:rsidRPr="00F15667">
        <w:t>Z těchto dat můžeme vyvodit následující závěry:</w:t>
      </w:r>
    </w:p>
    <w:p w14:paraId="1597CC34" w14:textId="77777777" w:rsidR="000933DC" w:rsidRPr="00F15667" w:rsidRDefault="000933DC" w:rsidP="000933DC">
      <w:pPr>
        <w:pStyle w:val="OdstavecASR"/>
        <w:numPr>
          <w:ilvl w:val="0"/>
          <w:numId w:val="15"/>
        </w:numPr>
      </w:pPr>
      <w:r w:rsidRPr="00F15667">
        <w:t>Soudci u krajských soudů jsou v průměru výrazně starší než soudci u soudů okresních. To je logické, protože to plyne z kariérního postupu soudců. V naprosté většině jsou noví soudci jmenováni na okresní soudy. Někteří tam zůstanou, jiní jsou přeloženi ke krajským soudům (a později případně i k VS, NS nebo NSS). Mezi jmenováním a přeložením samozřejmě většinou uplyne několik let.</w:t>
      </w:r>
    </w:p>
    <w:p w14:paraId="7B81AB99" w14:textId="77777777" w:rsidR="000933DC" w:rsidRPr="00F15667" w:rsidRDefault="000933DC" w:rsidP="000933DC">
      <w:pPr>
        <w:pStyle w:val="OdstavecASR"/>
        <w:numPr>
          <w:ilvl w:val="0"/>
          <w:numId w:val="15"/>
        </w:numPr>
      </w:pPr>
      <w:r w:rsidRPr="00F15667">
        <w:t xml:space="preserve">K dispozici nejsou detailní údaje o věku soudců, takže nelze přesně říct, kde jsou soudci nejmladší. Dle podílů jednotlivých skupin se ale zdá, že nejmladší soudci jsou v průměru </w:t>
      </w:r>
      <w:r w:rsidRPr="00F15667">
        <w:lastRenderedPageBreak/>
        <w:t>u KS v Ústí nad Labem či KS v Praze, kde v roce 2020 došlo k výraznému omlazení, a nejstarší pravděpodobně u MS v Praze.</w:t>
      </w:r>
    </w:p>
    <w:p w14:paraId="38A0FC13" w14:textId="07913082" w:rsidR="000933DC" w:rsidRPr="00F15667" w:rsidRDefault="000933DC" w:rsidP="000933DC">
      <w:pPr>
        <w:pStyle w:val="OdstavecASR"/>
        <w:numPr>
          <w:ilvl w:val="0"/>
          <w:numId w:val="15"/>
        </w:numPr>
      </w:pPr>
      <w:r w:rsidRPr="00F15667">
        <w:t xml:space="preserve">I u KS se věk soudců postupně zvyšoval až do roku 2018, přičemž počet soudců v nejvyšší věkové kategorii zůstával v podstatě stabilní. V posledních letech pak již nedošlo prakticky k žádným </w:t>
      </w:r>
      <w:r w:rsidR="006023DD" w:rsidRPr="00F15667">
        <w:t xml:space="preserve">výrazným </w:t>
      </w:r>
      <w:r w:rsidRPr="00F15667">
        <w:t>změnám. Důvody pro zvyšování věkového průměru jsou obdobné, plynou především ze zvyšování evidenčního počtu soudců před rokem 2006 a ze zvyšování průměrného věku jmenovaných soudců. Pokud jsou u okresních soudů v průměru starší soudci, budou logicky ke krajským soudům také překládáni starší soudci.</w:t>
      </w:r>
    </w:p>
    <w:p w14:paraId="301B49F3" w14:textId="78E1DB7F" w:rsidR="000933DC" w:rsidRPr="00F15667" w:rsidRDefault="000933DC" w:rsidP="000933DC">
      <w:pPr>
        <w:pStyle w:val="OdstavecASR"/>
      </w:pPr>
      <w:r w:rsidRPr="00F15667">
        <w:t>Stejně jako u okresních soudů je na konci této části uvedeno srovnání evidenčního a plánovaného počtu za posledních 7 let. V tabulce opět vidíme, že všechny krajské soudy</w:t>
      </w:r>
      <w:r w:rsidR="00F30343" w:rsidRPr="00F15667">
        <w:t>,</w:t>
      </w:r>
      <w:r w:rsidRPr="00F15667">
        <w:t xml:space="preserve"> s výjimkou KS České Budějovice</w:t>
      </w:r>
      <w:r w:rsidR="00F30343" w:rsidRPr="00F15667">
        <w:t>,</w:t>
      </w:r>
      <w:r w:rsidRPr="00F15667">
        <w:t xml:space="preserve"> dlouhodobě „dotují“ soudy okresní. Největší podstav má KS Praha (11 %), nejmenší KS Brno (1 %). Stejně jako u okresních soudů se do statistiky značně promítl rok 2021, neboť došlo k poklesu plánovaného počtu soudců, ale ne k poklesu evidenčního počtu soudců. Dlouhodobý podstav se tedy u všech soudů tomto roce zmenšil. V roce 2022 ale opět plánovaný počet převyšoval evidenční počet.</w:t>
      </w:r>
    </w:p>
    <w:p w14:paraId="60BF9997" w14:textId="50E7404A" w:rsidR="000933DC" w:rsidRPr="00F15667" w:rsidRDefault="000933DC" w:rsidP="000933DC">
      <w:pPr>
        <w:pStyle w:val="Podnadpis"/>
        <w:rPr>
          <w:color w:val="auto"/>
        </w:rPr>
      </w:pPr>
      <w:bookmarkStart w:id="583" w:name="_Toc75952342"/>
      <w:bookmarkStart w:id="584" w:name="_Toc106106800"/>
      <w:bookmarkStart w:id="585" w:name="_Toc109802123"/>
      <w:bookmarkStart w:id="586" w:name="_Toc144104280"/>
      <w:r w:rsidRPr="00F15667">
        <w:rPr>
          <w:color w:val="auto"/>
        </w:rPr>
        <w:t xml:space="preserve">Tabulka </w:t>
      </w:r>
      <w:r w:rsidRPr="00F15667">
        <w:rPr>
          <w:noProof/>
          <w:color w:val="auto"/>
        </w:rPr>
        <w:fldChar w:fldCharType="begin"/>
      </w:r>
      <w:r w:rsidRPr="00F15667">
        <w:rPr>
          <w:noProof/>
          <w:color w:val="auto"/>
        </w:rPr>
        <w:instrText xml:space="preserve"> SEQ Tabulka \* ARABIC </w:instrText>
      </w:r>
      <w:r w:rsidRPr="00F15667">
        <w:rPr>
          <w:noProof/>
          <w:color w:val="auto"/>
        </w:rPr>
        <w:fldChar w:fldCharType="separate"/>
      </w:r>
      <w:r w:rsidR="001E1A67">
        <w:rPr>
          <w:noProof/>
          <w:color w:val="auto"/>
        </w:rPr>
        <w:t>41</w:t>
      </w:r>
      <w:r w:rsidRPr="00F15667">
        <w:rPr>
          <w:noProof/>
          <w:color w:val="auto"/>
        </w:rPr>
        <w:fldChar w:fldCharType="end"/>
      </w:r>
      <w:r w:rsidRPr="00F15667">
        <w:rPr>
          <w:color w:val="auto"/>
        </w:rPr>
        <w:t>: KS – srovnání evidenčního a plánovaného počtu soudců za 7 let</w:t>
      </w:r>
      <w:bookmarkEnd w:id="583"/>
      <w:bookmarkEnd w:id="584"/>
      <w:bookmarkEnd w:id="585"/>
      <w:bookmarkEnd w:id="586"/>
    </w:p>
    <w:tbl>
      <w:tblPr>
        <w:tblW w:w="7920" w:type="dxa"/>
        <w:tblLayout w:type="fixed"/>
        <w:tblCellMar>
          <w:left w:w="70" w:type="dxa"/>
          <w:right w:w="70" w:type="dxa"/>
        </w:tblCellMar>
        <w:tblLook w:val="04A0" w:firstRow="1" w:lastRow="0" w:firstColumn="1" w:lastColumn="0" w:noHBand="0" w:noVBand="1"/>
      </w:tblPr>
      <w:tblGrid>
        <w:gridCol w:w="2220"/>
        <w:gridCol w:w="1620"/>
        <w:gridCol w:w="1620"/>
        <w:gridCol w:w="2460"/>
      </w:tblGrid>
      <w:tr w:rsidR="00F15667" w:rsidRPr="00F15667" w14:paraId="49294EFB" w14:textId="77777777" w:rsidTr="00BD4804">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0E4C03F8" w14:textId="70CDB684" w:rsidR="000933DC" w:rsidRPr="00F15667" w:rsidRDefault="00BD4804" w:rsidP="00BD4804">
            <w:pPr>
              <w:spacing w:line="240" w:lineRule="auto"/>
              <w:jc w:val="center"/>
              <w:rPr>
                <w:rFonts w:eastAsia="Times New Roman"/>
                <w:b/>
                <w:bCs/>
                <w:szCs w:val="24"/>
                <w:lang w:eastAsia="cs-CZ"/>
              </w:rPr>
            </w:pPr>
            <w:r>
              <w:rPr>
                <w:rFonts w:eastAsia="Times New Roman"/>
                <w:b/>
                <w:bCs/>
                <w:szCs w:val="24"/>
                <w:lang w:eastAsia="cs-CZ"/>
              </w:rPr>
              <w:t>S</w:t>
            </w:r>
            <w:r w:rsidR="000933DC" w:rsidRPr="00F15667">
              <w:rPr>
                <w:rFonts w:eastAsia="Times New Roman"/>
                <w:b/>
                <w:bCs/>
                <w:szCs w:val="24"/>
                <w:lang w:eastAsia="cs-CZ"/>
              </w:rPr>
              <w:t>oud</w:t>
            </w:r>
          </w:p>
        </w:tc>
        <w:tc>
          <w:tcPr>
            <w:tcW w:w="3240" w:type="dxa"/>
            <w:gridSpan w:val="2"/>
            <w:tcBorders>
              <w:top w:val="double" w:sz="6" w:space="0" w:color="auto"/>
              <w:left w:val="nil"/>
              <w:bottom w:val="nil"/>
              <w:right w:val="nil"/>
            </w:tcBorders>
            <w:shd w:val="clear" w:color="auto" w:fill="auto"/>
            <w:noWrap/>
            <w:vAlign w:val="center"/>
            <w:hideMark/>
          </w:tcPr>
          <w:p w14:paraId="154104D5"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Průměrný počet soudců</w:t>
            </w:r>
          </w:p>
        </w:tc>
        <w:tc>
          <w:tcPr>
            <w:tcW w:w="2460" w:type="dxa"/>
            <w:vMerge w:val="restart"/>
            <w:tcBorders>
              <w:top w:val="double" w:sz="6" w:space="0" w:color="auto"/>
              <w:left w:val="nil"/>
              <w:bottom w:val="double" w:sz="6" w:space="0" w:color="000000"/>
              <w:right w:val="nil"/>
            </w:tcBorders>
            <w:shd w:val="clear" w:color="auto" w:fill="auto"/>
            <w:vAlign w:val="center"/>
            <w:hideMark/>
          </w:tcPr>
          <w:p w14:paraId="7A632903"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Nadstav/podstav v %</w:t>
            </w:r>
          </w:p>
        </w:tc>
      </w:tr>
      <w:tr w:rsidR="00F15667" w:rsidRPr="00F15667" w14:paraId="617A0327" w14:textId="77777777" w:rsidTr="00BD4804">
        <w:trPr>
          <w:trHeight w:val="330"/>
        </w:trPr>
        <w:tc>
          <w:tcPr>
            <w:tcW w:w="2220" w:type="dxa"/>
            <w:vMerge/>
            <w:tcBorders>
              <w:top w:val="double" w:sz="6" w:space="0" w:color="auto"/>
              <w:left w:val="nil"/>
              <w:bottom w:val="double" w:sz="6" w:space="0" w:color="000000"/>
              <w:right w:val="nil"/>
            </w:tcBorders>
            <w:vAlign w:val="center"/>
            <w:hideMark/>
          </w:tcPr>
          <w:p w14:paraId="50C7DF01" w14:textId="77777777" w:rsidR="000933DC" w:rsidRPr="00F15667" w:rsidRDefault="000933DC" w:rsidP="00BD4804">
            <w:pPr>
              <w:spacing w:line="240" w:lineRule="auto"/>
              <w:jc w:val="center"/>
              <w:rPr>
                <w:rFonts w:eastAsia="Times New Roman"/>
                <w:b/>
                <w:bCs/>
                <w:szCs w:val="24"/>
                <w:lang w:eastAsia="cs-CZ"/>
              </w:rPr>
            </w:pPr>
          </w:p>
        </w:tc>
        <w:tc>
          <w:tcPr>
            <w:tcW w:w="1620" w:type="dxa"/>
            <w:tcBorders>
              <w:top w:val="nil"/>
              <w:left w:val="nil"/>
              <w:bottom w:val="double" w:sz="6" w:space="0" w:color="auto"/>
              <w:right w:val="nil"/>
            </w:tcBorders>
            <w:shd w:val="clear" w:color="auto" w:fill="auto"/>
            <w:noWrap/>
            <w:vAlign w:val="center"/>
            <w:hideMark/>
          </w:tcPr>
          <w:p w14:paraId="1EC311D1" w14:textId="1CE27C99"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Evidenční</w:t>
            </w:r>
          </w:p>
        </w:tc>
        <w:tc>
          <w:tcPr>
            <w:tcW w:w="1620" w:type="dxa"/>
            <w:tcBorders>
              <w:top w:val="nil"/>
              <w:left w:val="nil"/>
              <w:bottom w:val="double" w:sz="6" w:space="0" w:color="auto"/>
              <w:right w:val="nil"/>
            </w:tcBorders>
            <w:shd w:val="clear" w:color="auto" w:fill="auto"/>
            <w:noWrap/>
            <w:vAlign w:val="center"/>
            <w:hideMark/>
          </w:tcPr>
          <w:p w14:paraId="3C8F3A58"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Plánovaný</w:t>
            </w:r>
          </w:p>
        </w:tc>
        <w:tc>
          <w:tcPr>
            <w:tcW w:w="2460" w:type="dxa"/>
            <w:vMerge/>
            <w:tcBorders>
              <w:top w:val="double" w:sz="6" w:space="0" w:color="auto"/>
              <w:left w:val="nil"/>
              <w:bottom w:val="double" w:sz="6" w:space="0" w:color="000000"/>
              <w:right w:val="nil"/>
            </w:tcBorders>
            <w:vAlign w:val="center"/>
            <w:hideMark/>
          </w:tcPr>
          <w:p w14:paraId="5DBE1D61" w14:textId="77777777" w:rsidR="000933DC" w:rsidRPr="00F15667" w:rsidRDefault="000933DC" w:rsidP="00BD4804">
            <w:pPr>
              <w:spacing w:line="240" w:lineRule="auto"/>
              <w:jc w:val="center"/>
              <w:rPr>
                <w:rFonts w:eastAsia="Times New Roman"/>
                <w:b/>
                <w:bCs/>
                <w:szCs w:val="24"/>
                <w:lang w:eastAsia="cs-CZ"/>
              </w:rPr>
            </w:pPr>
          </w:p>
        </w:tc>
      </w:tr>
      <w:tr w:rsidR="00F15667" w:rsidRPr="00F15667" w14:paraId="493AB2C7" w14:textId="77777777" w:rsidTr="00BD4804">
        <w:trPr>
          <w:trHeight w:val="330"/>
        </w:trPr>
        <w:tc>
          <w:tcPr>
            <w:tcW w:w="2220" w:type="dxa"/>
            <w:tcBorders>
              <w:top w:val="nil"/>
              <w:left w:val="nil"/>
              <w:bottom w:val="single" w:sz="4" w:space="0" w:color="auto"/>
              <w:right w:val="nil"/>
            </w:tcBorders>
            <w:shd w:val="clear" w:color="auto" w:fill="auto"/>
            <w:noWrap/>
            <w:vAlign w:val="center"/>
            <w:hideMark/>
          </w:tcPr>
          <w:p w14:paraId="20D7E51B"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MS Praha</w:t>
            </w:r>
          </w:p>
        </w:tc>
        <w:tc>
          <w:tcPr>
            <w:tcW w:w="1620" w:type="dxa"/>
            <w:tcBorders>
              <w:top w:val="nil"/>
              <w:left w:val="nil"/>
              <w:bottom w:val="single" w:sz="4" w:space="0" w:color="auto"/>
              <w:right w:val="nil"/>
            </w:tcBorders>
            <w:shd w:val="clear" w:color="auto" w:fill="auto"/>
            <w:noWrap/>
            <w:vAlign w:val="center"/>
            <w:hideMark/>
          </w:tcPr>
          <w:p w14:paraId="157D12E7" w14:textId="208D7ECA"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221,8</w:t>
            </w:r>
          </w:p>
        </w:tc>
        <w:tc>
          <w:tcPr>
            <w:tcW w:w="1620" w:type="dxa"/>
            <w:tcBorders>
              <w:top w:val="nil"/>
              <w:left w:val="nil"/>
              <w:bottom w:val="single" w:sz="4" w:space="0" w:color="auto"/>
              <w:right w:val="nil"/>
            </w:tcBorders>
            <w:shd w:val="clear" w:color="auto" w:fill="auto"/>
            <w:noWrap/>
            <w:vAlign w:val="center"/>
            <w:hideMark/>
          </w:tcPr>
          <w:p w14:paraId="7A4AF671" w14:textId="669D1735"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243,3</w:t>
            </w:r>
          </w:p>
        </w:tc>
        <w:tc>
          <w:tcPr>
            <w:tcW w:w="2460" w:type="dxa"/>
            <w:tcBorders>
              <w:top w:val="nil"/>
              <w:left w:val="nil"/>
              <w:bottom w:val="single" w:sz="4" w:space="0" w:color="auto"/>
              <w:right w:val="nil"/>
            </w:tcBorders>
            <w:shd w:val="clear" w:color="auto" w:fill="auto"/>
            <w:noWrap/>
            <w:vAlign w:val="center"/>
            <w:hideMark/>
          </w:tcPr>
          <w:p w14:paraId="28DD34AE" w14:textId="3CF82E0C"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-8,84</w:t>
            </w:r>
          </w:p>
        </w:tc>
      </w:tr>
      <w:tr w:rsidR="00F15667" w:rsidRPr="00F15667" w14:paraId="6B12BDAC"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6BE965A4"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Praha</w:t>
            </w:r>
          </w:p>
        </w:tc>
        <w:tc>
          <w:tcPr>
            <w:tcW w:w="1620" w:type="dxa"/>
            <w:tcBorders>
              <w:top w:val="nil"/>
              <w:left w:val="nil"/>
              <w:bottom w:val="single" w:sz="4" w:space="0" w:color="auto"/>
              <w:right w:val="nil"/>
            </w:tcBorders>
            <w:shd w:val="clear" w:color="auto" w:fill="auto"/>
            <w:noWrap/>
            <w:vAlign w:val="center"/>
            <w:hideMark/>
          </w:tcPr>
          <w:p w14:paraId="73ED2D40" w14:textId="0361CA4B"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95,9</w:t>
            </w:r>
          </w:p>
        </w:tc>
        <w:tc>
          <w:tcPr>
            <w:tcW w:w="1620" w:type="dxa"/>
            <w:tcBorders>
              <w:top w:val="nil"/>
              <w:left w:val="nil"/>
              <w:bottom w:val="single" w:sz="4" w:space="0" w:color="auto"/>
              <w:right w:val="nil"/>
            </w:tcBorders>
            <w:shd w:val="clear" w:color="auto" w:fill="auto"/>
            <w:noWrap/>
            <w:vAlign w:val="center"/>
            <w:hideMark/>
          </w:tcPr>
          <w:p w14:paraId="6CEDE702" w14:textId="120DC1BE"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107,4</w:t>
            </w:r>
          </w:p>
        </w:tc>
        <w:tc>
          <w:tcPr>
            <w:tcW w:w="2460" w:type="dxa"/>
            <w:tcBorders>
              <w:top w:val="nil"/>
              <w:left w:val="nil"/>
              <w:bottom w:val="single" w:sz="4" w:space="0" w:color="auto"/>
              <w:right w:val="nil"/>
            </w:tcBorders>
            <w:shd w:val="clear" w:color="auto" w:fill="auto"/>
            <w:noWrap/>
            <w:vAlign w:val="center"/>
            <w:hideMark/>
          </w:tcPr>
          <w:p w14:paraId="7DC4342E" w14:textId="696ABF38"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-10,71</w:t>
            </w:r>
          </w:p>
        </w:tc>
      </w:tr>
      <w:tr w:rsidR="00F15667" w:rsidRPr="00F15667" w14:paraId="6059C13E"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49035E27"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Č. Budějovice</w:t>
            </w:r>
          </w:p>
        </w:tc>
        <w:tc>
          <w:tcPr>
            <w:tcW w:w="1620" w:type="dxa"/>
            <w:tcBorders>
              <w:top w:val="nil"/>
              <w:left w:val="nil"/>
              <w:bottom w:val="single" w:sz="4" w:space="0" w:color="auto"/>
              <w:right w:val="nil"/>
            </w:tcBorders>
            <w:shd w:val="clear" w:color="auto" w:fill="auto"/>
            <w:noWrap/>
            <w:vAlign w:val="center"/>
            <w:hideMark/>
          </w:tcPr>
          <w:p w14:paraId="213FE2F3" w14:textId="33D7146E"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55,4</w:t>
            </w:r>
          </w:p>
        </w:tc>
        <w:tc>
          <w:tcPr>
            <w:tcW w:w="1620" w:type="dxa"/>
            <w:tcBorders>
              <w:top w:val="nil"/>
              <w:left w:val="nil"/>
              <w:bottom w:val="single" w:sz="4" w:space="0" w:color="auto"/>
              <w:right w:val="nil"/>
            </w:tcBorders>
            <w:shd w:val="clear" w:color="auto" w:fill="auto"/>
            <w:noWrap/>
            <w:vAlign w:val="center"/>
            <w:hideMark/>
          </w:tcPr>
          <w:p w14:paraId="2AF24385" w14:textId="35B00634"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53,3</w:t>
            </w:r>
          </w:p>
        </w:tc>
        <w:tc>
          <w:tcPr>
            <w:tcW w:w="2460" w:type="dxa"/>
            <w:tcBorders>
              <w:top w:val="nil"/>
              <w:left w:val="nil"/>
              <w:bottom w:val="single" w:sz="4" w:space="0" w:color="auto"/>
              <w:right w:val="nil"/>
            </w:tcBorders>
            <w:shd w:val="clear" w:color="auto" w:fill="auto"/>
            <w:noWrap/>
            <w:vAlign w:val="center"/>
            <w:hideMark/>
          </w:tcPr>
          <w:p w14:paraId="2B15047C" w14:textId="145BC75F"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3,99</w:t>
            </w:r>
          </w:p>
        </w:tc>
      </w:tr>
      <w:tr w:rsidR="00F15667" w:rsidRPr="00F15667" w14:paraId="71205C2A"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6E574A34"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Plzeň</w:t>
            </w:r>
          </w:p>
        </w:tc>
        <w:tc>
          <w:tcPr>
            <w:tcW w:w="1620" w:type="dxa"/>
            <w:tcBorders>
              <w:top w:val="nil"/>
              <w:left w:val="nil"/>
              <w:bottom w:val="single" w:sz="4" w:space="0" w:color="auto"/>
              <w:right w:val="nil"/>
            </w:tcBorders>
            <w:shd w:val="clear" w:color="auto" w:fill="auto"/>
            <w:noWrap/>
            <w:vAlign w:val="center"/>
            <w:hideMark/>
          </w:tcPr>
          <w:p w14:paraId="25C68F33" w14:textId="2C7AF60C"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76,4</w:t>
            </w:r>
          </w:p>
        </w:tc>
        <w:tc>
          <w:tcPr>
            <w:tcW w:w="1620" w:type="dxa"/>
            <w:tcBorders>
              <w:top w:val="nil"/>
              <w:left w:val="nil"/>
              <w:bottom w:val="single" w:sz="4" w:space="0" w:color="auto"/>
              <w:right w:val="nil"/>
            </w:tcBorders>
            <w:shd w:val="clear" w:color="auto" w:fill="auto"/>
            <w:noWrap/>
            <w:vAlign w:val="center"/>
            <w:hideMark/>
          </w:tcPr>
          <w:p w14:paraId="4D7056FE" w14:textId="56F80F72"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81,1</w:t>
            </w:r>
          </w:p>
        </w:tc>
        <w:tc>
          <w:tcPr>
            <w:tcW w:w="2460" w:type="dxa"/>
            <w:tcBorders>
              <w:top w:val="nil"/>
              <w:left w:val="nil"/>
              <w:bottom w:val="single" w:sz="4" w:space="0" w:color="auto"/>
              <w:right w:val="nil"/>
            </w:tcBorders>
            <w:shd w:val="clear" w:color="auto" w:fill="auto"/>
            <w:noWrap/>
            <w:vAlign w:val="center"/>
            <w:hideMark/>
          </w:tcPr>
          <w:p w14:paraId="69C62257" w14:textId="02D9EE34"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-5,86</w:t>
            </w:r>
          </w:p>
        </w:tc>
      </w:tr>
      <w:tr w:rsidR="00F15667" w:rsidRPr="00F15667" w14:paraId="7050F355"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017C9B11"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Ústí n. Labem</w:t>
            </w:r>
          </w:p>
        </w:tc>
        <w:tc>
          <w:tcPr>
            <w:tcW w:w="1620" w:type="dxa"/>
            <w:tcBorders>
              <w:top w:val="nil"/>
              <w:left w:val="nil"/>
              <w:bottom w:val="single" w:sz="4" w:space="0" w:color="auto"/>
              <w:right w:val="nil"/>
            </w:tcBorders>
            <w:shd w:val="clear" w:color="auto" w:fill="auto"/>
            <w:noWrap/>
            <w:vAlign w:val="center"/>
            <w:hideMark/>
          </w:tcPr>
          <w:p w14:paraId="24558C8E" w14:textId="307A072B"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112,8</w:t>
            </w:r>
          </w:p>
        </w:tc>
        <w:tc>
          <w:tcPr>
            <w:tcW w:w="1620" w:type="dxa"/>
            <w:tcBorders>
              <w:top w:val="nil"/>
              <w:left w:val="nil"/>
              <w:bottom w:val="single" w:sz="4" w:space="0" w:color="auto"/>
              <w:right w:val="nil"/>
            </w:tcBorders>
            <w:shd w:val="clear" w:color="auto" w:fill="auto"/>
            <w:noWrap/>
            <w:vAlign w:val="center"/>
            <w:hideMark/>
          </w:tcPr>
          <w:p w14:paraId="00FDF1F7" w14:textId="2CA510E8"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121,8</w:t>
            </w:r>
          </w:p>
        </w:tc>
        <w:tc>
          <w:tcPr>
            <w:tcW w:w="2460" w:type="dxa"/>
            <w:tcBorders>
              <w:top w:val="nil"/>
              <w:left w:val="nil"/>
              <w:bottom w:val="single" w:sz="4" w:space="0" w:color="auto"/>
              <w:right w:val="nil"/>
            </w:tcBorders>
            <w:shd w:val="clear" w:color="auto" w:fill="auto"/>
            <w:noWrap/>
            <w:vAlign w:val="center"/>
            <w:hideMark/>
          </w:tcPr>
          <w:p w14:paraId="29384F8F" w14:textId="62E01F1C"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-7,39</w:t>
            </w:r>
          </w:p>
        </w:tc>
      </w:tr>
      <w:tr w:rsidR="00F15667" w:rsidRPr="00F15667" w14:paraId="5A5DBD43"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6C93F16C"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Hr. Králové</w:t>
            </w:r>
          </w:p>
        </w:tc>
        <w:tc>
          <w:tcPr>
            <w:tcW w:w="1620" w:type="dxa"/>
            <w:tcBorders>
              <w:top w:val="nil"/>
              <w:left w:val="nil"/>
              <w:bottom w:val="single" w:sz="4" w:space="0" w:color="auto"/>
              <w:right w:val="nil"/>
            </w:tcBorders>
            <w:shd w:val="clear" w:color="auto" w:fill="auto"/>
            <w:noWrap/>
            <w:vAlign w:val="center"/>
            <w:hideMark/>
          </w:tcPr>
          <w:p w14:paraId="02A1ABA8" w14:textId="35B90B88"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83,0</w:t>
            </w:r>
          </w:p>
        </w:tc>
        <w:tc>
          <w:tcPr>
            <w:tcW w:w="1620" w:type="dxa"/>
            <w:tcBorders>
              <w:top w:val="nil"/>
              <w:left w:val="nil"/>
              <w:bottom w:val="single" w:sz="4" w:space="0" w:color="auto"/>
              <w:right w:val="nil"/>
            </w:tcBorders>
            <w:shd w:val="clear" w:color="auto" w:fill="auto"/>
            <w:noWrap/>
            <w:vAlign w:val="center"/>
            <w:hideMark/>
          </w:tcPr>
          <w:p w14:paraId="0F430368" w14:textId="66C34401"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88,4</w:t>
            </w:r>
          </w:p>
        </w:tc>
        <w:tc>
          <w:tcPr>
            <w:tcW w:w="2460" w:type="dxa"/>
            <w:tcBorders>
              <w:top w:val="nil"/>
              <w:left w:val="nil"/>
              <w:bottom w:val="single" w:sz="4" w:space="0" w:color="auto"/>
              <w:right w:val="nil"/>
            </w:tcBorders>
            <w:shd w:val="clear" w:color="auto" w:fill="auto"/>
            <w:noWrap/>
            <w:vAlign w:val="center"/>
            <w:hideMark/>
          </w:tcPr>
          <w:p w14:paraId="18E6692E" w14:textId="72B0B0C8"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-6,08</w:t>
            </w:r>
          </w:p>
        </w:tc>
      </w:tr>
      <w:tr w:rsidR="00F15667" w:rsidRPr="00F15667" w14:paraId="6C19B457"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59328BFB"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Brno</w:t>
            </w:r>
          </w:p>
        </w:tc>
        <w:tc>
          <w:tcPr>
            <w:tcW w:w="1620" w:type="dxa"/>
            <w:tcBorders>
              <w:top w:val="nil"/>
              <w:left w:val="nil"/>
              <w:bottom w:val="single" w:sz="4" w:space="0" w:color="auto"/>
              <w:right w:val="nil"/>
            </w:tcBorders>
            <w:shd w:val="clear" w:color="auto" w:fill="auto"/>
            <w:noWrap/>
            <w:vAlign w:val="center"/>
            <w:hideMark/>
          </w:tcPr>
          <w:p w14:paraId="0330F175" w14:textId="2897996E"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161,5</w:t>
            </w:r>
          </w:p>
        </w:tc>
        <w:tc>
          <w:tcPr>
            <w:tcW w:w="1620" w:type="dxa"/>
            <w:tcBorders>
              <w:top w:val="nil"/>
              <w:left w:val="nil"/>
              <w:bottom w:val="single" w:sz="4" w:space="0" w:color="auto"/>
              <w:right w:val="nil"/>
            </w:tcBorders>
            <w:shd w:val="clear" w:color="auto" w:fill="auto"/>
            <w:noWrap/>
            <w:vAlign w:val="center"/>
            <w:hideMark/>
          </w:tcPr>
          <w:p w14:paraId="07ABBDBF" w14:textId="3F3A257E"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162,9</w:t>
            </w:r>
          </w:p>
        </w:tc>
        <w:tc>
          <w:tcPr>
            <w:tcW w:w="2460" w:type="dxa"/>
            <w:tcBorders>
              <w:top w:val="nil"/>
              <w:left w:val="nil"/>
              <w:bottom w:val="single" w:sz="4" w:space="0" w:color="auto"/>
              <w:right w:val="nil"/>
            </w:tcBorders>
            <w:shd w:val="clear" w:color="auto" w:fill="auto"/>
            <w:noWrap/>
            <w:vAlign w:val="center"/>
            <w:hideMark/>
          </w:tcPr>
          <w:p w14:paraId="629AEA41" w14:textId="58A491DC"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-0,84</w:t>
            </w:r>
          </w:p>
        </w:tc>
      </w:tr>
      <w:tr w:rsidR="00F15667" w:rsidRPr="00F15667" w14:paraId="3DC33FE2" w14:textId="77777777" w:rsidTr="00BD4804">
        <w:trPr>
          <w:trHeight w:val="330"/>
        </w:trPr>
        <w:tc>
          <w:tcPr>
            <w:tcW w:w="2220" w:type="dxa"/>
            <w:tcBorders>
              <w:top w:val="nil"/>
              <w:left w:val="nil"/>
              <w:bottom w:val="double" w:sz="6" w:space="0" w:color="auto"/>
              <w:right w:val="nil"/>
            </w:tcBorders>
            <w:shd w:val="clear" w:color="auto" w:fill="auto"/>
            <w:noWrap/>
            <w:vAlign w:val="center"/>
            <w:hideMark/>
          </w:tcPr>
          <w:p w14:paraId="31285E60"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Ostrava</w:t>
            </w:r>
          </w:p>
        </w:tc>
        <w:tc>
          <w:tcPr>
            <w:tcW w:w="1620" w:type="dxa"/>
            <w:tcBorders>
              <w:top w:val="nil"/>
              <w:left w:val="nil"/>
              <w:bottom w:val="double" w:sz="6" w:space="0" w:color="auto"/>
              <w:right w:val="nil"/>
            </w:tcBorders>
            <w:shd w:val="clear" w:color="auto" w:fill="auto"/>
            <w:noWrap/>
            <w:vAlign w:val="center"/>
            <w:hideMark/>
          </w:tcPr>
          <w:p w14:paraId="74B94A96" w14:textId="12AFA721"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142,6</w:t>
            </w:r>
          </w:p>
        </w:tc>
        <w:tc>
          <w:tcPr>
            <w:tcW w:w="1620" w:type="dxa"/>
            <w:tcBorders>
              <w:top w:val="nil"/>
              <w:left w:val="nil"/>
              <w:bottom w:val="double" w:sz="6" w:space="0" w:color="auto"/>
              <w:right w:val="nil"/>
            </w:tcBorders>
            <w:shd w:val="clear" w:color="auto" w:fill="auto"/>
            <w:noWrap/>
            <w:vAlign w:val="center"/>
            <w:hideMark/>
          </w:tcPr>
          <w:p w14:paraId="036F41CD" w14:textId="05C14E4C"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158,5</w:t>
            </w:r>
          </w:p>
        </w:tc>
        <w:tc>
          <w:tcPr>
            <w:tcW w:w="2460" w:type="dxa"/>
            <w:tcBorders>
              <w:top w:val="nil"/>
              <w:left w:val="nil"/>
              <w:bottom w:val="double" w:sz="6" w:space="0" w:color="auto"/>
              <w:right w:val="nil"/>
            </w:tcBorders>
            <w:shd w:val="clear" w:color="auto" w:fill="auto"/>
            <w:noWrap/>
            <w:vAlign w:val="center"/>
            <w:hideMark/>
          </w:tcPr>
          <w:p w14:paraId="5E3BF8C3" w14:textId="7512259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-10,02</w:t>
            </w:r>
          </w:p>
        </w:tc>
      </w:tr>
      <w:tr w:rsidR="00F15667" w:rsidRPr="00F15667" w14:paraId="17B236C4" w14:textId="77777777" w:rsidTr="00BD4804">
        <w:trPr>
          <w:trHeight w:val="345"/>
        </w:trPr>
        <w:tc>
          <w:tcPr>
            <w:tcW w:w="2220" w:type="dxa"/>
            <w:tcBorders>
              <w:top w:val="nil"/>
              <w:left w:val="nil"/>
              <w:bottom w:val="double" w:sz="6" w:space="0" w:color="auto"/>
              <w:right w:val="nil"/>
            </w:tcBorders>
            <w:shd w:val="clear" w:color="auto" w:fill="auto"/>
            <w:noWrap/>
            <w:vAlign w:val="center"/>
            <w:hideMark/>
          </w:tcPr>
          <w:p w14:paraId="0676A24A" w14:textId="77777777" w:rsidR="000933DC" w:rsidRPr="00F15667" w:rsidRDefault="000933DC" w:rsidP="00BD480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620" w:type="dxa"/>
            <w:tcBorders>
              <w:top w:val="nil"/>
              <w:left w:val="nil"/>
              <w:bottom w:val="double" w:sz="6" w:space="0" w:color="auto"/>
              <w:right w:val="nil"/>
            </w:tcBorders>
            <w:shd w:val="clear" w:color="auto" w:fill="auto"/>
            <w:noWrap/>
            <w:vAlign w:val="center"/>
            <w:hideMark/>
          </w:tcPr>
          <w:p w14:paraId="103C948D" w14:textId="2B5CE7DF"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949,3</w:t>
            </w:r>
          </w:p>
        </w:tc>
        <w:tc>
          <w:tcPr>
            <w:tcW w:w="1620" w:type="dxa"/>
            <w:tcBorders>
              <w:top w:val="nil"/>
              <w:left w:val="nil"/>
              <w:bottom w:val="double" w:sz="6" w:space="0" w:color="auto"/>
              <w:right w:val="nil"/>
            </w:tcBorders>
            <w:shd w:val="clear" w:color="auto" w:fill="auto"/>
            <w:noWrap/>
            <w:vAlign w:val="center"/>
            <w:hideMark/>
          </w:tcPr>
          <w:p w14:paraId="7F1BAA61" w14:textId="52D303E9"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1016,5</w:t>
            </w:r>
          </w:p>
        </w:tc>
        <w:tc>
          <w:tcPr>
            <w:tcW w:w="2460" w:type="dxa"/>
            <w:tcBorders>
              <w:top w:val="nil"/>
              <w:left w:val="nil"/>
              <w:bottom w:val="double" w:sz="6" w:space="0" w:color="auto"/>
              <w:right w:val="nil"/>
            </w:tcBorders>
            <w:shd w:val="clear" w:color="auto" w:fill="auto"/>
            <w:noWrap/>
            <w:vAlign w:val="center"/>
            <w:hideMark/>
          </w:tcPr>
          <w:p w14:paraId="63643E2D" w14:textId="2421EB6E"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-6,62</w:t>
            </w:r>
          </w:p>
        </w:tc>
      </w:tr>
      <w:tr w:rsidR="00F15667" w:rsidRPr="00F15667" w14:paraId="1312E0C2" w14:textId="77777777" w:rsidTr="00BD4804">
        <w:trPr>
          <w:trHeight w:val="345"/>
        </w:trPr>
        <w:tc>
          <w:tcPr>
            <w:tcW w:w="2220" w:type="dxa"/>
            <w:tcBorders>
              <w:top w:val="nil"/>
              <w:left w:val="nil"/>
              <w:bottom w:val="nil"/>
              <w:right w:val="nil"/>
            </w:tcBorders>
            <w:shd w:val="clear" w:color="auto" w:fill="auto"/>
            <w:noWrap/>
            <w:vAlign w:val="center"/>
            <w:hideMark/>
          </w:tcPr>
          <w:p w14:paraId="2AEBBEB1" w14:textId="77777777" w:rsidR="000933DC" w:rsidRPr="00F15667" w:rsidRDefault="000933DC" w:rsidP="00BD4804">
            <w:pPr>
              <w:spacing w:line="240" w:lineRule="auto"/>
              <w:jc w:val="center"/>
              <w:rPr>
                <w:rFonts w:eastAsia="Times New Roman"/>
                <w:b/>
                <w:bCs/>
                <w:szCs w:val="24"/>
                <w:lang w:eastAsia="cs-CZ"/>
              </w:rPr>
            </w:pPr>
          </w:p>
        </w:tc>
        <w:tc>
          <w:tcPr>
            <w:tcW w:w="1620" w:type="dxa"/>
            <w:tcBorders>
              <w:top w:val="nil"/>
              <w:left w:val="nil"/>
              <w:bottom w:val="nil"/>
              <w:right w:val="nil"/>
            </w:tcBorders>
            <w:shd w:val="clear" w:color="auto" w:fill="auto"/>
            <w:noWrap/>
            <w:vAlign w:val="center"/>
            <w:hideMark/>
          </w:tcPr>
          <w:p w14:paraId="30FF5CB3"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1620" w:type="dxa"/>
            <w:tcBorders>
              <w:top w:val="nil"/>
              <w:left w:val="nil"/>
              <w:bottom w:val="nil"/>
              <w:right w:val="nil"/>
            </w:tcBorders>
            <w:shd w:val="clear" w:color="auto" w:fill="auto"/>
            <w:noWrap/>
            <w:vAlign w:val="center"/>
            <w:hideMark/>
          </w:tcPr>
          <w:p w14:paraId="4F94150B"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2460" w:type="dxa"/>
            <w:tcBorders>
              <w:top w:val="nil"/>
              <w:left w:val="nil"/>
              <w:bottom w:val="nil"/>
              <w:right w:val="nil"/>
            </w:tcBorders>
            <w:shd w:val="clear" w:color="auto" w:fill="auto"/>
            <w:noWrap/>
            <w:vAlign w:val="center"/>
            <w:hideMark/>
          </w:tcPr>
          <w:p w14:paraId="7EF834EA"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r>
    </w:tbl>
    <w:p w14:paraId="6273F54C" w14:textId="77777777" w:rsidR="000933DC" w:rsidRPr="00F15667" w:rsidRDefault="000933DC" w:rsidP="000933DC">
      <w:pPr>
        <w:pStyle w:val="Nadpis3"/>
        <w:numPr>
          <w:ilvl w:val="2"/>
          <w:numId w:val="1"/>
        </w:numPr>
        <w:rPr>
          <w:color w:val="auto"/>
        </w:rPr>
      </w:pPr>
      <w:bookmarkStart w:id="587" w:name="_Toc109801361"/>
      <w:bookmarkStart w:id="588" w:name="_Toc144104363"/>
      <w:r w:rsidRPr="00F15667">
        <w:rPr>
          <w:color w:val="auto"/>
        </w:rPr>
        <w:t>Zaměstnanci ve výkonu a ve správě</w:t>
      </w:r>
      <w:bookmarkEnd w:id="587"/>
      <w:bookmarkEnd w:id="588"/>
    </w:p>
    <w:p w14:paraId="15964FD6" w14:textId="5FCCBD90" w:rsidR="000933DC" w:rsidRDefault="000933DC" w:rsidP="000933DC">
      <w:pPr>
        <w:pStyle w:val="OdstavecASR"/>
      </w:pPr>
      <w:r w:rsidRPr="00F15667">
        <w:t>Pracovní pozice zaměstnanců ve výkonu a jejich pracovní náplň se od okresních soudů mírně liší. Pro účely této zprávy ale postačuje uvést stejné kategorie zaměstnanců ve výkonu jako u soudů okresních. Popis pracovní náplně a význam použitých zkratek uvádíme v podkapitole </w:t>
      </w:r>
      <w:r w:rsidRPr="00F15667">
        <w:fldChar w:fldCharType="begin"/>
      </w:r>
      <w:r w:rsidRPr="00F15667">
        <w:instrText xml:space="preserve"> REF _Ref10813793 \r \h  \* MERGEFORMAT </w:instrText>
      </w:r>
      <w:r w:rsidRPr="00F15667">
        <w:fldChar w:fldCharType="separate"/>
      </w:r>
      <w:r w:rsidR="001E1A67">
        <w:t>2.1.2</w:t>
      </w:r>
      <w:r w:rsidRPr="00F15667">
        <w:fldChar w:fldCharType="end"/>
      </w:r>
      <w:r w:rsidRPr="00F15667">
        <w:t>. Znovu tedy pracujeme s nejfrekventovanějšími pracovními pozicemi.</w:t>
      </w:r>
    </w:p>
    <w:p w14:paraId="71FFF55B" w14:textId="193823C1" w:rsidR="00BD4804" w:rsidRDefault="00BD4804">
      <w:pPr>
        <w:spacing w:after="160" w:line="259" w:lineRule="auto"/>
        <w:jc w:val="left"/>
      </w:pPr>
      <w:r>
        <w:br w:type="page"/>
      </w:r>
    </w:p>
    <w:p w14:paraId="42817572" w14:textId="12BABE30" w:rsidR="000933DC" w:rsidRPr="00F15667" w:rsidRDefault="000933DC" w:rsidP="000933DC">
      <w:pPr>
        <w:pStyle w:val="Podnadpis"/>
        <w:rPr>
          <w:color w:val="auto"/>
        </w:rPr>
      </w:pPr>
      <w:bookmarkStart w:id="589" w:name="_Toc515871467"/>
      <w:bookmarkStart w:id="590" w:name="_Toc11133234"/>
      <w:bookmarkStart w:id="591" w:name="_Toc43931210"/>
      <w:bookmarkStart w:id="592" w:name="_Toc75952343"/>
      <w:bookmarkStart w:id="593" w:name="_Toc106106801"/>
      <w:bookmarkStart w:id="594" w:name="_Toc109802124"/>
      <w:bookmarkStart w:id="595" w:name="_Toc144104281"/>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42</w:t>
      </w:r>
      <w:r w:rsidRPr="00F15667">
        <w:rPr>
          <w:noProof/>
          <w:color w:val="auto"/>
        </w:rPr>
        <w:fldChar w:fldCharType="end"/>
      </w:r>
      <w:r w:rsidRPr="00F15667">
        <w:rPr>
          <w:color w:val="auto"/>
        </w:rPr>
        <w:t>: KS – evidenční počet zaměstnanců ve výkonu dle soudů</w:t>
      </w:r>
      <w:bookmarkEnd w:id="589"/>
      <w:bookmarkEnd w:id="590"/>
      <w:bookmarkEnd w:id="591"/>
      <w:bookmarkEnd w:id="592"/>
      <w:bookmarkEnd w:id="593"/>
      <w:bookmarkEnd w:id="594"/>
      <w:bookmarkEnd w:id="595"/>
    </w:p>
    <w:tbl>
      <w:tblPr>
        <w:tblW w:w="8505" w:type="dxa"/>
        <w:tblLayout w:type="fixed"/>
        <w:tblCellMar>
          <w:left w:w="70" w:type="dxa"/>
          <w:right w:w="70" w:type="dxa"/>
        </w:tblCellMar>
        <w:tblLook w:val="04A0" w:firstRow="1" w:lastRow="0" w:firstColumn="1" w:lastColumn="0" w:noHBand="0" w:noVBand="1"/>
      </w:tblPr>
      <w:tblGrid>
        <w:gridCol w:w="2080"/>
        <w:gridCol w:w="740"/>
        <w:gridCol w:w="740"/>
        <w:gridCol w:w="740"/>
        <w:gridCol w:w="741"/>
        <w:gridCol w:w="740"/>
        <w:gridCol w:w="740"/>
        <w:gridCol w:w="740"/>
        <w:gridCol w:w="1244"/>
      </w:tblGrid>
      <w:tr w:rsidR="00F15667" w:rsidRPr="00F15667" w14:paraId="3417C008" w14:textId="77777777" w:rsidTr="00BD4804">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12FC7B67"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6425" w:type="dxa"/>
            <w:gridSpan w:val="8"/>
            <w:tcBorders>
              <w:top w:val="double" w:sz="6" w:space="0" w:color="auto"/>
              <w:left w:val="nil"/>
              <w:bottom w:val="nil"/>
              <w:right w:val="nil"/>
            </w:tcBorders>
            <w:shd w:val="clear" w:color="auto" w:fill="auto"/>
            <w:noWrap/>
            <w:vAlign w:val="center"/>
            <w:hideMark/>
          </w:tcPr>
          <w:p w14:paraId="7B16C886"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Počet osob</w:t>
            </w:r>
          </w:p>
        </w:tc>
      </w:tr>
      <w:tr w:rsidR="00F15667" w:rsidRPr="00F15667" w14:paraId="0922B045" w14:textId="77777777" w:rsidTr="00BD4804">
        <w:trPr>
          <w:trHeight w:val="330"/>
        </w:trPr>
        <w:tc>
          <w:tcPr>
            <w:tcW w:w="2080" w:type="dxa"/>
            <w:vMerge/>
            <w:tcBorders>
              <w:top w:val="double" w:sz="6" w:space="0" w:color="auto"/>
              <w:left w:val="nil"/>
              <w:bottom w:val="double" w:sz="6" w:space="0" w:color="000000"/>
              <w:right w:val="nil"/>
            </w:tcBorders>
            <w:vAlign w:val="center"/>
            <w:hideMark/>
          </w:tcPr>
          <w:p w14:paraId="0E2EB66C" w14:textId="77777777" w:rsidR="000933DC" w:rsidRPr="00F15667" w:rsidRDefault="000933DC" w:rsidP="00BD4804">
            <w:pPr>
              <w:spacing w:line="240" w:lineRule="auto"/>
              <w:jc w:val="center"/>
              <w:rPr>
                <w:rFonts w:eastAsia="Times New Roman"/>
                <w:b/>
                <w:bCs/>
                <w:szCs w:val="24"/>
                <w:lang w:eastAsia="cs-CZ"/>
              </w:rPr>
            </w:pPr>
          </w:p>
        </w:tc>
        <w:tc>
          <w:tcPr>
            <w:tcW w:w="740" w:type="dxa"/>
            <w:tcBorders>
              <w:top w:val="nil"/>
              <w:left w:val="nil"/>
              <w:bottom w:val="double" w:sz="6" w:space="0" w:color="auto"/>
              <w:right w:val="nil"/>
            </w:tcBorders>
            <w:shd w:val="clear" w:color="auto" w:fill="auto"/>
            <w:noWrap/>
            <w:vAlign w:val="center"/>
            <w:hideMark/>
          </w:tcPr>
          <w:p w14:paraId="3118F399"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VSÚ</w:t>
            </w:r>
          </w:p>
        </w:tc>
        <w:tc>
          <w:tcPr>
            <w:tcW w:w="740" w:type="dxa"/>
            <w:tcBorders>
              <w:top w:val="nil"/>
              <w:left w:val="nil"/>
              <w:bottom w:val="double" w:sz="6" w:space="0" w:color="auto"/>
              <w:right w:val="nil"/>
            </w:tcBorders>
            <w:shd w:val="clear" w:color="auto" w:fill="auto"/>
            <w:noWrap/>
            <w:vAlign w:val="center"/>
            <w:hideMark/>
          </w:tcPr>
          <w:p w14:paraId="25460E6C"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ST</w:t>
            </w:r>
          </w:p>
        </w:tc>
        <w:tc>
          <w:tcPr>
            <w:tcW w:w="740" w:type="dxa"/>
            <w:tcBorders>
              <w:top w:val="nil"/>
              <w:left w:val="nil"/>
              <w:bottom w:val="double" w:sz="6" w:space="0" w:color="auto"/>
              <w:right w:val="nil"/>
            </w:tcBorders>
            <w:shd w:val="clear" w:color="auto" w:fill="auto"/>
            <w:noWrap/>
            <w:vAlign w:val="center"/>
            <w:hideMark/>
          </w:tcPr>
          <w:p w14:paraId="0BA416E9"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A</w:t>
            </w:r>
          </w:p>
        </w:tc>
        <w:tc>
          <w:tcPr>
            <w:tcW w:w="741" w:type="dxa"/>
            <w:tcBorders>
              <w:top w:val="nil"/>
              <w:left w:val="nil"/>
              <w:bottom w:val="double" w:sz="6" w:space="0" w:color="auto"/>
              <w:right w:val="nil"/>
            </w:tcBorders>
            <w:shd w:val="clear" w:color="auto" w:fill="auto"/>
            <w:noWrap/>
            <w:vAlign w:val="center"/>
            <w:hideMark/>
          </w:tcPr>
          <w:p w14:paraId="310F9BAC"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VK</w:t>
            </w:r>
          </w:p>
        </w:tc>
        <w:tc>
          <w:tcPr>
            <w:tcW w:w="740" w:type="dxa"/>
            <w:tcBorders>
              <w:top w:val="nil"/>
              <w:left w:val="nil"/>
              <w:bottom w:val="double" w:sz="6" w:space="0" w:color="auto"/>
              <w:right w:val="nil"/>
            </w:tcBorders>
            <w:shd w:val="clear" w:color="auto" w:fill="auto"/>
            <w:noWrap/>
            <w:vAlign w:val="center"/>
            <w:hideMark/>
          </w:tcPr>
          <w:p w14:paraId="3ED3E3B6"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PÚ</w:t>
            </w:r>
          </w:p>
        </w:tc>
        <w:tc>
          <w:tcPr>
            <w:tcW w:w="740" w:type="dxa"/>
            <w:tcBorders>
              <w:top w:val="nil"/>
              <w:left w:val="nil"/>
              <w:bottom w:val="double" w:sz="6" w:space="0" w:color="auto"/>
              <w:right w:val="nil"/>
            </w:tcBorders>
            <w:shd w:val="clear" w:color="auto" w:fill="auto"/>
            <w:noWrap/>
            <w:vAlign w:val="center"/>
            <w:hideMark/>
          </w:tcPr>
          <w:p w14:paraId="61D388DE"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Z</w:t>
            </w:r>
          </w:p>
        </w:tc>
        <w:tc>
          <w:tcPr>
            <w:tcW w:w="740" w:type="dxa"/>
            <w:tcBorders>
              <w:top w:val="nil"/>
              <w:left w:val="nil"/>
              <w:bottom w:val="double" w:sz="6" w:space="0" w:color="auto"/>
              <w:right w:val="nil"/>
            </w:tcBorders>
            <w:shd w:val="clear" w:color="auto" w:fill="auto"/>
            <w:noWrap/>
            <w:vAlign w:val="center"/>
            <w:hideMark/>
          </w:tcPr>
          <w:p w14:paraId="0B369EFE"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RV</w:t>
            </w:r>
          </w:p>
        </w:tc>
        <w:tc>
          <w:tcPr>
            <w:tcW w:w="1244" w:type="dxa"/>
            <w:tcBorders>
              <w:top w:val="nil"/>
              <w:left w:val="nil"/>
              <w:bottom w:val="double" w:sz="6" w:space="0" w:color="auto"/>
              <w:right w:val="nil"/>
            </w:tcBorders>
            <w:shd w:val="clear" w:color="auto" w:fill="auto"/>
            <w:noWrap/>
            <w:vAlign w:val="center"/>
            <w:hideMark/>
          </w:tcPr>
          <w:p w14:paraId="497E30CB"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Celkem</w:t>
            </w:r>
          </w:p>
        </w:tc>
      </w:tr>
      <w:tr w:rsidR="00F15667" w:rsidRPr="00F15667" w14:paraId="11B10BDD" w14:textId="77777777" w:rsidTr="00BD4804">
        <w:trPr>
          <w:trHeight w:val="330"/>
        </w:trPr>
        <w:tc>
          <w:tcPr>
            <w:tcW w:w="2080" w:type="dxa"/>
            <w:tcBorders>
              <w:top w:val="single" w:sz="4" w:space="0" w:color="auto"/>
              <w:left w:val="nil"/>
              <w:bottom w:val="single" w:sz="4" w:space="0" w:color="auto"/>
              <w:right w:val="nil"/>
            </w:tcBorders>
            <w:shd w:val="clear" w:color="auto" w:fill="auto"/>
            <w:noWrap/>
            <w:vAlign w:val="center"/>
            <w:hideMark/>
          </w:tcPr>
          <w:p w14:paraId="12D0F659"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MS Praha</w:t>
            </w:r>
          </w:p>
        </w:tc>
        <w:tc>
          <w:tcPr>
            <w:tcW w:w="740" w:type="dxa"/>
            <w:tcBorders>
              <w:top w:val="single" w:sz="4" w:space="0" w:color="auto"/>
              <w:left w:val="nil"/>
              <w:bottom w:val="single" w:sz="4" w:space="0" w:color="auto"/>
              <w:right w:val="nil"/>
            </w:tcBorders>
            <w:shd w:val="clear" w:color="auto" w:fill="auto"/>
            <w:noWrap/>
            <w:vAlign w:val="center"/>
            <w:hideMark/>
          </w:tcPr>
          <w:p w14:paraId="75877F68"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66</w:t>
            </w:r>
          </w:p>
        </w:tc>
        <w:tc>
          <w:tcPr>
            <w:tcW w:w="740" w:type="dxa"/>
            <w:tcBorders>
              <w:top w:val="single" w:sz="4" w:space="0" w:color="auto"/>
              <w:left w:val="nil"/>
              <w:bottom w:val="single" w:sz="4" w:space="0" w:color="auto"/>
              <w:right w:val="nil"/>
            </w:tcBorders>
            <w:shd w:val="clear" w:color="auto" w:fill="auto"/>
            <w:noWrap/>
            <w:vAlign w:val="center"/>
            <w:hideMark/>
          </w:tcPr>
          <w:p w14:paraId="6A2FB922"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18</w:t>
            </w:r>
          </w:p>
        </w:tc>
        <w:tc>
          <w:tcPr>
            <w:tcW w:w="740" w:type="dxa"/>
            <w:tcBorders>
              <w:top w:val="single" w:sz="4" w:space="0" w:color="auto"/>
              <w:left w:val="nil"/>
              <w:bottom w:val="single" w:sz="4" w:space="0" w:color="auto"/>
              <w:right w:val="nil"/>
            </w:tcBorders>
            <w:shd w:val="clear" w:color="auto" w:fill="auto"/>
            <w:noWrap/>
            <w:vAlign w:val="center"/>
            <w:hideMark/>
          </w:tcPr>
          <w:p w14:paraId="43DE2D09"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116</w:t>
            </w:r>
          </w:p>
        </w:tc>
        <w:tc>
          <w:tcPr>
            <w:tcW w:w="741" w:type="dxa"/>
            <w:tcBorders>
              <w:top w:val="single" w:sz="4" w:space="0" w:color="auto"/>
              <w:left w:val="nil"/>
              <w:bottom w:val="single" w:sz="4" w:space="0" w:color="auto"/>
              <w:right w:val="nil"/>
            </w:tcBorders>
            <w:shd w:val="clear" w:color="auto" w:fill="auto"/>
            <w:noWrap/>
            <w:vAlign w:val="center"/>
            <w:hideMark/>
          </w:tcPr>
          <w:p w14:paraId="3D728A63"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46</w:t>
            </w:r>
          </w:p>
        </w:tc>
        <w:tc>
          <w:tcPr>
            <w:tcW w:w="740" w:type="dxa"/>
            <w:tcBorders>
              <w:top w:val="single" w:sz="4" w:space="0" w:color="auto"/>
              <w:left w:val="nil"/>
              <w:bottom w:val="single" w:sz="4" w:space="0" w:color="auto"/>
              <w:right w:val="nil"/>
            </w:tcBorders>
            <w:shd w:val="clear" w:color="auto" w:fill="auto"/>
            <w:noWrap/>
            <w:vAlign w:val="center"/>
            <w:hideMark/>
          </w:tcPr>
          <w:p w14:paraId="6E33C2D1"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13</w:t>
            </w:r>
          </w:p>
        </w:tc>
        <w:tc>
          <w:tcPr>
            <w:tcW w:w="740" w:type="dxa"/>
            <w:tcBorders>
              <w:top w:val="single" w:sz="4" w:space="0" w:color="auto"/>
              <w:left w:val="nil"/>
              <w:bottom w:val="single" w:sz="4" w:space="0" w:color="auto"/>
              <w:right w:val="nil"/>
            </w:tcBorders>
            <w:shd w:val="clear" w:color="auto" w:fill="auto"/>
            <w:noWrap/>
            <w:vAlign w:val="center"/>
            <w:hideMark/>
          </w:tcPr>
          <w:p w14:paraId="52C5B75F"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89</w:t>
            </w:r>
          </w:p>
        </w:tc>
        <w:tc>
          <w:tcPr>
            <w:tcW w:w="740" w:type="dxa"/>
            <w:tcBorders>
              <w:top w:val="single" w:sz="4" w:space="0" w:color="auto"/>
              <w:left w:val="nil"/>
              <w:bottom w:val="single" w:sz="4" w:space="0" w:color="auto"/>
              <w:right w:val="nil"/>
            </w:tcBorders>
            <w:shd w:val="clear" w:color="auto" w:fill="auto"/>
            <w:noWrap/>
            <w:vAlign w:val="center"/>
            <w:hideMark/>
          </w:tcPr>
          <w:p w14:paraId="0618A3A3"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88</w:t>
            </w:r>
          </w:p>
        </w:tc>
        <w:tc>
          <w:tcPr>
            <w:tcW w:w="1244" w:type="dxa"/>
            <w:tcBorders>
              <w:top w:val="single" w:sz="4" w:space="0" w:color="auto"/>
              <w:left w:val="nil"/>
              <w:bottom w:val="single" w:sz="4" w:space="0" w:color="auto"/>
              <w:right w:val="nil"/>
            </w:tcBorders>
            <w:shd w:val="clear" w:color="auto" w:fill="auto"/>
            <w:noWrap/>
            <w:vAlign w:val="center"/>
            <w:hideMark/>
          </w:tcPr>
          <w:p w14:paraId="7A4A5BCF"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436</w:t>
            </w:r>
          </w:p>
        </w:tc>
      </w:tr>
      <w:tr w:rsidR="00F15667" w:rsidRPr="00F15667" w14:paraId="100F01E7" w14:textId="77777777" w:rsidTr="00BD4804">
        <w:trPr>
          <w:trHeight w:val="315"/>
        </w:trPr>
        <w:tc>
          <w:tcPr>
            <w:tcW w:w="2080" w:type="dxa"/>
            <w:tcBorders>
              <w:top w:val="nil"/>
              <w:left w:val="nil"/>
              <w:bottom w:val="single" w:sz="4" w:space="0" w:color="auto"/>
              <w:right w:val="nil"/>
            </w:tcBorders>
            <w:shd w:val="clear" w:color="auto" w:fill="auto"/>
            <w:noWrap/>
            <w:vAlign w:val="center"/>
            <w:hideMark/>
          </w:tcPr>
          <w:p w14:paraId="5020D3E8"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Praha</w:t>
            </w:r>
          </w:p>
        </w:tc>
        <w:tc>
          <w:tcPr>
            <w:tcW w:w="740" w:type="dxa"/>
            <w:tcBorders>
              <w:top w:val="nil"/>
              <w:left w:val="nil"/>
              <w:bottom w:val="single" w:sz="4" w:space="0" w:color="auto"/>
              <w:right w:val="nil"/>
            </w:tcBorders>
            <w:shd w:val="clear" w:color="auto" w:fill="auto"/>
            <w:noWrap/>
            <w:vAlign w:val="center"/>
            <w:hideMark/>
          </w:tcPr>
          <w:p w14:paraId="166E5515"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15</w:t>
            </w:r>
          </w:p>
        </w:tc>
        <w:tc>
          <w:tcPr>
            <w:tcW w:w="740" w:type="dxa"/>
            <w:tcBorders>
              <w:top w:val="nil"/>
              <w:left w:val="nil"/>
              <w:bottom w:val="single" w:sz="4" w:space="0" w:color="auto"/>
              <w:right w:val="nil"/>
            </w:tcBorders>
            <w:shd w:val="clear" w:color="auto" w:fill="auto"/>
            <w:noWrap/>
            <w:vAlign w:val="center"/>
            <w:hideMark/>
          </w:tcPr>
          <w:p w14:paraId="21C2CC64"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6</w:t>
            </w:r>
          </w:p>
        </w:tc>
        <w:tc>
          <w:tcPr>
            <w:tcW w:w="740" w:type="dxa"/>
            <w:tcBorders>
              <w:top w:val="nil"/>
              <w:left w:val="nil"/>
              <w:bottom w:val="single" w:sz="4" w:space="0" w:color="auto"/>
              <w:right w:val="nil"/>
            </w:tcBorders>
            <w:shd w:val="clear" w:color="auto" w:fill="auto"/>
            <w:noWrap/>
            <w:vAlign w:val="center"/>
            <w:hideMark/>
          </w:tcPr>
          <w:p w14:paraId="4927CFED"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41</w:t>
            </w:r>
          </w:p>
        </w:tc>
        <w:tc>
          <w:tcPr>
            <w:tcW w:w="741" w:type="dxa"/>
            <w:tcBorders>
              <w:top w:val="nil"/>
              <w:left w:val="nil"/>
              <w:bottom w:val="single" w:sz="4" w:space="0" w:color="auto"/>
              <w:right w:val="nil"/>
            </w:tcBorders>
            <w:shd w:val="clear" w:color="auto" w:fill="auto"/>
            <w:noWrap/>
            <w:vAlign w:val="center"/>
            <w:hideMark/>
          </w:tcPr>
          <w:p w14:paraId="17608866"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12</w:t>
            </w:r>
          </w:p>
        </w:tc>
        <w:tc>
          <w:tcPr>
            <w:tcW w:w="740" w:type="dxa"/>
            <w:tcBorders>
              <w:top w:val="nil"/>
              <w:left w:val="nil"/>
              <w:bottom w:val="single" w:sz="4" w:space="0" w:color="auto"/>
              <w:right w:val="nil"/>
            </w:tcBorders>
            <w:shd w:val="clear" w:color="auto" w:fill="auto"/>
            <w:noWrap/>
            <w:vAlign w:val="center"/>
            <w:hideMark/>
          </w:tcPr>
          <w:p w14:paraId="6D5D679A"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11</w:t>
            </w:r>
          </w:p>
        </w:tc>
        <w:tc>
          <w:tcPr>
            <w:tcW w:w="740" w:type="dxa"/>
            <w:tcBorders>
              <w:top w:val="nil"/>
              <w:left w:val="nil"/>
              <w:bottom w:val="single" w:sz="4" w:space="0" w:color="auto"/>
              <w:right w:val="nil"/>
            </w:tcBorders>
            <w:shd w:val="clear" w:color="auto" w:fill="auto"/>
            <w:noWrap/>
            <w:vAlign w:val="center"/>
            <w:hideMark/>
          </w:tcPr>
          <w:p w14:paraId="335C61C7"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10</w:t>
            </w:r>
          </w:p>
        </w:tc>
        <w:tc>
          <w:tcPr>
            <w:tcW w:w="740" w:type="dxa"/>
            <w:tcBorders>
              <w:top w:val="nil"/>
              <w:left w:val="nil"/>
              <w:bottom w:val="single" w:sz="4" w:space="0" w:color="auto"/>
              <w:right w:val="nil"/>
            </w:tcBorders>
            <w:shd w:val="clear" w:color="auto" w:fill="auto"/>
            <w:noWrap/>
            <w:vAlign w:val="center"/>
            <w:hideMark/>
          </w:tcPr>
          <w:p w14:paraId="7A1FD93E"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52</w:t>
            </w:r>
          </w:p>
        </w:tc>
        <w:tc>
          <w:tcPr>
            <w:tcW w:w="1244" w:type="dxa"/>
            <w:tcBorders>
              <w:top w:val="nil"/>
              <w:left w:val="nil"/>
              <w:bottom w:val="single" w:sz="4" w:space="0" w:color="auto"/>
              <w:right w:val="nil"/>
            </w:tcBorders>
            <w:shd w:val="clear" w:color="auto" w:fill="auto"/>
            <w:noWrap/>
            <w:vAlign w:val="center"/>
            <w:hideMark/>
          </w:tcPr>
          <w:p w14:paraId="32DE2A71"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147</w:t>
            </w:r>
          </w:p>
        </w:tc>
      </w:tr>
      <w:tr w:rsidR="00F15667" w:rsidRPr="00F15667" w14:paraId="4D73759D" w14:textId="77777777" w:rsidTr="00BD4804">
        <w:trPr>
          <w:trHeight w:val="315"/>
        </w:trPr>
        <w:tc>
          <w:tcPr>
            <w:tcW w:w="2080" w:type="dxa"/>
            <w:tcBorders>
              <w:top w:val="nil"/>
              <w:left w:val="nil"/>
              <w:bottom w:val="single" w:sz="4" w:space="0" w:color="auto"/>
              <w:right w:val="nil"/>
            </w:tcBorders>
            <w:shd w:val="clear" w:color="auto" w:fill="auto"/>
            <w:noWrap/>
            <w:vAlign w:val="center"/>
            <w:hideMark/>
          </w:tcPr>
          <w:p w14:paraId="2AC8AE05"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Č. Budějovice</w:t>
            </w:r>
          </w:p>
        </w:tc>
        <w:tc>
          <w:tcPr>
            <w:tcW w:w="740" w:type="dxa"/>
            <w:tcBorders>
              <w:top w:val="nil"/>
              <w:left w:val="nil"/>
              <w:bottom w:val="single" w:sz="4" w:space="0" w:color="auto"/>
              <w:right w:val="nil"/>
            </w:tcBorders>
            <w:shd w:val="clear" w:color="auto" w:fill="auto"/>
            <w:noWrap/>
            <w:vAlign w:val="center"/>
            <w:hideMark/>
          </w:tcPr>
          <w:p w14:paraId="6FC8CB02"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25</w:t>
            </w:r>
          </w:p>
        </w:tc>
        <w:tc>
          <w:tcPr>
            <w:tcW w:w="740" w:type="dxa"/>
            <w:tcBorders>
              <w:top w:val="nil"/>
              <w:left w:val="nil"/>
              <w:bottom w:val="single" w:sz="4" w:space="0" w:color="auto"/>
              <w:right w:val="nil"/>
            </w:tcBorders>
            <w:shd w:val="clear" w:color="auto" w:fill="auto"/>
            <w:noWrap/>
            <w:vAlign w:val="center"/>
            <w:hideMark/>
          </w:tcPr>
          <w:p w14:paraId="0520F9BA"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w:t>
            </w:r>
          </w:p>
        </w:tc>
        <w:tc>
          <w:tcPr>
            <w:tcW w:w="740" w:type="dxa"/>
            <w:tcBorders>
              <w:top w:val="nil"/>
              <w:left w:val="nil"/>
              <w:bottom w:val="single" w:sz="4" w:space="0" w:color="auto"/>
              <w:right w:val="nil"/>
            </w:tcBorders>
            <w:shd w:val="clear" w:color="auto" w:fill="auto"/>
            <w:noWrap/>
            <w:vAlign w:val="center"/>
            <w:hideMark/>
          </w:tcPr>
          <w:p w14:paraId="5D18FA8F"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19</w:t>
            </w:r>
          </w:p>
        </w:tc>
        <w:tc>
          <w:tcPr>
            <w:tcW w:w="741" w:type="dxa"/>
            <w:tcBorders>
              <w:top w:val="nil"/>
              <w:left w:val="nil"/>
              <w:bottom w:val="single" w:sz="4" w:space="0" w:color="auto"/>
              <w:right w:val="nil"/>
            </w:tcBorders>
            <w:shd w:val="clear" w:color="auto" w:fill="auto"/>
            <w:noWrap/>
            <w:vAlign w:val="center"/>
            <w:hideMark/>
          </w:tcPr>
          <w:p w14:paraId="22511D50"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11</w:t>
            </w:r>
          </w:p>
        </w:tc>
        <w:tc>
          <w:tcPr>
            <w:tcW w:w="740" w:type="dxa"/>
            <w:tcBorders>
              <w:top w:val="nil"/>
              <w:left w:val="nil"/>
              <w:bottom w:val="single" w:sz="4" w:space="0" w:color="auto"/>
              <w:right w:val="nil"/>
            </w:tcBorders>
            <w:shd w:val="clear" w:color="auto" w:fill="auto"/>
            <w:noWrap/>
            <w:vAlign w:val="center"/>
            <w:hideMark/>
          </w:tcPr>
          <w:p w14:paraId="1CDE45FB"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13</w:t>
            </w:r>
          </w:p>
        </w:tc>
        <w:tc>
          <w:tcPr>
            <w:tcW w:w="740" w:type="dxa"/>
            <w:tcBorders>
              <w:top w:val="nil"/>
              <w:left w:val="nil"/>
              <w:bottom w:val="single" w:sz="4" w:space="0" w:color="auto"/>
              <w:right w:val="nil"/>
            </w:tcBorders>
            <w:shd w:val="clear" w:color="auto" w:fill="auto"/>
            <w:noWrap/>
            <w:vAlign w:val="center"/>
            <w:hideMark/>
          </w:tcPr>
          <w:p w14:paraId="162F5F57"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25</w:t>
            </w:r>
          </w:p>
        </w:tc>
        <w:tc>
          <w:tcPr>
            <w:tcW w:w="740" w:type="dxa"/>
            <w:tcBorders>
              <w:top w:val="nil"/>
              <w:left w:val="nil"/>
              <w:bottom w:val="single" w:sz="4" w:space="0" w:color="auto"/>
              <w:right w:val="nil"/>
            </w:tcBorders>
            <w:shd w:val="clear" w:color="auto" w:fill="auto"/>
            <w:noWrap/>
            <w:vAlign w:val="center"/>
            <w:hideMark/>
          </w:tcPr>
          <w:p w14:paraId="32694614"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7</w:t>
            </w:r>
          </w:p>
        </w:tc>
        <w:tc>
          <w:tcPr>
            <w:tcW w:w="1244" w:type="dxa"/>
            <w:tcBorders>
              <w:top w:val="nil"/>
              <w:left w:val="nil"/>
              <w:bottom w:val="single" w:sz="4" w:space="0" w:color="auto"/>
              <w:right w:val="nil"/>
            </w:tcBorders>
            <w:shd w:val="clear" w:color="auto" w:fill="auto"/>
            <w:noWrap/>
            <w:vAlign w:val="center"/>
            <w:hideMark/>
          </w:tcPr>
          <w:p w14:paraId="0BB22CF5"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102</w:t>
            </w:r>
          </w:p>
        </w:tc>
      </w:tr>
      <w:tr w:rsidR="00F15667" w:rsidRPr="00F15667" w14:paraId="5FCE2F65" w14:textId="77777777" w:rsidTr="00BD4804">
        <w:trPr>
          <w:trHeight w:val="315"/>
        </w:trPr>
        <w:tc>
          <w:tcPr>
            <w:tcW w:w="2080" w:type="dxa"/>
            <w:tcBorders>
              <w:top w:val="nil"/>
              <w:left w:val="nil"/>
              <w:bottom w:val="single" w:sz="4" w:space="0" w:color="auto"/>
              <w:right w:val="nil"/>
            </w:tcBorders>
            <w:shd w:val="clear" w:color="auto" w:fill="auto"/>
            <w:noWrap/>
            <w:vAlign w:val="center"/>
            <w:hideMark/>
          </w:tcPr>
          <w:p w14:paraId="6173F43B"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Plzeň</w:t>
            </w:r>
          </w:p>
        </w:tc>
        <w:tc>
          <w:tcPr>
            <w:tcW w:w="740" w:type="dxa"/>
            <w:tcBorders>
              <w:top w:val="nil"/>
              <w:left w:val="nil"/>
              <w:bottom w:val="single" w:sz="4" w:space="0" w:color="auto"/>
              <w:right w:val="nil"/>
            </w:tcBorders>
            <w:shd w:val="clear" w:color="auto" w:fill="auto"/>
            <w:noWrap/>
            <w:vAlign w:val="center"/>
            <w:hideMark/>
          </w:tcPr>
          <w:p w14:paraId="386D605D"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17</w:t>
            </w:r>
          </w:p>
        </w:tc>
        <w:tc>
          <w:tcPr>
            <w:tcW w:w="740" w:type="dxa"/>
            <w:tcBorders>
              <w:top w:val="nil"/>
              <w:left w:val="nil"/>
              <w:bottom w:val="single" w:sz="4" w:space="0" w:color="auto"/>
              <w:right w:val="nil"/>
            </w:tcBorders>
            <w:shd w:val="clear" w:color="auto" w:fill="auto"/>
            <w:noWrap/>
            <w:vAlign w:val="center"/>
            <w:hideMark/>
          </w:tcPr>
          <w:p w14:paraId="57169CF6"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w:t>
            </w:r>
          </w:p>
        </w:tc>
        <w:tc>
          <w:tcPr>
            <w:tcW w:w="740" w:type="dxa"/>
            <w:tcBorders>
              <w:top w:val="nil"/>
              <w:left w:val="nil"/>
              <w:bottom w:val="single" w:sz="4" w:space="0" w:color="auto"/>
              <w:right w:val="nil"/>
            </w:tcBorders>
            <w:shd w:val="clear" w:color="auto" w:fill="auto"/>
            <w:noWrap/>
            <w:vAlign w:val="center"/>
            <w:hideMark/>
          </w:tcPr>
          <w:p w14:paraId="199066A8"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32</w:t>
            </w:r>
          </w:p>
        </w:tc>
        <w:tc>
          <w:tcPr>
            <w:tcW w:w="741" w:type="dxa"/>
            <w:tcBorders>
              <w:top w:val="nil"/>
              <w:left w:val="nil"/>
              <w:bottom w:val="single" w:sz="4" w:space="0" w:color="auto"/>
              <w:right w:val="nil"/>
            </w:tcBorders>
            <w:shd w:val="clear" w:color="auto" w:fill="auto"/>
            <w:noWrap/>
            <w:vAlign w:val="center"/>
            <w:hideMark/>
          </w:tcPr>
          <w:p w14:paraId="53BEF3FA"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38</w:t>
            </w:r>
          </w:p>
        </w:tc>
        <w:tc>
          <w:tcPr>
            <w:tcW w:w="740" w:type="dxa"/>
            <w:tcBorders>
              <w:top w:val="nil"/>
              <w:left w:val="nil"/>
              <w:bottom w:val="single" w:sz="4" w:space="0" w:color="auto"/>
              <w:right w:val="nil"/>
            </w:tcBorders>
            <w:shd w:val="clear" w:color="auto" w:fill="auto"/>
            <w:noWrap/>
            <w:vAlign w:val="center"/>
            <w:hideMark/>
          </w:tcPr>
          <w:p w14:paraId="5FA29975"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11</w:t>
            </w:r>
          </w:p>
        </w:tc>
        <w:tc>
          <w:tcPr>
            <w:tcW w:w="740" w:type="dxa"/>
            <w:tcBorders>
              <w:top w:val="nil"/>
              <w:left w:val="nil"/>
              <w:bottom w:val="single" w:sz="4" w:space="0" w:color="auto"/>
              <w:right w:val="nil"/>
            </w:tcBorders>
            <w:shd w:val="clear" w:color="auto" w:fill="auto"/>
            <w:noWrap/>
            <w:vAlign w:val="center"/>
            <w:hideMark/>
          </w:tcPr>
          <w:p w14:paraId="7BE5FCF6"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18</w:t>
            </w:r>
          </w:p>
        </w:tc>
        <w:tc>
          <w:tcPr>
            <w:tcW w:w="740" w:type="dxa"/>
            <w:tcBorders>
              <w:top w:val="nil"/>
              <w:left w:val="nil"/>
              <w:bottom w:val="single" w:sz="4" w:space="0" w:color="auto"/>
              <w:right w:val="nil"/>
            </w:tcBorders>
            <w:shd w:val="clear" w:color="auto" w:fill="auto"/>
            <w:noWrap/>
            <w:vAlign w:val="center"/>
            <w:hideMark/>
          </w:tcPr>
          <w:p w14:paraId="412652F1"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w:t>
            </w:r>
          </w:p>
        </w:tc>
        <w:tc>
          <w:tcPr>
            <w:tcW w:w="1244" w:type="dxa"/>
            <w:tcBorders>
              <w:top w:val="nil"/>
              <w:left w:val="nil"/>
              <w:bottom w:val="single" w:sz="4" w:space="0" w:color="auto"/>
              <w:right w:val="nil"/>
            </w:tcBorders>
            <w:shd w:val="clear" w:color="auto" w:fill="auto"/>
            <w:noWrap/>
            <w:vAlign w:val="center"/>
            <w:hideMark/>
          </w:tcPr>
          <w:p w14:paraId="7648BED7"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120</w:t>
            </w:r>
          </w:p>
        </w:tc>
      </w:tr>
      <w:tr w:rsidR="00F15667" w:rsidRPr="00F15667" w14:paraId="6C5DA617" w14:textId="77777777" w:rsidTr="00BD4804">
        <w:trPr>
          <w:trHeight w:val="315"/>
        </w:trPr>
        <w:tc>
          <w:tcPr>
            <w:tcW w:w="2080" w:type="dxa"/>
            <w:tcBorders>
              <w:top w:val="nil"/>
              <w:left w:val="nil"/>
              <w:bottom w:val="single" w:sz="4" w:space="0" w:color="auto"/>
              <w:right w:val="nil"/>
            </w:tcBorders>
            <w:shd w:val="clear" w:color="auto" w:fill="auto"/>
            <w:noWrap/>
            <w:vAlign w:val="center"/>
            <w:hideMark/>
          </w:tcPr>
          <w:p w14:paraId="03FD281C"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Ústí n. Labem</w:t>
            </w:r>
          </w:p>
        </w:tc>
        <w:tc>
          <w:tcPr>
            <w:tcW w:w="740" w:type="dxa"/>
            <w:tcBorders>
              <w:top w:val="nil"/>
              <w:left w:val="nil"/>
              <w:bottom w:val="single" w:sz="4" w:space="0" w:color="auto"/>
              <w:right w:val="nil"/>
            </w:tcBorders>
            <w:shd w:val="clear" w:color="auto" w:fill="auto"/>
            <w:noWrap/>
            <w:vAlign w:val="center"/>
            <w:hideMark/>
          </w:tcPr>
          <w:p w14:paraId="21F87BA9"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41</w:t>
            </w:r>
          </w:p>
        </w:tc>
        <w:tc>
          <w:tcPr>
            <w:tcW w:w="740" w:type="dxa"/>
            <w:tcBorders>
              <w:top w:val="nil"/>
              <w:left w:val="nil"/>
              <w:bottom w:val="single" w:sz="4" w:space="0" w:color="auto"/>
              <w:right w:val="nil"/>
            </w:tcBorders>
            <w:shd w:val="clear" w:color="auto" w:fill="auto"/>
            <w:noWrap/>
            <w:vAlign w:val="center"/>
            <w:hideMark/>
          </w:tcPr>
          <w:p w14:paraId="54ACD2CB"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25</w:t>
            </w:r>
          </w:p>
        </w:tc>
        <w:tc>
          <w:tcPr>
            <w:tcW w:w="740" w:type="dxa"/>
            <w:tcBorders>
              <w:top w:val="nil"/>
              <w:left w:val="nil"/>
              <w:bottom w:val="single" w:sz="4" w:space="0" w:color="auto"/>
              <w:right w:val="nil"/>
            </w:tcBorders>
            <w:shd w:val="clear" w:color="auto" w:fill="auto"/>
            <w:noWrap/>
            <w:vAlign w:val="center"/>
            <w:hideMark/>
          </w:tcPr>
          <w:p w14:paraId="051F8BC5"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41</w:t>
            </w:r>
          </w:p>
        </w:tc>
        <w:tc>
          <w:tcPr>
            <w:tcW w:w="741" w:type="dxa"/>
            <w:tcBorders>
              <w:top w:val="nil"/>
              <w:left w:val="nil"/>
              <w:bottom w:val="single" w:sz="4" w:space="0" w:color="auto"/>
              <w:right w:val="nil"/>
            </w:tcBorders>
            <w:shd w:val="clear" w:color="auto" w:fill="auto"/>
            <w:noWrap/>
            <w:vAlign w:val="center"/>
            <w:hideMark/>
          </w:tcPr>
          <w:p w14:paraId="2641A5C3"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24</w:t>
            </w:r>
          </w:p>
        </w:tc>
        <w:tc>
          <w:tcPr>
            <w:tcW w:w="740" w:type="dxa"/>
            <w:tcBorders>
              <w:top w:val="nil"/>
              <w:left w:val="nil"/>
              <w:bottom w:val="single" w:sz="4" w:space="0" w:color="auto"/>
              <w:right w:val="nil"/>
            </w:tcBorders>
            <w:shd w:val="clear" w:color="auto" w:fill="auto"/>
            <w:noWrap/>
            <w:vAlign w:val="center"/>
            <w:hideMark/>
          </w:tcPr>
          <w:p w14:paraId="3F80EF39"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22</w:t>
            </w:r>
          </w:p>
        </w:tc>
        <w:tc>
          <w:tcPr>
            <w:tcW w:w="740" w:type="dxa"/>
            <w:tcBorders>
              <w:top w:val="nil"/>
              <w:left w:val="nil"/>
              <w:bottom w:val="single" w:sz="4" w:space="0" w:color="auto"/>
              <w:right w:val="nil"/>
            </w:tcBorders>
            <w:shd w:val="clear" w:color="auto" w:fill="auto"/>
            <w:noWrap/>
            <w:vAlign w:val="center"/>
            <w:hideMark/>
          </w:tcPr>
          <w:p w14:paraId="50663F30"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46</w:t>
            </w:r>
          </w:p>
        </w:tc>
        <w:tc>
          <w:tcPr>
            <w:tcW w:w="740" w:type="dxa"/>
            <w:tcBorders>
              <w:top w:val="nil"/>
              <w:left w:val="nil"/>
              <w:bottom w:val="single" w:sz="4" w:space="0" w:color="auto"/>
              <w:right w:val="nil"/>
            </w:tcBorders>
            <w:shd w:val="clear" w:color="auto" w:fill="auto"/>
            <w:noWrap/>
            <w:vAlign w:val="center"/>
            <w:hideMark/>
          </w:tcPr>
          <w:p w14:paraId="7D92FA56"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20</w:t>
            </w:r>
          </w:p>
        </w:tc>
        <w:tc>
          <w:tcPr>
            <w:tcW w:w="1244" w:type="dxa"/>
            <w:tcBorders>
              <w:top w:val="nil"/>
              <w:left w:val="nil"/>
              <w:bottom w:val="single" w:sz="4" w:space="0" w:color="auto"/>
              <w:right w:val="nil"/>
            </w:tcBorders>
            <w:shd w:val="clear" w:color="auto" w:fill="auto"/>
            <w:noWrap/>
            <w:vAlign w:val="center"/>
            <w:hideMark/>
          </w:tcPr>
          <w:p w14:paraId="0A9AB6A6"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219</w:t>
            </w:r>
          </w:p>
        </w:tc>
      </w:tr>
      <w:tr w:rsidR="00F15667" w:rsidRPr="00F15667" w14:paraId="166FAB6D" w14:textId="77777777" w:rsidTr="00BD4804">
        <w:trPr>
          <w:trHeight w:val="315"/>
        </w:trPr>
        <w:tc>
          <w:tcPr>
            <w:tcW w:w="2080" w:type="dxa"/>
            <w:tcBorders>
              <w:top w:val="nil"/>
              <w:left w:val="nil"/>
              <w:bottom w:val="single" w:sz="4" w:space="0" w:color="auto"/>
              <w:right w:val="nil"/>
            </w:tcBorders>
            <w:shd w:val="clear" w:color="auto" w:fill="auto"/>
            <w:noWrap/>
            <w:vAlign w:val="center"/>
            <w:hideMark/>
          </w:tcPr>
          <w:p w14:paraId="5FB9AB80"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Hr. Králové</w:t>
            </w:r>
          </w:p>
        </w:tc>
        <w:tc>
          <w:tcPr>
            <w:tcW w:w="740" w:type="dxa"/>
            <w:tcBorders>
              <w:top w:val="nil"/>
              <w:left w:val="nil"/>
              <w:bottom w:val="single" w:sz="4" w:space="0" w:color="auto"/>
              <w:right w:val="nil"/>
            </w:tcBorders>
            <w:shd w:val="clear" w:color="auto" w:fill="auto"/>
            <w:noWrap/>
            <w:vAlign w:val="center"/>
            <w:hideMark/>
          </w:tcPr>
          <w:p w14:paraId="70F5441C"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28</w:t>
            </w:r>
          </w:p>
        </w:tc>
        <w:tc>
          <w:tcPr>
            <w:tcW w:w="740" w:type="dxa"/>
            <w:tcBorders>
              <w:top w:val="nil"/>
              <w:left w:val="nil"/>
              <w:bottom w:val="single" w:sz="4" w:space="0" w:color="auto"/>
              <w:right w:val="nil"/>
            </w:tcBorders>
            <w:shd w:val="clear" w:color="auto" w:fill="auto"/>
            <w:noWrap/>
            <w:vAlign w:val="center"/>
            <w:hideMark/>
          </w:tcPr>
          <w:p w14:paraId="0C42D49F"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w:t>
            </w:r>
          </w:p>
        </w:tc>
        <w:tc>
          <w:tcPr>
            <w:tcW w:w="740" w:type="dxa"/>
            <w:tcBorders>
              <w:top w:val="nil"/>
              <w:left w:val="nil"/>
              <w:bottom w:val="single" w:sz="4" w:space="0" w:color="auto"/>
              <w:right w:val="nil"/>
            </w:tcBorders>
            <w:shd w:val="clear" w:color="auto" w:fill="auto"/>
            <w:noWrap/>
            <w:vAlign w:val="center"/>
            <w:hideMark/>
          </w:tcPr>
          <w:p w14:paraId="7AE38158"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18</w:t>
            </w:r>
          </w:p>
        </w:tc>
        <w:tc>
          <w:tcPr>
            <w:tcW w:w="741" w:type="dxa"/>
            <w:tcBorders>
              <w:top w:val="nil"/>
              <w:left w:val="nil"/>
              <w:bottom w:val="single" w:sz="4" w:space="0" w:color="auto"/>
              <w:right w:val="nil"/>
            </w:tcBorders>
            <w:shd w:val="clear" w:color="auto" w:fill="auto"/>
            <w:noWrap/>
            <w:vAlign w:val="center"/>
            <w:hideMark/>
          </w:tcPr>
          <w:p w14:paraId="04E605E8"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25</w:t>
            </w:r>
          </w:p>
        </w:tc>
        <w:tc>
          <w:tcPr>
            <w:tcW w:w="740" w:type="dxa"/>
            <w:tcBorders>
              <w:top w:val="nil"/>
              <w:left w:val="nil"/>
              <w:bottom w:val="single" w:sz="4" w:space="0" w:color="auto"/>
              <w:right w:val="nil"/>
            </w:tcBorders>
            <w:shd w:val="clear" w:color="auto" w:fill="auto"/>
            <w:noWrap/>
            <w:vAlign w:val="center"/>
            <w:hideMark/>
          </w:tcPr>
          <w:p w14:paraId="077D4F5B"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13</w:t>
            </w:r>
          </w:p>
        </w:tc>
        <w:tc>
          <w:tcPr>
            <w:tcW w:w="740" w:type="dxa"/>
            <w:tcBorders>
              <w:top w:val="nil"/>
              <w:left w:val="nil"/>
              <w:bottom w:val="single" w:sz="4" w:space="0" w:color="auto"/>
              <w:right w:val="nil"/>
            </w:tcBorders>
            <w:shd w:val="clear" w:color="auto" w:fill="auto"/>
            <w:noWrap/>
            <w:vAlign w:val="center"/>
            <w:hideMark/>
          </w:tcPr>
          <w:p w14:paraId="6D5A00C4"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56</w:t>
            </w:r>
          </w:p>
        </w:tc>
        <w:tc>
          <w:tcPr>
            <w:tcW w:w="740" w:type="dxa"/>
            <w:tcBorders>
              <w:top w:val="nil"/>
              <w:left w:val="nil"/>
              <w:bottom w:val="single" w:sz="4" w:space="0" w:color="auto"/>
              <w:right w:val="nil"/>
            </w:tcBorders>
            <w:shd w:val="clear" w:color="auto" w:fill="auto"/>
            <w:noWrap/>
            <w:vAlign w:val="center"/>
            <w:hideMark/>
          </w:tcPr>
          <w:p w14:paraId="30DC4D93"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0</w:t>
            </w:r>
          </w:p>
        </w:tc>
        <w:tc>
          <w:tcPr>
            <w:tcW w:w="1244" w:type="dxa"/>
            <w:tcBorders>
              <w:top w:val="nil"/>
              <w:left w:val="nil"/>
              <w:bottom w:val="single" w:sz="4" w:space="0" w:color="auto"/>
              <w:right w:val="nil"/>
            </w:tcBorders>
            <w:shd w:val="clear" w:color="auto" w:fill="auto"/>
            <w:noWrap/>
            <w:vAlign w:val="center"/>
            <w:hideMark/>
          </w:tcPr>
          <w:p w14:paraId="0E98C950"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145</w:t>
            </w:r>
          </w:p>
        </w:tc>
      </w:tr>
      <w:tr w:rsidR="00F15667" w:rsidRPr="00F15667" w14:paraId="65F61B19" w14:textId="77777777" w:rsidTr="00BD4804">
        <w:trPr>
          <w:trHeight w:val="315"/>
        </w:trPr>
        <w:tc>
          <w:tcPr>
            <w:tcW w:w="2080" w:type="dxa"/>
            <w:tcBorders>
              <w:top w:val="nil"/>
              <w:left w:val="nil"/>
              <w:bottom w:val="single" w:sz="4" w:space="0" w:color="auto"/>
              <w:right w:val="nil"/>
            </w:tcBorders>
            <w:shd w:val="clear" w:color="auto" w:fill="auto"/>
            <w:noWrap/>
            <w:vAlign w:val="center"/>
            <w:hideMark/>
          </w:tcPr>
          <w:p w14:paraId="55103243"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Brno</w:t>
            </w:r>
          </w:p>
        </w:tc>
        <w:tc>
          <w:tcPr>
            <w:tcW w:w="740" w:type="dxa"/>
            <w:tcBorders>
              <w:top w:val="nil"/>
              <w:left w:val="nil"/>
              <w:bottom w:val="single" w:sz="4" w:space="0" w:color="auto"/>
              <w:right w:val="nil"/>
            </w:tcBorders>
            <w:shd w:val="clear" w:color="auto" w:fill="auto"/>
            <w:noWrap/>
            <w:vAlign w:val="center"/>
            <w:hideMark/>
          </w:tcPr>
          <w:p w14:paraId="696520FC"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45</w:t>
            </w:r>
          </w:p>
        </w:tc>
        <w:tc>
          <w:tcPr>
            <w:tcW w:w="740" w:type="dxa"/>
            <w:tcBorders>
              <w:top w:val="nil"/>
              <w:left w:val="nil"/>
              <w:bottom w:val="single" w:sz="4" w:space="0" w:color="auto"/>
              <w:right w:val="nil"/>
            </w:tcBorders>
            <w:shd w:val="clear" w:color="auto" w:fill="auto"/>
            <w:noWrap/>
            <w:vAlign w:val="center"/>
            <w:hideMark/>
          </w:tcPr>
          <w:p w14:paraId="67AF4BEB"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w:t>
            </w:r>
          </w:p>
        </w:tc>
        <w:tc>
          <w:tcPr>
            <w:tcW w:w="740" w:type="dxa"/>
            <w:tcBorders>
              <w:top w:val="nil"/>
              <w:left w:val="nil"/>
              <w:bottom w:val="single" w:sz="4" w:space="0" w:color="auto"/>
              <w:right w:val="nil"/>
            </w:tcBorders>
            <w:shd w:val="clear" w:color="auto" w:fill="auto"/>
            <w:noWrap/>
            <w:vAlign w:val="center"/>
            <w:hideMark/>
          </w:tcPr>
          <w:p w14:paraId="4B00778C"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52</w:t>
            </w:r>
          </w:p>
        </w:tc>
        <w:tc>
          <w:tcPr>
            <w:tcW w:w="741" w:type="dxa"/>
            <w:tcBorders>
              <w:top w:val="nil"/>
              <w:left w:val="nil"/>
              <w:bottom w:val="single" w:sz="4" w:space="0" w:color="auto"/>
              <w:right w:val="nil"/>
            </w:tcBorders>
            <w:shd w:val="clear" w:color="auto" w:fill="auto"/>
            <w:noWrap/>
            <w:vAlign w:val="center"/>
            <w:hideMark/>
          </w:tcPr>
          <w:p w14:paraId="6BF71564"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36</w:t>
            </w:r>
          </w:p>
        </w:tc>
        <w:tc>
          <w:tcPr>
            <w:tcW w:w="740" w:type="dxa"/>
            <w:tcBorders>
              <w:top w:val="nil"/>
              <w:left w:val="nil"/>
              <w:bottom w:val="single" w:sz="4" w:space="0" w:color="auto"/>
              <w:right w:val="nil"/>
            </w:tcBorders>
            <w:shd w:val="clear" w:color="auto" w:fill="auto"/>
            <w:noWrap/>
            <w:vAlign w:val="center"/>
            <w:hideMark/>
          </w:tcPr>
          <w:p w14:paraId="00FC8DE0"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22</w:t>
            </w:r>
          </w:p>
        </w:tc>
        <w:tc>
          <w:tcPr>
            <w:tcW w:w="740" w:type="dxa"/>
            <w:tcBorders>
              <w:top w:val="nil"/>
              <w:left w:val="nil"/>
              <w:bottom w:val="single" w:sz="4" w:space="0" w:color="auto"/>
              <w:right w:val="nil"/>
            </w:tcBorders>
            <w:shd w:val="clear" w:color="auto" w:fill="auto"/>
            <w:noWrap/>
            <w:vAlign w:val="center"/>
            <w:hideMark/>
          </w:tcPr>
          <w:p w14:paraId="73DB7741"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72</w:t>
            </w:r>
          </w:p>
        </w:tc>
        <w:tc>
          <w:tcPr>
            <w:tcW w:w="740" w:type="dxa"/>
            <w:tcBorders>
              <w:top w:val="nil"/>
              <w:left w:val="nil"/>
              <w:bottom w:val="single" w:sz="4" w:space="0" w:color="auto"/>
              <w:right w:val="nil"/>
            </w:tcBorders>
            <w:shd w:val="clear" w:color="auto" w:fill="auto"/>
            <w:noWrap/>
            <w:vAlign w:val="center"/>
            <w:hideMark/>
          </w:tcPr>
          <w:p w14:paraId="457AF140"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22</w:t>
            </w:r>
          </w:p>
        </w:tc>
        <w:tc>
          <w:tcPr>
            <w:tcW w:w="1244" w:type="dxa"/>
            <w:tcBorders>
              <w:top w:val="nil"/>
              <w:left w:val="nil"/>
              <w:bottom w:val="single" w:sz="4" w:space="0" w:color="auto"/>
              <w:right w:val="nil"/>
            </w:tcBorders>
            <w:shd w:val="clear" w:color="auto" w:fill="auto"/>
            <w:noWrap/>
            <w:vAlign w:val="center"/>
            <w:hideMark/>
          </w:tcPr>
          <w:p w14:paraId="1885F434"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252</w:t>
            </w:r>
          </w:p>
        </w:tc>
      </w:tr>
      <w:tr w:rsidR="00F15667" w:rsidRPr="00F15667" w14:paraId="1097A38A" w14:textId="77777777" w:rsidTr="00BD4804">
        <w:trPr>
          <w:trHeight w:val="330"/>
        </w:trPr>
        <w:tc>
          <w:tcPr>
            <w:tcW w:w="2080" w:type="dxa"/>
            <w:tcBorders>
              <w:top w:val="nil"/>
              <w:left w:val="nil"/>
              <w:bottom w:val="double" w:sz="6" w:space="0" w:color="auto"/>
              <w:right w:val="nil"/>
            </w:tcBorders>
            <w:shd w:val="clear" w:color="auto" w:fill="auto"/>
            <w:noWrap/>
            <w:vAlign w:val="center"/>
            <w:hideMark/>
          </w:tcPr>
          <w:p w14:paraId="2D7A6E5E" w14:textId="77777777" w:rsidR="000933DC" w:rsidRPr="00F15667" w:rsidRDefault="000933DC" w:rsidP="00BD4804">
            <w:pPr>
              <w:spacing w:line="240" w:lineRule="auto"/>
              <w:jc w:val="left"/>
              <w:rPr>
                <w:rFonts w:eastAsia="Times New Roman"/>
                <w:szCs w:val="24"/>
                <w:lang w:eastAsia="cs-CZ"/>
              </w:rPr>
            </w:pPr>
            <w:r w:rsidRPr="00F15667">
              <w:rPr>
                <w:rFonts w:eastAsia="Times New Roman"/>
                <w:szCs w:val="24"/>
                <w:lang w:eastAsia="cs-CZ"/>
              </w:rPr>
              <w:t>KS Ostrava</w:t>
            </w:r>
          </w:p>
        </w:tc>
        <w:tc>
          <w:tcPr>
            <w:tcW w:w="740" w:type="dxa"/>
            <w:tcBorders>
              <w:top w:val="nil"/>
              <w:left w:val="nil"/>
              <w:bottom w:val="double" w:sz="6" w:space="0" w:color="auto"/>
              <w:right w:val="nil"/>
            </w:tcBorders>
            <w:shd w:val="clear" w:color="auto" w:fill="auto"/>
            <w:noWrap/>
            <w:vAlign w:val="center"/>
            <w:hideMark/>
          </w:tcPr>
          <w:p w14:paraId="4CE8CF49"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57</w:t>
            </w:r>
          </w:p>
        </w:tc>
        <w:tc>
          <w:tcPr>
            <w:tcW w:w="740" w:type="dxa"/>
            <w:tcBorders>
              <w:top w:val="nil"/>
              <w:left w:val="nil"/>
              <w:bottom w:val="double" w:sz="6" w:space="0" w:color="auto"/>
              <w:right w:val="nil"/>
            </w:tcBorders>
            <w:shd w:val="clear" w:color="auto" w:fill="auto"/>
            <w:noWrap/>
            <w:vAlign w:val="center"/>
            <w:hideMark/>
          </w:tcPr>
          <w:p w14:paraId="1A64F3C5"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11</w:t>
            </w:r>
          </w:p>
        </w:tc>
        <w:tc>
          <w:tcPr>
            <w:tcW w:w="740" w:type="dxa"/>
            <w:tcBorders>
              <w:top w:val="nil"/>
              <w:left w:val="nil"/>
              <w:bottom w:val="double" w:sz="6" w:space="0" w:color="auto"/>
              <w:right w:val="nil"/>
            </w:tcBorders>
            <w:shd w:val="clear" w:color="auto" w:fill="auto"/>
            <w:noWrap/>
            <w:vAlign w:val="center"/>
            <w:hideMark/>
          </w:tcPr>
          <w:p w14:paraId="2DE894A6"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46</w:t>
            </w:r>
          </w:p>
        </w:tc>
        <w:tc>
          <w:tcPr>
            <w:tcW w:w="741" w:type="dxa"/>
            <w:tcBorders>
              <w:top w:val="nil"/>
              <w:left w:val="nil"/>
              <w:bottom w:val="double" w:sz="6" w:space="0" w:color="auto"/>
              <w:right w:val="nil"/>
            </w:tcBorders>
            <w:shd w:val="clear" w:color="auto" w:fill="auto"/>
            <w:noWrap/>
            <w:vAlign w:val="center"/>
            <w:hideMark/>
          </w:tcPr>
          <w:p w14:paraId="4E9B741A"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35</w:t>
            </w:r>
          </w:p>
        </w:tc>
        <w:tc>
          <w:tcPr>
            <w:tcW w:w="740" w:type="dxa"/>
            <w:tcBorders>
              <w:top w:val="nil"/>
              <w:left w:val="nil"/>
              <w:bottom w:val="double" w:sz="6" w:space="0" w:color="auto"/>
              <w:right w:val="nil"/>
            </w:tcBorders>
            <w:shd w:val="clear" w:color="auto" w:fill="auto"/>
            <w:noWrap/>
            <w:vAlign w:val="center"/>
            <w:hideMark/>
          </w:tcPr>
          <w:p w14:paraId="3CC1F472"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30</w:t>
            </w:r>
          </w:p>
        </w:tc>
        <w:tc>
          <w:tcPr>
            <w:tcW w:w="740" w:type="dxa"/>
            <w:tcBorders>
              <w:top w:val="nil"/>
              <w:left w:val="nil"/>
              <w:bottom w:val="double" w:sz="6" w:space="0" w:color="auto"/>
              <w:right w:val="nil"/>
            </w:tcBorders>
            <w:shd w:val="clear" w:color="auto" w:fill="auto"/>
            <w:noWrap/>
            <w:vAlign w:val="center"/>
            <w:hideMark/>
          </w:tcPr>
          <w:p w14:paraId="77CB7B93"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71</w:t>
            </w:r>
          </w:p>
        </w:tc>
        <w:tc>
          <w:tcPr>
            <w:tcW w:w="740" w:type="dxa"/>
            <w:tcBorders>
              <w:top w:val="nil"/>
              <w:left w:val="nil"/>
              <w:bottom w:val="double" w:sz="6" w:space="0" w:color="auto"/>
              <w:right w:val="nil"/>
            </w:tcBorders>
            <w:shd w:val="clear" w:color="auto" w:fill="auto"/>
            <w:noWrap/>
            <w:vAlign w:val="center"/>
            <w:hideMark/>
          </w:tcPr>
          <w:p w14:paraId="54509F27" w14:textId="77777777" w:rsidR="000933DC" w:rsidRPr="00F15667" w:rsidRDefault="000933DC" w:rsidP="00BD4804">
            <w:pPr>
              <w:spacing w:line="240" w:lineRule="auto"/>
              <w:jc w:val="center"/>
              <w:rPr>
                <w:rFonts w:eastAsia="Times New Roman"/>
                <w:szCs w:val="24"/>
                <w:lang w:eastAsia="cs-CZ"/>
              </w:rPr>
            </w:pPr>
            <w:r w:rsidRPr="00F15667">
              <w:rPr>
                <w:rFonts w:eastAsia="Times New Roman"/>
                <w:szCs w:val="24"/>
                <w:lang w:eastAsia="cs-CZ"/>
              </w:rPr>
              <w:t>44</w:t>
            </w:r>
          </w:p>
        </w:tc>
        <w:tc>
          <w:tcPr>
            <w:tcW w:w="1244" w:type="dxa"/>
            <w:tcBorders>
              <w:top w:val="nil"/>
              <w:left w:val="nil"/>
              <w:bottom w:val="nil"/>
              <w:right w:val="nil"/>
            </w:tcBorders>
            <w:shd w:val="clear" w:color="auto" w:fill="auto"/>
            <w:noWrap/>
            <w:vAlign w:val="center"/>
            <w:hideMark/>
          </w:tcPr>
          <w:p w14:paraId="33F6729C"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294</w:t>
            </w:r>
          </w:p>
        </w:tc>
      </w:tr>
      <w:tr w:rsidR="00F15667" w:rsidRPr="00F15667" w14:paraId="7B17C00E" w14:textId="77777777" w:rsidTr="00BD4804">
        <w:trPr>
          <w:trHeight w:val="345"/>
        </w:trPr>
        <w:tc>
          <w:tcPr>
            <w:tcW w:w="2080" w:type="dxa"/>
            <w:tcBorders>
              <w:top w:val="nil"/>
              <w:left w:val="nil"/>
              <w:bottom w:val="double" w:sz="6" w:space="0" w:color="auto"/>
              <w:right w:val="nil"/>
            </w:tcBorders>
            <w:shd w:val="clear" w:color="auto" w:fill="auto"/>
            <w:noWrap/>
            <w:vAlign w:val="center"/>
            <w:hideMark/>
          </w:tcPr>
          <w:p w14:paraId="2469A8F2" w14:textId="77777777" w:rsidR="000933DC" w:rsidRPr="00F15667" w:rsidRDefault="000933DC" w:rsidP="00BD480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740" w:type="dxa"/>
            <w:tcBorders>
              <w:top w:val="nil"/>
              <w:left w:val="nil"/>
              <w:bottom w:val="double" w:sz="6" w:space="0" w:color="auto"/>
              <w:right w:val="nil"/>
            </w:tcBorders>
            <w:shd w:val="clear" w:color="auto" w:fill="auto"/>
            <w:noWrap/>
            <w:vAlign w:val="center"/>
            <w:hideMark/>
          </w:tcPr>
          <w:p w14:paraId="04830E28"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294</w:t>
            </w:r>
          </w:p>
        </w:tc>
        <w:tc>
          <w:tcPr>
            <w:tcW w:w="740" w:type="dxa"/>
            <w:tcBorders>
              <w:top w:val="nil"/>
              <w:left w:val="nil"/>
              <w:bottom w:val="double" w:sz="6" w:space="0" w:color="auto"/>
              <w:right w:val="nil"/>
            </w:tcBorders>
            <w:shd w:val="clear" w:color="auto" w:fill="auto"/>
            <w:noWrap/>
            <w:vAlign w:val="center"/>
            <w:hideMark/>
          </w:tcPr>
          <w:p w14:paraId="32C2B786"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72</w:t>
            </w:r>
          </w:p>
        </w:tc>
        <w:tc>
          <w:tcPr>
            <w:tcW w:w="740" w:type="dxa"/>
            <w:tcBorders>
              <w:top w:val="nil"/>
              <w:left w:val="nil"/>
              <w:bottom w:val="double" w:sz="6" w:space="0" w:color="auto"/>
              <w:right w:val="nil"/>
            </w:tcBorders>
            <w:shd w:val="clear" w:color="auto" w:fill="auto"/>
            <w:noWrap/>
            <w:vAlign w:val="center"/>
            <w:hideMark/>
          </w:tcPr>
          <w:p w14:paraId="730762D9"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365</w:t>
            </w:r>
          </w:p>
        </w:tc>
        <w:tc>
          <w:tcPr>
            <w:tcW w:w="741" w:type="dxa"/>
            <w:tcBorders>
              <w:top w:val="nil"/>
              <w:left w:val="nil"/>
              <w:bottom w:val="double" w:sz="6" w:space="0" w:color="auto"/>
              <w:right w:val="nil"/>
            </w:tcBorders>
            <w:shd w:val="clear" w:color="auto" w:fill="auto"/>
            <w:noWrap/>
            <w:vAlign w:val="center"/>
            <w:hideMark/>
          </w:tcPr>
          <w:p w14:paraId="7D68107F"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227</w:t>
            </w:r>
          </w:p>
        </w:tc>
        <w:tc>
          <w:tcPr>
            <w:tcW w:w="740" w:type="dxa"/>
            <w:tcBorders>
              <w:top w:val="nil"/>
              <w:left w:val="nil"/>
              <w:bottom w:val="double" w:sz="6" w:space="0" w:color="auto"/>
              <w:right w:val="nil"/>
            </w:tcBorders>
            <w:shd w:val="clear" w:color="auto" w:fill="auto"/>
            <w:noWrap/>
            <w:vAlign w:val="center"/>
            <w:hideMark/>
          </w:tcPr>
          <w:p w14:paraId="1C4DC71C"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135</w:t>
            </w:r>
          </w:p>
        </w:tc>
        <w:tc>
          <w:tcPr>
            <w:tcW w:w="740" w:type="dxa"/>
            <w:tcBorders>
              <w:top w:val="nil"/>
              <w:left w:val="nil"/>
              <w:bottom w:val="double" w:sz="6" w:space="0" w:color="auto"/>
              <w:right w:val="nil"/>
            </w:tcBorders>
            <w:shd w:val="clear" w:color="auto" w:fill="auto"/>
            <w:noWrap/>
            <w:vAlign w:val="center"/>
            <w:hideMark/>
          </w:tcPr>
          <w:p w14:paraId="6EDC3118"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387</w:t>
            </w:r>
          </w:p>
        </w:tc>
        <w:tc>
          <w:tcPr>
            <w:tcW w:w="740" w:type="dxa"/>
            <w:tcBorders>
              <w:top w:val="nil"/>
              <w:left w:val="nil"/>
              <w:bottom w:val="double" w:sz="6" w:space="0" w:color="auto"/>
              <w:right w:val="nil"/>
            </w:tcBorders>
            <w:shd w:val="clear" w:color="auto" w:fill="auto"/>
            <w:noWrap/>
            <w:vAlign w:val="center"/>
            <w:hideMark/>
          </w:tcPr>
          <w:p w14:paraId="10546134" w14:textId="77777777"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235</w:t>
            </w:r>
          </w:p>
        </w:tc>
        <w:tc>
          <w:tcPr>
            <w:tcW w:w="1244" w:type="dxa"/>
            <w:tcBorders>
              <w:top w:val="double" w:sz="6" w:space="0" w:color="auto"/>
              <w:left w:val="nil"/>
              <w:bottom w:val="double" w:sz="6" w:space="0" w:color="auto"/>
              <w:right w:val="nil"/>
            </w:tcBorders>
            <w:shd w:val="clear" w:color="auto" w:fill="auto"/>
            <w:noWrap/>
            <w:vAlign w:val="center"/>
            <w:hideMark/>
          </w:tcPr>
          <w:p w14:paraId="1021C88F" w14:textId="452B2C1D" w:rsidR="000933DC" w:rsidRPr="00F15667" w:rsidRDefault="000933DC" w:rsidP="00BD4804">
            <w:pPr>
              <w:spacing w:line="240" w:lineRule="auto"/>
              <w:jc w:val="center"/>
              <w:rPr>
                <w:rFonts w:eastAsia="Times New Roman"/>
                <w:b/>
                <w:bCs/>
                <w:szCs w:val="24"/>
                <w:lang w:eastAsia="cs-CZ"/>
              </w:rPr>
            </w:pPr>
            <w:r w:rsidRPr="00F15667">
              <w:rPr>
                <w:rFonts w:eastAsia="Times New Roman"/>
                <w:b/>
                <w:bCs/>
                <w:szCs w:val="24"/>
                <w:lang w:eastAsia="cs-CZ"/>
              </w:rPr>
              <w:t>1</w:t>
            </w:r>
            <w:r w:rsidR="00BD4804">
              <w:rPr>
                <w:rFonts w:eastAsia="Times New Roman"/>
                <w:b/>
                <w:bCs/>
                <w:szCs w:val="24"/>
                <w:lang w:eastAsia="cs-CZ"/>
              </w:rPr>
              <w:t xml:space="preserve"> </w:t>
            </w:r>
            <w:r w:rsidRPr="00F15667">
              <w:rPr>
                <w:rFonts w:eastAsia="Times New Roman"/>
                <w:b/>
                <w:bCs/>
                <w:szCs w:val="24"/>
                <w:lang w:eastAsia="cs-CZ"/>
              </w:rPr>
              <w:t>715</w:t>
            </w:r>
          </w:p>
        </w:tc>
      </w:tr>
      <w:tr w:rsidR="00F15667" w:rsidRPr="00F15667" w14:paraId="4F685218" w14:textId="77777777" w:rsidTr="00BD4804">
        <w:trPr>
          <w:trHeight w:val="330"/>
        </w:trPr>
        <w:tc>
          <w:tcPr>
            <w:tcW w:w="2080" w:type="dxa"/>
            <w:tcBorders>
              <w:top w:val="nil"/>
              <w:left w:val="nil"/>
              <w:bottom w:val="nil"/>
              <w:right w:val="nil"/>
            </w:tcBorders>
            <w:shd w:val="clear" w:color="auto" w:fill="auto"/>
            <w:noWrap/>
            <w:vAlign w:val="center"/>
            <w:hideMark/>
          </w:tcPr>
          <w:p w14:paraId="592FDC6F" w14:textId="77777777" w:rsidR="000933DC" w:rsidRPr="00F15667" w:rsidRDefault="000933DC" w:rsidP="00BD4804">
            <w:pPr>
              <w:spacing w:line="240" w:lineRule="auto"/>
              <w:jc w:val="center"/>
              <w:rPr>
                <w:rFonts w:eastAsia="Times New Roman"/>
                <w:b/>
                <w:bCs/>
                <w:szCs w:val="24"/>
                <w:lang w:eastAsia="cs-CZ"/>
              </w:rPr>
            </w:pPr>
          </w:p>
        </w:tc>
        <w:tc>
          <w:tcPr>
            <w:tcW w:w="740" w:type="dxa"/>
            <w:tcBorders>
              <w:top w:val="nil"/>
              <w:left w:val="nil"/>
              <w:bottom w:val="nil"/>
              <w:right w:val="nil"/>
            </w:tcBorders>
            <w:shd w:val="clear" w:color="auto" w:fill="auto"/>
            <w:noWrap/>
            <w:vAlign w:val="center"/>
            <w:hideMark/>
          </w:tcPr>
          <w:p w14:paraId="1C287833"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740" w:type="dxa"/>
            <w:tcBorders>
              <w:top w:val="nil"/>
              <w:left w:val="nil"/>
              <w:bottom w:val="nil"/>
              <w:right w:val="nil"/>
            </w:tcBorders>
            <w:shd w:val="clear" w:color="auto" w:fill="auto"/>
            <w:noWrap/>
            <w:vAlign w:val="center"/>
            <w:hideMark/>
          </w:tcPr>
          <w:p w14:paraId="57980941"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740" w:type="dxa"/>
            <w:tcBorders>
              <w:top w:val="nil"/>
              <w:left w:val="nil"/>
              <w:bottom w:val="nil"/>
              <w:right w:val="nil"/>
            </w:tcBorders>
            <w:shd w:val="clear" w:color="auto" w:fill="auto"/>
            <w:noWrap/>
            <w:vAlign w:val="center"/>
            <w:hideMark/>
          </w:tcPr>
          <w:p w14:paraId="7EA7DC73"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741" w:type="dxa"/>
            <w:tcBorders>
              <w:top w:val="nil"/>
              <w:left w:val="nil"/>
              <w:bottom w:val="nil"/>
              <w:right w:val="nil"/>
            </w:tcBorders>
            <w:shd w:val="clear" w:color="auto" w:fill="auto"/>
            <w:noWrap/>
            <w:vAlign w:val="center"/>
            <w:hideMark/>
          </w:tcPr>
          <w:p w14:paraId="08C11FD1"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740" w:type="dxa"/>
            <w:tcBorders>
              <w:top w:val="nil"/>
              <w:left w:val="nil"/>
              <w:bottom w:val="nil"/>
              <w:right w:val="nil"/>
            </w:tcBorders>
            <w:shd w:val="clear" w:color="auto" w:fill="auto"/>
            <w:noWrap/>
            <w:vAlign w:val="center"/>
            <w:hideMark/>
          </w:tcPr>
          <w:p w14:paraId="73EE4819"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740" w:type="dxa"/>
            <w:tcBorders>
              <w:top w:val="nil"/>
              <w:left w:val="nil"/>
              <w:bottom w:val="nil"/>
              <w:right w:val="nil"/>
            </w:tcBorders>
            <w:shd w:val="clear" w:color="auto" w:fill="auto"/>
            <w:noWrap/>
            <w:vAlign w:val="center"/>
            <w:hideMark/>
          </w:tcPr>
          <w:p w14:paraId="1750E99C"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740" w:type="dxa"/>
            <w:tcBorders>
              <w:top w:val="nil"/>
              <w:left w:val="nil"/>
              <w:bottom w:val="nil"/>
              <w:right w:val="nil"/>
            </w:tcBorders>
            <w:shd w:val="clear" w:color="auto" w:fill="auto"/>
            <w:noWrap/>
            <w:vAlign w:val="center"/>
            <w:hideMark/>
          </w:tcPr>
          <w:p w14:paraId="161EC956"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c>
          <w:tcPr>
            <w:tcW w:w="1244" w:type="dxa"/>
            <w:tcBorders>
              <w:top w:val="nil"/>
              <w:left w:val="nil"/>
              <w:bottom w:val="nil"/>
              <w:right w:val="nil"/>
            </w:tcBorders>
            <w:shd w:val="clear" w:color="auto" w:fill="auto"/>
            <w:noWrap/>
            <w:vAlign w:val="center"/>
            <w:hideMark/>
          </w:tcPr>
          <w:p w14:paraId="361E9C8B" w14:textId="77777777" w:rsidR="000933DC" w:rsidRPr="00F15667" w:rsidRDefault="000933DC" w:rsidP="00BD4804">
            <w:pPr>
              <w:spacing w:line="240" w:lineRule="auto"/>
              <w:jc w:val="center"/>
              <w:rPr>
                <w:rFonts w:ascii="Times New Roman" w:eastAsia="Times New Roman" w:hAnsi="Times New Roman"/>
                <w:sz w:val="20"/>
                <w:szCs w:val="20"/>
                <w:lang w:eastAsia="cs-CZ"/>
              </w:rPr>
            </w:pPr>
          </w:p>
        </w:tc>
      </w:tr>
    </w:tbl>
    <w:p w14:paraId="752009C0" w14:textId="60A78124" w:rsidR="000933DC" w:rsidRPr="00F15667" w:rsidRDefault="000933DC" w:rsidP="000933DC">
      <w:pPr>
        <w:pStyle w:val="OdstavecASR"/>
      </w:pPr>
      <w:r w:rsidRPr="00F15667">
        <w:t>Opět platí, že počet zaměstnanců ve výkonu se odvíjí od systemizace zaměstnanců ve výkonu, personální politiky soudů a situace na trhu práce. U krajských soudů je počet zaměstnanců ve výkonu v poměru k počtu soudců nižší než u okresních soudů. To je důsledkem rozdílnosti zpracovávaných agend (méně práce, kterou lze delegovat na nesoudcovský personál). Po skokovém posílení jejich stavu o 101 zaměstnanců v roce 2017 došlo ke stabilizaci počtů v roce 2018. Z 1 531 v roce 2016 vzrostl počet zaměstnanců ve výkonu na 1 632, tedy asi o 7 %, a v roce 2018 již pouze o 12 osob. Jestliže v roce 2017 byl v zásadě celý růst dán růstem počtu asistentů z 228 na 326, v roce 2018 docházelo zejména k přesunům mezi funkcemi v rámci krajských soudů. V roce 2020 došlo opět k mírnému nárustu (o 47 osob), a to především u soudů v Praze (MS Praha, KS Praha). Vzrostl především počet VSÚ a zapisovatelek. V roce 2021 se celkový počet zaměstnanců takřka nezměnil – vzrostl o 10 na 1 738. V roce 2022 také došlo k malé změně, počet zaměstnanců klesl o</w:t>
      </w:r>
      <w:r w:rsidR="00BD4804">
        <w:t> </w:t>
      </w:r>
      <w:r w:rsidRPr="00F15667">
        <w:t xml:space="preserve">23 na 1715. V jednotlivých kategoriích došlo k malý posunům. </w:t>
      </w:r>
    </w:p>
    <w:p w14:paraId="3DA338E2" w14:textId="77777777" w:rsidR="00506350" w:rsidRPr="00F15667" w:rsidRDefault="00506350" w:rsidP="00506350">
      <w:pPr>
        <w:pStyle w:val="Nadpis3"/>
        <w:numPr>
          <w:ilvl w:val="2"/>
          <w:numId w:val="1"/>
        </w:numPr>
        <w:rPr>
          <w:color w:val="auto"/>
        </w:rPr>
      </w:pPr>
      <w:bookmarkStart w:id="596" w:name="_Toc109801362"/>
      <w:bookmarkStart w:id="597" w:name="_Toc144104364"/>
      <w:r w:rsidRPr="00F15667">
        <w:rPr>
          <w:color w:val="auto"/>
        </w:rPr>
        <w:t>Přísedící soudu</w:t>
      </w:r>
      <w:bookmarkEnd w:id="596"/>
      <w:bookmarkEnd w:id="597"/>
    </w:p>
    <w:p w14:paraId="4D394017" w14:textId="15121FE4" w:rsidR="00077909" w:rsidRDefault="00077909" w:rsidP="00077909">
      <w:r w:rsidRPr="00F15667">
        <w:t>Stejně jako předchozí rok jsou k dispozici počty přísedících dle krajů, pohlaví a věku, což umožňuje jejich bližší prozkoumání jak u okresních, tak i u krajských soudů. U krajských soudů přísedící rozhodují v prvostupňovém řízení o trestném činu, na který zákon stanoví trest odnětí svobody, jehož dolní hranice je minimálně pět let (což jsou u krajských soudů v podstatě všechna řízení). Na rozdíl od ostatních dat v této kapitole jsou údaje k 1. 1. 2023.</w:t>
      </w:r>
    </w:p>
    <w:p w14:paraId="735E3130" w14:textId="7F91E396" w:rsidR="00BD4804" w:rsidRDefault="00BD4804">
      <w:pPr>
        <w:spacing w:after="160" w:line="259" w:lineRule="auto"/>
        <w:jc w:val="left"/>
      </w:pPr>
      <w:r>
        <w:br w:type="page"/>
      </w:r>
    </w:p>
    <w:p w14:paraId="69FB4ADC" w14:textId="034ACB6E" w:rsidR="005946A6" w:rsidRPr="00F15667" w:rsidRDefault="005946A6" w:rsidP="005946A6">
      <w:pPr>
        <w:pStyle w:val="Podnadpis"/>
        <w:rPr>
          <w:color w:val="auto"/>
        </w:rPr>
      </w:pPr>
      <w:bookmarkStart w:id="598" w:name="_Toc75952344"/>
      <w:bookmarkStart w:id="599" w:name="_Toc106106802"/>
      <w:bookmarkStart w:id="600" w:name="_Toc109802125"/>
      <w:bookmarkStart w:id="601" w:name="_Toc144104282"/>
      <w:r w:rsidRPr="00F15667">
        <w:rPr>
          <w:color w:val="auto"/>
        </w:rPr>
        <w:lastRenderedPageBreak/>
        <w:t xml:space="preserve">Tabulka </w:t>
      </w:r>
      <w:r w:rsidRPr="00F15667">
        <w:rPr>
          <w:color w:val="auto"/>
        </w:rPr>
        <w:fldChar w:fldCharType="begin"/>
      </w:r>
      <w:r w:rsidRPr="00F15667">
        <w:rPr>
          <w:noProof/>
          <w:color w:val="auto"/>
        </w:rPr>
        <w:instrText xml:space="preserve"> SEQ Tabulka \* ARABIC </w:instrText>
      </w:r>
      <w:r w:rsidRPr="00F15667">
        <w:rPr>
          <w:color w:val="auto"/>
        </w:rPr>
        <w:fldChar w:fldCharType="separate"/>
      </w:r>
      <w:r w:rsidR="001E1A67">
        <w:rPr>
          <w:noProof/>
          <w:color w:val="auto"/>
        </w:rPr>
        <w:t>43</w:t>
      </w:r>
      <w:r w:rsidRPr="00F15667">
        <w:rPr>
          <w:color w:val="auto"/>
        </w:rPr>
        <w:fldChar w:fldCharType="end"/>
      </w:r>
      <w:r w:rsidRPr="00F15667">
        <w:rPr>
          <w:color w:val="auto"/>
        </w:rPr>
        <w:t>: KS – počet přísedících dle soudů a pohlaví</w:t>
      </w:r>
      <w:bookmarkEnd w:id="598"/>
      <w:bookmarkEnd w:id="599"/>
      <w:bookmarkEnd w:id="600"/>
      <w:bookmarkEnd w:id="601"/>
    </w:p>
    <w:tbl>
      <w:tblPr>
        <w:tblW w:w="6663" w:type="dxa"/>
        <w:tblLayout w:type="fixed"/>
        <w:tblCellMar>
          <w:left w:w="70" w:type="dxa"/>
          <w:right w:w="70" w:type="dxa"/>
        </w:tblCellMar>
        <w:tblLook w:val="04A0" w:firstRow="1" w:lastRow="0" w:firstColumn="1" w:lastColumn="0" w:noHBand="0" w:noVBand="1"/>
      </w:tblPr>
      <w:tblGrid>
        <w:gridCol w:w="2220"/>
        <w:gridCol w:w="1620"/>
        <w:gridCol w:w="1620"/>
        <w:gridCol w:w="1203"/>
      </w:tblGrid>
      <w:tr w:rsidR="00F15667" w:rsidRPr="00F15667" w14:paraId="053D852E" w14:textId="77777777" w:rsidTr="00BD4804">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7E98F6FA" w14:textId="2E4463FF" w:rsidR="003222F3" w:rsidRPr="00F15667" w:rsidRDefault="00BD4804" w:rsidP="00BD4804">
            <w:pPr>
              <w:spacing w:line="240" w:lineRule="auto"/>
              <w:jc w:val="center"/>
              <w:rPr>
                <w:rFonts w:eastAsia="Times New Roman"/>
                <w:b/>
                <w:bCs/>
                <w:szCs w:val="24"/>
                <w:lang w:eastAsia="cs-CZ"/>
              </w:rPr>
            </w:pPr>
            <w:r>
              <w:rPr>
                <w:rFonts w:eastAsia="Times New Roman"/>
                <w:b/>
                <w:bCs/>
                <w:szCs w:val="24"/>
                <w:lang w:eastAsia="cs-CZ"/>
              </w:rPr>
              <w:t>S</w:t>
            </w:r>
            <w:r w:rsidR="003222F3" w:rsidRPr="00F15667">
              <w:rPr>
                <w:rFonts w:eastAsia="Times New Roman"/>
                <w:b/>
                <w:bCs/>
                <w:szCs w:val="24"/>
                <w:lang w:eastAsia="cs-CZ"/>
              </w:rPr>
              <w:t>oud</w:t>
            </w:r>
          </w:p>
        </w:tc>
        <w:tc>
          <w:tcPr>
            <w:tcW w:w="3240" w:type="dxa"/>
            <w:gridSpan w:val="2"/>
            <w:tcBorders>
              <w:top w:val="double" w:sz="6" w:space="0" w:color="auto"/>
              <w:left w:val="nil"/>
              <w:bottom w:val="nil"/>
              <w:right w:val="nil"/>
            </w:tcBorders>
            <w:shd w:val="clear" w:color="auto" w:fill="auto"/>
            <w:noWrap/>
            <w:vAlign w:val="center"/>
            <w:hideMark/>
          </w:tcPr>
          <w:p w14:paraId="4D47D745" w14:textId="5BA859B9"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Počet přísedících</w:t>
            </w:r>
          </w:p>
        </w:tc>
        <w:tc>
          <w:tcPr>
            <w:tcW w:w="1203" w:type="dxa"/>
            <w:vMerge w:val="restart"/>
            <w:tcBorders>
              <w:top w:val="double" w:sz="6" w:space="0" w:color="auto"/>
              <w:left w:val="nil"/>
              <w:bottom w:val="double" w:sz="6" w:space="0" w:color="000000"/>
              <w:right w:val="nil"/>
            </w:tcBorders>
            <w:shd w:val="clear" w:color="auto" w:fill="auto"/>
            <w:vAlign w:val="center"/>
            <w:hideMark/>
          </w:tcPr>
          <w:p w14:paraId="581A550C" w14:textId="1347B177"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Podíl žen</w:t>
            </w:r>
            <w:r w:rsidR="00BD4804">
              <w:rPr>
                <w:rFonts w:eastAsia="Times New Roman"/>
                <w:b/>
                <w:bCs/>
                <w:szCs w:val="24"/>
                <w:lang w:eastAsia="cs-CZ"/>
              </w:rPr>
              <w:t> </w:t>
            </w:r>
            <w:r w:rsidRPr="00F15667">
              <w:rPr>
                <w:rFonts w:eastAsia="Times New Roman"/>
                <w:b/>
                <w:bCs/>
                <w:szCs w:val="24"/>
                <w:lang w:eastAsia="cs-CZ"/>
              </w:rPr>
              <w:t>v</w:t>
            </w:r>
            <w:r w:rsidR="00BD4804">
              <w:rPr>
                <w:rFonts w:eastAsia="Times New Roman"/>
                <w:b/>
                <w:bCs/>
                <w:szCs w:val="24"/>
                <w:lang w:eastAsia="cs-CZ"/>
              </w:rPr>
              <w:t> </w:t>
            </w:r>
            <w:r w:rsidRPr="00F15667">
              <w:rPr>
                <w:rFonts w:eastAsia="Times New Roman"/>
                <w:b/>
                <w:bCs/>
                <w:szCs w:val="24"/>
                <w:lang w:eastAsia="cs-CZ"/>
              </w:rPr>
              <w:t>%</w:t>
            </w:r>
          </w:p>
        </w:tc>
      </w:tr>
      <w:tr w:rsidR="00F15667" w:rsidRPr="00F15667" w14:paraId="1B7C84C0" w14:textId="77777777" w:rsidTr="00BD4804">
        <w:trPr>
          <w:trHeight w:val="330"/>
        </w:trPr>
        <w:tc>
          <w:tcPr>
            <w:tcW w:w="2220" w:type="dxa"/>
            <w:vMerge/>
            <w:tcBorders>
              <w:top w:val="double" w:sz="6" w:space="0" w:color="auto"/>
              <w:left w:val="nil"/>
              <w:bottom w:val="double" w:sz="6" w:space="0" w:color="000000"/>
              <w:right w:val="nil"/>
            </w:tcBorders>
            <w:vAlign w:val="center"/>
            <w:hideMark/>
          </w:tcPr>
          <w:p w14:paraId="242AE4B1" w14:textId="77777777" w:rsidR="003222F3" w:rsidRPr="00F15667" w:rsidRDefault="003222F3" w:rsidP="00BD4804">
            <w:pPr>
              <w:spacing w:line="240" w:lineRule="auto"/>
              <w:jc w:val="center"/>
              <w:rPr>
                <w:rFonts w:eastAsia="Times New Roman"/>
                <w:b/>
                <w:bCs/>
                <w:szCs w:val="24"/>
                <w:lang w:eastAsia="cs-CZ"/>
              </w:rPr>
            </w:pPr>
          </w:p>
        </w:tc>
        <w:tc>
          <w:tcPr>
            <w:tcW w:w="1620" w:type="dxa"/>
            <w:tcBorders>
              <w:top w:val="nil"/>
              <w:left w:val="nil"/>
              <w:bottom w:val="double" w:sz="6" w:space="0" w:color="auto"/>
              <w:right w:val="nil"/>
            </w:tcBorders>
            <w:shd w:val="clear" w:color="auto" w:fill="auto"/>
            <w:noWrap/>
            <w:vAlign w:val="center"/>
            <w:hideMark/>
          </w:tcPr>
          <w:p w14:paraId="1C942FDF" w14:textId="77777777"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Mužů</w:t>
            </w:r>
          </w:p>
        </w:tc>
        <w:tc>
          <w:tcPr>
            <w:tcW w:w="1620" w:type="dxa"/>
            <w:tcBorders>
              <w:top w:val="nil"/>
              <w:left w:val="nil"/>
              <w:bottom w:val="double" w:sz="6" w:space="0" w:color="auto"/>
              <w:right w:val="nil"/>
            </w:tcBorders>
            <w:shd w:val="clear" w:color="auto" w:fill="auto"/>
            <w:noWrap/>
            <w:vAlign w:val="center"/>
            <w:hideMark/>
          </w:tcPr>
          <w:p w14:paraId="7BFD421E" w14:textId="77777777"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Žen</w:t>
            </w:r>
          </w:p>
        </w:tc>
        <w:tc>
          <w:tcPr>
            <w:tcW w:w="1203" w:type="dxa"/>
            <w:vMerge/>
            <w:tcBorders>
              <w:top w:val="double" w:sz="6" w:space="0" w:color="auto"/>
              <w:left w:val="nil"/>
              <w:bottom w:val="double" w:sz="6" w:space="0" w:color="000000"/>
              <w:right w:val="nil"/>
            </w:tcBorders>
            <w:vAlign w:val="center"/>
            <w:hideMark/>
          </w:tcPr>
          <w:p w14:paraId="3DDE7D5F" w14:textId="77777777" w:rsidR="003222F3" w:rsidRPr="00F15667" w:rsidRDefault="003222F3" w:rsidP="00BD4804">
            <w:pPr>
              <w:spacing w:line="240" w:lineRule="auto"/>
              <w:jc w:val="center"/>
              <w:rPr>
                <w:rFonts w:eastAsia="Times New Roman"/>
                <w:b/>
                <w:bCs/>
                <w:szCs w:val="24"/>
                <w:lang w:eastAsia="cs-CZ"/>
              </w:rPr>
            </w:pPr>
          </w:p>
        </w:tc>
      </w:tr>
      <w:tr w:rsidR="00F15667" w:rsidRPr="00F15667" w14:paraId="0312C498" w14:textId="77777777" w:rsidTr="00BD4804">
        <w:trPr>
          <w:trHeight w:val="330"/>
        </w:trPr>
        <w:tc>
          <w:tcPr>
            <w:tcW w:w="2220" w:type="dxa"/>
            <w:tcBorders>
              <w:top w:val="nil"/>
              <w:left w:val="nil"/>
              <w:bottom w:val="single" w:sz="4" w:space="0" w:color="auto"/>
              <w:right w:val="nil"/>
            </w:tcBorders>
            <w:shd w:val="clear" w:color="auto" w:fill="auto"/>
            <w:noWrap/>
            <w:vAlign w:val="center"/>
            <w:hideMark/>
          </w:tcPr>
          <w:p w14:paraId="12FD680F"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MS Praha</w:t>
            </w:r>
          </w:p>
        </w:tc>
        <w:tc>
          <w:tcPr>
            <w:tcW w:w="1620" w:type="dxa"/>
            <w:tcBorders>
              <w:top w:val="nil"/>
              <w:left w:val="nil"/>
              <w:bottom w:val="single" w:sz="4" w:space="0" w:color="auto"/>
              <w:right w:val="nil"/>
            </w:tcBorders>
            <w:shd w:val="clear" w:color="auto" w:fill="auto"/>
            <w:noWrap/>
            <w:vAlign w:val="center"/>
            <w:hideMark/>
          </w:tcPr>
          <w:p w14:paraId="1E8DC4AB"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121</w:t>
            </w:r>
          </w:p>
        </w:tc>
        <w:tc>
          <w:tcPr>
            <w:tcW w:w="1620" w:type="dxa"/>
            <w:tcBorders>
              <w:top w:val="nil"/>
              <w:left w:val="nil"/>
              <w:bottom w:val="single" w:sz="4" w:space="0" w:color="auto"/>
              <w:right w:val="nil"/>
            </w:tcBorders>
            <w:shd w:val="clear" w:color="auto" w:fill="auto"/>
            <w:noWrap/>
            <w:vAlign w:val="center"/>
            <w:hideMark/>
          </w:tcPr>
          <w:p w14:paraId="3FBE96F5"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125</w:t>
            </w:r>
          </w:p>
        </w:tc>
        <w:tc>
          <w:tcPr>
            <w:tcW w:w="1203" w:type="dxa"/>
            <w:tcBorders>
              <w:top w:val="single" w:sz="4" w:space="0" w:color="auto"/>
              <w:left w:val="nil"/>
              <w:bottom w:val="single" w:sz="4" w:space="0" w:color="auto"/>
              <w:right w:val="nil"/>
            </w:tcBorders>
            <w:shd w:val="clear" w:color="auto" w:fill="auto"/>
            <w:noWrap/>
            <w:vAlign w:val="center"/>
            <w:hideMark/>
          </w:tcPr>
          <w:p w14:paraId="0DB20FBF" w14:textId="40325769"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50,81</w:t>
            </w:r>
          </w:p>
        </w:tc>
      </w:tr>
      <w:tr w:rsidR="00F15667" w:rsidRPr="00F15667" w14:paraId="01030909"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020CA329"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Praha</w:t>
            </w:r>
          </w:p>
        </w:tc>
        <w:tc>
          <w:tcPr>
            <w:tcW w:w="1620" w:type="dxa"/>
            <w:tcBorders>
              <w:top w:val="nil"/>
              <w:left w:val="nil"/>
              <w:bottom w:val="single" w:sz="4" w:space="0" w:color="auto"/>
              <w:right w:val="nil"/>
            </w:tcBorders>
            <w:shd w:val="clear" w:color="auto" w:fill="auto"/>
            <w:noWrap/>
            <w:vAlign w:val="center"/>
            <w:hideMark/>
          </w:tcPr>
          <w:p w14:paraId="39DC0841"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35</w:t>
            </w:r>
          </w:p>
        </w:tc>
        <w:tc>
          <w:tcPr>
            <w:tcW w:w="1620" w:type="dxa"/>
            <w:tcBorders>
              <w:top w:val="nil"/>
              <w:left w:val="nil"/>
              <w:bottom w:val="single" w:sz="4" w:space="0" w:color="auto"/>
              <w:right w:val="nil"/>
            </w:tcBorders>
            <w:shd w:val="clear" w:color="auto" w:fill="auto"/>
            <w:noWrap/>
            <w:vAlign w:val="center"/>
            <w:hideMark/>
          </w:tcPr>
          <w:p w14:paraId="49358478"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37</w:t>
            </w:r>
          </w:p>
        </w:tc>
        <w:tc>
          <w:tcPr>
            <w:tcW w:w="1203" w:type="dxa"/>
            <w:tcBorders>
              <w:top w:val="nil"/>
              <w:left w:val="nil"/>
              <w:bottom w:val="single" w:sz="4" w:space="0" w:color="auto"/>
              <w:right w:val="nil"/>
            </w:tcBorders>
            <w:shd w:val="clear" w:color="auto" w:fill="auto"/>
            <w:noWrap/>
            <w:vAlign w:val="center"/>
            <w:hideMark/>
          </w:tcPr>
          <w:p w14:paraId="2527C025" w14:textId="2CB64DC1"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51,39</w:t>
            </w:r>
          </w:p>
        </w:tc>
      </w:tr>
      <w:tr w:rsidR="00F15667" w:rsidRPr="00F15667" w14:paraId="73598418"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6C7E5D95"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Č. Budějovice</w:t>
            </w:r>
          </w:p>
        </w:tc>
        <w:tc>
          <w:tcPr>
            <w:tcW w:w="1620" w:type="dxa"/>
            <w:tcBorders>
              <w:top w:val="nil"/>
              <w:left w:val="nil"/>
              <w:bottom w:val="single" w:sz="4" w:space="0" w:color="auto"/>
              <w:right w:val="nil"/>
            </w:tcBorders>
            <w:shd w:val="clear" w:color="auto" w:fill="auto"/>
            <w:noWrap/>
            <w:vAlign w:val="center"/>
            <w:hideMark/>
          </w:tcPr>
          <w:p w14:paraId="46D909A0"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16</w:t>
            </w:r>
          </w:p>
        </w:tc>
        <w:tc>
          <w:tcPr>
            <w:tcW w:w="1620" w:type="dxa"/>
            <w:tcBorders>
              <w:top w:val="nil"/>
              <w:left w:val="nil"/>
              <w:bottom w:val="single" w:sz="4" w:space="0" w:color="auto"/>
              <w:right w:val="nil"/>
            </w:tcBorders>
            <w:shd w:val="clear" w:color="auto" w:fill="auto"/>
            <w:noWrap/>
            <w:vAlign w:val="center"/>
            <w:hideMark/>
          </w:tcPr>
          <w:p w14:paraId="0F53251B"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25</w:t>
            </w:r>
          </w:p>
        </w:tc>
        <w:tc>
          <w:tcPr>
            <w:tcW w:w="1203" w:type="dxa"/>
            <w:tcBorders>
              <w:top w:val="nil"/>
              <w:left w:val="nil"/>
              <w:bottom w:val="single" w:sz="4" w:space="0" w:color="auto"/>
              <w:right w:val="nil"/>
            </w:tcBorders>
            <w:shd w:val="clear" w:color="auto" w:fill="auto"/>
            <w:noWrap/>
            <w:vAlign w:val="center"/>
            <w:hideMark/>
          </w:tcPr>
          <w:p w14:paraId="03C33875" w14:textId="520A6323"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60,98</w:t>
            </w:r>
          </w:p>
        </w:tc>
      </w:tr>
      <w:tr w:rsidR="00F15667" w:rsidRPr="00F15667" w14:paraId="5179809D"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4C2D7146"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Plzeň</w:t>
            </w:r>
          </w:p>
        </w:tc>
        <w:tc>
          <w:tcPr>
            <w:tcW w:w="1620" w:type="dxa"/>
            <w:tcBorders>
              <w:top w:val="nil"/>
              <w:left w:val="nil"/>
              <w:bottom w:val="single" w:sz="4" w:space="0" w:color="auto"/>
              <w:right w:val="nil"/>
            </w:tcBorders>
            <w:shd w:val="clear" w:color="auto" w:fill="auto"/>
            <w:noWrap/>
            <w:vAlign w:val="center"/>
            <w:hideMark/>
          </w:tcPr>
          <w:p w14:paraId="065F5B48"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40</w:t>
            </w:r>
          </w:p>
        </w:tc>
        <w:tc>
          <w:tcPr>
            <w:tcW w:w="1620" w:type="dxa"/>
            <w:tcBorders>
              <w:top w:val="nil"/>
              <w:left w:val="nil"/>
              <w:bottom w:val="single" w:sz="4" w:space="0" w:color="auto"/>
              <w:right w:val="nil"/>
            </w:tcBorders>
            <w:shd w:val="clear" w:color="auto" w:fill="auto"/>
            <w:noWrap/>
            <w:vAlign w:val="center"/>
            <w:hideMark/>
          </w:tcPr>
          <w:p w14:paraId="133D8C43"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30</w:t>
            </w:r>
          </w:p>
        </w:tc>
        <w:tc>
          <w:tcPr>
            <w:tcW w:w="1203" w:type="dxa"/>
            <w:tcBorders>
              <w:top w:val="nil"/>
              <w:left w:val="nil"/>
              <w:bottom w:val="single" w:sz="4" w:space="0" w:color="auto"/>
              <w:right w:val="nil"/>
            </w:tcBorders>
            <w:shd w:val="clear" w:color="auto" w:fill="auto"/>
            <w:noWrap/>
            <w:vAlign w:val="center"/>
            <w:hideMark/>
          </w:tcPr>
          <w:p w14:paraId="3B3A952C" w14:textId="167D1E7B"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42,86</w:t>
            </w:r>
          </w:p>
        </w:tc>
      </w:tr>
      <w:tr w:rsidR="00F15667" w:rsidRPr="00F15667" w14:paraId="38145415"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3D47F9C0"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Ústí n. Labem</w:t>
            </w:r>
          </w:p>
        </w:tc>
        <w:tc>
          <w:tcPr>
            <w:tcW w:w="1620" w:type="dxa"/>
            <w:tcBorders>
              <w:top w:val="nil"/>
              <w:left w:val="nil"/>
              <w:bottom w:val="single" w:sz="4" w:space="0" w:color="auto"/>
              <w:right w:val="nil"/>
            </w:tcBorders>
            <w:shd w:val="clear" w:color="auto" w:fill="auto"/>
            <w:noWrap/>
            <w:vAlign w:val="center"/>
            <w:hideMark/>
          </w:tcPr>
          <w:p w14:paraId="0D45181D"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33</w:t>
            </w:r>
          </w:p>
        </w:tc>
        <w:tc>
          <w:tcPr>
            <w:tcW w:w="1620" w:type="dxa"/>
            <w:tcBorders>
              <w:top w:val="nil"/>
              <w:left w:val="nil"/>
              <w:bottom w:val="single" w:sz="4" w:space="0" w:color="auto"/>
              <w:right w:val="nil"/>
            </w:tcBorders>
            <w:shd w:val="clear" w:color="auto" w:fill="auto"/>
            <w:noWrap/>
            <w:vAlign w:val="center"/>
            <w:hideMark/>
          </w:tcPr>
          <w:p w14:paraId="2EBAD073"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66</w:t>
            </w:r>
          </w:p>
        </w:tc>
        <w:tc>
          <w:tcPr>
            <w:tcW w:w="1203" w:type="dxa"/>
            <w:tcBorders>
              <w:top w:val="nil"/>
              <w:left w:val="nil"/>
              <w:bottom w:val="single" w:sz="4" w:space="0" w:color="auto"/>
              <w:right w:val="nil"/>
            </w:tcBorders>
            <w:shd w:val="clear" w:color="auto" w:fill="auto"/>
            <w:noWrap/>
            <w:vAlign w:val="center"/>
            <w:hideMark/>
          </w:tcPr>
          <w:p w14:paraId="4FDBA34B" w14:textId="7D976126"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66,67</w:t>
            </w:r>
          </w:p>
        </w:tc>
      </w:tr>
      <w:tr w:rsidR="00F15667" w:rsidRPr="00F15667" w14:paraId="68AFD0C7"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7EEA6950"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Hr. Králové</w:t>
            </w:r>
          </w:p>
        </w:tc>
        <w:tc>
          <w:tcPr>
            <w:tcW w:w="1620" w:type="dxa"/>
            <w:tcBorders>
              <w:top w:val="nil"/>
              <w:left w:val="nil"/>
              <w:bottom w:val="single" w:sz="4" w:space="0" w:color="auto"/>
              <w:right w:val="nil"/>
            </w:tcBorders>
            <w:shd w:val="clear" w:color="auto" w:fill="auto"/>
            <w:noWrap/>
            <w:vAlign w:val="center"/>
            <w:hideMark/>
          </w:tcPr>
          <w:p w14:paraId="01D73168"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35</w:t>
            </w:r>
          </w:p>
        </w:tc>
        <w:tc>
          <w:tcPr>
            <w:tcW w:w="1620" w:type="dxa"/>
            <w:tcBorders>
              <w:top w:val="nil"/>
              <w:left w:val="nil"/>
              <w:bottom w:val="single" w:sz="4" w:space="0" w:color="auto"/>
              <w:right w:val="nil"/>
            </w:tcBorders>
            <w:shd w:val="clear" w:color="auto" w:fill="auto"/>
            <w:noWrap/>
            <w:vAlign w:val="center"/>
            <w:hideMark/>
          </w:tcPr>
          <w:p w14:paraId="378F0254"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30</w:t>
            </w:r>
          </w:p>
        </w:tc>
        <w:tc>
          <w:tcPr>
            <w:tcW w:w="1203" w:type="dxa"/>
            <w:tcBorders>
              <w:top w:val="nil"/>
              <w:left w:val="nil"/>
              <w:bottom w:val="single" w:sz="4" w:space="0" w:color="auto"/>
              <w:right w:val="nil"/>
            </w:tcBorders>
            <w:shd w:val="clear" w:color="auto" w:fill="auto"/>
            <w:noWrap/>
            <w:vAlign w:val="center"/>
            <w:hideMark/>
          </w:tcPr>
          <w:p w14:paraId="0459160E" w14:textId="7585286B"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46,15</w:t>
            </w:r>
          </w:p>
        </w:tc>
      </w:tr>
      <w:tr w:rsidR="00F15667" w:rsidRPr="00F15667" w14:paraId="17E404A2"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3BE95D40"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Brno</w:t>
            </w:r>
          </w:p>
        </w:tc>
        <w:tc>
          <w:tcPr>
            <w:tcW w:w="1620" w:type="dxa"/>
            <w:tcBorders>
              <w:top w:val="nil"/>
              <w:left w:val="nil"/>
              <w:bottom w:val="single" w:sz="4" w:space="0" w:color="auto"/>
              <w:right w:val="nil"/>
            </w:tcBorders>
            <w:shd w:val="clear" w:color="auto" w:fill="auto"/>
            <w:noWrap/>
            <w:vAlign w:val="center"/>
            <w:hideMark/>
          </w:tcPr>
          <w:p w14:paraId="02AB3CDE"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77</w:t>
            </w:r>
          </w:p>
        </w:tc>
        <w:tc>
          <w:tcPr>
            <w:tcW w:w="1620" w:type="dxa"/>
            <w:tcBorders>
              <w:top w:val="nil"/>
              <w:left w:val="nil"/>
              <w:bottom w:val="single" w:sz="4" w:space="0" w:color="auto"/>
              <w:right w:val="nil"/>
            </w:tcBorders>
            <w:shd w:val="clear" w:color="auto" w:fill="auto"/>
            <w:noWrap/>
            <w:vAlign w:val="center"/>
            <w:hideMark/>
          </w:tcPr>
          <w:p w14:paraId="7E4AB13D"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86</w:t>
            </w:r>
          </w:p>
        </w:tc>
        <w:tc>
          <w:tcPr>
            <w:tcW w:w="1203" w:type="dxa"/>
            <w:tcBorders>
              <w:top w:val="nil"/>
              <w:left w:val="nil"/>
              <w:bottom w:val="single" w:sz="4" w:space="0" w:color="auto"/>
              <w:right w:val="nil"/>
            </w:tcBorders>
            <w:shd w:val="clear" w:color="auto" w:fill="auto"/>
            <w:noWrap/>
            <w:vAlign w:val="center"/>
            <w:hideMark/>
          </w:tcPr>
          <w:p w14:paraId="127E71E4" w14:textId="2E03CEBA"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52,76</w:t>
            </w:r>
          </w:p>
        </w:tc>
      </w:tr>
      <w:tr w:rsidR="00F15667" w:rsidRPr="00F15667" w14:paraId="30326A98" w14:textId="77777777" w:rsidTr="00BD4804">
        <w:trPr>
          <w:trHeight w:val="330"/>
        </w:trPr>
        <w:tc>
          <w:tcPr>
            <w:tcW w:w="2220" w:type="dxa"/>
            <w:tcBorders>
              <w:top w:val="nil"/>
              <w:left w:val="nil"/>
              <w:bottom w:val="double" w:sz="6" w:space="0" w:color="auto"/>
              <w:right w:val="nil"/>
            </w:tcBorders>
            <w:shd w:val="clear" w:color="auto" w:fill="auto"/>
            <w:noWrap/>
            <w:vAlign w:val="center"/>
            <w:hideMark/>
          </w:tcPr>
          <w:p w14:paraId="2192754C"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Ostrava</w:t>
            </w:r>
          </w:p>
        </w:tc>
        <w:tc>
          <w:tcPr>
            <w:tcW w:w="1620" w:type="dxa"/>
            <w:tcBorders>
              <w:top w:val="nil"/>
              <w:left w:val="nil"/>
              <w:bottom w:val="double" w:sz="6" w:space="0" w:color="auto"/>
              <w:right w:val="nil"/>
            </w:tcBorders>
            <w:shd w:val="clear" w:color="auto" w:fill="auto"/>
            <w:noWrap/>
            <w:vAlign w:val="center"/>
            <w:hideMark/>
          </w:tcPr>
          <w:p w14:paraId="0AAAB22A"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105</w:t>
            </w:r>
          </w:p>
        </w:tc>
        <w:tc>
          <w:tcPr>
            <w:tcW w:w="1620" w:type="dxa"/>
            <w:tcBorders>
              <w:top w:val="nil"/>
              <w:left w:val="nil"/>
              <w:bottom w:val="double" w:sz="6" w:space="0" w:color="auto"/>
              <w:right w:val="nil"/>
            </w:tcBorders>
            <w:shd w:val="clear" w:color="auto" w:fill="auto"/>
            <w:noWrap/>
            <w:vAlign w:val="center"/>
            <w:hideMark/>
          </w:tcPr>
          <w:p w14:paraId="5181A8A8" w14:textId="7777777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147</w:t>
            </w:r>
          </w:p>
        </w:tc>
        <w:tc>
          <w:tcPr>
            <w:tcW w:w="1203" w:type="dxa"/>
            <w:tcBorders>
              <w:top w:val="nil"/>
              <w:left w:val="nil"/>
              <w:bottom w:val="double" w:sz="6" w:space="0" w:color="auto"/>
              <w:right w:val="nil"/>
            </w:tcBorders>
            <w:shd w:val="clear" w:color="auto" w:fill="auto"/>
            <w:noWrap/>
            <w:vAlign w:val="center"/>
            <w:hideMark/>
          </w:tcPr>
          <w:p w14:paraId="76302618" w14:textId="21EFD4AE"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58,33</w:t>
            </w:r>
          </w:p>
        </w:tc>
      </w:tr>
      <w:tr w:rsidR="00F15667" w:rsidRPr="00F15667" w14:paraId="3B955BE8" w14:textId="77777777" w:rsidTr="00BD4804">
        <w:trPr>
          <w:trHeight w:val="345"/>
        </w:trPr>
        <w:tc>
          <w:tcPr>
            <w:tcW w:w="2220" w:type="dxa"/>
            <w:tcBorders>
              <w:top w:val="nil"/>
              <w:left w:val="nil"/>
              <w:bottom w:val="double" w:sz="6" w:space="0" w:color="auto"/>
              <w:right w:val="nil"/>
            </w:tcBorders>
            <w:shd w:val="clear" w:color="auto" w:fill="auto"/>
            <w:noWrap/>
            <w:vAlign w:val="center"/>
            <w:hideMark/>
          </w:tcPr>
          <w:p w14:paraId="19301712" w14:textId="77777777" w:rsidR="003222F3" w:rsidRPr="00F15667" w:rsidRDefault="003222F3" w:rsidP="00BD480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620" w:type="dxa"/>
            <w:tcBorders>
              <w:top w:val="nil"/>
              <w:left w:val="nil"/>
              <w:bottom w:val="double" w:sz="6" w:space="0" w:color="auto"/>
              <w:right w:val="nil"/>
            </w:tcBorders>
            <w:shd w:val="clear" w:color="auto" w:fill="auto"/>
            <w:noWrap/>
            <w:vAlign w:val="center"/>
            <w:hideMark/>
          </w:tcPr>
          <w:p w14:paraId="64F1DCD0" w14:textId="77777777"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462</w:t>
            </w:r>
          </w:p>
        </w:tc>
        <w:tc>
          <w:tcPr>
            <w:tcW w:w="1620" w:type="dxa"/>
            <w:tcBorders>
              <w:top w:val="nil"/>
              <w:left w:val="nil"/>
              <w:bottom w:val="double" w:sz="6" w:space="0" w:color="auto"/>
              <w:right w:val="nil"/>
            </w:tcBorders>
            <w:shd w:val="clear" w:color="auto" w:fill="auto"/>
            <w:noWrap/>
            <w:vAlign w:val="center"/>
            <w:hideMark/>
          </w:tcPr>
          <w:p w14:paraId="2DB0F826" w14:textId="77777777"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546</w:t>
            </w:r>
          </w:p>
        </w:tc>
        <w:tc>
          <w:tcPr>
            <w:tcW w:w="1203" w:type="dxa"/>
            <w:tcBorders>
              <w:top w:val="nil"/>
              <w:left w:val="nil"/>
              <w:bottom w:val="double" w:sz="6" w:space="0" w:color="auto"/>
              <w:right w:val="nil"/>
            </w:tcBorders>
            <w:shd w:val="clear" w:color="auto" w:fill="auto"/>
            <w:noWrap/>
            <w:vAlign w:val="center"/>
            <w:hideMark/>
          </w:tcPr>
          <w:p w14:paraId="792C8273" w14:textId="1AD16F58"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54,17</w:t>
            </w:r>
          </w:p>
        </w:tc>
      </w:tr>
      <w:tr w:rsidR="003222F3" w:rsidRPr="00F15667" w14:paraId="2D2619F5" w14:textId="77777777" w:rsidTr="00BD4804">
        <w:trPr>
          <w:trHeight w:val="345"/>
        </w:trPr>
        <w:tc>
          <w:tcPr>
            <w:tcW w:w="2220" w:type="dxa"/>
            <w:tcBorders>
              <w:top w:val="nil"/>
              <w:left w:val="nil"/>
              <w:bottom w:val="nil"/>
              <w:right w:val="nil"/>
            </w:tcBorders>
            <w:shd w:val="clear" w:color="auto" w:fill="auto"/>
            <w:noWrap/>
            <w:vAlign w:val="center"/>
            <w:hideMark/>
          </w:tcPr>
          <w:p w14:paraId="6BF39CEF" w14:textId="77777777" w:rsidR="003222F3" w:rsidRPr="00F15667" w:rsidRDefault="003222F3" w:rsidP="00BD4804">
            <w:pPr>
              <w:spacing w:line="240" w:lineRule="auto"/>
              <w:jc w:val="center"/>
              <w:rPr>
                <w:rFonts w:eastAsia="Times New Roman"/>
                <w:b/>
                <w:bCs/>
                <w:szCs w:val="24"/>
                <w:lang w:eastAsia="cs-CZ"/>
              </w:rPr>
            </w:pPr>
          </w:p>
        </w:tc>
        <w:tc>
          <w:tcPr>
            <w:tcW w:w="1620" w:type="dxa"/>
            <w:tcBorders>
              <w:top w:val="nil"/>
              <w:left w:val="nil"/>
              <w:bottom w:val="nil"/>
              <w:right w:val="nil"/>
            </w:tcBorders>
            <w:shd w:val="clear" w:color="auto" w:fill="auto"/>
            <w:noWrap/>
            <w:vAlign w:val="center"/>
            <w:hideMark/>
          </w:tcPr>
          <w:p w14:paraId="7BD86BDD" w14:textId="77777777" w:rsidR="003222F3" w:rsidRPr="00F15667" w:rsidRDefault="003222F3" w:rsidP="00BD4804">
            <w:pPr>
              <w:spacing w:line="240" w:lineRule="auto"/>
              <w:jc w:val="center"/>
              <w:rPr>
                <w:rFonts w:ascii="Times New Roman" w:eastAsia="Times New Roman" w:hAnsi="Times New Roman"/>
                <w:sz w:val="20"/>
                <w:szCs w:val="20"/>
                <w:lang w:eastAsia="cs-CZ"/>
              </w:rPr>
            </w:pPr>
          </w:p>
        </w:tc>
        <w:tc>
          <w:tcPr>
            <w:tcW w:w="1620" w:type="dxa"/>
            <w:tcBorders>
              <w:top w:val="nil"/>
              <w:left w:val="nil"/>
              <w:bottom w:val="nil"/>
              <w:right w:val="nil"/>
            </w:tcBorders>
            <w:shd w:val="clear" w:color="auto" w:fill="auto"/>
            <w:noWrap/>
            <w:vAlign w:val="center"/>
            <w:hideMark/>
          </w:tcPr>
          <w:p w14:paraId="38AF04FB" w14:textId="77777777" w:rsidR="003222F3" w:rsidRPr="00F15667" w:rsidRDefault="003222F3" w:rsidP="00BD4804">
            <w:pPr>
              <w:spacing w:line="240" w:lineRule="auto"/>
              <w:jc w:val="center"/>
              <w:rPr>
                <w:rFonts w:ascii="Times New Roman" w:eastAsia="Times New Roman" w:hAnsi="Times New Roman"/>
                <w:sz w:val="20"/>
                <w:szCs w:val="20"/>
                <w:lang w:eastAsia="cs-CZ"/>
              </w:rPr>
            </w:pPr>
          </w:p>
        </w:tc>
        <w:tc>
          <w:tcPr>
            <w:tcW w:w="1203" w:type="dxa"/>
            <w:tcBorders>
              <w:top w:val="nil"/>
              <w:left w:val="nil"/>
              <w:bottom w:val="nil"/>
              <w:right w:val="nil"/>
            </w:tcBorders>
            <w:shd w:val="clear" w:color="auto" w:fill="auto"/>
            <w:noWrap/>
            <w:vAlign w:val="center"/>
            <w:hideMark/>
          </w:tcPr>
          <w:p w14:paraId="2D5EE93A" w14:textId="77777777" w:rsidR="003222F3" w:rsidRPr="00F15667" w:rsidRDefault="003222F3" w:rsidP="00BD4804">
            <w:pPr>
              <w:spacing w:line="240" w:lineRule="auto"/>
              <w:jc w:val="center"/>
              <w:rPr>
                <w:rFonts w:ascii="Times New Roman" w:eastAsia="Times New Roman" w:hAnsi="Times New Roman"/>
                <w:sz w:val="20"/>
                <w:szCs w:val="20"/>
                <w:lang w:eastAsia="cs-CZ"/>
              </w:rPr>
            </w:pPr>
          </w:p>
        </w:tc>
      </w:tr>
    </w:tbl>
    <w:p w14:paraId="17E3F77E" w14:textId="67F63DEB" w:rsidR="003222F3" w:rsidRPr="00F15667" w:rsidRDefault="003222F3" w:rsidP="003222F3">
      <w:r w:rsidRPr="00F15667">
        <w:t>V tabulce na první pohled rozhodně zaujme srovnání s okresními soudy. Podíl mužů, kteří působí jako přísedící, je totiž u krajských soudů výrazně vyšší. U dvou soudů dokonce působí více mužů než žen. Přísedících je mnohem méně než u OS, neboť počet věcí, které vyřizují, je násobně nižší, i když agenda KS je náročnější. Oproti předchozímu roku se mírně zvýšil podíl žen.</w:t>
      </w:r>
    </w:p>
    <w:p w14:paraId="1F9A5AF7" w14:textId="6BA2849D" w:rsidR="003222F3" w:rsidRPr="00F15667" w:rsidRDefault="003222F3" w:rsidP="003222F3">
      <w:r w:rsidRPr="00F15667">
        <w:t>Další tabulka se (stejně jako u OS) zabývá věkovou strukturou. Zatímco struktura dle pohlaví se liší, věková struktura přísedících u OS a přísedících u KS je podobná. U KS je funkce přísedícího rovněž mnohem populárnější u vyšších věkových skupin. 5</w:t>
      </w:r>
      <w:r w:rsidR="006A31EC" w:rsidRPr="00F15667">
        <w:t>6</w:t>
      </w:r>
      <w:r w:rsidRPr="00F15667">
        <w:t> % (u OS 6</w:t>
      </w:r>
      <w:r w:rsidR="006A31EC" w:rsidRPr="00F15667">
        <w:t>1</w:t>
      </w:r>
      <w:r w:rsidRPr="00F15667">
        <w:t xml:space="preserve"> %) přísedících tvoří lidé ve věku 60 let a více, tedy ve většině případů v důchodovém věku. Naopak přísedící ve věku do 39 let tvoří pouze </w:t>
      </w:r>
      <w:r w:rsidR="006A31EC" w:rsidRPr="00F15667">
        <w:t>6,75</w:t>
      </w:r>
      <w:r w:rsidRPr="00F15667">
        <w:t> % (u OS 4 %). V průměru nejstarší jsou, stejně jako u OS, přísedící v Jihočeském kraji. V tomto kraji ale působí u KS málo přísedících (jedná se o nejmenší krajský soud). Od předchozího roku nedošlo ve složení přísedících prakticky k žádné velké změně.</w:t>
      </w:r>
    </w:p>
    <w:p w14:paraId="1661BB90" w14:textId="4895C4CF" w:rsidR="003222F3" w:rsidRPr="00F15667" w:rsidRDefault="003222F3" w:rsidP="003222F3">
      <w:pPr>
        <w:pStyle w:val="Podnadpis"/>
        <w:rPr>
          <w:color w:val="auto"/>
        </w:rPr>
      </w:pPr>
      <w:bookmarkStart w:id="602" w:name="_Toc75952345"/>
      <w:bookmarkStart w:id="603" w:name="_Toc106106803"/>
      <w:bookmarkStart w:id="604" w:name="_Toc109802126"/>
      <w:bookmarkStart w:id="605" w:name="_Toc144104283"/>
      <w:r w:rsidRPr="00F15667">
        <w:rPr>
          <w:color w:val="auto"/>
        </w:rPr>
        <w:t xml:space="preserve">Tabulka </w:t>
      </w:r>
      <w:r w:rsidRPr="00F15667">
        <w:rPr>
          <w:noProof/>
          <w:color w:val="auto"/>
        </w:rPr>
        <w:fldChar w:fldCharType="begin"/>
      </w:r>
      <w:r w:rsidRPr="00F15667">
        <w:rPr>
          <w:noProof/>
          <w:color w:val="auto"/>
        </w:rPr>
        <w:instrText xml:space="preserve"> SEQ Tabulka \* ARABIC </w:instrText>
      </w:r>
      <w:r w:rsidRPr="00F15667">
        <w:rPr>
          <w:noProof/>
          <w:color w:val="auto"/>
        </w:rPr>
        <w:fldChar w:fldCharType="separate"/>
      </w:r>
      <w:r w:rsidR="001E1A67">
        <w:rPr>
          <w:noProof/>
          <w:color w:val="auto"/>
        </w:rPr>
        <w:t>44</w:t>
      </w:r>
      <w:r w:rsidRPr="00F15667">
        <w:rPr>
          <w:noProof/>
          <w:color w:val="auto"/>
        </w:rPr>
        <w:fldChar w:fldCharType="end"/>
      </w:r>
      <w:r w:rsidRPr="00F15667">
        <w:rPr>
          <w:color w:val="auto"/>
        </w:rPr>
        <w:t>: KS – počet přísedících dle soudů a věků</w:t>
      </w:r>
      <w:bookmarkEnd w:id="602"/>
      <w:bookmarkEnd w:id="603"/>
      <w:bookmarkEnd w:id="604"/>
      <w:bookmarkEnd w:id="605"/>
    </w:p>
    <w:tbl>
      <w:tblPr>
        <w:tblW w:w="7620" w:type="dxa"/>
        <w:tblLayout w:type="fixed"/>
        <w:tblCellMar>
          <w:left w:w="70" w:type="dxa"/>
          <w:right w:w="70" w:type="dxa"/>
        </w:tblCellMar>
        <w:tblLook w:val="04A0" w:firstRow="1" w:lastRow="0" w:firstColumn="1" w:lastColumn="0" w:noHBand="0" w:noVBand="1"/>
      </w:tblPr>
      <w:tblGrid>
        <w:gridCol w:w="2220"/>
        <w:gridCol w:w="1080"/>
        <w:gridCol w:w="1080"/>
        <w:gridCol w:w="1080"/>
        <w:gridCol w:w="1080"/>
        <w:gridCol w:w="1080"/>
      </w:tblGrid>
      <w:tr w:rsidR="00F15667" w:rsidRPr="00F15667" w14:paraId="181B5059" w14:textId="77777777" w:rsidTr="00BD4804">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301A7D34" w14:textId="34042161" w:rsidR="003222F3" w:rsidRPr="00F15667" w:rsidRDefault="00BD4804" w:rsidP="00BD4804">
            <w:pPr>
              <w:spacing w:line="240" w:lineRule="auto"/>
              <w:jc w:val="center"/>
              <w:rPr>
                <w:rFonts w:eastAsia="Times New Roman"/>
                <w:b/>
                <w:bCs/>
                <w:szCs w:val="24"/>
                <w:lang w:eastAsia="cs-CZ"/>
              </w:rPr>
            </w:pPr>
            <w:r>
              <w:rPr>
                <w:rFonts w:eastAsia="Times New Roman"/>
                <w:b/>
                <w:bCs/>
                <w:szCs w:val="24"/>
                <w:lang w:eastAsia="cs-CZ"/>
              </w:rPr>
              <w:t>S</w:t>
            </w:r>
            <w:r w:rsidR="003222F3" w:rsidRPr="00F15667">
              <w:rPr>
                <w:rFonts w:eastAsia="Times New Roman"/>
                <w:b/>
                <w:bCs/>
                <w:szCs w:val="24"/>
                <w:lang w:eastAsia="cs-CZ"/>
              </w:rPr>
              <w:t>oud</w:t>
            </w:r>
          </w:p>
        </w:tc>
        <w:tc>
          <w:tcPr>
            <w:tcW w:w="5400" w:type="dxa"/>
            <w:gridSpan w:val="5"/>
            <w:tcBorders>
              <w:top w:val="double" w:sz="6" w:space="0" w:color="auto"/>
              <w:left w:val="nil"/>
              <w:bottom w:val="nil"/>
              <w:right w:val="nil"/>
            </w:tcBorders>
            <w:shd w:val="clear" w:color="auto" w:fill="auto"/>
            <w:noWrap/>
            <w:vAlign w:val="center"/>
            <w:hideMark/>
          </w:tcPr>
          <w:p w14:paraId="03420DE2" w14:textId="77777777" w:rsidR="003222F3" w:rsidRPr="00BD4804" w:rsidRDefault="003222F3" w:rsidP="00BD4804">
            <w:pPr>
              <w:spacing w:line="240" w:lineRule="auto"/>
              <w:jc w:val="center"/>
              <w:rPr>
                <w:rFonts w:ascii="Times New Roman" w:eastAsia="Times New Roman" w:hAnsi="Times New Roman"/>
                <w:b/>
                <w:bCs/>
                <w:szCs w:val="24"/>
                <w:lang w:eastAsia="cs-CZ"/>
              </w:rPr>
            </w:pPr>
            <w:r w:rsidRPr="00BD4804">
              <w:rPr>
                <w:rFonts w:ascii="Times New Roman" w:eastAsia="Times New Roman" w:hAnsi="Times New Roman"/>
                <w:b/>
                <w:bCs/>
                <w:szCs w:val="24"/>
                <w:lang w:eastAsia="cs-CZ"/>
              </w:rPr>
              <w:t>Věková skupina (podíl v %)</w:t>
            </w:r>
          </w:p>
        </w:tc>
      </w:tr>
      <w:tr w:rsidR="00F15667" w:rsidRPr="00F15667" w14:paraId="2B2B2547" w14:textId="77777777" w:rsidTr="00BD4804">
        <w:trPr>
          <w:trHeight w:val="330"/>
        </w:trPr>
        <w:tc>
          <w:tcPr>
            <w:tcW w:w="2220" w:type="dxa"/>
            <w:vMerge/>
            <w:tcBorders>
              <w:top w:val="double" w:sz="6" w:space="0" w:color="auto"/>
              <w:left w:val="nil"/>
              <w:bottom w:val="double" w:sz="6" w:space="0" w:color="000000"/>
              <w:right w:val="nil"/>
            </w:tcBorders>
            <w:vAlign w:val="center"/>
            <w:hideMark/>
          </w:tcPr>
          <w:p w14:paraId="6AE6377B" w14:textId="77777777" w:rsidR="003222F3" w:rsidRPr="00F15667" w:rsidRDefault="003222F3" w:rsidP="00BD4804">
            <w:pPr>
              <w:spacing w:line="240" w:lineRule="auto"/>
              <w:jc w:val="center"/>
              <w:rPr>
                <w:rFonts w:eastAsia="Times New Roman"/>
                <w:b/>
                <w:bCs/>
                <w:szCs w:val="24"/>
                <w:lang w:eastAsia="cs-CZ"/>
              </w:rPr>
            </w:pPr>
          </w:p>
        </w:tc>
        <w:tc>
          <w:tcPr>
            <w:tcW w:w="1080" w:type="dxa"/>
            <w:tcBorders>
              <w:top w:val="nil"/>
              <w:left w:val="nil"/>
              <w:bottom w:val="double" w:sz="6" w:space="0" w:color="auto"/>
              <w:right w:val="nil"/>
            </w:tcBorders>
            <w:shd w:val="clear" w:color="auto" w:fill="auto"/>
            <w:noWrap/>
            <w:vAlign w:val="center"/>
            <w:hideMark/>
          </w:tcPr>
          <w:p w14:paraId="1CEB4FAA" w14:textId="56ADEC15" w:rsidR="003222F3" w:rsidRPr="00BD4804" w:rsidRDefault="003222F3" w:rsidP="00BD4804">
            <w:pPr>
              <w:spacing w:line="240" w:lineRule="auto"/>
              <w:jc w:val="center"/>
              <w:rPr>
                <w:rFonts w:ascii="Times New Roman" w:eastAsia="Times New Roman" w:hAnsi="Times New Roman"/>
                <w:b/>
                <w:bCs/>
                <w:szCs w:val="24"/>
                <w:lang w:eastAsia="cs-CZ"/>
              </w:rPr>
            </w:pPr>
            <w:r w:rsidRPr="00BD4804">
              <w:rPr>
                <w:rFonts w:ascii="Times New Roman" w:eastAsia="Times New Roman" w:hAnsi="Times New Roman"/>
                <w:b/>
                <w:bCs/>
                <w:szCs w:val="24"/>
                <w:lang w:eastAsia="cs-CZ"/>
              </w:rPr>
              <w:t>30-39</w:t>
            </w:r>
          </w:p>
        </w:tc>
        <w:tc>
          <w:tcPr>
            <w:tcW w:w="1080" w:type="dxa"/>
            <w:tcBorders>
              <w:top w:val="nil"/>
              <w:left w:val="nil"/>
              <w:bottom w:val="double" w:sz="6" w:space="0" w:color="auto"/>
              <w:right w:val="nil"/>
            </w:tcBorders>
            <w:shd w:val="clear" w:color="auto" w:fill="auto"/>
            <w:noWrap/>
            <w:vAlign w:val="center"/>
            <w:hideMark/>
          </w:tcPr>
          <w:p w14:paraId="0A5BE87B" w14:textId="77777777" w:rsidR="003222F3" w:rsidRPr="00BD4804" w:rsidRDefault="003222F3" w:rsidP="00BD4804">
            <w:pPr>
              <w:spacing w:line="240" w:lineRule="auto"/>
              <w:jc w:val="center"/>
              <w:rPr>
                <w:rFonts w:ascii="Times New Roman" w:eastAsia="Times New Roman" w:hAnsi="Times New Roman"/>
                <w:b/>
                <w:bCs/>
                <w:szCs w:val="24"/>
                <w:lang w:eastAsia="cs-CZ"/>
              </w:rPr>
            </w:pPr>
            <w:r w:rsidRPr="00BD4804">
              <w:rPr>
                <w:rFonts w:ascii="Times New Roman" w:eastAsia="Times New Roman" w:hAnsi="Times New Roman"/>
                <w:b/>
                <w:bCs/>
                <w:szCs w:val="24"/>
                <w:lang w:eastAsia="cs-CZ"/>
              </w:rPr>
              <w:t>40-49</w:t>
            </w:r>
          </w:p>
        </w:tc>
        <w:tc>
          <w:tcPr>
            <w:tcW w:w="1080" w:type="dxa"/>
            <w:tcBorders>
              <w:top w:val="nil"/>
              <w:left w:val="nil"/>
              <w:bottom w:val="double" w:sz="6" w:space="0" w:color="auto"/>
              <w:right w:val="nil"/>
            </w:tcBorders>
            <w:shd w:val="clear" w:color="auto" w:fill="auto"/>
            <w:noWrap/>
            <w:vAlign w:val="center"/>
            <w:hideMark/>
          </w:tcPr>
          <w:p w14:paraId="02F2613F" w14:textId="77777777" w:rsidR="003222F3" w:rsidRPr="00BD4804" w:rsidRDefault="003222F3" w:rsidP="00BD4804">
            <w:pPr>
              <w:spacing w:line="240" w:lineRule="auto"/>
              <w:jc w:val="center"/>
              <w:rPr>
                <w:rFonts w:ascii="Times New Roman" w:eastAsia="Times New Roman" w:hAnsi="Times New Roman"/>
                <w:b/>
                <w:bCs/>
                <w:szCs w:val="24"/>
                <w:lang w:eastAsia="cs-CZ"/>
              </w:rPr>
            </w:pPr>
            <w:r w:rsidRPr="00BD4804">
              <w:rPr>
                <w:rFonts w:ascii="Times New Roman" w:eastAsia="Times New Roman" w:hAnsi="Times New Roman"/>
                <w:b/>
                <w:bCs/>
                <w:szCs w:val="24"/>
                <w:lang w:eastAsia="cs-CZ"/>
              </w:rPr>
              <w:t>50-59</w:t>
            </w:r>
          </w:p>
        </w:tc>
        <w:tc>
          <w:tcPr>
            <w:tcW w:w="1080" w:type="dxa"/>
            <w:tcBorders>
              <w:top w:val="nil"/>
              <w:left w:val="nil"/>
              <w:bottom w:val="double" w:sz="6" w:space="0" w:color="auto"/>
              <w:right w:val="nil"/>
            </w:tcBorders>
            <w:shd w:val="clear" w:color="auto" w:fill="auto"/>
            <w:noWrap/>
            <w:vAlign w:val="center"/>
            <w:hideMark/>
          </w:tcPr>
          <w:p w14:paraId="278967F5" w14:textId="77777777" w:rsidR="003222F3" w:rsidRPr="00BD4804" w:rsidRDefault="003222F3" w:rsidP="00BD4804">
            <w:pPr>
              <w:spacing w:line="240" w:lineRule="auto"/>
              <w:jc w:val="center"/>
              <w:rPr>
                <w:rFonts w:ascii="Times New Roman" w:eastAsia="Times New Roman" w:hAnsi="Times New Roman"/>
                <w:b/>
                <w:bCs/>
                <w:szCs w:val="24"/>
                <w:lang w:eastAsia="cs-CZ"/>
              </w:rPr>
            </w:pPr>
            <w:r w:rsidRPr="00BD4804">
              <w:rPr>
                <w:rFonts w:ascii="Times New Roman" w:eastAsia="Times New Roman" w:hAnsi="Times New Roman"/>
                <w:b/>
                <w:bCs/>
                <w:szCs w:val="24"/>
                <w:lang w:eastAsia="cs-CZ"/>
              </w:rPr>
              <w:t>60-69</w:t>
            </w:r>
          </w:p>
        </w:tc>
        <w:tc>
          <w:tcPr>
            <w:tcW w:w="1080" w:type="dxa"/>
            <w:tcBorders>
              <w:top w:val="nil"/>
              <w:left w:val="nil"/>
              <w:bottom w:val="double" w:sz="6" w:space="0" w:color="auto"/>
              <w:right w:val="nil"/>
            </w:tcBorders>
            <w:shd w:val="clear" w:color="auto" w:fill="auto"/>
            <w:noWrap/>
            <w:vAlign w:val="center"/>
            <w:hideMark/>
          </w:tcPr>
          <w:p w14:paraId="5D65F314" w14:textId="77777777" w:rsidR="003222F3" w:rsidRPr="00BD4804" w:rsidRDefault="003222F3" w:rsidP="00BD4804">
            <w:pPr>
              <w:spacing w:line="240" w:lineRule="auto"/>
              <w:jc w:val="center"/>
              <w:rPr>
                <w:rFonts w:ascii="Times New Roman" w:eastAsia="Times New Roman" w:hAnsi="Times New Roman"/>
                <w:b/>
                <w:bCs/>
                <w:szCs w:val="24"/>
                <w:lang w:eastAsia="cs-CZ"/>
              </w:rPr>
            </w:pPr>
            <w:r w:rsidRPr="00BD4804">
              <w:rPr>
                <w:rFonts w:ascii="Times New Roman" w:eastAsia="Times New Roman" w:hAnsi="Times New Roman"/>
                <w:b/>
                <w:bCs/>
                <w:szCs w:val="24"/>
                <w:lang w:eastAsia="cs-CZ"/>
              </w:rPr>
              <w:t>70 a více</w:t>
            </w:r>
          </w:p>
        </w:tc>
      </w:tr>
      <w:tr w:rsidR="00F15667" w:rsidRPr="00F15667" w14:paraId="4F1BC050" w14:textId="77777777" w:rsidTr="00BD4804">
        <w:trPr>
          <w:trHeight w:val="330"/>
        </w:trPr>
        <w:tc>
          <w:tcPr>
            <w:tcW w:w="2220" w:type="dxa"/>
            <w:tcBorders>
              <w:top w:val="nil"/>
              <w:left w:val="nil"/>
              <w:bottom w:val="single" w:sz="4" w:space="0" w:color="auto"/>
              <w:right w:val="nil"/>
            </w:tcBorders>
            <w:shd w:val="clear" w:color="auto" w:fill="auto"/>
            <w:noWrap/>
            <w:vAlign w:val="center"/>
            <w:hideMark/>
          </w:tcPr>
          <w:p w14:paraId="3141D48F"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MS Praha</w:t>
            </w:r>
          </w:p>
        </w:tc>
        <w:tc>
          <w:tcPr>
            <w:tcW w:w="1080" w:type="dxa"/>
            <w:tcBorders>
              <w:top w:val="nil"/>
              <w:left w:val="nil"/>
              <w:bottom w:val="single" w:sz="4" w:space="0" w:color="auto"/>
              <w:right w:val="nil"/>
            </w:tcBorders>
            <w:shd w:val="clear" w:color="auto" w:fill="auto"/>
            <w:noWrap/>
            <w:vAlign w:val="center"/>
            <w:hideMark/>
          </w:tcPr>
          <w:p w14:paraId="45843B87" w14:textId="5C615BEF"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10,98</w:t>
            </w:r>
          </w:p>
        </w:tc>
        <w:tc>
          <w:tcPr>
            <w:tcW w:w="1080" w:type="dxa"/>
            <w:tcBorders>
              <w:top w:val="nil"/>
              <w:left w:val="nil"/>
              <w:bottom w:val="single" w:sz="4" w:space="0" w:color="auto"/>
              <w:right w:val="nil"/>
            </w:tcBorders>
            <w:shd w:val="clear" w:color="auto" w:fill="auto"/>
            <w:noWrap/>
            <w:vAlign w:val="center"/>
            <w:hideMark/>
          </w:tcPr>
          <w:p w14:paraId="7CEC921D" w14:textId="0372F7A4"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25,20</w:t>
            </w:r>
          </w:p>
        </w:tc>
        <w:tc>
          <w:tcPr>
            <w:tcW w:w="1080" w:type="dxa"/>
            <w:tcBorders>
              <w:top w:val="nil"/>
              <w:left w:val="nil"/>
              <w:bottom w:val="single" w:sz="4" w:space="0" w:color="auto"/>
              <w:right w:val="nil"/>
            </w:tcBorders>
            <w:shd w:val="clear" w:color="auto" w:fill="auto"/>
            <w:noWrap/>
            <w:vAlign w:val="center"/>
            <w:hideMark/>
          </w:tcPr>
          <w:p w14:paraId="1AAE6E34" w14:textId="5CF0F9B5"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22,76</w:t>
            </w:r>
          </w:p>
        </w:tc>
        <w:tc>
          <w:tcPr>
            <w:tcW w:w="1080" w:type="dxa"/>
            <w:tcBorders>
              <w:top w:val="nil"/>
              <w:left w:val="nil"/>
              <w:bottom w:val="single" w:sz="4" w:space="0" w:color="auto"/>
              <w:right w:val="nil"/>
            </w:tcBorders>
            <w:shd w:val="clear" w:color="auto" w:fill="auto"/>
            <w:noWrap/>
            <w:vAlign w:val="center"/>
            <w:hideMark/>
          </w:tcPr>
          <w:p w14:paraId="30C68A8C" w14:textId="11E6750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21,54</w:t>
            </w:r>
          </w:p>
        </w:tc>
        <w:tc>
          <w:tcPr>
            <w:tcW w:w="1080" w:type="dxa"/>
            <w:tcBorders>
              <w:top w:val="nil"/>
              <w:left w:val="nil"/>
              <w:bottom w:val="single" w:sz="4" w:space="0" w:color="auto"/>
              <w:right w:val="nil"/>
            </w:tcBorders>
            <w:shd w:val="clear" w:color="auto" w:fill="auto"/>
            <w:noWrap/>
            <w:vAlign w:val="center"/>
            <w:hideMark/>
          </w:tcPr>
          <w:p w14:paraId="4BBDE58A" w14:textId="79C4CD1E"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19,51</w:t>
            </w:r>
          </w:p>
        </w:tc>
      </w:tr>
      <w:tr w:rsidR="00F15667" w:rsidRPr="00F15667" w14:paraId="76FEF4C1"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76ADAD74"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Praha</w:t>
            </w:r>
          </w:p>
        </w:tc>
        <w:tc>
          <w:tcPr>
            <w:tcW w:w="1080" w:type="dxa"/>
            <w:tcBorders>
              <w:top w:val="nil"/>
              <w:left w:val="nil"/>
              <w:bottom w:val="single" w:sz="4" w:space="0" w:color="auto"/>
              <w:right w:val="nil"/>
            </w:tcBorders>
            <w:shd w:val="clear" w:color="auto" w:fill="auto"/>
            <w:noWrap/>
            <w:vAlign w:val="center"/>
            <w:hideMark/>
          </w:tcPr>
          <w:p w14:paraId="7FE426A9" w14:textId="64B63D16"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8,33</w:t>
            </w:r>
          </w:p>
        </w:tc>
        <w:tc>
          <w:tcPr>
            <w:tcW w:w="1080" w:type="dxa"/>
            <w:tcBorders>
              <w:top w:val="nil"/>
              <w:left w:val="nil"/>
              <w:bottom w:val="single" w:sz="4" w:space="0" w:color="auto"/>
              <w:right w:val="nil"/>
            </w:tcBorders>
            <w:shd w:val="clear" w:color="auto" w:fill="auto"/>
            <w:noWrap/>
            <w:vAlign w:val="center"/>
            <w:hideMark/>
          </w:tcPr>
          <w:p w14:paraId="6EAC1468" w14:textId="7767AA62"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23,61</w:t>
            </w:r>
          </w:p>
        </w:tc>
        <w:tc>
          <w:tcPr>
            <w:tcW w:w="1080" w:type="dxa"/>
            <w:tcBorders>
              <w:top w:val="nil"/>
              <w:left w:val="nil"/>
              <w:bottom w:val="single" w:sz="4" w:space="0" w:color="auto"/>
              <w:right w:val="nil"/>
            </w:tcBorders>
            <w:shd w:val="clear" w:color="auto" w:fill="auto"/>
            <w:noWrap/>
            <w:vAlign w:val="center"/>
            <w:hideMark/>
          </w:tcPr>
          <w:p w14:paraId="5A97D317" w14:textId="2DE72B59"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18,06</w:t>
            </w:r>
          </w:p>
        </w:tc>
        <w:tc>
          <w:tcPr>
            <w:tcW w:w="1080" w:type="dxa"/>
            <w:tcBorders>
              <w:top w:val="nil"/>
              <w:left w:val="nil"/>
              <w:bottom w:val="single" w:sz="4" w:space="0" w:color="auto"/>
              <w:right w:val="nil"/>
            </w:tcBorders>
            <w:shd w:val="clear" w:color="auto" w:fill="auto"/>
            <w:noWrap/>
            <w:vAlign w:val="center"/>
            <w:hideMark/>
          </w:tcPr>
          <w:p w14:paraId="0D89F632" w14:textId="1DFCDEEE"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22,22</w:t>
            </w:r>
          </w:p>
        </w:tc>
        <w:tc>
          <w:tcPr>
            <w:tcW w:w="1080" w:type="dxa"/>
            <w:tcBorders>
              <w:top w:val="nil"/>
              <w:left w:val="nil"/>
              <w:bottom w:val="single" w:sz="4" w:space="0" w:color="auto"/>
              <w:right w:val="nil"/>
            </w:tcBorders>
            <w:shd w:val="clear" w:color="auto" w:fill="auto"/>
            <w:noWrap/>
            <w:vAlign w:val="center"/>
            <w:hideMark/>
          </w:tcPr>
          <w:p w14:paraId="00B691AB" w14:textId="099EA1BB"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27,78</w:t>
            </w:r>
          </w:p>
        </w:tc>
      </w:tr>
      <w:tr w:rsidR="00F15667" w:rsidRPr="00F15667" w14:paraId="5561F6B2"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2E0093B1"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Č. Budějovice</w:t>
            </w:r>
          </w:p>
        </w:tc>
        <w:tc>
          <w:tcPr>
            <w:tcW w:w="1080" w:type="dxa"/>
            <w:tcBorders>
              <w:top w:val="nil"/>
              <w:left w:val="nil"/>
              <w:bottom w:val="single" w:sz="4" w:space="0" w:color="auto"/>
              <w:right w:val="nil"/>
            </w:tcBorders>
            <w:shd w:val="clear" w:color="auto" w:fill="auto"/>
            <w:noWrap/>
            <w:vAlign w:val="center"/>
            <w:hideMark/>
          </w:tcPr>
          <w:p w14:paraId="672EAAD1" w14:textId="4D8ACE88"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7,32</w:t>
            </w:r>
          </w:p>
        </w:tc>
        <w:tc>
          <w:tcPr>
            <w:tcW w:w="1080" w:type="dxa"/>
            <w:tcBorders>
              <w:top w:val="nil"/>
              <w:left w:val="nil"/>
              <w:bottom w:val="single" w:sz="4" w:space="0" w:color="auto"/>
              <w:right w:val="nil"/>
            </w:tcBorders>
            <w:shd w:val="clear" w:color="auto" w:fill="auto"/>
            <w:noWrap/>
            <w:vAlign w:val="center"/>
            <w:hideMark/>
          </w:tcPr>
          <w:p w14:paraId="045BF2A4" w14:textId="7463BF64"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9,76</w:t>
            </w:r>
          </w:p>
        </w:tc>
        <w:tc>
          <w:tcPr>
            <w:tcW w:w="1080" w:type="dxa"/>
            <w:tcBorders>
              <w:top w:val="nil"/>
              <w:left w:val="nil"/>
              <w:bottom w:val="single" w:sz="4" w:space="0" w:color="auto"/>
              <w:right w:val="nil"/>
            </w:tcBorders>
            <w:shd w:val="clear" w:color="auto" w:fill="auto"/>
            <w:noWrap/>
            <w:vAlign w:val="center"/>
            <w:hideMark/>
          </w:tcPr>
          <w:p w14:paraId="56782178" w14:textId="2080F354"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4,88</w:t>
            </w:r>
          </w:p>
        </w:tc>
        <w:tc>
          <w:tcPr>
            <w:tcW w:w="1080" w:type="dxa"/>
            <w:tcBorders>
              <w:top w:val="nil"/>
              <w:left w:val="nil"/>
              <w:bottom w:val="single" w:sz="4" w:space="0" w:color="auto"/>
              <w:right w:val="nil"/>
            </w:tcBorders>
            <w:shd w:val="clear" w:color="auto" w:fill="auto"/>
            <w:noWrap/>
            <w:vAlign w:val="center"/>
            <w:hideMark/>
          </w:tcPr>
          <w:p w14:paraId="59A8D2A8" w14:textId="3CDDAF6A"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39,02</w:t>
            </w:r>
          </w:p>
        </w:tc>
        <w:tc>
          <w:tcPr>
            <w:tcW w:w="1080" w:type="dxa"/>
            <w:tcBorders>
              <w:top w:val="nil"/>
              <w:left w:val="nil"/>
              <w:bottom w:val="single" w:sz="4" w:space="0" w:color="auto"/>
              <w:right w:val="nil"/>
            </w:tcBorders>
            <w:shd w:val="clear" w:color="auto" w:fill="auto"/>
            <w:noWrap/>
            <w:vAlign w:val="center"/>
            <w:hideMark/>
          </w:tcPr>
          <w:p w14:paraId="3CA65D9C" w14:textId="3F7726B3"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39,02</w:t>
            </w:r>
          </w:p>
        </w:tc>
      </w:tr>
      <w:tr w:rsidR="00F15667" w:rsidRPr="00F15667" w14:paraId="3317624D"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2A420061"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Plzeň</w:t>
            </w:r>
          </w:p>
        </w:tc>
        <w:tc>
          <w:tcPr>
            <w:tcW w:w="1080" w:type="dxa"/>
            <w:tcBorders>
              <w:top w:val="nil"/>
              <w:left w:val="nil"/>
              <w:bottom w:val="single" w:sz="4" w:space="0" w:color="auto"/>
              <w:right w:val="nil"/>
            </w:tcBorders>
            <w:shd w:val="clear" w:color="auto" w:fill="auto"/>
            <w:noWrap/>
            <w:vAlign w:val="center"/>
            <w:hideMark/>
          </w:tcPr>
          <w:p w14:paraId="41154A6D" w14:textId="026F802D"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10,00</w:t>
            </w:r>
          </w:p>
        </w:tc>
        <w:tc>
          <w:tcPr>
            <w:tcW w:w="1080" w:type="dxa"/>
            <w:tcBorders>
              <w:top w:val="nil"/>
              <w:left w:val="nil"/>
              <w:bottom w:val="single" w:sz="4" w:space="0" w:color="auto"/>
              <w:right w:val="nil"/>
            </w:tcBorders>
            <w:shd w:val="clear" w:color="auto" w:fill="auto"/>
            <w:noWrap/>
            <w:vAlign w:val="center"/>
            <w:hideMark/>
          </w:tcPr>
          <w:p w14:paraId="68D5127C" w14:textId="1052CEB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20,00</w:t>
            </w:r>
          </w:p>
        </w:tc>
        <w:tc>
          <w:tcPr>
            <w:tcW w:w="1080" w:type="dxa"/>
            <w:tcBorders>
              <w:top w:val="nil"/>
              <w:left w:val="nil"/>
              <w:bottom w:val="single" w:sz="4" w:space="0" w:color="auto"/>
              <w:right w:val="nil"/>
            </w:tcBorders>
            <w:shd w:val="clear" w:color="auto" w:fill="auto"/>
            <w:noWrap/>
            <w:vAlign w:val="center"/>
            <w:hideMark/>
          </w:tcPr>
          <w:p w14:paraId="5133058C" w14:textId="150D4FF6"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11,43</w:t>
            </w:r>
          </w:p>
        </w:tc>
        <w:tc>
          <w:tcPr>
            <w:tcW w:w="1080" w:type="dxa"/>
            <w:tcBorders>
              <w:top w:val="nil"/>
              <w:left w:val="nil"/>
              <w:bottom w:val="single" w:sz="4" w:space="0" w:color="auto"/>
              <w:right w:val="nil"/>
            </w:tcBorders>
            <w:shd w:val="clear" w:color="auto" w:fill="auto"/>
            <w:noWrap/>
            <w:vAlign w:val="center"/>
            <w:hideMark/>
          </w:tcPr>
          <w:p w14:paraId="2D68B848" w14:textId="2249332C"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28,57</w:t>
            </w:r>
          </w:p>
        </w:tc>
        <w:tc>
          <w:tcPr>
            <w:tcW w:w="1080" w:type="dxa"/>
            <w:tcBorders>
              <w:top w:val="nil"/>
              <w:left w:val="nil"/>
              <w:bottom w:val="single" w:sz="4" w:space="0" w:color="auto"/>
              <w:right w:val="nil"/>
            </w:tcBorders>
            <w:shd w:val="clear" w:color="auto" w:fill="auto"/>
            <w:noWrap/>
            <w:vAlign w:val="center"/>
            <w:hideMark/>
          </w:tcPr>
          <w:p w14:paraId="257275A1" w14:textId="51432BF6"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30,00</w:t>
            </w:r>
          </w:p>
        </w:tc>
      </w:tr>
      <w:tr w:rsidR="00F15667" w:rsidRPr="00F15667" w14:paraId="67BF04DE"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23230262"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Ústí n. Labem</w:t>
            </w:r>
          </w:p>
        </w:tc>
        <w:tc>
          <w:tcPr>
            <w:tcW w:w="1080" w:type="dxa"/>
            <w:tcBorders>
              <w:top w:val="nil"/>
              <w:left w:val="nil"/>
              <w:bottom w:val="single" w:sz="4" w:space="0" w:color="auto"/>
              <w:right w:val="nil"/>
            </w:tcBorders>
            <w:shd w:val="clear" w:color="auto" w:fill="auto"/>
            <w:noWrap/>
            <w:vAlign w:val="center"/>
            <w:hideMark/>
          </w:tcPr>
          <w:p w14:paraId="111F3E59" w14:textId="57C6F58B"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2,02</w:t>
            </w:r>
          </w:p>
        </w:tc>
        <w:tc>
          <w:tcPr>
            <w:tcW w:w="1080" w:type="dxa"/>
            <w:tcBorders>
              <w:top w:val="nil"/>
              <w:left w:val="nil"/>
              <w:bottom w:val="single" w:sz="4" w:space="0" w:color="auto"/>
              <w:right w:val="nil"/>
            </w:tcBorders>
            <w:shd w:val="clear" w:color="auto" w:fill="auto"/>
            <w:noWrap/>
            <w:vAlign w:val="center"/>
            <w:hideMark/>
          </w:tcPr>
          <w:p w14:paraId="76A7A084" w14:textId="1254E47B"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11,11</w:t>
            </w:r>
          </w:p>
        </w:tc>
        <w:tc>
          <w:tcPr>
            <w:tcW w:w="1080" w:type="dxa"/>
            <w:tcBorders>
              <w:top w:val="nil"/>
              <w:left w:val="nil"/>
              <w:bottom w:val="single" w:sz="4" w:space="0" w:color="auto"/>
              <w:right w:val="nil"/>
            </w:tcBorders>
            <w:shd w:val="clear" w:color="auto" w:fill="auto"/>
            <w:noWrap/>
            <w:vAlign w:val="center"/>
            <w:hideMark/>
          </w:tcPr>
          <w:p w14:paraId="17C5CD09" w14:textId="4499AFD6"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23,23</w:t>
            </w:r>
          </w:p>
        </w:tc>
        <w:tc>
          <w:tcPr>
            <w:tcW w:w="1080" w:type="dxa"/>
            <w:tcBorders>
              <w:top w:val="nil"/>
              <w:left w:val="nil"/>
              <w:bottom w:val="single" w:sz="4" w:space="0" w:color="auto"/>
              <w:right w:val="nil"/>
            </w:tcBorders>
            <w:shd w:val="clear" w:color="auto" w:fill="auto"/>
            <w:noWrap/>
            <w:vAlign w:val="center"/>
            <w:hideMark/>
          </w:tcPr>
          <w:p w14:paraId="1A578719" w14:textId="0BF70BFD"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29,29</w:t>
            </w:r>
          </w:p>
        </w:tc>
        <w:tc>
          <w:tcPr>
            <w:tcW w:w="1080" w:type="dxa"/>
            <w:tcBorders>
              <w:top w:val="nil"/>
              <w:left w:val="nil"/>
              <w:bottom w:val="single" w:sz="4" w:space="0" w:color="auto"/>
              <w:right w:val="nil"/>
            </w:tcBorders>
            <w:shd w:val="clear" w:color="auto" w:fill="auto"/>
            <w:noWrap/>
            <w:vAlign w:val="center"/>
            <w:hideMark/>
          </w:tcPr>
          <w:p w14:paraId="2AE67FBB" w14:textId="001F2E65"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34,34</w:t>
            </w:r>
          </w:p>
        </w:tc>
      </w:tr>
      <w:tr w:rsidR="00F15667" w:rsidRPr="00F15667" w14:paraId="1D2D6B7F"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262AB3FB"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Hr. Králové</w:t>
            </w:r>
          </w:p>
        </w:tc>
        <w:tc>
          <w:tcPr>
            <w:tcW w:w="1080" w:type="dxa"/>
            <w:tcBorders>
              <w:top w:val="nil"/>
              <w:left w:val="nil"/>
              <w:bottom w:val="single" w:sz="4" w:space="0" w:color="auto"/>
              <w:right w:val="nil"/>
            </w:tcBorders>
            <w:shd w:val="clear" w:color="auto" w:fill="auto"/>
            <w:noWrap/>
            <w:vAlign w:val="center"/>
            <w:hideMark/>
          </w:tcPr>
          <w:p w14:paraId="4F477D46" w14:textId="05AFDBF0"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3,08</w:t>
            </w:r>
          </w:p>
        </w:tc>
        <w:tc>
          <w:tcPr>
            <w:tcW w:w="1080" w:type="dxa"/>
            <w:tcBorders>
              <w:top w:val="nil"/>
              <w:left w:val="nil"/>
              <w:bottom w:val="single" w:sz="4" w:space="0" w:color="auto"/>
              <w:right w:val="nil"/>
            </w:tcBorders>
            <w:shd w:val="clear" w:color="auto" w:fill="auto"/>
            <w:noWrap/>
            <w:vAlign w:val="center"/>
            <w:hideMark/>
          </w:tcPr>
          <w:p w14:paraId="049DBF26" w14:textId="63599CE1"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13,85</w:t>
            </w:r>
          </w:p>
        </w:tc>
        <w:tc>
          <w:tcPr>
            <w:tcW w:w="1080" w:type="dxa"/>
            <w:tcBorders>
              <w:top w:val="nil"/>
              <w:left w:val="nil"/>
              <w:bottom w:val="single" w:sz="4" w:space="0" w:color="auto"/>
              <w:right w:val="nil"/>
            </w:tcBorders>
            <w:shd w:val="clear" w:color="auto" w:fill="auto"/>
            <w:noWrap/>
            <w:vAlign w:val="center"/>
            <w:hideMark/>
          </w:tcPr>
          <w:p w14:paraId="32BACAAE" w14:textId="75AD3F4F"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16,92</w:t>
            </w:r>
          </w:p>
        </w:tc>
        <w:tc>
          <w:tcPr>
            <w:tcW w:w="1080" w:type="dxa"/>
            <w:tcBorders>
              <w:top w:val="nil"/>
              <w:left w:val="nil"/>
              <w:bottom w:val="single" w:sz="4" w:space="0" w:color="auto"/>
              <w:right w:val="nil"/>
            </w:tcBorders>
            <w:shd w:val="clear" w:color="auto" w:fill="auto"/>
            <w:noWrap/>
            <w:vAlign w:val="center"/>
            <w:hideMark/>
          </w:tcPr>
          <w:p w14:paraId="42FE3FB1" w14:textId="6F85B00B"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30,77</w:t>
            </w:r>
          </w:p>
        </w:tc>
        <w:tc>
          <w:tcPr>
            <w:tcW w:w="1080" w:type="dxa"/>
            <w:tcBorders>
              <w:top w:val="nil"/>
              <w:left w:val="nil"/>
              <w:bottom w:val="single" w:sz="4" w:space="0" w:color="auto"/>
              <w:right w:val="nil"/>
            </w:tcBorders>
            <w:shd w:val="clear" w:color="auto" w:fill="auto"/>
            <w:noWrap/>
            <w:vAlign w:val="center"/>
            <w:hideMark/>
          </w:tcPr>
          <w:p w14:paraId="2EDE31E8" w14:textId="2CC72D4F"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35,38</w:t>
            </w:r>
          </w:p>
        </w:tc>
      </w:tr>
      <w:tr w:rsidR="00F15667" w:rsidRPr="00F15667" w14:paraId="5114E781" w14:textId="77777777" w:rsidTr="00BD4804">
        <w:trPr>
          <w:trHeight w:val="315"/>
        </w:trPr>
        <w:tc>
          <w:tcPr>
            <w:tcW w:w="2220" w:type="dxa"/>
            <w:tcBorders>
              <w:top w:val="nil"/>
              <w:left w:val="nil"/>
              <w:bottom w:val="single" w:sz="4" w:space="0" w:color="auto"/>
              <w:right w:val="nil"/>
            </w:tcBorders>
            <w:shd w:val="clear" w:color="auto" w:fill="auto"/>
            <w:noWrap/>
            <w:vAlign w:val="center"/>
            <w:hideMark/>
          </w:tcPr>
          <w:p w14:paraId="7281B549"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Brno</w:t>
            </w:r>
          </w:p>
        </w:tc>
        <w:tc>
          <w:tcPr>
            <w:tcW w:w="1080" w:type="dxa"/>
            <w:tcBorders>
              <w:top w:val="nil"/>
              <w:left w:val="nil"/>
              <w:bottom w:val="single" w:sz="4" w:space="0" w:color="auto"/>
              <w:right w:val="nil"/>
            </w:tcBorders>
            <w:shd w:val="clear" w:color="auto" w:fill="auto"/>
            <w:noWrap/>
            <w:vAlign w:val="center"/>
            <w:hideMark/>
          </w:tcPr>
          <w:p w14:paraId="75149CAA" w14:textId="65533F1D"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4,29</w:t>
            </w:r>
          </w:p>
        </w:tc>
        <w:tc>
          <w:tcPr>
            <w:tcW w:w="1080" w:type="dxa"/>
            <w:tcBorders>
              <w:top w:val="nil"/>
              <w:left w:val="nil"/>
              <w:bottom w:val="single" w:sz="4" w:space="0" w:color="auto"/>
              <w:right w:val="nil"/>
            </w:tcBorders>
            <w:shd w:val="clear" w:color="auto" w:fill="auto"/>
            <w:noWrap/>
            <w:vAlign w:val="center"/>
            <w:hideMark/>
          </w:tcPr>
          <w:p w14:paraId="32CB1C5F" w14:textId="042CC3F6"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10,43</w:t>
            </w:r>
          </w:p>
        </w:tc>
        <w:tc>
          <w:tcPr>
            <w:tcW w:w="1080" w:type="dxa"/>
            <w:tcBorders>
              <w:top w:val="nil"/>
              <w:left w:val="nil"/>
              <w:bottom w:val="single" w:sz="4" w:space="0" w:color="auto"/>
              <w:right w:val="nil"/>
            </w:tcBorders>
            <w:shd w:val="clear" w:color="auto" w:fill="auto"/>
            <w:noWrap/>
            <w:vAlign w:val="center"/>
            <w:hideMark/>
          </w:tcPr>
          <w:p w14:paraId="350C30AB" w14:textId="29D8420E"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22,70</w:t>
            </w:r>
          </w:p>
        </w:tc>
        <w:tc>
          <w:tcPr>
            <w:tcW w:w="1080" w:type="dxa"/>
            <w:tcBorders>
              <w:top w:val="nil"/>
              <w:left w:val="nil"/>
              <w:bottom w:val="single" w:sz="4" w:space="0" w:color="auto"/>
              <w:right w:val="nil"/>
            </w:tcBorders>
            <w:shd w:val="clear" w:color="auto" w:fill="auto"/>
            <w:noWrap/>
            <w:vAlign w:val="center"/>
            <w:hideMark/>
          </w:tcPr>
          <w:p w14:paraId="2FB3E6E4" w14:textId="642ACA27"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28,22</w:t>
            </w:r>
          </w:p>
        </w:tc>
        <w:tc>
          <w:tcPr>
            <w:tcW w:w="1080" w:type="dxa"/>
            <w:tcBorders>
              <w:top w:val="nil"/>
              <w:left w:val="nil"/>
              <w:bottom w:val="single" w:sz="4" w:space="0" w:color="auto"/>
              <w:right w:val="nil"/>
            </w:tcBorders>
            <w:shd w:val="clear" w:color="auto" w:fill="auto"/>
            <w:noWrap/>
            <w:vAlign w:val="center"/>
            <w:hideMark/>
          </w:tcPr>
          <w:p w14:paraId="23AD7958" w14:textId="2EBB6BD3"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34,36</w:t>
            </w:r>
          </w:p>
        </w:tc>
      </w:tr>
      <w:tr w:rsidR="00F15667" w:rsidRPr="00F15667" w14:paraId="59BFE24D" w14:textId="77777777" w:rsidTr="00BD4804">
        <w:trPr>
          <w:trHeight w:val="330"/>
        </w:trPr>
        <w:tc>
          <w:tcPr>
            <w:tcW w:w="2220" w:type="dxa"/>
            <w:tcBorders>
              <w:top w:val="nil"/>
              <w:left w:val="nil"/>
              <w:bottom w:val="double" w:sz="6" w:space="0" w:color="auto"/>
              <w:right w:val="nil"/>
            </w:tcBorders>
            <w:shd w:val="clear" w:color="auto" w:fill="auto"/>
            <w:noWrap/>
            <w:vAlign w:val="center"/>
            <w:hideMark/>
          </w:tcPr>
          <w:p w14:paraId="2A022518" w14:textId="77777777" w:rsidR="003222F3" w:rsidRPr="00F15667" w:rsidRDefault="003222F3" w:rsidP="00BD4804">
            <w:pPr>
              <w:spacing w:line="240" w:lineRule="auto"/>
              <w:jc w:val="left"/>
              <w:rPr>
                <w:rFonts w:eastAsia="Times New Roman"/>
                <w:szCs w:val="24"/>
                <w:lang w:eastAsia="cs-CZ"/>
              </w:rPr>
            </w:pPr>
            <w:r w:rsidRPr="00F15667">
              <w:rPr>
                <w:rFonts w:eastAsia="Times New Roman"/>
                <w:szCs w:val="24"/>
                <w:lang w:eastAsia="cs-CZ"/>
              </w:rPr>
              <w:t>KS Ostrava</w:t>
            </w:r>
          </w:p>
        </w:tc>
        <w:tc>
          <w:tcPr>
            <w:tcW w:w="1080" w:type="dxa"/>
            <w:tcBorders>
              <w:top w:val="nil"/>
              <w:left w:val="nil"/>
              <w:bottom w:val="double" w:sz="6" w:space="0" w:color="auto"/>
              <w:right w:val="nil"/>
            </w:tcBorders>
            <w:shd w:val="clear" w:color="auto" w:fill="auto"/>
            <w:noWrap/>
            <w:vAlign w:val="center"/>
            <w:hideMark/>
          </w:tcPr>
          <w:p w14:paraId="2F55CC68" w14:textId="76436534"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5,56</w:t>
            </w:r>
          </w:p>
        </w:tc>
        <w:tc>
          <w:tcPr>
            <w:tcW w:w="1080" w:type="dxa"/>
            <w:tcBorders>
              <w:top w:val="nil"/>
              <w:left w:val="nil"/>
              <w:bottom w:val="double" w:sz="6" w:space="0" w:color="auto"/>
              <w:right w:val="nil"/>
            </w:tcBorders>
            <w:shd w:val="clear" w:color="auto" w:fill="auto"/>
            <w:noWrap/>
            <w:vAlign w:val="center"/>
            <w:hideMark/>
          </w:tcPr>
          <w:p w14:paraId="098F7E96" w14:textId="7EA03D72"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13,10</w:t>
            </w:r>
          </w:p>
        </w:tc>
        <w:tc>
          <w:tcPr>
            <w:tcW w:w="1080" w:type="dxa"/>
            <w:tcBorders>
              <w:top w:val="nil"/>
              <w:left w:val="nil"/>
              <w:bottom w:val="double" w:sz="6" w:space="0" w:color="auto"/>
              <w:right w:val="nil"/>
            </w:tcBorders>
            <w:shd w:val="clear" w:color="auto" w:fill="auto"/>
            <w:noWrap/>
            <w:vAlign w:val="center"/>
            <w:hideMark/>
          </w:tcPr>
          <w:p w14:paraId="60F7FAEF" w14:textId="27DDE703"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21,83</w:t>
            </w:r>
          </w:p>
        </w:tc>
        <w:tc>
          <w:tcPr>
            <w:tcW w:w="1080" w:type="dxa"/>
            <w:tcBorders>
              <w:top w:val="nil"/>
              <w:left w:val="nil"/>
              <w:bottom w:val="double" w:sz="6" w:space="0" w:color="auto"/>
              <w:right w:val="nil"/>
            </w:tcBorders>
            <w:shd w:val="clear" w:color="auto" w:fill="auto"/>
            <w:noWrap/>
            <w:vAlign w:val="center"/>
            <w:hideMark/>
          </w:tcPr>
          <w:p w14:paraId="246296BE" w14:textId="5FC531A5"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28,57</w:t>
            </w:r>
          </w:p>
        </w:tc>
        <w:tc>
          <w:tcPr>
            <w:tcW w:w="1080" w:type="dxa"/>
            <w:tcBorders>
              <w:top w:val="nil"/>
              <w:left w:val="nil"/>
              <w:bottom w:val="double" w:sz="6" w:space="0" w:color="auto"/>
              <w:right w:val="nil"/>
            </w:tcBorders>
            <w:shd w:val="clear" w:color="auto" w:fill="auto"/>
            <w:noWrap/>
            <w:vAlign w:val="center"/>
            <w:hideMark/>
          </w:tcPr>
          <w:p w14:paraId="753DAA6C" w14:textId="61B209AE" w:rsidR="003222F3" w:rsidRPr="00F15667" w:rsidRDefault="003222F3" w:rsidP="00BD4804">
            <w:pPr>
              <w:spacing w:line="240" w:lineRule="auto"/>
              <w:jc w:val="center"/>
              <w:rPr>
                <w:rFonts w:eastAsia="Times New Roman"/>
                <w:szCs w:val="24"/>
                <w:lang w:eastAsia="cs-CZ"/>
              </w:rPr>
            </w:pPr>
            <w:r w:rsidRPr="00F15667">
              <w:rPr>
                <w:rFonts w:eastAsia="Times New Roman"/>
                <w:szCs w:val="24"/>
                <w:lang w:eastAsia="cs-CZ"/>
              </w:rPr>
              <w:t>30,95</w:t>
            </w:r>
          </w:p>
        </w:tc>
      </w:tr>
      <w:tr w:rsidR="00F15667" w:rsidRPr="00F15667" w14:paraId="5AE6D948" w14:textId="77777777" w:rsidTr="00BD4804">
        <w:trPr>
          <w:trHeight w:val="345"/>
        </w:trPr>
        <w:tc>
          <w:tcPr>
            <w:tcW w:w="2220" w:type="dxa"/>
            <w:tcBorders>
              <w:top w:val="nil"/>
              <w:left w:val="nil"/>
              <w:bottom w:val="double" w:sz="6" w:space="0" w:color="auto"/>
              <w:right w:val="nil"/>
            </w:tcBorders>
            <w:shd w:val="clear" w:color="auto" w:fill="auto"/>
            <w:noWrap/>
            <w:vAlign w:val="center"/>
            <w:hideMark/>
          </w:tcPr>
          <w:p w14:paraId="3159818F" w14:textId="77777777" w:rsidR="003222F3" w:rsidRPr="00F15667" w:rsidRDefault="003222F3" w:rsidP="00BD480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80" w:type="dxa"/>
            <w:tcBorders>
              <w:top w:val="nil"/>
              <w:left w:val="nil"/>
              <w:bottom w:val="double" w:sz="6" w:space="0" w:color="auto"/>
              <w:right w:val="nil"/>
            </w:tcBorders>
            <w:shd w:val="clear" w:color="auto" w:fill="auto"/>
            <w:noWrap/>
            <w:vAlign w:val="center"/>
            <w:hideMark/>
          </w:tcPr>
          <w:p w14:paraId="51CC1FC4" w14:textId="1E66F086"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6,75</w:t>
            </w:r>
          </w:p>
        </w:tc>
        <w:tc>
          <w:tcPr>
            <w:tcW w:w="1080" w:type="dxa"/>
            <w:tcBorders>
              <w:top w:val="nil"/>
              <w:left w:val="nil"/>
              <w:bottom w:val="double" w:sz="6" w:space="0" w:color="auto"/>
              <w:right w:val="nil"/>
            </w:tcBorders>
            <w:shd w:val="clear" w:color="auto" w:fill="auto"/>
            <w:noWrap/>
            <w:vAlign w:val="center"/>
            <w:hideMark/>
          </w:tcPr>
          <w:p w14:paraId="1EEB93B9" w14:textId="42ADBCB1"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16,57</w:t>
            </w:r>
          </w:p>
        </w:tc>
        <w:tc>
          <w:tcPr>
            <w:tcW w:w="1080" w:type="dxa"/>
            <w:tcBorders>
              <w:top w:val="nil"/>
              <w:left w:val="nil"/>
              <w:bottom w:val="double" w:sz="6" w:space="0" w:color="auto"/>
              <w:right w:val="nil"/>
            </w:tcBorders>
            <w:shd w:val="clear" w:color="auto" w:fill="auto"/>
            <w:noWrap/>
            <w:vAlign w:val="center"/>
            <w:hideMark/>
          </w:tcPr>
          <w:p w14:paraId="4E8EDACD" w14:textId="354D164D"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20,34</w:t>
            </w:r>
          </w:p>
        </w:tc>
        <w:tc>
          <w:tcPr>
            <w:tcW w:w="1080" w:type="dxa"/>
            <w:tcBorders>
              <w:top w:val="nil"/>
              <w:left w:val="nil"/>
              <w:bottom w:val="double" w:sz="6" w:space="0" w:color="auto"/>
              <w:right w:val="nil"/>
            </w:tcBorders>
            <w:shd w:val="clear" w:color="auto" w:fill="auto"/>
            <w:noWrap/>
            <w:vAlign w:val="center"/>
            <w:hideMark/>
          </w:tcPr>
          <w:p w14:paraId="596CC5F5" w14:textId="3AC9A4EA"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26,98</w:t>
            </w:r>
          </w:p>
        </w:tc>
        <w:tc>
          <w:tcPr>
            <w:tcW w:w="1080" w:type="dxa"/>
            <w:tcBorders>
              <w:top w:val="nil"/>
              <w:left w:val="nil"/>
              <w:bottom w:val="double" w:sz="6" w:space="0" w:color="auto"/>
              <w:right w:val="nil"/>
            </w:tcBorders>
            <w:shd w:val="clear" w:color="auto" w:fill="auto"/>
            <w:noWrap/>
            <w:vAlign w:val="center"/>
            <w:hideMark/>
          </w:tcPr>
          <w:p w14:paraId="3CF33FE4" w14:textId="777B41BF" w:rsidR="003222F3" w:rsidRPr="00F15667" w:rsidRDefault="003222F3" w:rsidP="00BD4804">
            <w:pPr>
              <w:spacing w:line="240" w:lineRule="auto"/>
              <w:jc w:val="center"/>
              <w:rPr>
                <w:rFonts w:eastAsia="Times New Roman"/>
                <w:b/>
                <w:bCs/>
                <w:szCs w:val="24"/>
                <w:lang w:eastAsia="cs-CZ"/>
              </w:rPr>
            </w:pPr>
            <w:r w:rsidRPr="00F15667">
              <w:rPr>
                <w:rFonts w:eastAsia="Times New Roman"/>
                <w:b/>
                <w:bCs/>
                <w:szCs w:val="24"/>
                <w:lang w:eastAsia="cs-CZ"/>
              </w:rPr>
              <w:t>29,37</w:t>
            </w:r>
          </w:p>
        </w:tc>
      </w:tr>
      <w:tr w:rsidR="003222F3" w:rsidRPr="00F15667" w14:paraId="6B63AC16" w14:textId="77777777" w:rsidTr="00BD4804">
        <w:trPr>
          <w:trHeight w:val="330"/>
        </w:trPr>
        <w:tc>
          <w:tcPr>
            <w:tcW w:w="2220" w:type="dxa"/>
            <w:tcBorders>
              <w:top w:val="nil"/>
              <w:left w:val="nil"/>
              <w:bottom w:val="nil"/>
              <w:right w:val="nil"/>
            </w:tcBorders>
            <w:shd w:val="clear" w:color="auto" w:fill="auto"/>
            <w:noWrap/>
            <w:vAlign w:val="center"/>
            <w:hideMark/>
          </w:tcPr>
          <w:p w14:paraId="652A759F" w14:textId="77777777" w:rsidR="003222F3" w:rsidRPr="00F15667" w:rsidRDefault="003222F3" w:rsidP="00BD4804">
            <w:pPr>
              <w:spacing w:line="240" w:lineRule="auto"/>
              <w:jc w:val="center"/>
              <w:rPr>
                <w:rFonts w:eastAsia="Times New Roman"/>
                <w:b/>
                <w:bCs/>
                <w:szCs w:val="24"/>
                <w:lang w:eastAsia="cs-CZ"/>
              </w:rPr>
            </w:pPr>
          </w:p>
        </w:tc>
        <w:tc>
          <w:tcPr>
            <w:tcW w:w="1080" w:type="dxa"/>
            <w:tcBorders>
              <w:top w:val="nil"/>
              <w:left w:val="nil"/>
              <w:bottom w:val="nil"/>
              <w:right w:val="nil"/>
            </w:tcBorders>
            <w:shd w:val="clear" w:color="auto" w:fill="auto"/>
            <w:noWrap/>
            <w:vAlign w:val="center"/>
            <w:hideMark/>
          </w:tcPr>
          <w:p w14:paraId="28EF4621" w14:textId="77777777" w:rsidR="003222F3" w:rsidRPr="00F15667" w:rsidRDefault="003222F3" w:rsidP="00BD4804">
            <w:pPr>
              <w:spacing w:line="240" w:lineRule="auto"/>
              <w:jc w:val="center"/>
              <w:rPr>
                <w:rFonts w:ascii="Times New Roman" w:eastAsia="Times New Roman" w:hAnsi="Times New Roman"/>
                <w:sz w:val="20"/>
                <w:szCs w:val="20"/>
                <w:lang w:eastAsia="cs-CZ"/>
              </w:rPr>
            </w:pPr>
          </w:p>
        </w:tc>
        <w:tc>
          <w:tcPr>
            <w:tcW w:w="1080" w:type="dxa"/>
            <w:tcBorders>
              <w:top w:val="nil"/>
              <w:left w:val="nil"/>
              <w:bottom w:val="nil"/>
              <w:right w:val="nil"/>
            </w:tcBorders>
            <w:shd w:val="clear" w:color="auto" w:fill="auto"/>
            <w:noWrap/>
            <w:vAlign w:val="center"/>
            <w:hideMark/>
          </w:tcPr>
          <w:p w14:paraId="7E623301" w14:textId="77777777" w:rsidR="003222F3" w:rsidRPr="00F15667" w:rsidRDefault="003222F3" w:rsidP="00BD4804">
            <w:pPr>
              <w:spacing w:line="240" w:lineRule="auto"/>
              <w:jc w:val="center"/>
              <w:rPr>
                <w:rFonts w:ascii="Times New Roman" w:eastAsia="Times New Roman" w:hAnsi="Times New Roman"/>
                <w:sz w:val="20"/>
                <w:szCs w:val="20"/>
                <w:lang w:eastAsia="cs-CZ"/>
              </w:rPr>
            </w:pPr>
          </w:p>
        </w:tc>
        <w:tc>
          <w:tcPr>
            <w:tcW w:w="1080" w:type="dxa"/>
            <w:tcBorders>
              <w:top w:val="nil"/>
              <w:left w:val="nil"/>
              <w:bottom w:val="nil"/>
              <w:right w:val="nil"/>
            </w:tcBorders>
            <w:shd w:val="clear" w:color="auto" w:fill="auto"/>
            <w:noWrap/>
            <w:vAlign w:val="center"/>
            <w:hideMark/>
          </w:tcPr>
          <w:p w14:paraId="184BB775" w14:textId="77777777" w:rsidR="003222F3" w:rsidRPr="00F15667" w:rsidRDefault="003222F3" w:rsidP="00BD4804">
            <w:pPr>
              <w:spacing w:line="240" w:lineRule="auto"/>
              <w:jc w:val="center"/>
              <w:rPr>
                <w:rFonts w:ascii="Times New Roman" w:eastAsia="Times New Roman" w:hAnsi="Times New Roman"/>
                <w:sz w:val="20"/>
                <w:szCs w:val="20"/>
                <w:lang w:eastAsia="cs-CZ"/>
              </w:rPr>
            </w:pPr>
          </w:p>
        </w:tc>
        <w:tc>
          <w:tcPr>
            <w:tcW w:w="1080" w:type="dxa"/>
            <w:tcBorders>
              <w:top w:val="nil"/>
              <w:left w:val="nil"/>
              <w:bottom w:val="nil"/>
              <w:right w:val="nil"/>
            </w:tcBorders>
            <w:shd w:val="clear" w:color="auto" w:fill="auto"/>
            <w:noWrap/>
            <w:vAlign w:val="center"/>
            <w:hideMark/>
          </w:tcPr>
          <w:p w14:paraId="2BC9D45A" w14:textId="77777777" w:rsidR="003222F3" w:rsidRPr="00F15667" w:rsidRDefault="003222F3" w:rsidP="00BD4804">
            <w:pPr>
              <w:spacing w:line="240" w:lineRule="auto"/>
              <w:jc w:val="center"/>
              <w:rPr>
                <w:rFonts w:ascii="Times New Roman" w:eastAsia="Times New Roman" w:hAnsi="Times New Roman"/>
                <w:sz w:val="20"/>
                <w:szCs w:val="20"/>
                <w:lang w:eastAsia="cs-CZ"/>
              </w:rPr>
            </w:pPr>
          </w:p>
        </w:tc>
        <w:tc>
          <w:tcPr>
            <w:tcW w:w="1080" w:type="dxa"/>
            <w:tcBorders>
              <w:top w:val="nil"/>
              <w:left w:val="nil"/>
              <w:bottom w:val="nil"/>
              <w:right w:val="nil"/>
            </w:tcBorders>
            <w:shd w:val="clear" w:color="auto" w:fill="auto"/>
            <w:noWrap/>
            <w:vAlign w:val="center"/>
            <w:hideMark/>
          </w:tcPr>
          <w:p w14:paraId="78E45A28" w14:textId="77777777" w:rsidR="003222F3" w:rsidRPr="00F15667" w:rsidRDefault="003222F3" w:rsidP="00BD4804">
            <w:pPr>
              <w:spacing w:line="240" w:lineRule="auto"/>
              <w:jc w:val="center"/>
              <w:rPr>
                <w:rFonts w:ascii="Times New Roman" w:eastAsia="Times New Roman" w:hAnsi="Times New Roman"/>
                <w:sz w:val="20"/>
                <w:szCs w:val="20"/>
                <w:lang w:eastAsia="cs-CZ"/>
              </w:rPr>
            </w:pPr>
          </w:p>
        </w:tc>
      </w:tr>
    </w:tbl>
    <w:p w14:paraId="21BB7146" w14:textId="6834FC8D" w:rsidR="005A734C" w:rsidRPr="00F15667" w:rsidRDefault="008430BD" w:rsidP="00BD4804">
      <w:pPr>
        <w:pStyle w:val="Nadpis2"/>
        <w:pageBreakBefore/>
        <w:numPr>
          <w:ilvl w:val="1"/>
          <w:numId w:val="1"/>
        </w:numPr>
        <w:spacing w:before="120"/>
        <w:ind w:left="578" w:hanging="578"/>
        <w:rPr>
          <w:color w:val="auto"/>
        </w:rPr>
      </w:pPr>
      <w:bookmarkStart w:id="606" w:name="_Toc515871248"/>
      <w:bookmarkStart w:id="607" w:name="_Toc106092752"/>
      <w:bookmarkStart w:id="608" w:name="_Toc144104365"/>
      <w:r w:rsidRPr="00F15667">
        <w:rPr>
          <w:color w:val="auto"/>
        </w:rPr>
        <w:lastRenderedPageBreak/>
        <w:t>Prvostupňová civilní a obchodní agenda</w:t>
      </w:r>
      <w:bookmarkEnd w:id="606"/>
      <w:bookmarkEnd w:id="607"/>
      <w:bookmarkEnd w:id="608"/>
    </w:p>
    <w:p w14:paraId="7A3A49D6" w14:textId="77777777" w:rsidR="005A30E8" w:rsidRPr="00F15667" w:rsidRDefault="005A30E8" w:rsidP="005A30E8">
      <w:pPr>
        <w:pStyle w:val="OdstavecASR"/>
      </w:pPr>
      <w:r w:rsidRPr="00F15667">
        <w:t>Krajské soudy vyřizují podobně jako okresní soudy větší množství prvostupňové netrestní agendy. Na rozdíl od okresních soudů vyřizují krajské soudy, s výjimkou KS Praha, též věci veřejných rejstříků právnických a fyzických osob. Tato podkapitola se věnuje prvostupňové civilní (občanskoprávní) a obchodní agendě. V rámci této zprávy se jedná o rejstříky označené jako C, EC, Cm a ECm. Ve vedení statistik došlo k podobným změnám jako u OS, což se do určité míry projeví i v časových řadách, a to i přes snahu data o tyto změny očistit. Data, která se týkají délek řízení a dalších statistik, byla opět v největší možné míře očištěna o rozkazní řízení.</w:t>
      </w:r>
    </w:p>
    <w:p w14:paraId="2EF553A3" w14:textId="0E5DD199" w:rsidR="005A734C" w:rsidRPr="00F15667" w:rsidRDefault="005A734C" w:rsidP="005A734C">
      <w:pPr>
        <w:pStyle w:val="Nadpis3"/>
        <w:numPr>
          <w:ilvl w:val="2"/>
          <w:numId w:val="1"/>
        </w:numPr>
        <w:rPr>
          <w:color w:val="auto"/>
        </w:rPr>
      </w:pPr>
      <w:bookmarkStart w:id="609" w:name="_Toc75952087"/>
      <w:bookmarkStart w:id="610" w:name="_Ref103764802"/>
      <w:bookmarkStart w:id="611" w:name="_Ref103764829"/>
      <w:bookmarkStart w:id="612" w:name="_Toc106092753"/>
      <w:bookmarkStart w:id="613" w:name="_Toc144104366"/>
      <w:r w:rsidRPr="00F15667">
        <w:rPr>
          <w:color w:val="auto"/>
        </w:rPr>
        <w:t>Délka řízení</w:t>
      </w:r>
      <w:bookmarkEnd w:id="609"/>
      <w:bookmarkEnd w:id="610"/>
      <w:bookmarkEnd w:id="611"/>
      <w:bookmarkEnd w:id="612"/>
      <w:bookmarkEnd w:id="613"/>
    </w:p>
    <w:p w14:paraId="3B7D9FE1" w14:textId="77777777" w:rsidR="005A30E8" w:rsidRPr="00F15667" w:rsidRDefault="005A30E8" w:rsidP="005A30E8">
      <w:pPr>
        <w:pStyle w:val="OdstavecASR"/>
      </w:pPr>
      <w:r w:rsidRPr="00F15667">
        <w:t>Uvádíme délky řízení v kalendářních dnech ode dne nápadu do dne konečného vyřízení soudem I. stupně zjištěné ze statistických listů.</w:t>
      </w:r>
    </w:p>
    <w:p w14:paraId="5D6B5387" w14:textId="77777777" w:rsidR="005A30E8" w:rsidRPr="00F15667" w:rsidRDefault="005A30E8" w:rsidP="005A30E8">
      <w:pPr>
        <w:pStyle w:val="OdstavecASR"/>
      </w:pPr>
      <w:r w:rsidRPr="00F15667">
        <w:t xml:space="preserve">Data byla očištěna o věci s předmětem </w:t>
      </w:r>
      <w:bookmarkStart w:id="614" w:name="_Hlk98502272"/>
      <w:r w:rsidRPr="00F15667">
        <w:t xml:space="preserve">sporu </w:t>
      </w:r>
      <w:r w:rsidRPr="00F15667">
        <w:rPr>
          <w:i/>
        </w:rPr>
        <w:t>právní vztahy související se zrušením a likvidací obchodní korporace</w:t>
      </w:r>
      <w:r w:rsidRPr="00F15667">
        <w:t>.</w:t>
      </w:r>
      <w:bookmarkEnd w:id="614"/>
      <w:r w:rsidRPr="00F15667">
        <w:t xml:space="preserve"> Přestože se může jednat o administrativně náročnou agendu, především v Praze se velmi často vyskytují jednoduché a rychle vyřízené věci. Právě u tohoto soudu přitom došlo v roce 2017 k velkému nárůstu v počtu pravomocně skončených věcí (nárůst o 176 %), což samozřejmě značně ovlivňuje vykazovanou délku řízení – výrazně ji to snižuje. Stejně tak má tato kategorie sporů významný vliv na míru odvolání. Po úvaze byla proto především z důvodu zachování srovnatelnosti mezi soudními kraji a roky data využitá v této zprávě o uvedený typ sporu očištěna.</w:t>
      </w:r>
    </w:p>
    <w:p w14:paraId="7970453F" w14:textId="60A7C724" w:rsidR="005A30E8" w:rsidRPr="00F15667" w:rsidRDefault="005A30E8" w:rsidP="005A30E8">
      <w:pPr>
        <w:pStyle w:val="OdstavecASR"/>
      </w:pPr>
      <w:r w:rsidRPr="00F15667">
        <w:t xml:space="preserve">V roce 2021 došlo k další úpravě metodiky. Data byla po úvaze očištěna i o spory s předmětem sporu </w:t>
      </w:r>
      <w:bookmarkStart w:id="615" w:name="_Hlk98502296"/>
      <w:r w:rsidRPr="00F15667">
        <w:rPr>
          <w:i/>
          <w:iCs/>
        </w:rPr>
        <w:t>zrušení a jmenování likvidátora u jiných korporací (spolky, odborové organizace atd)</w:t>
      </w:r>
      <w:r w:rsidRPr="00F15667">
        <w:t xml:space="preserve">. </w:t>
      </w:r>
      <w:bookmarkEnd w:id="615"/>
      <w:r w:rsidRPr="00F15667">
        <w:t>Podobně jako u </w:t>
      </w:r>
      <w:r w:rsidRPr="00F15667">
        <w:rPr>
          <w:i/>
          <w:iCs/>
        </w:rPr>
        <w:t xml:space="preserve">právních vztahů souvisejících se zrušením a likvidací obchodní korporace </w:t>
      </w:r>
      <w:r w:rsidRPr="00F15667">
        <w:t>se nejedná o typický obchodní spor a délka řízení je u těchto sporů výrazně kratší. V roce 2021 došlo asi k trojnásobnému nárůstu v počtu těchto řízení oproti roku 2020, a to především u MS Praha, částečně pak u KS Brno a KS Hradec Králové. Bez očištění dat by došlo k výraznému poklesu délky řízení (opět především u MS Praha). Pokles délky řízení by nicméně plynul právě pouze ze změny ve složení agendy, nikoliv ze zrychlení vyřizování věcí obecně. Pro ilustraci – po očištění o tento předmět sporu u MS Praha vykázal mediánovou délku řízení 334 dnů v roce 2020 a 321 v roce 2021. Bez očištění by ale vykázal délky řízení 260 v roce 2020 a 125 v roce 2021. Zahrnutí tohoto předmětu sporu by tedy (opět) výrazně zkreslilo jak porovnání mezi soudy, tak i porovnání mezi roky. Z tohoto důvodu byla data o tento spor očištěna. Očištění je zpětně aplikováno i na předchozí roky.</w:t>
      </w:r>
    </w:p>
    <w:p w14:paraId="523F6EED" w14:textId="609F5D2A" w:rsidR="005A30E8" w:rsidRPr="00F15667" w:rsidRDefault="005A30E8" w:rsidP="005A30E8">
      <w:pPr>
        <w:pStyle w:val="Podnadpis"/>
        <w:rPr>
          <w:color w:val="auto"/>
        </w:rPr>
      </w:pPr>
      <w:bookmarkStart w:id="616" w:name="_Toc43841430"/>
      <w:bookmarkStart w:id="617" w:name="_Toc75952234"/>
      <w:bookmarkStart w:id="618" w:name="_Toc106106690"/>
      <w:bookmarkStart w:id="619" w:name="_Toc109802014"/>
      <w:bookmarkStart w:id="620" w:name="_Toc144104164"/>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52</w:t>
      </w:r>
      <w:r w:rsidR="009A10E2" w:rsidRPr="00F15667">
        <w:rPr>
          <w:color w:val="auto"/>
        </w:rPr>
        <w:fldChar w:fldCharType="end"/>
      </w:r>
      <w:r w:rsidRPr="00F15667">
        <w:rPr>
          <w:color w:val="auto"/>
        </w:rPr>
        <w:t xml:space="preserve">: KS – délka </w:t>
      </w:r>
      <w:r w:rsidR="00FB2477" w:rsidRPr="00F15667">
        <w:rPr>
          <w:color w:val="auto"/>
        </w:rPr>
        <w:t xml:space="preserve">prvostupňového civilního řízení </w:t>
      </w:r>
      <w:r w:rsidRPr="00F15667">
        <w:rPr>
          <w:color w:val="auto"/>
        </w:rPr>
        <w:t>v letech 2008–20</w:t>
      </w:r>
      <w:bookmarkEnd w:id="616"/>
      <w:r w:rsidRPr="00F15667">
        <w:rPr>
          <w:color w:val="auto"/>
        </w:rPr>
        <w:t>2</w:t>
      </w:r>
      <w:bookmarkEnd w:id="617"/>
      <w:bookmarkEnd w:id="618"/>
      <w:bookmarkEnd w:id="619"/>
      <w:r w:rsidRPr="00F15667">
        <w:rPr>
          <w:color w:val="auto"/>
        </w:rPr>
        <w:t>2</w:t>
      </w:r>
      <w:bookmarkEnd w:id="620"/>
    </w:p>
    <w:p w14:paraId="1F8F9C0D" w14:textId="04B4CEF2" w:rsidR="005A30E8" w:rsidRPr="00F15667" w:rsidRDefault="00D31483" w:rsidP="005A30E8">
      <w:pPr>
        <w:pStyle w:val="OdstavecASR"/>
      </w:pPr>
      <w:r w:rsidRPr="00F15667">
        <w:rPr>
          <w:noProof/>
          <w:lang w:eastAsia="cs-CZ"/>
        </w:rPr>
        <w:drawing>
          <wp:inline distT="0" distB="0" distL="0" distR="0" wp14:anchorId="6F259D38" wp14:editId="00D29D8C">
            <wp:extent cx="5029200" cy="3657600"/>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r w:rsidR="00BD4804">
        <w:t> </w:t>
      </w:r>
    </w:p>
    <w:p w14:paraId="0B439E74" w14:textId="77777777" w:rsidR="00D31483" w:rsidRPr="00F15667" w:rsidRDefault="00D31483" w:rsidP="00D31483">
      <w:pPr>
        <w:pStyle w:val="OdstavecASR"/>
      </w:pPr>
      <w:r w:rsidRPr="00F15667">
        <w:t>Závěry plynoucí z časové řady jsou samozřejmě ovlivněny výše uvedenou změnou metodiky. V časové řadě na grafu jsou zajímavé především extrémy – vysoká délka řízení v roce 2008 a pak od roku 2017 a dále a nízká délka řízení v roce 2011. Do jisté míry to může vyplývat ze změn ve vedení statistik. Data totiž není možné úplně očistit a zbavit je tak výkyvů, které jsou způsobeny metodologickými změnami. Mezi roky 2008 a 2009 se ale zjevně jedná o reálný pokles v délce řízení. V té době (nebo spíše ještě dříve, protože v délce řízení se změny projevují se zpožděním) zřejmě došlo k výraznému urychlení civilního soudního řízení. Nárůst v délce řízení po roce 2015 je ale zřejmě minimálně částečně dán změnami v metodice vykazování statistik.</w:t>
      </w:r>
    </w:p>
    <w:p w14:paraId="3C22898E" w14:textId="145797B9" w:rsidR="00D31483" w:rsidRPr="00F15667" w:rsidRDefault="00D31483" w:rsidP="00D31483">
      <w:pPr>
        <w:pStyle w:val="OdstavecASR"/>
      </w:pPr>
      <w:r w:rsidRPr="00F15667">
        <w:t xml:space="preserve">Absolutní hodnoty průměru i percentilu 90 jsou u očištěných dat velmi vysoké – celorepublikový percentil 90 je </w:t>
      </w:r>
      <w:r w:rsidR="00B63D48" w:rsidRPr="00F15667">
        <w:t>8 let</w:t>
      </w:r>
      <w:r w:rsidRPr="00F15667">
        <w:t xml:space="preserve"> a celorepublikový průměr asi 3,</w:t>
      </w:r>
      <w:r w:rsidR="00B63D48" w:rsidRPr="00F15667">
        <w:t>7</w:t>
      </w:r>
      <w:r w:rsidRPr="00F15667">
        <w:t> roku. Histogram ukazuje, že tento</w:t>
      </w:r>
      <w:r w:rsidR="00B63D48" w:rsidRPr="00F15667">
        <w:t xml:space="preserve"> </w:t>
      </w:r>
      <w:r w:rsidRPr="00F15667">
        <w:t xml:space="preserve">rok </w:t>
      </w:r>
      <w:r w:rsidR="00B63D48" w:rsidRPr="00F15667">
        <w:t>téměř 6</w:t>
      </w:r>
      <w:r w:rsidRPr="00F15667">
        <w:t> % řízení trvalo déle než 4 000 dnů (11 let).</w:t>
      </w:r>
      <w:r w:rsidR="00B63D48" w:rsidRPr="00F15667">
        <w:t xml:space="preserve"> </w:t>
      </w:r>
    </w:p>
    <w:p w14:paraId="21F94AD9" w14:textId="77777777" w:rsidR="00FB2477" w:rsidRDefault="00FB2477">
      <w:pPr>
        <w:spacing w:after="160" w:line="259" w:lineRule="auto"/>
        <w:jc w:val="left"/>
        <w:rPr>
          <w:rFonts w:eastAsia="Times New Roman"/>
          <w:b/>
          <w:iCs/>
          <w:spacing w:val="15"/>
          <w:szCs w:val="24"/>
        </w:rPr>
      </w:pPr>
      <w:r>
        <w:br w:type="page"/>
      </w:r>
    </w:p>
    <w:p w14:paraId="2BDF77F0" w14:textId="5B837B0B" w:rsidR="00FB2477" w:rsidRPr="00F15667" w:rsidRDefault="00FB2477" w:rsidP="00FB2477">
      <w:pPr>
        <w:pStyle w:val="Podnadpis"/>
        <w:rPr>
          <w:color w:val="auto"/>
        </w:rPr>
      </w:pPr>
      <w:bookmarkStart w:id="621" w:name="_Toc144104284"/>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45</w:t>
      </w:r>
      <w:r w:rsidRPr="00F15667">
        <w:rPr>
          <w:noProof/>
          <w:color w:val="auto"/>
        </w:rPr>
        <w:fldChar w:fldCharType="end"/>
      </w:r>
      <w:r w:rsidRPr="00F15667">
        <w:rPr>
          <w:color w:val="auto"/>
        </w:rPr>
        <w:t xml:space="preserve">: </w:t>
      </w:r>
      <w:r w:rsidR="00BD4804">
        <w:rPr>
          <w:color w:val="auto"/>
        </w:rPr>
        <w:t>K</w:t>
      </w:r>
      <w:r w:rsidRPr="00F15667">
        <w:rPr>
          <w:color w:val="auto"/>
        </w:rPr>
        <w:t xml:space="preserve">S – délky prvostupňového civilního řízení dle </w:t>
      </w:r>
      <w:r w:rsidR="004036FA">
        <w:rPr>
          <w:color w:val="auto"/>
        </w:rPr>
        <w:t>soudů</w:t>
      </w:r>
      <w:bookmarkEnd w:id="621"/>
    </w:p>
    <w:tbl>
      <w:tblPr>
        <w:tblW w:w="9026" w:type="dxa"/>
        <w:tblCellMar>
          <w:left w:w="70" w:type="dxa"/>
          <w:right w:w="70" w:type="dxa"/>
        </w:tblCellMar>
        <w:tblLook w:val="04A0" w:firstRow="1" w:lastRow="0" w:firstColumn="1" w:lastColumn="0" w:noHBand="0" w:noVBand="1"/>
      </w:tblPr>
      <w:tblGrid>
        <w:gridCol w:w="2480"/>
        <w:gridCol w:w="1206"/>
        <w:gridCol w:w="996"/>
        <w:gridCol w:w="1130"/>
        <w:gridCol w:w="992"/>
        <w:gridCol w:w="6"/>
        <w:gridCol w:w="1128"/>
        <w:gridCol w:w="1075"/>
        <w:gridCol w:w="17"/>
      </w:tblGrid>
      <w:tr w:rsidR="00FB2477" w:rsidRPr="00FB2477" w14:paraId="6EF49581" w14:textId="77777777" w:rsidTr="004036FA">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B9B2E15" w14:textId="5875B388" w:rsidR="00FB2477" w:rsidRPr="00FB2477" w:rsidRDefault="00BD4804" w:rsidP="004036FA">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00FB2477" w:rsidRPr="00FB2477">
              <w:rPr>
                <w:rFonts w:eastAsia="Times New Roman"/>
                <w:b/>
                <w:bCs/>
                <w:color w:val="000000"/>
                <w:szCs w:val="24"/>
                <w:lang w:eastAsia="cs-CZ"/>
              </w:rPr>
              <w:t>oud</w:t>
            </w:r>
          </w:p>
        </w:tc>
        <w:tc>
          <w:tcPr>
            <w:tcW w:w="6546" w:type="dxa"/>
            <w:gridSpan w:val="8"/>
            <w:tcBorders>
              <w:top w:val="double" w:sz="6" w:space="0" w:color="auto"/>
              <w:left w:val="nil"/>
              <w:bottom w:val="nil"/>
              <w:right w:val="nil"/>
            </w:tcBorders>
            <w:shd w:val="clear" w:color="auto" w:fill="auto"/>
            <w:noWrap/>
            <w:vAlign w:val="center"/>
            <w:hideMark/>
          </w:tcPr>
          <w:p w14:paraId="7B43B145" w14:textId="77777777" w:rsidR="00FB2477" w:rsidRPr="00FB2477" w:rsidRDefault="00FB2477" w:rsidP="004036FA">
            <w:pPr>
              <w:spacing w:line="240" w:lineRule="auto"/>
              <w:jc w:val="center"/>
              <w:rPr>
                <w:rFonts w:eastAsia="Times New Roman"/>
                <w:b/>
                <w:bCs/>
                <w:color w:val="000000"/>
                <w:szCs w:val="24"/>
                <w:lang w:eastAsia="cs-CZ"/>
              </w:rPr>
            </w:pPr>
            <w:r w:rsidRPr="00FB2477">
              <w:rPr>
                <w:rFonts w:eastAsia="Times New Roman"/>
                <w:b/>
                <w:bCs/>
                <w:color w:val="000000"/>
                <w:szCs w:val="24"/>
                <w:lang w:eastAsia="cs-CZ"/>
              </w:rPr>
              <w:t>Délka řízení</w:t>
            </w:r>
          </w:p>
        </w:tc>
      </w:tr>
      <w:tr w:rsidR="00FB2477" w:rsidRPr="00FB2477" w14:paraId="443D3741" w14:textId="77777777" w:rsidTr="004036FA">
        <w:trPr>
          <w:gridAfter w:val="1"/>
          <w:wAfter w:w="13" w:type="dxa"/>
          <w:trHeight w:val="330"/>
        </w:trPr>
        <w:tc>
          <w:tcPr>
            <w:tcW w:w="2480" w:type="dxa"/>
            <w:vMerge/>
            <w:tcBorders>
              <w:top w:val="double" w:sz="6" w:space="0" w:color="auto"/>
              <w:left w:val="nil"/>
              <w:bottom w:val="double" w:sz="6" w:space="0" w:color="000000"/>
              <w:right w:val="nil"/>
            </w:tcBorders>
            <w:vAlign w:val="center"/>
            <w:hideMark/>
          </w:tcPr>
          <w:p w14:paraId="3818765E" w14:textId="77777777" w:rsidR="00FB2477" w:rsidRPr="00FB2477" w:rsidRDefault="00FB2477" w:rsidP="004036FA">
            <w:pPr>
              <w:spacing w:line="240" w:lineRule="auto"/>
              <w:jc w:val="center"/>
              <w:rPr>
                <w:rFonts w:eastAsia="Times New Roman"/>
                <w:b/>
                <w:bCs/>
                <w:color w:val="000000"/>
                <w:szCs w:val="24"/>
                <w:lang w:eastAsia="cs-CZ"/>
              </w:rPr>
            </w:pPr>
          </w:p>
        </w:tc>
        <w:tc>
          <w:tcPr>
            <w:tcW w:w="2202" w:type="dxa"/>
            <w:gridSpan w:val="2"/>
            <w:tcBorders>
              <w:top w:val="nil"/>
              <w:left w:val="nil"/>
              <w:bottom w:val="double" w:sz="6" w:space="0" w:color="auto"/>
              <w:right w:val="nil"/>
            </w:tcBorders>
            <w:shd w:val="clear" w:color="auto" w:fill="auto"/>
            <w:noWrap/>
            <w:vAlign w:val="center"/>
            <w:hideMark/>
          </w:tcPr>
          <w:p w14:paraId="1D81BB68" w14:textId="77777777" w:rsidR="00FB2477" w:rsidRPr="00FB2477" w:rsidRDefault="00FB2477" w:rsidP="004036FA">
            <w:pPr>
              <w:spacing w:line="240" w:lineRule="auto"/>
              <w:jc w:val="center"/>
              <w:rPr>
                <w:rFonts w:eastAsia="Times New Roman"/>
                <w:b/>
                <w:bCs/>
                <w:color w:val="000000"/>
                <w:szCs w:val="24"/>
                <w:lang w:eastAsia="cs-CZ"/>
              </w:rPr>
            </w:pPr>
            <w:r w:rsidRPr="00FB2477">
              <w:rPr>
                <w:rFonts w:eastAsia="Times New Roman"/>
                <w:b/>
                <w:bCs/>
                <w:color w:val="000000"/>
                <w:szCs w:val="24"/>
                <w:lang w:eastAsia="cs-CZ"/>
              </w:rPr>
              <w:t>Průměr</w:t>
            </w:r>
          </w:p>
        </w:tc>
        <w:tc>
          <w:tcPr>
            <w:tcW w:w="2128"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14FF54A8" w14:textId="77777777" w:rsidR="00FB2477" w:rsidRPr="00FB2477" w:rsidRDefault="00FB2477" w:rsidP="004036FA">
            <w:pPr>
              <w:spacing w:line="240" w:lineRule="auto"/>
              <w:jc w:val="center"/>
              <w:rPr>
                <w:rFonts w:eastAsia="Times New Roman"/>
                <w:b/>
                <w:bCs/>
                <w:color w:val="000000"/>
                <w:szCs w:val="24"/>
                <w:lang w:eastAsia="cs-CZ"/>
              </w:rPr>
            </w:pPr>
            <w:r w:rsidRPr="00FB2477">
              <w:rPr>
                <w:rFonts w:eastAsia="Times New Roman"/>
                <w:b/>
                <w:bCs/>
                <w:color w:val="000000"/>
                <w:szCs w:val="24"/>
                <w:lang w:eastAsia="cs-CZ"/>
              </w:rPr>
              <w:t>Medián</w:t>
            </w:r>
          </w:p>
        </w:tc>
        <w:tc>
          <w:tcPr>
            <w:tcW w:w="2203" w:type="dxa"/>
            <w:gridSpan w:val="2"/>
            <w:tcBorders>
              <w:top w:val="nil"/>
              <w:left w:val="nil"/>
              <w:bottom w:val="double" w:sz="6" w:space="0" w:color="auto"/>
              <w:right w:val="nil"/>
            </w:tcBorders>
            <w:shd w:val="clear" w:color="auto" w:fill="auto"/>
            <w:noWrap/>
            <w:vAlign w:val="center"/>
            <w:hideMark/>
          </w:tcPr>
          <w:p w14:paraId="225F7CA3" w14:textId="77777777" w:rsidR="00FB2477" w:rsidRPr="00FB2477" w:rsidRDefault="00FB2477" w:rsidP="004036FA">
            <w:pPr>
              <w:spacing w:line="240" w:lineRule="auto"/>
              <w:jc w:val="center"/>
              <w:rPr>
                <w:rFonts w:eastAsia="Times New Roman"/>
                <w:b/>
                <w:bCs/>
                <w:color w:val="000000"/>
                <w:szCs w:val="24"/>
                <w:lang w:eastAsia="cs-CZ"/>
              </w:rPr>
            </w:pPr>
            <w:r w:rsidRPr="00FB2477">
              <w:rPr>
                <w:rFonts w:eastAsia="Times New Roman"/>
                <w:b/>
                <w:bCs/>
                <w:color w:val="000000"/>
                <w:szCs w:val="24"/>
                <w:lang w:eastAsia="cs-CZ"/>
              </w:rPr>
              <w:t>Percentil 90</w:t>
            </w:r>
          </w:p>
        </w:tc>
      </w:tr>
      <w:tr w:rsidR="00FB2477" w:rsidRPr="00FB2477" w14:paraId="6AB94F0C" w14:textId="77777777" w:rsidTr="004036FA">
        <w:trPr>
          <w:gridAfter w:val="1"/>
          <w:wAfter w:w="18" w:type="dxa"/>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7B7DA1BC" w14:textId="77777777" w:rsidR="00FB2477" w:rsidRPr="00FB2477" w:rsidRDefault="00FB2477" w:rsidP="004036FA">
            <w:pPr>
              <w:spacing w:line="240" w:lineRule="auto"/>
              <w:jc w:val="left"/>
              <w:rPr>
                <w:rFonts w:eastAsia="Times New Roman"/>
                <w:color w:val="000000"/>
                <w:szCs w:val="24"/>
                <w:lang w:eastAsia="cs-CZ"/>
              </w:rPr>
            </w:pPr>
            <w:r w:rsidRPr="00FB2477">
              <w:rPr>
                <w:rFonts w:eastAsia="Times New Roman"/>
                <w:color w:val="000000"/>
                <w:szCs w:val="24"/>
                <w:lang w:eastAsia="cs-CZ"/>
              </w:rPr>
              <w:t>MS Praha</w:t>
            </w:r>
          </w:p>
        </w:tc>
        <w:tc>
          <w:tcPr>
            <w:tcW w:w="1206" w:type="dxa"/>
            <w:tcBorders>
              <w:top w:val="single" w:sz="4" w:space="0" w:color="auto"/>
              <w:left w:val="nil"/>
              <w:bottom w:val="single" w:sz="4" w:space="0" w:color="auto"/>
              <w:right w:val="nil"/>
            </w:tcBorders>
            <w:shd w:val="clear" w:color="auto" w:fill="auto"/>
            <w:noWrap/>
            <w:vAlign w:val="center"/>
            <w:hideMark/>
          </w:tcPr>
          <w:p w14:paraId="1DB2A36F"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938</w:t>
            </w:r>
          </w:p>
        </w:tc>
        <w:tc>
          <w:tcPr>
            <w:tcW w:w="996" w:type="dxa"/>
            <w:tcBorders>
              <w:top w:val="single" w:sz="4" w:space="0" w:color="auto"/>
              <w:left w:val="nil"/>
              <w:bottom w:val="single" w:sz="4" w:space="0" w:color="auto"/>
              <w:right w:val="nil"/>
            </w:tcBorders>
            <w:shd w:val="clear" w:color="auto" w:fill="auto"/>
            <w:noWrap/>
            <w:vAlign w:val="center"/>
            <w:hideMark/>
          </w:tcPr>
          <w:p w14:paraId="69348FCB" w14:textId="3FB24C4F"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-0 %</w:t>
            </w:r>
          </w:p>
        </w:tc>
        <w:tc>
          <w:tcPr>
            <w:tcW w:w="1130" w:type="dxa"/>
            <w:tcBorders>
              <w:top w:val="nil"/>
              <w:left w:val="single" w:sz="4" w:space="0" w:color="auto"/>
              <w:bottom w:val="single" w:sz="4" w:space="0" w:color="auto"/>
              <w:right w:val="nil"/>
            </w:tcBorders>
            <w:shd w:val="clear" w:color="auto" w:fill="auto"/>
            <w:noWrap/>
            <w:vAlign w:val="center"/>
            <w:hideMark/>
          </w:tcPr>
          <w:p w14:paraId="207D60F9"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309</w:t>
            </w:r>
          </w:p>
        </w:tc>
        <w:tc>
          <w:tcPr>
            <w:tcW w:w="992" w:type="dxa"/>
            <w:tcBorders>
              <w:top w:val="nil"/>
              <w:left w:val="nil"/>
              <w:bottom w:val="single" w:sz="4" w:space="0" w:color="auto"/>
              <w:right w:val="single" w:sz="4" w:space="0" w:color="auto"/>
            </w:tcBorders>
            <w:shd w:val="clear" w:color="auto" w:fill="auto"/>
            <w:noWrap/>
            <w:vAlign w:val="center"/>
            <w:hideMark/>
          </w:tcPr>
          <w:p w14:paraId="04FDFE76" w14:textId="3626383C"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-7 %</w:t>
            </w:r>
          </w:p>
        </w:tc>
        <w:tc>
          <w:tcPr>
            <w:tcW w:w="1134" w:type="dxa"/>
            <w:gridSpan w:val="2"/>
            <w:tcBorders>
              <w:top w:val="single" w:sz="4" w:space="0" w:color="auto"/>
              <w:left w:val="nil"/>
              <w:bottom w:val="single" w:sz="4" w:space="0" w:color="auto"/>
              <w:right w:val="nil"/>
            </w:tcBorders>
            <w:shd w:val="clear" w:color="auto" w:fill="auto"/>
            <w:noWrap/>
            <w:vAlign w:val="center"/>
            <w:hideMark/>
          </w:tcPr>
          <w:p w14:paraId="1F17ABB8" w14:textId="64349208"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2</w:t>
            </w:r>
            <w:r w:rsidR="004036FA">
              <w:rPr>
                <w:rFonts w:eastAsia="Times New Roman"/>
                <w:color w:val="000000"/>
                <w:szCs w:val="24"/>
                <w:lang w:eastAsia="cs-CZ"/>
              </w:rPr>
              <w:t xml:space="preserve"> </w:t>
            </w:r>
            <w:r w:rsidRPr="00FB2477">
              <w:rPr>
                <w:rFonts w:eastAsia="Times New Roman"/>
                <w:color w:val="000000"/>
                <w:szCs w:val="24"/>
                <w:lang w:eastAsia="cs-CZ"/>
              </w:rPr>
              <w:t>748</w:t>
            </w:r>
          </w:p>
        </w:tc>
        <w:tc>
          <w:tcPr>
            <w:tcW w:w="1070" w:type="dxa"/>
            <w:tcBorders>
              <w:top w:val="single" w:sz="4" w:space="0" w:color="auto"/>
              <w:left w:val="nil"/>
              <w:bottom w:val="single" w:sz="4" w:space="0" w:color="auto"/>
              <w:right w:val="nil"/>
            </w:tcBorders>
            <w:shd w:val="clear" w:color="auto" w:fill="auto"/>
            <w:noWrap/>
            <w:vAlign w:val="center"/>
            <w:hideMark/>
          </w:tcPr>
          <w:p w14:paraId="6A2363D2" w14:textId="73481ED9"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-2 %</w:t>
            </w:r>
          </w:p>
        </w:tc>
      </w:tr>
      <w:tr w:rsidR="00FB2477" w:rsidRPr="00FB2477" w14:paraId="52698435" w14:textId="77777777" w:rsidTr="004036FA">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621A5E71" w14:textId="77777777" w:rsidR="00FB2477" w:rsidRPr="00FB2477" w:rsidRDefault="00FB2477" w:rsidP="004036FA">
            <w:pPr>
              <w:spacing w:line="240" w:lineRule="auto"/>
              <w:jc w:val="left"/>
              <w:rPr>
                <w:rFonts w:eastAsia="Times New Roman"/>
                <w:color w:val="000000"/>
                <w:szCs w:val="24"/>
                <w:lang w:eastAsia="cs-CZ"/>
              </w:rPr>
            </w:pPr>
            <w:r w:rsidRPr="00FB2477">
              <w:rPr>
                <w:rFonts w:eastAsia="Times New Roman"/>
                <w:color w:val="000000"/>
                <w:szCs w:val="24"/>
                <w:lang w:eastAsia="cs-CZ"/>
              </w:rPr>
              <w:t>KS Praha</w:t>
            </w:r>
          </w:p>
        </w:tc>
        <w:tc>
          <w:tcPr>
            <w:tcW w:w="1206" w:type="dxa"/>
            <w:tcBorders>
              <w:top w:val="nil"/>
              <w:left w:val="nil"/>
              <w:bottom w:val="single" w:sz="4" w:space="0" w:color="auto"/>
              <w:right w:val="nil"/>
            </w:tcBorders>
            <w:shd w:val="clear" w:color="auto" w:fill="auto"/>
            <w:noWrap/>
            <w:vAlign w:val="center"/>
            <w:hideMark/>
          </w:tcPr>
          <w:p w14:paraId="28A60226"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994</w:t>
            </w:r>
          </w:p>
        </w:tc>
        <w:tc>
          <w:tcPr>
            <w:tcW w:w="996" w:type="dxa"/>
            <w:tcBorders>
              <w:top w:val="nil"/>
              <w:left w:val="nil"/>
              <w:bottom w:val="single" w:sz="4" w:space="0" w:color="auto"/>
              <w:right w:val="nil"/>
            </w:tcBorders>
            <w:shd w:val="clear" w:color="auto" w:fill="auto"/>
            <w:noWrap/>
            <w:vAlign w:val="center"/>
            <w:hideMark/>
          </w:tcPr>
          <w:p w14:paraId="03AD3144" w14:textId="30D46EDB"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+20 %</w:t>
            </w:r>
          </w:p>
        </w:tc>
        <w:tc>
          <w:tcPr>
            <w:tcW w:w="1130" w:type="dxa"/>
            <w:tcBorders>
              <w:top w:val="nil"/>
              <w:left w:val="single" w:sz="4" w:space="0" w:color="auto"/>
              <w:bottom w:val="single" w:sz="4" w:space="0" w:color="auto"/>
              <w:right w:val="nil"/>
            </w:tcBorders>
            <w:shd w:val="clear" w:color="auto" w:fill="auto"/>
            <w:noWrap/>
            <w:vAlign w:val="center"/>
            <w:hideMark/>
          </w:tcPr>
          <w:p w14:paraId="2647BFCB"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312</w:t>
            </w:r>
          </w:p>
        </w:tc>
        <w:tc>
          <w:tcPr>
            <w:tcW w:w="992" w:type="dxa"/>
            <w:tcBorders>
              <w:top w:val="nil"/>
              <w:left w:val="nil"/>
              <w:bottom w:val="single" w:sz="4" w:space="0" w:color="auto"/>
              <w:right w:val="single" w:sz="4" w:space="0" w:color="auto"/>
            </w:tcBorders>
            <w:shd w:val="clear" w:color="auto" w:fill="auto"/>
            <w:noWrap/>
            <w:vAlign w:val="center"/>
            <w:hideMark/>
          </w:tcPr>
          <w:p w14:paraId="29958A2A" w14:textId="60ADA37E"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-6 %</w:t>
            </w:r>
          </w:p>
        </w:tc>
        <w:tc>
          <w:tcPr>
            <w:tcW w:w="1134" w:type="dxa"/>
            <w:gridSpan w:val="2"/>
            <w:tcBorders>
              <w:top w:val="nil"/>
              <w:left w:val="nil"/>
              <w:bottom w:val="single" w:sz="4" w:space="0" w:color="auto"/>
              <w:right w:val="nil"/>
            </w:tcBorders>
            <w:shd w:val="clear" w:color="auto" w:fill="auto"/>
            <w:noWrap/>
            <w:vAlign w:val="center"/>
            <w:hideMark/>
          </w:tcPr>
          <w:p w14:paraId="68E248AB" w14:textId="4FD320B6"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3</w:t>
            </w:r>
            <w:r w:rsidR="004036FA">
              <w:rPr>
                <w:rFonts w:eastAsia="Times New Roman"/>
                <w:color w:val="000000"/>
                <w:szCs w:val="24"/>
                <w:lang w:eastAsia="cs-CZ"/>
              </w:rPr>
              <w:t xml:space="preserve"> </w:t>
            </w:r>
            <w:r w:rsidRPr="00FB2477">
              <w:rPr>
                <w:rFonts w:eastAsia="Times New Roman"/>
                <w:color w:val="000000"/>
                <w:szCs w:val="24"/>
                <w:lang w:eastAsia="cs-CZ"/>
              </w:rPr>
              <w:t>198</w:t>
            </w:r>
          </w:p>
        </w:tc>
        <w:tc>
          <w:tcPr>
            <w:tcW w:w="1070" w:type="dxa"/>
            <w:tcBorders>
              <w:top w:val="nil"/>
              <w:left w:val="nil"/>
              <w:bottom w:val="single" w:sz="4" w:space="0" w:color="auto"/>
              <w:right w:val="nil"/>
            </w:tcBorders>
            <w:shd w:val="clear" w:color="auto" w:fill="auto"/>
            <w:noWrap/>
            <w:vAlign w:val="center"/>
            <w:hideMark/>
          </w:tcPr>
          <w:p w14:paraId="4C0AB90A" w14:textId="0066141C"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+23 %</w:t>
            </w:r>
          </w:p>
        </w:tc>
      </w:tr>
      <w:tr w:rsidR="00FB2477" w:rsidRPr="00FB2477" w14:paraId="77FD7C37" w14:textId="77777777" w:rsidTr="004036FA">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3501BB59" w14:textId="77777777" w:rsidR="00FB2477" w:rsidRPr="00FB2477" w:rsidRDefault="00FB2477" w:rsidP="004036FA">
            <w:pPr>
              <w:spacing w:line="240" w:lineRule="auto"/>
              <w:jc w:val="left"/>
              <w:rPr>
                <w:rFonts w:eastAsia="Times New Roman"/>
                <w:color w:val="000000"/>
                <w:szCs w:val="24"/>
                <w:lang w:eastAsia="cs-CZ"/>
              </w:rPr>
            </w:pPr>
            <w:r w:rsidRPr="00FB2477">
              <w:rPr>
                <w:rFonts w:eastAsia="Times New Roman"/>
                <w:color w:val="000000"/>
                <w:szCs w:val="24"/>
                <w:lang w:eastAsia="cs-CZ"/>
              </w:rPr>
              <w:t>KS Č. Budějovice</w:t>
            </w:r>
          </w:p>
        </w:tc>
        <w:tc>
          <w:tcPr>
            <w:tcW w:w="1206" w:type="dxa"/>
            <w:tcBorders>
              <w:top w:val="nil"/>
              <w:left w:val="nil"/>
              <w:bottom w:val="single" w:sz="4" w:space="0" w:color="auto"/>
              <w:right w:val="nil"/>
            </w:tcBorders>
            <w:shd w:val="clear" w:color="auto" w:fill="auto"/>
            <w:noWrap/>
            <w:vAlign w:val="center"/>
            <w:hideMark/>
          </w:tcPr>
          <w:p w14:paraId="1E7D13DC"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869</w:t>
            </w:r>
          </w:p>
        </w:tc>
        <w:tc>
          <w:tcPr>
            <w:tcW w:w="996" w:type="dxa"/>
            <w:tcBorders>
              <w:top w:val="nil"/>
              <w:left w:val="nil"/>
              <w:bottom w:val="single" w:sz="4" w:space="0" w:color="auto"/>
              <w:right w:val="nil"/>
            </w:tcBorders>
            <w:shd w:val="clear" w:color="auto" w:fill="auto"/>
            <w:noWrap/>
            <w:vAlign w:val="center"/>
            <w:hideMark/>
          </w:tcPr>
          <w:p w14:paraId="3F6FA02F" w14:textId="671E28E5"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+10 %</w:t>
            </w:r>
          </w:p>
        </w:tc>
        <w:tc>
          <w:tcPr>
            <w:tcW w:w="1130" w:type="dxa"/>
            <w:tcBorders>
              <w:top w:val="nil"/>
              <w:left w:val="single" w:sz="4" w:space="0" w:color="auto"/>
              <w:bottom w:val="single" w:sz="4" w:space="0" w:color="auto"/>
              <w:right w:val="nil"/>
            </w:tcBorders>
            <w:shd w:val="clear" w:color="auto" w:fill="auto"/>
            <w:noWrap/>
            <w:vAlign w:val="center"/>
            <w:hideMark/>
          </w:tcPr>
          <w:p w14:paraId="38610CEE"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305</w:t>
            </w:r>
          </w:p>
        </w:tc>
        <w:tc>
          <w:tcPr>
            <w:tcW w:w="992" w:type="dxa"/>
            <w:tcBorders>
              <w:top w:val="nil"/>
              <w:left w:val="nil"/>
              <w:bottom w:val="single" w:sz="4" w:space="0" w:color="auto"/>
              <w:right w:val="single" w:sz="4" w:space="0" w:color="auto"/>
            </w:tcBorders>
            <w:shd w:val="clear" w:color="auto" w:fill="auto"/>
            <w:noWrap/>
            <w:vAlign w:val="center"/>
            <w:hideMark/>
          </w:tcPr>
          <w:p w14:paraId="7E39E8D7" w14:textId="0B13D846"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+9 %</w:t>
            </w:r>
          </w:p>
        </w:tc>
        <w:tc>
          <w:tcPr>
            <w:tcW w:w="1134" w:type="dxa"/>
            <w:gridSpan w:val="2"/>
            <w:tcBorders>
              <w:top w:val="nil"/>
              <w:left w:val="nil"/>
              <w:bottom w:val="single" w:sz="4" w:space="0" w:color="auto"/>
              <w:right w:val="nil"/>
            </w:tcBorders>
            <w:shd w:val="clear" w:color="auto" w:fill="auto"/>
            <w:noWrap/>
            <w:vAlign w:val="center"/>
            <w:hideMark/>
          </w:tcPr>
          <w:p w14:paraId="0EA66CE8" w14:textId="719ABDDB"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2</w:t>
            </w:r>
            <w:r w:rsidR="004036FA">
              <w:rPr>
                <w:rFonts w:eastAsia="Times New Roman"/>
                <w:color w:val="000000"/>
                <w:szCs w:val="24"/>
                <w:lang w:eastAsia="cs-CZ"/>
              </w:rPr>
              <w:t xml:space="preserve"> </w:t>
            </w:r>
            <w:r w:rsidRPr="00FB2477">
              <w:rPr>
                <w:rFonts w:eastAsia="Times New Roman"/>
                <w:color w:val="000000"/>
                <w:szCs w:val="24"/>
                <w:lang w:eastAsia="cs-CZ"/>
              </w:rPr>
              <w:t>676</w:t>
            </w:r>
          </w:p>
        </w:tc>
        <w:tc>
          <w:tcPr>
            <w:tcW w:w="1070" w:type="dxa"/>
            <w:tcBorders>
              <w:top w:val="nil"/>
              <w:left w:val="nil"/>
              <w:bottom w:val="single" w:sz="4" w:space="0" w:color="auto"/>
              <w:right w:val="nil"/>
            </w:tcBorders>
            <w:shd w:val="clear" w:color="auto" w:fill="auto"/>
            <w:noWrap/>
            <w:vAlign w:val="center"/>
            <w:hideMark/>
          </w:tcPr>
          <w:p w14:paraId="21ACA9DE" w14:textId="135CB9B1"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+7 %</w:t>
            </w:r>
          </w:p>
        </w:tc>
      </w:tr>
      <w:tr w:rsidR="00FB2477" w:rsidRPr="00FB2477" w14:paraId="64C29BCD" w14:textId="77777777" w:rsidTr="004036FA">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529350A0" w14:textId="77777777" w:rsidR="00FB2477" w:rsidRPr="00FB2477" w:rsidRDefault="00FB2477" w:rsidP="004036FA">
            <w:pPr>
              <w:spacing w:line="240" w:lineRule="auto"/>
              <w:jc w:val="left"/>
              <w:rPr>
                <w:rFonts w:eastAsia="Times New Roman"/>
                <w:color w:val="000000"/>
                <w:szCs w:val="24"/>
                <w:lang w:eastAsia="cs-CZ"/>
              </w:rPr>
            </w:pPr>
            <w:r w:rsidRPr="00FB2477">
              <w:rPr>
                <w:rFonts w:eastAsia="Times New Roman"/>
                <w:color w:val="000000"/>
                <w:szCs w:val="24"/>
                <w:lang w:eastAsia="cs-CZ"/>
              </w:rPr>
              <w:t>KS Plzeň</w:t>
            </w:r>
          </w:p>
        </w:tc>
        <w:tc>
          <w:tcPr>
            <w:tcW w:w="1206" w:type="dxa"/>
            <w:tcBorders>
              <w:top w:val="nil"/>
              <w:left w:val="nil"/>
              <w:bottom w:val="single" w:sz="4" w:space="0" w:color="auto"/>
              <w:right w:val="nil"/>
            </w:tcBorders>
            <w:shd w:val="clear" w:color="auto" w:fill="auto"/>
            <w:noWrap/>
            <w:vAlign w:val="center"/>
            <w:hideMark/>
          </w:tcPr>
          <w:p w14:paraId="7888F3B2"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927</w:t>
            </w:r>
          </w:p>
        </w:tc>
        <w:tc>
          <w:tcPr>
            <w:tcW w:w="996" w:type="dxa"/>
            <w:tcBorders>
              <w:top w:val="nil"/>
              <w:left w:val="nil"/>
              <w:bottom w:val="single" w:sz="4" w:space="0" w:color="auto"/>
              <w:right w:val="nil"/>
            </w:tcBorders>
            <w:shd w:val="clear" w:color="auto" w:fill="auto"/>
            <w:noWrap/>
            <w:vAlign w:val="center"/>
            <w:hideMark/>
          </w:tcPr>
          <w:p w14:paraId="38F9F13F" w14:textId="674C80FB"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-15 %</w:t>
            </w:r>
          </w:p>
        </w:tc>
        <w:tc>
          <w:tcPr>
            <w:tcW w:w="1130" w:type="dxa"/>
            <w:tcBorders>
              <w:top w:val="nil"/>
              <w:left w:val="single" w:sz="4" w:space="0" w:color="auto"/>
              <w:bottom w:val="single" w:sz="4" w:space="0" w:color="auto"/>
              <w:right w:val="nil"/>
            </w:tcBorders>
            <w:shd w:val="clear" w:color="auto" w:fill="auto"/>
            <w:noWrap/>
            <w:vAlign w:val="center"/>
            <w:hideMark/>
          </w:tcPr>
          <w:p w14:paraId="67A8C1D8"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219</w:t>
            </w:r>
          </w:p>
        </w:tc>
        <w:tc>
          <w:tcPr>
            <w:tcW w:w="992" w:type="dxa"/>
            <w:tcBorders>
              <w:top w:val="nil"/>
              <w:left w:val="nil"/>
              <w:bottom w:val="single" w:sz="4" w:space="0" w:color="auto"/>
              <w:right w:val="single" w:sz="4" w:space="0" w:color="auto"/>
            </w:tcBorders>
            <w:shd w:val="clear" w:color="auto" w:fill="auto"/>
            <w:noWrap/>
            <w:vAlign w:val="center"/>
            <w:hideMark/>
          </w:tcPr>
          <w:p w14:paraId="50217201" w14:textId="7CFD1A89"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-37 %</w:t>
            </w:r>
          </w:p>
        </w:tc>
        <w:tc>
          <w:tcPr>
            <w:tcW w:w="1134" w:type="dxa"/>
            <w:gridSpan w:val="2"/>
            <w:tcBorders>
              <w:top w:val="nil"/>
              <w:left w:val="nil"/>
              <w:bottom w:val="single" w:sz="4" w:space="0" w:color="auto"/>
              <w:right w:val="nil"/>
            </w:tcBorders>
            <w:shd w:val="clear" w:color="auto" w:fill="auto"/>
            <w:noWrap/>
            <w:vAlign w:val="center"/>
            <w:hideMark/>
          </w:tcPr>
          <w:p w14:paraId="2E1F77D7" w14:textId="58726F4C"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3</w:t>
            </w:r>
            <w:r w:rsidR="004036FA">
              <w:rPr>
                <w:rFonts w:eastAsia="Times New Roman"/>
                <w:color w:val="000000"/>
                <w:szCs w:val="24"/>
                <w:lang w:eastAsia="cs-CZ"/>
              </w:rPr>
              <w:t xml:space="preserve"> </w:t>
            </w:r>
            <w:r w:rsidRPr="00FB2477">
              <w:rPr>
                <w:rFonts w:eastAsia="Times New Roman"/>
                <w:color w:val="000000"/>
                <w:szCs w:val="24"/>
                <w:lang w:eastAsia="cs-CZ"/>
              </w:rPr>
              <w:t>288</w:t>
            </w:r>
          </w:p>
        </w:tc>
        <w:tc>
          <w:tcPr>
            <w:tcW w:w="1070" w:type="dxa"/>
            <w:tcBorders>
              <w:top w:val="nil"/>
              <w:left w:val="nil"/>
              <w:bottom w:val="single" w:sz="4" w:space="0" w:color="auto"/>
              <w:right w:val="nil"/>
            </w:tcBorders>
            <w:shd w:val="clear" w:color="auto" w:fill="auto"/>
            <w:noWrap/>
            <w:vAlign w:val="center"/>
            <w:hideMark/>
          </w:tcPr>
          <w:p w14:paraId="08454707" w14:textId="14EFF58E"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+13 %</w:t>
            </w:r>
          </w:p>
        </w:tc>
      </w:tr>
      <w:tr w:rsidR="00FB2477" w:rsidRPr="00FB2477" w14:paraId="3602CD90" w14:textId="77777777" w:rsidTr="004036FA">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18DFF386" w14:textId="77777777" w:rsidR="00FB2477" w:rsidRPr="00FB2477" w:rsidRDefault="00FB2477" w:rsidP="004036FA">
            <w:pPr>
              <w:spacing w:line="240" w:lineRule="auto"/>
              <w:jc w:val="left"/>
              <w:rPr>
                <w:rFonts w:eastAsia="Times New Roman"/>
                <w:color w:val="000000"/>
                <w:szCs w:val="24"/>
                <w:lang w:eastAsia="cs-CZ"/>
              </w:rPr>
            </w:pPr>
            <w:r w:rsidRPr="00FB2477">
              <w:rPr>
                <w:rFonts w:eastAsia="Times New Roman"/>
                <w:color w:val="000000"/>
                <w:szCs w:val="24"/>
                <w:lang w:eastAsia="cs-CZ"/>
              </w:rPr>
              <w:t>KS Ústí n. Labem</w:t>
            </w:r>
          </w:p>
        </w:tc>
        <w:tc>
          <w:tcPr>
            <w:tcW w:w="1206" w:type="dxa"/>
            <w:tcBorders>
              <w:top w:val="nil"/>
              <w:left w:val="nil"/>
              <w:bottom w:val="single" w:sz="4" w:space="0" w:color="auto"/>
              <w:right w:val="nil"/>
            </w:tcBorders>
            <w:shd w:val="clear" w:color="auto" w:fill="auto"/>
            <w:noWrap/>
            <w:vAlign w:val="center"/>
            <w:hideMark/>
          </w:tcPr>
          <w:p w14:paraId="628E0C4E" w14:textId="25847359"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1</w:t>
            </w:r>
            <w:r w:rsidR="004036FA">
              <w:rPr>
                <w:rFonts w:eastAsia="Times New Roman"/>
                <w:color w:val="000000"/>
                <w:szCs w:val="24"/>
                <w:lang w:eastAsia="cs-CZ"/>
              </w:rPr>
              <w:t xml:space="preserve"> </w:t>
            </w:r>
            <w:r w:rsidRPr="00FB2477">
              <w:rPr>
                <w:rFonts w:eastAsia="Times New Roman"/>
                <w:color w:val="000000"/>
                <w:szCs w:val="24"/>
                <w:lang w:eastAsia="cs-CZ"/>
              </w:rPr>
              <w:t>197</w:t>
            </w:r>
          </w:p>
        </w:tc>
        <w:tc>
          <w:tcPr>
            <w:tcW w:w="996" w:type="dxa"/>
            <w:tcBorders>
              <w:top w:val="nil"/>
              <w:left w:val="nil"/>
              <w:bottom w:val="single" w:sz="4" w:space="0" w:color="auto"/>
              <w:right w:val="nil"/>
            </w:tcBorders>
            <w:shd w:val="clear" w:color="auto" w:fill="auto"/>
            <w:noWrap/>
            <w:vAlign w:val="center"/>
            <w:hideMark/>
          </w:tcPr>
          <w:p w14:paraId="7E7B081D" w14:textId="54ABFEC2"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-35 %</w:t>
            </w:r>
          </w:p>
        </w:tc>
        <w:tc>
          <w:tcPr>
            <w:tcW w:w="1130" w:type="dxa"/>
            <w:tcBorders>
              <w:top w:val="nil"/>
              <w:left w:val="single" w:sz="4" w:space="0" w:color="auto"/>
              <w:bottom w:val="single" w:sz="4" w:space="0" w:color="auto"/>
              <w:right w:val="nil"/>
            </w:tcBorders>
            <w:shd w:val="clear" w:color="auto" w:fill="auto"/>
            <w:noWrap/>
            <w:vAlign w:val="center"/>
            <w:hideMark/>
          </w:tcPr>
          <w:p w14:paraId="50F3436F"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647</w:t>
            </w:r>
          </w:p>
        </w:tc>
        <w:tc>
          <w:tcPr>
            <w:tcW w:w="992" w:type="dxa"/>
            <w:tcBorders>
              <w:top w:val="nil"/>
              <w:left w:val="nil"/>
              <w:bottom w:val="single" w:sz="4" w:space="0" w:color="auto"/>
              <w:right w:val="single" w:sz="4" w:space="0" w:color="auto"/>
            </w:tcBorders>
            <w:shd w:val="clear" w:color="auto" w:fill="auto"/>
            <w:noWrap/>
            <w:vAlign w:val="center"/>
            <w:hideMark/>
          </w:tcPr>
          <w:p w14:paraId="1F6EDFC1" w14:textId="65593ED4"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-50 %</w:t>
            </w:r>
          </w:p>
        </w:tc>
        <w:tc>
          <w:tcPr>
            <w:tcW w:w="1134" w:type="dxa"/>
            <w:gridSpan w:val="2"/>
            <w:tcBorders>
              <w:top w:val="nil"/>
              <w:left w:val="nil"/>
              <w:bottom w:val="single" w:sz="4" w:space="0" w:color="auto"/>
              <w:right w:val="nil"/>
            </w:tcBorders>
            <w:shd w:val="clear" w:color="auto" w:fill="auto"/>
            <w:noWrap/>
            <w:vAlign w:val="center"/>
            <w:hideMark/>
          </w:tcPr>
          <w:p w14:paraId="7B8AAE33" w14:textId="39249073"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2</w:t>
            </w:r>
            <w:r w:rsidR="004036FA">
              <w:rPr>
                <w:rFonts w:eastAsia="Times New Roman"/>
                <w:color w:val="000000"/>
                <w:szCs w:val="24"/>
                <w:lang w:eastAsia="cs-CZ"/>
              </w:rPr>
              <w:t xml:space="preserve"> </w:t>
            </w:r>
            <w:r w:rsidRPr="00FB2477">
              <w:rPr>
                <w:rFonts w:eastAsia="Times New Roman"/>
                <w:color w:val="000000"/>
                <w:szCs w:val="24"/>
                <w:lang w:eastAsia="cs-CZ"/>
              </w:rPr>
              <w:t>911</w:t>
            </w:r>
          </w:p>
        </w:tc>
        <w:tc>
          <w:tcPr>
            <w:tcW w:w="1070" w:type="dxa"/>
            <w:tcBorders>
              <w:top w:val="nil"/>
              <w:left w:val="nil"/>
              <w:bottom w:val="single" w:sz="4" w:space="0" w:color="auto"/>
              <w:right w:val="nil"/>
            </w:tcBorders>
            <w:shd w:val="clear" w:color="auto" w:fill="auto"/>
            <w:noWrap/>
            <w:vAlign w:val="center"/>
            <w:hideMark/>
          </w:tcPr>
          <w:p w14:paraId="1249D87C" w14:textId="2BCC2980"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-14 %</w:t>
            </w:r>
          </w:p>
        </w:tc>
      </w:tr>
      <w:tr w:rsidR="00FB2477" w:rsidRPr="00FB2477" w14:paraId="7D35A820" w14:textId="77777777" w:rsidTr="004036FA">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2494CFDA" w14:textId="77777777" w:rsidR="00FB2477" w:rsidRPr="00FB2477" w:rsidRDefault="00FB2477" w:rsidP="004036FA">
            <w:pPr>
              <w:spacing w:line="240" w:lineRule="auto"/>
              <w:jc w:val="left"/>
              <w:rPr>
                <w:rFonts w:eastAsia="Times New Roman"/>
                <w:color w:val="000000"/>
                <w:szCs w:val="24"/>
                <w:lang w:eastAsia="cs-CZ"/>
              </w:rPr>
            </w:pPr>
            <w:r w:rsidRPr="00FB2477">
              <w:rPr>
                <w:rFonts w:eastAsia="Times New Roman"/>
                <w:color w:val="000000"/>
                <w:szCs w:val="24"/>
                <w:lang w:eastAsia="cs-CZ"/>
              </w:rPr>
              <w:t>KS Hr. Králové</w:t>
            </w:r>
          </w:p>
        </w:tc>
        <w:tc>
          <w:tcPr>
            <w:tcW w:w="1206" w:type="dxa"/>
            <w:tcBorders>
              <w:top w:val="nil"/>
              <w:left w:val="nil"/>
              <w:bottom w:val="single" w:sz="4" w:space="0" w:color="auto"/>
              <w:right w:val="nil"/>
            </w:tcBorders>
            <w:shd w:val="clear" w:color="auto" w:fill="auto"/>
            <w:noWrap/>
            <w:vAlign w:val="center"/>
            <w:hideMark/>
          </w:tcPr>
          <w:p w14:paraId="7BF69D0F"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686</w:t>
            </w:r>
          </w:p>
        </w:tc>
        <w:tc>
          <w:tcPr>
            <w:tcW w:w="996" w:type="dxa"/>
            <w:tcBorders>
              <w:top w:val="nil"/>
              <w:left w:val="nil"/>
              <w:bottom w:val="single" w:sz="4" w:space="0" w:color="auto"/>
              <w:right w:val="nil"/>
            </w:tcBorders>
            <w:shd w:val="clear" w:color="auto" w:fill="auto"/>
            <w:noWrap/>
            <w:vAlign w:val="center"/>
            <w:hideMark/>
          </w:tcPr>
          <w:p w14:paraId="3EF43180" w14:textId="5260EF36"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+37 %</w:t>
            </w:r>
          </w:p>
        </w:tc>
        <w:tc>
          <w:tcPr>
            <w:tcW w:w="1130" w:type="dxa"/>
            <w:tcBorders>
              <w:top w:val="nil"/>
              <w:left w:val="single" w:sz="4" w:space="0" w:color="auto"/>
              <w:bottom w:val="single" w:sz="4" w:space="0" w:color="auto"/>
              <w:right w:val="nil"/>
            </w:tcBorders>
            <w:shd w:val="clear" w:color="auto" w:fill="auto"/>
            <w:noWrap/>
            <w:vAlign w:val="center"/>
            <w:hideMark/>
          </w:tcPr>
          <w:p w14:paraId="391BC874"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181</w:t>
            </w:r>
          </w:p>
        </w:tc>
        <w:tc>
          <w:tcPr>
            <w:tcW w:w="992" w:type="dxa"/>
            <w:tcBorders>
              <w:top w:val="nil"/>
              <w:left w:val="nil"/>
              <w:bottom w:val="single" w:sz="4" w:space="0" w:color="auto"/>
              <w:right w:val="single" w:sz="4" w:space="0" w:color="auto"/>
            </w:tcBorders>
            <w:shd w:val="clear" w:color="auto" w:fill="auto"/>
            <w:noWrap/>
            <w:vAlign w:val="center"/>
            <w:hideMark/>
          </w:tcPr>
          <w:p w14:paraId="79E5D285" w14:textId="6BC5D10B"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+3 %</w:t>
            </w:r>
          </w:p>
        </w:tc>
        <w:tc>
          <w:tcPr>
            <w:tcW w:w="1134" w:type="dxa"/>
            <w:gridSpan w:val="2"/>
            <w:tcBorders>
              <w:top w:val="nil"/>
              <w:left w:val="nil"/>
              <w:bottom w:val="single" w:sz="4" w:space="0" w:color="auto"/>
              <w:right w:val="nil"/>
            </w:tcBorders>
            <w:shd w:val="clear" w:color="auto" w:fill="auto"/>
            <w:noWrap/>
            <w:vAlign w:val="center"/>
            <w:hideMark/>
          </w:tcPr>
          <w:p w14:paraId="00CA23FE" w14:textId="4AC65D73"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2</w:t>
            </w:r>
            <w:r w:rsidR="004036FA">
              <w:rPr>
                <w:rFonts w:eastAsia="Times New Roman"/>
                <w:color w:val="000000"/>
                <w:szCs w:val="24"/>
                <w:lang w:eastAsia="cs-CZ"/>
              </w:rPr>
              <w:t xml:space="preserve"> </w:t>
            </w:r>
            <w:r w:rsidRPr="00FB2477">
              <w:rPr>
                <w:rFonts w:eastAsia="Times New Roman"/>
                <w:color w:val="000000"/>
                <w:szCs w:val="24"/>
                <w:lang w:eastAsia="cs-CZ"/>
              </w:rPr>
              <w:t>267</w:t>
            </w:r>
          </w:p>
        </w:tc>
        <w:tc>
          <w:tcPr>
            <w:tcW w:w="1070" w:type="dxa"/>
            <w:tcBorders>
              <w:top w:val="nil"/>
              <w:left w:val="nil"/>
              <w:bottom w:val="single" w:sz="4" w:space="0" w:color="auto"/>
              <w:right w:val="nil"/>
            </w:tcBorders>
            <w:shd w:val="clear" w:color="auto" w:fill="auto"/>
            <w:noWrap/>
            <w:vAlign w:val="center"/>
            <w:hideMark/>
          </w:tcPr>
          <w:p w14:paraId="65D37B7F" w14:textId="1EF17874"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+116 %</w:t>
            </w:r>
          </w:p>
        </w:tc>
      </w:tr>
      <w:tr w:rsidR="00FB2477" w:rsidRPr="00FB2477" w14:paraId="507A7A49" w14:textId="77777777" w:rsidTr="004036FA">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0E7FDBFF" w14:textId="77777777" w:rsidR="00FB2477" w:rsidRPr="00FB2477" w:rsidRDefault="00FB2477" w:rsidP="004036FA">
            <w:pPr>
              <w:spacing w:line="240" w:lineRule="auto"/>
              <w:jc w:val="left"/>
              <w:rPr>
                <w:rFonts w:eastAsia="Times New Roman"/>
                <w:color w:val="000000"/>
                <w:szCs w:val="24"/>
                <w:lang w:eastAsia="cs-CZ"/>
              </w:rPr>
            </w:pPr>
            <w:r w:rsidRPr="00FB2477">
              <w:rPr>
                <w:rFonts w:eastAsia="Times New Roman"/>
                <w:color w:val="000000"/>
                <w:szCs w:val="24"/>
                <w:lang w:eastAsia="cs-CZ"/>
              </w:rPr>
              <w:t>KS Brno</w:t>
            </w:r>
          </w:p>
        </w:tc>
        <w:tc>
          <w:tcPr>
            <w:tcW w:w="1206" w:type="dxa"/>
            <w:tcBorders>
              <w:top w:val="nil"/>
              <w:left w:val="nil"/>
              <w:bottom w:val="single" w:sz="4" w:space="0" w:color="auto"/>
              <w:right w:val="nil"/>
            </w:tcBorders>
            <w:shd w:val="clear" w:color="auto" w:fill="auto"/>
            <w:noWrap/>
            <w:vAlign w:val="center"/>
            <w:hideMark/>
          </w:tcPr>
          <w:p w14:paraId="5A278F97" w14:textId="7F74238A"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1</w:t>
            </w:r>
            <w:r w:rsidR="004036FA">
              <w:rPr>
                <w:rFonts w:eastAsia="Times New Roman"/>
                <w:color w:val="000000"/>
                <w:szCs w:val="24"/>
                <w:lang w:eastAsia="cs-CZ"/>
              </w:rPr>
              <w:t xml:space="preserve"> </w:t>
            </w:r>
            <w:r w:rsidRPr="00FB2477">
              <w:rPr>
                <w:rFonts w:eastAsia="Times New Roman"/>
                <w:color w:val="000000"/>
                <w:szCs w:val="24"/>
                <w:lang w:eastAsia="cs-CZ"/>
              </w:rPr>
              <w:t>206</w:t>
            </w:r>
          </w:p>
        </w:tc>
        <w:tc>
          <w:tcPr>
            <w:tcW w:w="996" w:type="dxa"/>
            <w:tcBorders>
              <w:top w:val="nil"/>
              <w:left w:val="nil"/>
              <w:bottom w:val="single" w:sz="4" w:space="0" w:color="auto"/>
              <w:right w:val="nil"/>
            </w:tcBorders>
            <w:shd w:val="clear" w:color="auto" w:fill="auto"/>
            <w:noWrap/>
            <w:vAlign w:val="center"/>
            <w:hideMark/>
          </w:tcPr>
          <w:p w14:paraId="3ABC7869" w14:textId="30A6AB85"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+35 %</w:t>
            </w:r>
          </w:p>
        </w:tc>
        <w:tc>
          <w:tcPr>
            <w:tcW w:w="1130" w:type="dxa"/>
            <w:tcBorders>
              <w:top w:val="nil"/>
              <w:left w:val="single" w:sz="4" w:space="0" w:color="auto"/>
              <w:bottom w:val="single" w:sz="4" w:space="0" w:color="auto"/>
              <w:right w:val="nil"/>
            </w:tcBorders>
            <w:shd w:val="clear" w:color="auto" w:fill="auto"/>
            <w:noWrap/>
            <w:vAlign w:val="center"/>
            <w:hideMark/>
          </w:tcPr>
          <w:p w14:paraId="6B6424D7"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456</w:t>
            </w:r>
          </w:p>
        </w:tc>
        <w:tc>
          <w:tcPr>
            <w:tcW w:w="992" w:type="dxa"/>
            <w:tcBorders>
              <w:top w:val="nil"/>
              <w:left w:val="nil"/>
              <w:bottom w:val="single" w:sz="4" w:space="0" w:color="auto"/>
              <w:right w:val="single" w:sz="4" w:space="0" w:color="auto"/>
            </w:tcBorders>
            <w:shd w:val="clear" w:color="auto" w:fill="auto"/>
            <w:noWrap/>
            <w:vAlign w:val="center"/>
            <w:hideMark/>
          </w:tcPr>
          <w:p w14:paraId="7BE63DFE" w14:textId="050EDBB2"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+27 %</w:t>
            </w:r>
          </w:p>
        </w:tc>
        <w:tc>
          <w:tcPr>
            <w:tcW w:w="1134" w:type="dxa"/>
            <w:gridSpan w:val="2"/>
            <w:tcBorders>
              <w:top w:val="nil"/>
              <w:left w:val="nil"/>
              <w:bottom w:val="single" w:sz="4" w:space="0" w:color="auto"/>
              <w:right w:val="nil"/>
            </w:tcBorders>
            <w:shd w:val="clear" w:color="auto" w:fill="auto"/>
            <w:noWrap/>
            <w:vAlign w:val="center"/>
            <w:hideMark/>
          </w:tcPr>
          <w:p w14:paraId="4AE53D12" w14:textId="36FBDE2B"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3</w:t>
            </w:r>
            <w:r w:rsidR="004036FA">
              <w:rPr>
                <w:rFonts w:eastAsia="Times New Roman"/>
                <w:color w:val="000000"/>
                <w:szCs w:val="24"/>
                <w:lang w:eastAsia="cs-CZ"/>
              </w:rPr>
              <w:t xml:space="preserve"> </w:t>
            </w:r>
            <w:r w:rsidRPr="00FB2477">
              <w:rPr>
                <w:rFonts w:eastAsia="Times New Roman"/>
                <w:color w:val="000000"/>
                <w:szCs w:val="24"/>
                <w:lang w:eastAsia="cs-CZ"/>
              </w:rPr>
              <w:t>330</w:t>
            </w:r>
          </w:p>
        </w:tc>
        <w:tc>
          <w:tcPr>
            <w:tcW w:w="1070" w:type="dxa"/>
            <w:tcBorders>
              <w:top w:val="nil"/>
              <w:left w:val="nil"/>
              <w:bottom w:val="single" w:sz="4" w:space="0" w:color="auto"/>
              <w:right w:val="nil"/>
            </w:tcBorders>
            <w:shd w:val="clear" w:color="auto" w:fill="auto"/>
            <w:noWrap/>
            <w:vAlign w:val="center"/>
            <w:hideMark/>
          </w:tcPr>
          <w:p w14:paraId="5764C8DC" w14:textId="260EEEFE"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+21 %</w:t>
            </w:r>
          </w:p>
        </w:tc>
      </w:tr>
      <w:tr w:rsidR="00FB2477" w:rsidRPr="00FB2477" w14:paraId="7E2328A4" w14:textId="77777777" w:rsidTr="004036FA">
        <w:trPr>
          <w:gridAfter w:val="1"/>
          <w:wAfter w:w="18" w:type="dxa"/>
          <w:trHeight w:val="330"/>
        </w:trPr>
        <w:tc>
          <w:tcPr>
            <w:tcW w:w="2480" w:type="dxa"/>
            <w:tcBorders>
              <w:top w:val="nil"/>
              <w:left w:val="nil"/>
              <w:bottom w:val="double" w:sz="6" w:space="0" w:color="auto"/>
              <w:right w:val="nil"/>
            </w:tcBorders>
            <w:shd w:val="clear" w:color="auto" w:fill="auto"/>
            <w:noWrap/>
            <w:vAlign w:val="center"/>
            <w:hideMark/>
          </w:tcPr>
          <w:p w14:paraId="05B21E9C" w14:textId="77777777" w:rsidR="00FB2477" w:rsidRPr="00FB2477" w:rsidRDefault="00FB2477" w:rsidP="004036FA">
            <w:pPr>
              <w:spacing w:line="240" w:lineRule="auto"/>
              <w:jc w:val="left"/>
              <w:rPr>
                <w:rFonts w:eastAsia="Times New Roman"/>
                <w:color w:val="000000"/>
                <w:szCs w:val="24"/>
                <w:lang w:eastAsia="cs-CZ"/>
              </w:rPr>
            </w:pPr>
            <w:r w:rsidRPr="00FB2477">
              <w:rPr>
                <w:rFonts w:eastAsia="Times New Roman"/>
                <w:color w:val="000000"/>
                <w:szCs w:val="24"/>
                <w:lang w:eastAsia="cs-CZ"/>
              </w:rPr>
              <w:t>KS Ostrava</w:t>
            </w:r>
          </w:p>
        </w:tc>
        <w:tc>
          <w:tcPr>
            <w:tcW w:w="1206" w:type="dxa"/>
            <w:tcBorders>
              <w:top w:val="nil"/>
              <w:left w:val="nil"/>
              <w:bottom w:val="double" w:sz="6" w:space="0" w:color="auto"/>
              <w:right w:val="nil"/>
            </w:tcBorders>
            <w:shd w:val="clear" w:color="auto" w:fill="auto"/>
            <w:noWrap/>
            <w:vAlign w:val="center"/>
            <w:hideMark/>
          </w:tcPr>
          <w:p w14:paraId="1D4D0337"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881</w:t>
            </w:r>
          </w:p>
        </w:tc>
        <w:tc>
          <w:tcPr>
            <w:tcW w:w="996" w:type="dxa"/>
            <w:tcBorders>
              <w:top w:val="nil"/>
              <w:left w:val="nil"/>
              <w:bottom w:val="double" w:sz="6" w:space="0" w:color="auto"/>
              <w:right w:val="nil"/>
            </w:tcBorders>
            <w:shd w:val="clear" w:color="auto" w:fill="auto"/>
            <w:noWrap/>
            <w:vAlign w:val="center"/>
            <w:hideMark/>
          </w:tcPr>
          <w:p w14:paraId="2E8125D4" w14:textId="25F34A03"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-58 %</w:t>
            </w:r>
          </w:p>
        </w:tc>
        <w:tc>
          <w:tcPr>
            <w:tcW w:w="1130" w:type="dxa"/>
            <w:tcBorders>
              <w:top w:val="nil"/>
              <w:left w:val="single" w:sz="4" w:space="0" w:color="auto"/>
              <w:bottom w:val="double" w:sz="6" w:space="0" w:color="auto"/>
              <w:right w:val="nil"/>
            </w:tcBorders>
            <w:shd w:val="clear" w:color="auto" w:fill="auto"/>
            <w:noWrap/>
            <w:vAlign w:val="center"/>
            <w:hideMark/>
          </w:tcPr>
          <w:p w14:paraId="2B950F7B" w14:textId="77777777"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181</w:t>
            </w:r>
          </w:p>
        </w:tc>
        <w:tc>
          <w:tcPr>
            <w:tcW w:w="992" w:type="dxa"/>
            <w:tcBorders>
              <w:top w:val="nil"/>
              <w:left w:val="nil"/>
              <w:bottom w:val="double" w:sz="6" w:space="0" w:color="auto"/>
              <w:right w:val="single" w:sz="4" w:space="0" w:color="auto"/>
            </w:tcBorders>
            <w:shd w:val="clear" w:color="auto" w:fill="auto"/>
            <w:noWrap/>
            <w:vAlign w:val="center"/>
            <w:hideMark/>
          </w:tcPr>
          <w:p w14:paraId="107FB6E1" w14:textId="016B105D"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-51 %</w:t>
            </w:r>
          </w:p>
        </w:tc>
        <w:tc>
          <w:tcPr>
            <w:tcW w:w="1134" w:type="dxa"/>
            <w:gridSpan w:val="2"/>
            <w:tcBorders>
              <w:top w:val="nil"/>
              <w:left w:val="nil"/>
              <w:bottom w:val="double" w:sz="6" w:space="0" w:color="auto"/>
              <w:right w:val="nil"/>
            </w:tcBorders>
            <w:shd w:val="clear" w:color="auto" w:fill="auto"/>
            <w:noWrap/>
            <w:vAlign w:val="center"/>
            <w:hideMark/>
          </w:tcPr>
          <w:p w14:paraId="0E979D60" w14:textId="7786E5D8" w:rsidR="00FB2477" w:rsidRPr="00FB2477" w:rsidRDefault="00FB2477" w:rsidP="004036FA">
            <w:pPr>
              <w:spacing w:line="240" w:lineRule="auto"/>
              <w:jc w:val="center"/>
              <w:rPr>
                <w:rFonts w:eastAsia="Times New Roman"/>
                <w:color w:val="000000"/>
                <w:szCs w:val="24"/>
                <w:lang w:eastAsia="cs-CZ"/>
              </w:rPr>
            </w:pPr>
            <w:r w:rsidRPr="00FB2477">
              <w:rPr>
                <w:rFonts w:eastAsia="Times New Roman"/>
                <w:color w:val="000000"/>
                <w:szCs w:val="24"/>
                <w:lang w:eastAsia="cs-CZ"/>
              </w:rPr>
              <w:t>2</w:t>
            </w:r>
            <w:r w:rsidR="004036FA">
              <w:rPr>
                <w:rFonts w:eastAsia="Times New Roman"/>
                <w:color w:val="000000"/>
                <w:szCs w:val="24"/>
                <w:lang w:eastAsia="cs-CZ"/>
              </w:rPr>
              <w:t xml:space="preserve"> </w:t>
            </w:r>
            <w:r w:rsidRPr="00FB2477">
              <w:rPr>
                <w:rFonts w:eastAsia="Times New Roman"/>
                <w:color w:val="000000"/>
                <w:szCs w:val="24"/>
                <w:lang w:eastAsia="cs-CZ"/>
              </w:rPr>
              <w:t>360</w:t>
            </w:r>
          </w:p>
        </w:tc>
        <w:tc>
          <w:tcPr>
            <w:tcW w:w="1070" w:type="dxa"/>
            <w:tcBorders>
              <w:top w:val="nil"/>
              <w:left w:val="nil"/>
              <w:bottom w:val="double" w:sz="6" w:space="0" w:color="auto"/>
              <w:right w:val="nil"/>
            </w:tcBorders>
            <w:shd w:val="clear" w:color="auto" w:fill="auto"/>
            <w:noWrap/>
            <w:vAlign w:val="center"/>
            <w:hideMark/>
          </w:tcPr>
          <w:p w14:paraId="697D11DD" w14:textId="035F66E7" w:rsidR="00FB2477" w:rsidRPr="00FB2477" w:rsidRDefault="00FB2477" w:rsidP="004036FA">
            <w:pPr>
              <w:spacing w:line="240" w:lineRule="auto"/>
              <w:jc w:val="center"/>
              <w:rPr>
                <w:rFonts w:eastAsia="Times New Roman"/>
                <w:color w:val="000000"/>
                <w:sz w:val="20"/>
                <w:szCs w:val="20"/>
                <w:lang w:eastAsia="cs-CZ"/>
              </w:rPr>
            </w:pPr>
            <w:r w:rsidRPr="00FB2477">
              <w:rPr>
                <w:rFonts w:eastAsia="Times New Roman"/>
                <w:color w:val="000000"/>
                <w:sz w:val="20"/>
                <w:szCs w:val="20"/>
                <w:lang w:eastAsia="cs-CZ"/>
              </w:rPr>
              <w:t>-69 %</w:t>
            </w:r>
          </w:p>
        </w:tc>
      </w:tr>
      <w:tr w:rsidR="00FB2477" w:rsidRPr="00FB2477" w14:paraId="29075E7B" w14:textId="77777777" w:rsidTr="004036FA">
        <w:trPr>
          <w:gridAfter w:val="1"/>
          <w:wAfter w:w="18" w:type="dxa"/>
          <w:trHeight w:val="345"/>
        </w:trPr>
        <w:tc>
          <w:tcPr>
            <w:tcW w:w="2480" w:type="dxa"/>
            <w:tcBorders>
              <w:top w:val="nil"/>
              <w:left w:val="nil"/>
              <w:bottom w:val="double" w:sz="6" w:space="0" w:color="auto"/>
              <w:right w:val="nil"/>
            </w:tcBorders>
            <w:shd w:val="clear" w:color="auto" w:fill="auto"/>
            <w:noWrap/>
            <w:vAlign w:val="center"/>
            <w:hideMark/>
          </w:tcPr>
          <w:p w14:paraId="25DB2838" w14:textId="77777777" w:rsidR="00FB2477" w:rsidRPr="00FB2477" w:rsidRDefault="00FB2477" w:rsidP="004036FA">
            <w:pPr>
              <w:spacing w:line="240" w:lineRule="auto"/>
              <w:jc w:val="left"/>
              <w:rPr>
                <w:rFonts w:eastAsia="Times New Roman"/>
                <w:b/>
                <w:bCs/>
                <w:color w:val="000000"/>
                <w:szCs w:val="24"/>
                <w:lang w:eastAsia="cs-CZ"/>
              </w:rPr>
            </w:pPr>
            <w:r w:rsidRPr="00FB2477">
              <w:rPr>
                <w:rFonts w:eastAsia="Times New Roman"/>
                <w:b/>
                <w:bCs/>
                <w:color w:val="000000"/>
                <w:szCs w:val="24"/>
                <w:lang w:eastAsia="cs-CZ"/>
              </w:rPr>
              <w:t>Celkem ČR</w:t>
            </w:r>
          </w:p>
        </w:tc>
        <w:tc>
          <w:tcPr>
            <w:tcW w:w="1206" w:type="dxa"/>
            <w:tcBorders>
              <w:top w:val="nil"/>
              <w:left w:val="nil"/>
              <w:bottom w:val="double" w:sz="6" w:space="0" w:color="auto"/>
              <w:right w:val="nil"/>
            </w:tcBorders>
            <w:shd w:val="clear" w:color="auto" w:fill="auto"/>
            <w:noWrap/>
            <w:vAlign w:val="center"/>
            <w:hideMark/>
          </w:tcPr>
          <w:p w14:paraId="63A2C3EF" w14:textId="77777777" w:rsidR="00FB2477" w:rsidRPr="00FB2477" w:rsidRDefault="00FB2477" w:rsidP="004036FA">
            <w:pPr>
              <w:spacing w:line="240" w:lineRule="auto"/>
              <w:jc w:val="center"/>
              <w:rPr>
                <w:rFonts w:eastAsia="Times New Roman"/>
                <w:b/>
                <w:bCs/>
                <w:color w:val="000000"/>
                <w:szCs w:val="24"/>
                <w:lang w:eastAsia="cs-CZ"/>
              </w:rPr>
            </w:pPr>
            <w:r w:rsidRPr="00FB2477">
              <w:rPr>
                <w:rFonts w:eastAsia="Times New Roman"/>
                <w:b/>
                <w:bCs/>
                <w:color w:val="000000"/>
                <w:szCs w:val="24"/>
                <w:lang w:eastAsia="cs-CZ"/>
              </w:rPr>
              <w:t>978</w:t>
            </w:r>
          </w:p>
        </w:tc>
        <w:tc>
          <w:tcPr>
            <w:tcW w:w="996" w:type="dxa"/>
            <w:tcBorders>
              <w:top w:val="nil"/>
              <w:left w:val="nil"/>
              <w:bottom w:val="double" w:sz="6" w:space="0" w:color="auto"/>
              <w:right w:val="nil"/>
            </w:tcBorders>
            <w:shd w:val="clear" w:color="auto" w:fill="auto"/>
            <w:noWrap/>
            <w:vAlign w:val="center"/>
            <w:hideMark/>
          </w:tcPr>
          <w:p w14:paraId="76438E9F" w14:textId="7DFB5859" w:rsidR="00FB2477" w:rsidRPr="00FB2477" w:rsidRDefault="00FB2477" w:rsidP="004036FA">
            <w:pPr>
              <w:spacing w:line="240" w:lineRule="auto"/>
              <w:jc w:val="center"/>
              <w:rPr>
                <w:rFonts w:eastAsia="Times New Roman"/>
                <w:b/>
                <w:bCs/>
                <w:color w:val="000000"/>
                <w:sz w:val="20"/>
                <w:szCs w:val="20"/>
                <w:lang w:eastAsia="cs-CZ"/>
              </w:rPr>
            </w:pPr>
            <w:r w:rsidRPr="00FB2477">
              <w:rPr>
                <w:rFonts w:eastAsia="Times New Roman"/>
                <w:b/>
                <w:bCs/>
                <w:color w:val="000000"/>
                <w:sz w:val="20"/>
                <w:szCs w:val="20"/>
                <w:lang w:eastAsia="cs-CZ"/>
              </w:rPr>
              <w:t>-25 %</w:t>
            </w:r>
          </w:p>
        </w:tc>
        <w:tc>
          <w:tcPr>
            <w:tcW w:w="1130" w:type="dxa"/>
            <w:tcBorders>
              <w:top w:val="nil"/>
              <w:left w:val="single" w:sz="4" w:space="0" w:color="auto"/>
              <w:bottom w:val="double" w:sz="6" w:space="0" w:color="auto"/>
              <w:right w:val="nil"/>
            </w:tcBorders>
            <w:shd w:val="clear" w:color="auto" w:fill="auto"/>
            <w:noWrap/>
            <w:vAlign w:val="center"/>
            <w:hideMark/>
          </w:tcPr>
          <w:p w14:paraId="18C3720F" w14:textId="77777777" w:rsidR="00FB2477" w:rsidRPr="00FB2477" w:rsidRDefault="00FB2477" w:rsidP="004036FA">
            <w:pPr>
              <w:spacing w:line="240" w:lineRule="auto"/>
              <w:jc w:val="center"/>
              <w:rPr>
                <w:rFonts w:eastAsia="Times New Roman"/>
                <w:b/>
                <w:bCs/>
                <w:color w:val="000000"/>
                <w:szCs w:val="24"/>
                <w:lang w:eastAsia="cs-CZ"/>
              </w:rPr>
            </w:pPr>
            <w:r w:rsidRPr="00FB2477">
              <w:rPr>
                <w:rFonts w:eastAsia="Times New Roman"/>
                <w:b/>
                <w:bCs/>
                <w:color w:val="000000"/>
                <w:szCs w:val="24"/>
                <w:lang w:eastAsia="cs-CZ"/>
              </w:rPr>
              <w:t>307</w:t>
            </w:r>
          </w:p>
        </w:tc>
        <w:tc>
          <w:tcPr>
            <w:tcW w:w="992" w:type="dxa"/>
            <w:tcBorders>
              <w:top w:val="nil"/>
              <w:left w:val="nil"/>
              <w:bottom w:val="double" w:sz="6" w:space="0" w:color="auto"/>
              <w:right w:val="single" w:sz="4" w:space="0" w:color="auto"/>
            </w:tcBorders>
            <w:shd w:val="clear" w:color="auto" w:fill="auto"/>
            <w:noWrap/>
            <w:vAlign w:val="center"/>
            <w:hideMark/>
          </w:tcPr>
          <w:p w14:paraId="1CFB6C83" w14:textId="2E794F05" w:rsidR="00FB2477" w:rsidRPr="00FB2477" w:rsidRDefault="00FB2477" w:rsidP="004036FA">
            <w:pPr>
              <w:spacing w:line="240" w:lineRule="auto"/>
              <w:jc w:val="center"/>
              <w:rPr>
                <w:rFonts w:eastAsia="Times New Roman"/>
                <w:b/>
                <w:bCs/>
                <w:color w:val="000000"/>
                <w:sz w:val="20"/>
                <w:szCs w:val="20"/>
                <w:lang w:eastAsia="cs-CZ"/>
              </w:rPr>
            </w:pPr>
            <w:r w:rsidRPr="00FB2477">
              <w:rPr>
                <w:rFonts w:eastAsia="Times New Roman"/>
                <w:b/>
                <w:bCs/>
                <w:color w:val="000000"/>
                <w:sz w:val="20"/>
                <w:szCs w:val="20"/>
                <w:lang w:eastAsia="cs-CZ"/>
              </w:rPr>
              <w:t>-10 %</w:t>
            </w:r>
          </w:p>
        </w:tc>
        <w:tc>
          <w:tcPr>
            <w:tcW w:w="1134" w:type="dxa"/>
            <w:gridSpan w:val="2"/>
            <w:tcBorders>
              <w:top w:val="nil"/>
              <w:left w:val="nil"/>
              <w:bottom w:val="double" w:sz="6" w:space="0" w:color="auto"/>
              <w:right w:val="nil"/>
            </w:tcBorders>
            <w:shd w:val="clear" w:color="auto" w:fill="auto"/>
            <w:noWrap/>
            <w:vAlign w:val="center"/>
            <w:hideMark/>
          </w:tcPr>
          <w:p w14:paraId="747EA6DE" w14:textId="0D2C8197" w:rsidR="00FB2477" w:rsidRPr="00FB2477" w:rsidRDefault="00FB2477" w:rsidP="004036FA">
            <w:pPr>
              <w:spacing w:line="240" w:lineRule="auto"/>
              <w:jc w:val="center"/>
              <w:rPr>
                <w:rFonts w:eastAsia="Times New Roman"/>
                <w:b/>
                <w:bCs/>
                <w:color w:val="000000"/>
                <w:szCs w:val="24"/>
                <w:lang w:eastAsia="cs-CZ"/>
              </w:rPr>
            </w:pPr>
            <w:r w:rsidRPr="00FB2477">
              <w:rPr>
                <w:rFonts w:eastAsia="Times New Roman"/>
                <w:b/>
                <w:bCs/>
                <w:color w:val="000000"/>
                <w:szCs w:val="24"/>
                <w:lang w:eastAsia="cs-CZ"/>
              </w:rPr>
              <w:t>2</w:t>
            </w:r>
            <w:r w:rsidR="004036FA">
              <w:rPr>
                <w:rFonts w:eastAsia="Times New Roman"/>
                <w:b/>
                <w:bCs/>
                <w:color w:val="000000"/>
                <w:szCs w:val="24"/>
                <w:lang w:eastAsia="cs-CZ"/>
              </w:rPr>
              <w:t xml:space="preserve"> </w:t>
            </w:r>
            <w:r w:rsidRPr="00FB2477">
              <w:rPr>
                <w:rFonts w:eastAsia="Times New Roman"/>
                <w:b/>
                <w:bCs/>
                <w:color w:val="000000"/>
                <w:szCs w:val="24"/>
                <w:lang w:eastAsia="cs-CZ"/>
              </w:rPr>
              <w:t>911</w:t>
            </w:r>
          </w:p>
        </w:tc>
        <w:tc>
          <w:tcPr>
            <w:tcW w:w="1070" w:type="dxa"/>
            <w:tcBorders>
              <w:top w:val="nil"/>
              <w:left w:val="nil"/>
              <w:bottom w:val="double" w:sz="6" w:space="0" w:color="auto"/>
              <w:right w:val="nil"/>
            </w:tcBorders>
            <w:shd w:val="clear" w:color="auto" w:fill="auto"/>
            <w:noWrap/>
            <w:vAlign w:val="center"/>
            <w:hideMark/>
          </w:tcPr>
          <w:p w14:paraId="39D48537" w14:textId="7ED930A1" w:rsidR="00FB2477" w:rsidRPr="00FB2477" w:rsidRDefault="00FB2477" w:rsidP="004036FA">
            <w:pPr>
              <w:spacing w:line="240" w:lineRule="auto"/>
              <w:jc w:val="center"/>
              <w:rPr>
                <w:rFonts w:eastAsia="Times New Roman"/>
                <w:b/>
                <w:bCs/>
                <w:color w:val="000000"/>
                <w:sz w:val="20"/>
                <w:szCs w:val="20"/>
                <w:lang w:eastAsia="cs-CZ"/>
              </w:rPr>
            </w:pPr>
            <w:r w:rsidRPr="00FB2477">
              <w:rPr>
                <w:rFonts w:eastAsia="Times New Roman"/>
                <w:b/>
                <w:bCs/>
                <w:color w:val="000000"/>
                <w:sz w:val="20"/>
                <w:szCs w:val="20"/>
                <w:lang w:eastAsia="cs-CZ"/>
              </w:rPr>
              <w:t>-6 %</w:t>
            </w:r>
          </w:p>
        </w:tc>
      </w:tr>
      <w:tr w:rsidR="00FB2477" w:rsidRPr="00FB2477" w14:paraId="39130065" w14:textId="77777777" w:rsidTr="004036FA">
        <w:trPr>
          <w:gridAfter w:val="1"/>
          <w:wAfter w:w="18" w:type="dxa"/>
          <w:trHeight w:val="330"/>
        </w:trPr>
        <w:tc>
          <w:tcPr>
            <w:tcW w:w="2480" w:type="dxa"/>
            <w:tcBorders>
              <w:top w:val="nil"/>
              <w:left w:val="nil"/>
              <w:bottom w:val="nil"/>
              <w:right w:val="nil"/>
            </w:tcBorders>
            <w:shd w:val="clear" w:color="auto" w:fill="auto"/>
            <w:noWrap/>
            <w:vAlign w:val="center"/>
            <w:hideMark/>
          </w:tcPr>
          <w:p w14:paraId="1AC063CF" w14:textId="77777777" w:rsidR="00FB2477" w:rsidRPr="00FB2477" w:rsidRDefault="00FB2477" w:rsidP="004036FA">
            <w:pPr>
              <w:spacing w:line="240" w:lineRule="auto"/>
              <w:jc w:val="center"/>
              <w:rPr>
                <w:rFonts w:eastAsia="Times New Roman"/>
                <w:b/>
                <w:bCs/>
                <w:color w:val="000000"/>
                <w:sz w:val="20"/>
                <w:szCs w:val="20"/>
                <w:lang w:eastAsia="cs-CZ"/>
              </w:rPr>
            </w:pPr>
          </w:p>
        </w:tc>
        <w:tc>
          <w:tcPr>
            <w:tcW w:w="1206" w:type="dxa"/>
            <w:tcBorders>
              <w:top w:val="nil"/>
              <w:left w:val="nil"/>
              <w:bottom w:val="nil"/>
              <w:right w:val="nil"/>
            </w:tcBorders>
            <w:shd w:val="clear" w:color="auto" w:fill="auto"/>
            <w:noWrap/>
            <w:vAlign w:val="center"/>
            <w:hideMark/>
          </w:tcPr>
          <w:p w14:paraId="61C1CED8" w14:textId="77777777" w:rsidR="00FB2477" w:rsidRPr="00FB2477" w:rsidRDefault="00FB2477" w:rsidP="004036FA">
            <w:pPr>
              <w:spacing w:line="240" w:lineRule="auto"/>
              <w:jc w:val="center"/>
              <w:rPr>
                <w:rFonts w:ascii="Times New Roman" w:eastAsia="Times New Roman" w:hAnsi="Times New Roman"/>
                <w:sz w:val="20"/>
                <w:szCs w:val="20"/>
                <w:lang w:eastAsia="cs-CZ"/>
              </w:rPr>
            </w:pPr>
          </w:p>
        </w:tc>
        <w:tc>
          <w:tcPr>
            <w:tcW w:w="996" w:type="dxa"/>
            <w:tcBorders>
              <w:top w:val="nil"/>
              <w:left w:val="nil"/>
              <w:bottom w:val="nil"/>
              <w:right w:val="nil"/>
            </w:tcBorders>
            <w:shd w:val="clear" w:color="auto" w:fill="auto"/>
            <w:noWrap/>
            <w:vAlign w:val="center"/>
            <w:hideMark/>
          </w:tcPr>
          <w:p w14:paraId="63291BB8" w14:textId="77777777" w:rsidR="00FB2477" w:rsidRPr="00FB2477" w:rsidRDefault="00FB2477" w:rsidP="004036FA">
            <w:pPr>
              <w:spacing w:line="240" w:lineRule="auto"/>
              <w:jc w:val="center"/>
              <w:rPr>
                <w:rFonts w:ascii="Times New Roman" w:eastAsia="Times New Roman" w:hAnsi="Times New Roman"/>
                <w:sz w:val="20"/>
                <w:szCs w:val="20"/>
                <w:lang w:eastAsia="cs-CZ"/>
              </w:rPr>
            </w:pPr>
          </w:p>
        </w:tc>
        <w:tc>
          <w:tcPr>
            <w:tcW w:w="1130" w:type="dxa"/>
            <w:tcBorders>
              <w:top w:val="nil"/>
              <w:left w:val="nil"/>
              <w:bottom w:val="nil"/>
              <w:right w:val="nil"/>
            </w:tcBorders>
            <w:shd w:val="clear" w:color="auto" w:fill="auto"/>
            <w:noWrap/>
            <w:vAlign w:val="center"/>
            <w:hideMark/>
          </w:tcPr>
          <w:p w14:paraId="3B194739" w14:textId="77777777" w:rsidR="00FB2477" w:rsidRPr="00FB2477" w:rsidRDefault="00FB2477" w:rsidP="004036FA">
            <w:pPr>
              <w:spacing w:line="240" w:lineRule="auto"/>
              <w:jc w:val="center"/>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center"/>
            <w:hideMark/>
          </w:tcPr>
          <w:p w14:paraId="53CE2654" w14:textId="77777777" w:rsidR="00FB2477" w:rsidRPr="00FB2477" w:rsidRDefault="00FB2477" w:rsidP="004036FA">
            <w:pPr>
              <w:spacing w:line="240" w:lineRule="auto"/>
              <w:jc w:val="center"/>
              <w:rPr>
                <w:rFonts w:ascii="Times New Roman" w:eastAsia="Times New Roman" w:hAnsi="Times New Roman"/>
                <w:sz w:val="20"/>
                <w:szCs w:val="20"/>
                <w:lang w:eastAsia="cs-CZ"/>
              </w:rPr>
            </w:pPr>
          </w:p>
        </w:tc>
        <w:tc>
          <w:tcPr>
            <w:tcW w:w="1134" w:type="dxa"/>
            <w:gridSpan w:val="2"/>
            <w:tcBorders>
              <w:top w:val="nil"/>
              <w:left w:val="nil"/>
              <w:bottom w:val="nil"/>
              <w:right w:val="nil"/>
            </w:tcBorders>
            <w:shd w:val="clear" w:color="auto" w:fill="auto"/>
            <w:noWrap/>
            <w:vAlign w:val="center"/>
            <w:hideMark/>
          </w:tcPr>
          <w:p w14:paraId="26A14F71" w14:textId="77777777" w:rsidR="00FB2477" w:rsidRPr="00FB2477" w:rsidRDefault="00FB2477" w:rsidP="004036FA">
            <w:pPr>
              <w:spacing w:line="240" w:lineRule="auto"/>
              <w:jc w:val="center"/>
              <w:rPr>
                <w:rFonts w:ascii="Times New Roman" w:eastAsia="Times New Roman" w:hAnsi="Times New Roman"/>
                <w:sz w:val="20"/>
                <w:szCs w:val="20"/>
                <w:lang w:eastAsia="cs-CZ"/>
              </w:rPr>
            </w:pPr>
          </w:p>
        </w:tc>
        <w:tc>
          <w:tcPr>
            <w:tcW w:w="1070" w:type="dxa"/>
            <w:tcBorders>
              <w:top w:val="nil"/>
              <w:left w:val="nil"/>
              <w:bottom w:val="nil"/>
              <w:right w:val="nil"/>
            </w:tcBorders>
            <w:shd w:val="clear" w:color="auto" w:fill="auto"/>
            <w:noWrap/>
            <w:vAlign w:val="center"/>
            <w:hideMark/>
          </w:tcPr>
          <w:p w14:paraId="15715D3F" w14:textId="77777777" w:rsidR="00FB2477" w:rsidRPr="00FB2477" w:rsidRDefault="00FB2477" w:rsidP="004036FA">
            <w:pPr>
              <w:spacing w:line="240" w:lineRule="auto"/>
              <w:jc w:val="center"/>
              <w:rPr>
                <w:rFonts w:ascii="Times New Roman" w:eastAsia="Times New Roman" w:hAnsi="Times New Roman"/>
                <w:sz w:val="20"/>
                <w:szCs w:val="20"/>
                <w:lang w:eastAsia="cs-CZ"/>
              </w:rPr>
            </w:pPr>
          </w:p>
        </w:tc>
      </w:tr>
    </w:tbl>
    <w:p w14:paraId="3C1E0ED0" w14:textId="008331C0" w:rsidR="00B63D48" w:rsidRPr="00F15667" w:rsidRDefault="00B63D48" w:rsidP="00B63D48">
      <w:pPr>
        <w:pStyle w:val="Podnadpis"/>
        <w:rPr>
          <w:color w:val="auto"/>
        </w:rPr>
      </w:pPr>
      <w:bookmarkStart w:id="622" w:name="_Toc106106691"/>
      <w:bookmarkStart w:id="623" w:name="_Toc109802015"/>
      <w:bookmarkStart w:id="624" w:name="_Toc144104165"/>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53</w:t>
      </w:r>
      <w:r w:rsidR="009A10E2" w:rsidRPr="00F15667">
        <w:rPr>
          <w:color w:val="auto"/>
        </w:rPr>
        <w:fldChar w:fldCharType="end"/>
      </w:r>
      <w:r w:rsidRPr="00F15667">
        <w:rPr>
          <w:color w:val="auto"/>
        </w:rPr>
        <w:t>: KS – distribuce délek prvostupňového civilního řízení</w:t>
      </w:r>
      <w:bookmarkEnd w:id="622"/>
      <w:bookmarkEnd w:id="623"/>
      <w:bookmarkEnd w:id="624"/>
    </w:p>
    <w:p w14:paraId="3317488A" w14:textId="79949B22" w:rsidR="00D31483" w:rsidRPr="00F15667" w:rsidRDefault="00B63D48" w:rsidP="005A30E8">
      <w:pPr>
        <w:pStyle w:val="OdstavecASR"/>
      </w:pPr>
      <w:r w:rsidRPr="00F15667">
        <w:rPr>
          <w:noProof/>
          <w:lang w:eastAsia="cs-CZ"/>
        </w:rPr>
        <w:drawing>
          <wp:inline distT="0" distB="0" distL="0" distR="0" wp14:anchorId="69EE3ACF" wp14:editId="129502AE">
            <wp:extent cx="5029200" cy="3657600"/>
            <wp:effectExtent l="0" t="0" r="0"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FB39A08" w14:textId="77777777" w:rsidR="00B63D48" w:rsidRPr="00F15667" w:rsidRDefault="00B63D48" w:rsidP="00B63D48">
      <w:pPr>
        <w:pStyle w:val="OdstavecASR"/>
      </w:pPr>
      <w:r w:rsidRPr="00F15667">
        <w:t>Situace je nicméně lepší, než by se z výše uvedeného mohlo zdát, a to z následujících důvodů:</w:t>
      </w:r>
    </w:p>
    <w:p w14:paraId="38290C62" w14:textId="412ABF3E" w:rsidR="00B63D48" w:rsidRPr="00F15667" w:rsidRDefault="00B63D48" w:rsidP="00B63D48">
      <w:pPr>
        <w:pStyle w:val="OdstavecASR"/>
        <w:numPr>
          <w:ilvl w:val="0"/>
          <w:numId w:val="15"/>
        </w:numPr>
      </w:pPr>
      <w:r w:rsidRPr="00F15667">
        <w:t>Jak je vidět v další podkapitole, počet nevyřízených věcí trvale klesá. Od roku 2011 klesl počet nevyřízených věcí téměř na třetinu (44 618 na 13 210, tedy</w:t>
      </w:r>
      <w:r w:rsidR="00F2389E" w:rsidRPr="00F15667">
        <w:t xml:space="preserve"> asi</w:t>
      </w:r>
      <w:r w:rsidRPr="00F15667">
        <w:t xml:space="preserve"> o 70 %). V tom samozřejmě hraje velkou roli i převod vybrané agendy na OS. </w:t>
      </w:r>
    </w:p>
    <w:p w14:paraId="19CCDF86" w14:textId="77777777" w:rsidR="00B63D48" w:rsidRPr="00F15667" w:rsidRDefault="00B63D48" w:rsidP="00B63D48">
      <w:pPr>
        <w:pStyle w:val="OdstavecASR"/>
        <w:numPr>
          <w:ilvl w:val="0"/>
          <w:numId w:val="15"/>
        </w:numPr>
      </w:pPr>
      <w:r w:rsidRPr="00F15667">
        <w:t>Počty déle nevyřízených věcí (přes 3 roky, přes 5 let či přes 7 let) v posledních letech klesají. To také samozřejmě může ovlivnit vykázanou délku řízení.</w:t>
      </w:r>
    </w:p>
    <w:p w14:paraId="63A7DBF0" w14:textId="77777777" w:rsidR="00B63D48" w:rsidRPr="00F15667" w:rsidRDefault="00B63D48" w:rsidP="00B63D48">
      <w:pPr>
        <w:pStyle w:val="OdstavecASR"/>
        <w:numPr>
          <w:ilvl w:val="0"/>
          <w:numId w:val="15"/>
        </w:numPr>
      </w:pPr>
      <w:r w:rsidRPr="00F15667">
        <w:t xml:space="preserve">Především je však velká část věcí přerušena z důvodu rozhodnutí o úpadku či konkursu s tím, že do vykazované délky řízení se tato doba promítne. Data ze statistických listů </w:t>
      </w:r>
      <w:r w:rsidRPr="00F15667">
        <w:lastRenderedPageBreak/>
        <w:t>bohužel neumožňují očištění o tuto dobu nebo o řízení, která byla takto přerušena, přestože by takovéto očištění bylo korektní. Můžeme alespoň odhadnout, jak velký vliv tato kategorie věcí má. Například data z výkazů ukazují, že k 31. 12. 2016 bylo v rejstříku Cm nevyřízeno déle než 5 let 5 214 věcí. Z toho bylo z důvodu rozhodnutí o úpadku/prohlášení konkursu přerušeno 3 614 věcí, tedy asi 69 %. Tyto věci se samozřejmě nakonec objeví ve statistických listech a výrazně ovlivní délku řízení. Velká část z nich ale nevypovídá o fungování soudu.</w:t>
      </w:r>
    </w:p>
    <w:p w14:paraId="39AD723C" w14:textId="428AB6D6" w:rsidR="00B63D48" w:rsidRPr="00F15667" w:rsidRDefault="00B63D48" w:rsidP="00B63D48">
      <w:pPr>
        <w:pStyle w:val="OdstavecASR"/>
        <w:numPr>
          <w:ilvl w:val="0"/>
          <w:numId w:val="15"/>
        </w:numPr>
      </w:pPr>
      <w:r w:rsidRPr="00F15667">
        <w:t>Z výše uvedeného důvodu doporučujeme sledovat u této agendy v zásadě jen medián (který činí dlouhodobě asi rok, v letošním roce ovšem úspěšně klesnul). Průměr a percentil 90 jsou příliš ovlivněny malým počtem věcí, které vykazují obrovskou délku řízení právě kvůli přerušení z důvodu rozhodnutí o úpadku či konkursu. Průměr a percentil 90 jsou tak uvedeny spíše kvůli zachování stejného formátu v rámci této zprávy.</w:t>
      </w:r>
    </w:p>
    <w:p w14:paraId="45999154" w14:textId="6E2164DE" w:rsidR="008430BD" w:rsidRPr="00F15667" w:rsidRDefault="008430BD" w:rsidP="008430BD">
      <w:pPr>
        <w:pStyle w:val="Nadpis3"/>
        <w:numPr>
          <w:ilvl w:val="2"/>
          <w:numId w:val="1"/>
        </w:numPr>
        <w:rPr>
          <w:color w:val="auto"/>
        </w:rPr>
      </w:pPr>
      <w:bookmarkStart w:id="625" w:name="_Toc515871250"/>
      <w:bookmarkStart w:id="626" w:name="_Toc106092754"/>
      <w:bookmarkStart w:id="627" w:name="_Toc144104367"/>
      <w:r w:rsidRPr="00F15667">
        <w:rPr>
          <w:color w:val="auto"/>
        </w:rPr>
        <w:t>Vyřizování věcí</w:t>
      </w:r>
      <w:bookmarkEnd w:id="625"/>
      <w:bookmarkEnd w:id="626"/>
      <w:bookmarkEnd w:id="627"/>
    </w:p>
    <w:p w14:paraId="1129D02E" w14:textId="58450615" w:rsidR="00F2389E" w:rsidRPr="00F15667" w:rsidRDefault="00F2389E" w:rsidP="00F2389E">
      <w:pPr>
        <w:pStyle w:val="OdstavecASR"/>
      </w:pPr>
      <w:r w:rsidRPr="00F15667">
        <w:t>Do časových řad se opět promítá zavedení elektronického platebního rozkazu, ale i změny ve vedení statistik a převod části agendy z krajských soudů na okresní. I přes tyto vlivy však můžeme bezpečně dojít k závěru, že počet napadlých civilních a obchodních věcí má v posledních letech zjevnou klesající tendenci, která se zastavila až v roce 2017, kdy se počet příchozích věcí oproti roku 2016 zvýšil. V letech 2018 až 2020 opět došlo k poklesu, přičemž v roce 2021 se počet příchozích věcí opět nepatrně zvýšil a v roce 2022 opět nepatrně klesl.</w:t>
      </w:r>
    </w:p>
    <w:p w14:paraId="0C242378" w14:textId="4714BD1E" w:rsidR="00F2389E" w:rsidRPr="00F15667" w:rsidRDefault="00F2389E" w:rsidP="00F2389E">
      <w:pPr>
        <w:pStyle w:val="OdstavecASR"/>
      </w:pPr>
      <w:r w:rsidRPr="00F15667">
        <w:t>Hlubší analýza zmíněného klesajícího trendu přesahuje rozsah této zprávy. V krátkosti však můžeme uvést, že za pokles v nápadu je do velké míry zodpovědný již dříve zmíněný převod velkého množství obchodních řízení z krajských soudů na okresní v roce 2014 (v návaznosti na o. z. se změnila věcná příslušnost těchto řízení). Graf níže zobrazuje vývoj v počtu příchozích, vyřízených a nevyřízených věcí</w:t>
      </w:r>
      <w:r w:rsidR="00895C30" w:rsidRPr="00F15667">
        <w:t xml:space="preserve"> a za ním následující graf se zaměřuje pouze na rejstřík Cm</w:t>
      </w:r>
      <w:r w:rsidRPr="00F15667">
        <w:t>. Z</w:t>
      </w:r>
      <w:r w:rsidR="00895C30" w:rsidRPr="00F15667">
        <w:t> obou</w:t>
      </w:r>
      <w:r w:rsidRPr="00F15667">
        <w:t> grafů vyplývají především dvě věci:</w:t>
      </w:r>
    </w:p>
    <w:p w14:paraId="61717341" w14:textId="77777777" w:rsidR="00F2389E" w:rsidRPr="00F15667" w:rsidRDefault="00F2389E" w:rsidP="00F2389E">
      <w:pPr>
        <w:pStyle w:val="OdstavecASR"/>
        <w:numPr>
          <w:ilvl w:val="0"/>
          <w:numId w:val="15"/>
        </w:numPr>
      </w:pPr>
      <w:r w:rsidRPr="00F15667">
        <w:t>Naprostou většinu prvostupňové občanskoprávní a obchodněprávní agendy tvoří rejstřík Cm, tedy obchodněprávní spory.</w:t>
      </w:r>
    </w:p>
    <w:p w14:paraId="585F7B73" w14:textId="77777777" w:rsidR="00F2389E" w:rsidRPr="00F15667" w:rsidRDefault="00F2389E" w:rsidP="00F2389E">
      <w:pPr>
        <w:pStyle w:val="OdstavecASR"/>
        <w:numPr>
          <w:ilvl w:val="0"/>
          <w:numId w:val="15"/>
        </w:numPr>
      </w:pPr>
      <w:r w:rsidRPr="00F15667">
        <w:t>Výše zmíněný převod obchodněprávní agendy na okresní soudy hrál velkou roli. Pokles v příchozích věcech byl ale očividně způsoben i dalšími faktory. K poklesu došlo i v jiných letech než jen mezi roky 2013 a 2014 a představuje obecný trend.</w:t>
      </w:r>
    </w:p>
    <w:p w14:paraId="2E81D95B" w14:textId="6B68158E" w:rsidR="00DD37BE" w:rsidRPr="00F15667" w:rsidRDefault="00DD37BE" w:rsidP="00DD37BE">
      <w:pPr>
        <w:pStyle w:val="Podnadpis"/>
        <w:rPr>
          <w:color w:val="auto"/>
        </w:rPr>
      </w:pPr>
      <w:bookmarkStart w:id="628" w:name="_Toc515871382"/>
      <w:bookmarkStart w:id="629" w:name="_Toc11135113"/>
      <w:bookmarkStart w:id="630" w:name="_Toc43841432"/>
      <w:bookmarkStart w:id="631" w:name="_Toc75952235"/>
      <w:bookmarkStart w:id="632" w:name="_Toc106106692"/>
      <w:bookmarkStart w:id="633" w:name="_Toc144104166"/>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54</w:t>
      </w:r>
      <w:r w:rsidR="009A10E2" w:rsidRPr="00F15667">
        <w:rPr>
          <w:color w:val="auto"/>
        </w:rPr>
        <w:fldChar w:fldCharType="end"/>
      </w:r>
      <w:r w:rsidRPr="00F15667">
        <w:rPr>
          <w:color w:val="auto"/>
        </w:rPr>
        <w:t>: KS – vyřizování prvostupňových civilních věcí v letech 2008–</w:t>
      </w:r>
      <w:bookmarkEnd w:id="628"/>
      <w:bookmarkEnd w:id="629"/>
      <w:r w:rsidRPr="00F15667">
        <w:rPr>
          <w:color w:val="auto"/>
        </w:rPr>
        <w:t>20</w:t>
      </w:r>
      <w:bookmarkEnd w:id="630"/>
      <w:r w:rsidRPr="00F15667">
        <w:rPr>
          <w:color w:val="auto"/>
        </w:rPr>
        <w:t>2</w:t>
      </w:r>
      <w:bookmarkEnd w:id="631"/>
      <w:bookmarkEnd w:id="632"/>
      <w:r w:rsidR="00F2389E" w:rsidRPr="00F15667">
        <w:rPr>
          <w:color w:val="auto"/>
        </w:rPr>
        <w:t>2</w:t>
      </w:r>
      <w:bookmarkEnd w:id="633"/>
    </w:p>
    <w:p w14:paraId="4F475608" w14:textId="6EA8C2FD" w:rsidR="00DD37BE" w:rsidRPr="00F15667" w:rsidRDefault="00B63D48" w:rsidP="004036FA">
      <w:pPr>
        <w:pStyle w:val="OdstavecASR"/>
      </w:pPr>
      <w:r w:rsidRPr="00F15667">
        <w:rPr>
          <w:noProof/>
          <w:lang w:eastAsia="cs-CZ"/>
        </w:rPr>
        <w:drawing>
          <wp:inline distT="0" distB="0" distL="0" distR="0" wp14:anchorId="6512C771" wp14:editId="408FFB4E">
            <wp:extent cx="5029200" cy="3657600"/>
            <wp:effectExtent l="0" t="0" r="0" b="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FB28BE3" w14:textId="59820A5F" w:rsidR="00F2389E" w:rsidRPr="00F15667" w:rsidRDefault="00F2389E" w:rsidP="00F2389E">
      <w:pPr>
        <w:pStyle w:val="Podnadpis"/>
        <w:rPr>
          <w:color w:val="auto"/>
        </w:rPr>
      </w:pPr>
      <w:bookmarkStart w:id="634" w:name="_Toc75952236"/>
      <w:bookmarkStart w:id="635" w:name="_Toc106106693"/>
      <w:bookmarkStart w:id="636" w:name="_Toc109802017"/>
      <w:bookmarkStart w:id="637" w:name="_Toc144104167"/>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55</w:t>
      </w:r>
      <w:r w:rsidR="009A10E2" w:rsidRPr="00F15667">
        <w:rPr>
          <w:color w:val="auto"/>
        </w:rPr>
        <w:fldChar w:fldCharType="end"/>
      </w:r>
      <w:r w:rsidRPr="00F15667">
        <w:rPr>
          <w:color w:val="auto"/>
        </w:rPr>
        <w:t>: KS – vyřizování věcí v letech 2008–</w:t>
      </w:r>
      <w:r w:rsidR="007F215F" w:rsidRPr="00F15667">
        <w:rPr>
          <w:color w:val="auto"/>
        </w:rPr>
        <w:t>2022</w:t>
      </w:r>
      <w:r w:rsidRPr="00F15667">
        <w:rPr>
          <w:color w:val="auto"/>
        </w:rPr>
        <w:t>, pouze rejstřík Cm</w:t>
      </w:r>
      <w:bookmarkEnd w:id="634"/>
      <w:bookmarkEnd w:id="635"/>
      <w:bookmarkEnd w:id="636"/>
      <w:bookmarkEnd w:id="637"/>
    </w:p>
    <w:p w14:paraId="41BB20EE" w14:textId="6BA6400C" w:rsidR="00F2389E" w:rsidRDefault="00F2389E" w:rsidP="004036FA">
      <w:pPr>
        <w:pStyle w:val="OdstavecASR"/>
      </w:pPr>
      <w:r w:rsidRPr="00F15667">
        <w:rPr>
          <w:noProof/>
          <w:lang w:eastAsia="cs-CZ"/>
        </w:rPr>
        <w:drawing>
          <wp:inline distT="0" distB="0" distL="0" distR="0" wp14:anchorId="684E75D2" wp14:editId="0B1AED25">
            <wp:extent cx="5029200" cy="3657600"/>
            <wp:effectExtent l="0" t="0" r="0" b="0"/>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3F3F794" w14:textId="216DE646" w:rsidR="004036FA" w:rsidRDefault="004036FA">
      <w:pPr>
        <w:spacing w:after="160" w:line="259" w:lineRule="auto"/>
        <w:jc w:val="left"/>
      </w:pPr>
      <w:r>
        <w:br w:type="page"/>
      </w:r>
    </w:p>
    <w:p w14:paraId="639F28AF" w14:textId="485F3806" w:rsidR="00F2389E" w:rsidRPr="00F15667" w:rsidRDefault="00F2389E" w:rsidP="00F2389E">
      <w:pPr>
        <w:pStyle w:val="Podnadpis"/>
        <w:rPr>
          <w:color w:val="auto"/>
        </w:rPr>
      </w:pPr>
      <w:bookmarkStart w:id="638" w:name="_Toc106106804"/>
      <w:bookmarkStart w:id="639" w:name="_Toc109802127"/>
      <w:bookmarkStart w:id="640" w:name="_Toc144104285"/>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46</w:t>
      </w:r>
      <w:r w:rsidRPr="00F15667">
        <w:rPr>
          <w:color w:val="auto"/>
        </w:rPr>
        <w:fldChar w:fldCharType="end"/>
      </w:r>
      <w:r w:rsidRPr="00F15667">
        <w:rPr>
          <w:color w:val="auto"/>
        </w:rPr>
        <w:t>: KS – vyřizování prvostupňových civilních věcí dle soudů</w:t>
      </w:r>
      <w:bookmarkEnd w:id="638"/>
      <w:bookmarkEnd w:id="639"/>
      <w:bookmarkEnd w:id="640"/>
    </w:p>
    <w:tbl>
      <w:tblPr>
        <w:tblW w:w="9214" w:type="dxa"/>
        <w:tblCellMar>
          <w:left w:w="70" w:type="dxa"/>
          <w:right w:w="70" w:type="dxa"/>
        </w:tblCellMar>
        <w:tblLook w:val="04A0" w:firstRow="1" w:lastRow="0" w:firstColumn="1" w:lastColumn="0" w:noHBand="0" w:noVBand="1"/>
      </w:tblPr>
      <w:tblGrid>
        <w:gridCol w:w="2020"/>
        <w:gridCol w:w="1214"/>
        <w:gridCol w:w="735"/>
        <w:gridCol w:w="1214"/>
        <w:gridCol w:w="771"/>
        <w:gridCol w:w="1037"/>
        <w:gridCol w:w="806"/>
        <w:gridCol w:w="1417"/>
      </w:tblGrid>
      <w:tr w:rsidR="004036FA" w:rsidRPr="00F15667" w14:paraId="7B3D77D8" w14:textId="77777777" w:rsidTr="003C28CA">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A5F33DB" w14:textId="0628CBDE" w:rsidR="004036FA" w:rsidRPr="00F15667" w:rsidRDefault="004036FA" w:rsidP="004036FA">
            <w:pPr>
              <w:spacing w:line="240" w:lineRule="auto"/>
              <w:jc w:val="center"/>
              <w:rPr>
                <w:rFonts w:eastAsia="Times New Roman"/>
                <w:b/>
                <w:bCs/>
                <w:szCs w:val="24"/>
                <w:lang w:eastAsia="cs-CZ"/>
              </w:rPr>
            </w:pPr>
            <w:r>
              <w:rPr>
                <w:rFonts w:eastAsia="Times New Roman"/>
                <w:b/>
                <w:bCs/>
                <w:szCs w:val="24"/>
                <w:lang w:eastAsia="cs-CZ"/>
              </w:rPr>
              <w:t>S</w:t>
            </w:r>
            <w:r w:rsidRPr="00F15667">
              <w:rPr>
                <w:rFonts w:eastAsia="Times New Roman"/>
                <w:b/>
                <w:bCs/>
                <w:szCs w:val="24"/>
                <w:lang w:eastAsia="cs-CZ"/>
              </w:rPr>
              <w:t>oud</w:t>
            </w:r>
          </w:p>
        </w:tc>
        <w:tc>
          <w:tcPr>
            <w:tcW w:w="5777" w:type="dxa"/>
            <w:gridSpan w:val="6"/>
            <w:tcBorders>
              <w:top w:val="double" w:sz="6" w:space="0" w:color="auto"/>
              <w:left w:val="nil"/>
              <w:bottom w:val="nil"/>
              <w:right w:val="single" w:sz="4" w:space="0" w:color="000000"/>
            </w:tcBorders>
            <w:shd w:val="clear" w:color="auto" w:fill="auto"/>
            <w:noWrap/>
            <w:vAlign w:val="center"/>
            <w:hideMark/>
          </w:tcPr>
          <w:p w14:paraId="01551C86" w14:textId="77777777" w:rsidR="004036FA" w:rsidRPr="00F15667" w:rsidRDefault="004036FA" w:rsidP="004036FA">
            <w:pPr>
              <w:spacing w:line="240" w:lineRule="auto"/>
              <w:jc w:val="center"/>
              <w:rPr>
                <w:rFonts w:eastAsia="Times New Roman"/>
                <w:b/>
                <w:bCs/>
                <w:szCs w:val="24"/>
                <w:lang w:eastAsia="cs-CZ"/>
              </w:rPr>
            </w:pPr>
            <w:r w:rsidRPr="00F15667">
              <w:rPr>
                <w:rFonts w:eastAsia="Times New Roman"/>
                <w:b/>
                <w:bCs/>
                <w:szCs w:val="24"/>
                <w:lang w:eastAsia="cs-CZ"/>
              </w:rPr>
              <w:t>Počet věcí</w:t>
            </w:r>
          </w:p>
        </w:tc>
        <w:tc>
          <w:tcPr>
            <w:tcW w:w="1417" w:type="dxa"/>
            <w:vMerge w:val="restart"/>
            <w:tcBorders>
              <w:top w:val="double" w:sz="6" w:space="0" w:color="auto"/>
              <w:left w:val="nil"/>
              <w:bottom w:val="double" w:sz="6" w:space="0" w:color="000000"/>
              <w:right w:val="nil"/>
            </w:tcBorders>
            <w:shd w:val="clear" w:color="auto" w:fill="auto"/>
            <w:vAlign w:val="center"/>
            <w:hideMark/>
          </w:tcPr>
          <w:p w14:paraId="3933EA7E" w14:textId="77777777" w:rsidR="004036FA" w:rsidRPr="00F15667" w:rsidRDefault="004036FA" w:rsidP="004036FA">
            <w:pPr>
              <w:spacing w:line="240" w:lineRule="auto"/>
              <w:jc w:val="center"/>
              <w:rPr>
                <w:rFonts w:eastAsia="Times New Roman"/>
                <w:b/>
                <w:bCs/>
                <w:szCs w:val="24"/>
                <w:lang w:eastAsia="cs-CZ"/>
              </w:rPr>
            </w:pPr>
            <w:r w:rsidRPr="00F15667">
              <w:rPr>
                <w:rFonts w:eastAsia="Times New Roman"/>
                <w:b/>
                <w:bCs/>
                <w:szCs w:val="24"/>
                <w:lang w:eastAsia="cs-CZ"/>
              </w:rPr>
              <w:t>Míra vyřizování</w:t>
            </w:r>
          </w:p>
        </w:tc>
      </w:tr>
      <w:tr w:rsidR="004036FA" w:rsidRPr="00F15667" w14:paraId="3D04C30C" w14:textId="77777777" w:rsidTr="003C28CA">
        <w:trPr>
          <w:trHeight w:val="330"/>
        </w:trPr>
        <w:tc>
          <w:tcPr>
            <w:tcW w:w="2020" w:type="dxa"/>
            <w:vMerge/>
            <w:tcBorders>
              <w:top w:val="double" w:sz="6" w:space="0" w:color="auto"/>
              <w:left w:val="nil"/>
              <w:bottom w:val="double" w:sz="6" w:space="0" w:color="000000"/>
              <w:right w:val="nil"/>
            </w:tcBorders>
            <w:vAlign w:val="center"/>
            <w:hideMark/>
          </w:tcPr>
          <w:p w14:paraId="002BA271" w14:textId="77777777" w:rsidR="004036FA" w:rsidRPr="00F15667" w:rsidRDefault="004036FA" w:rsidP="004036FA">
            <w:pPr>
              <w:spacing w:line="240" w:lineRule="auto"/>
              <w:jc w:val="center"/>
              <w:rPr>
                <w:rFonts w:eastAsia="Times New Roman"/>
                <w:b/>
                <w:bCs/>
                <w:szCs w:val="24"/>
                <w:lang w:eastAsia="cs-CZ"/>
              </w:rPr>
            </w:pPr>
          </w:p>
        </w:tc>
        <w:tc>
          <w:tcPr>
            <w:tcW w:w="1949" w:type="dxa"/>
            <w:gridSpan w:val="2"/>
            <w:tcBorders>
              <w:top w:val="nil"/>
              <w:left w:val="nil"/>
              <w:bottom w:val="double" w:sz="6" w:space="0" w:color="auto"/>
              <w:right w:val="nil"/>
            </w:tcBorders>
            <w:shd w:val="clear" w:color="auto" w:fill="auto"/>
            <w:noWrap/>
            <w:vAlign w:val="center"/>
            <w:hideMark/>
          </w:tcPr>
          <w:p w14:paraId="25037E07" w14:textId="77777777" w:rsidR="004036FA" w:rsidRPr="00F15667" w:rsidRDefault="004036FA" w:rsidP="004036FA">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2069622" w14:textId="77777777" w:rsidR="004036FA" w:rsidRPr="00F15667" w:rsidRDefault="004036FA" w:rsidP="004036FA">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noWrap/>
            <w:vAlign w:val="center"/>
            <w:hideMark/>
          </w:tcPr>
          <w:p w14:paraId="21BA5212" w14:textId="77777777" w:rsidR="004036FA" w:rsidRPr="00F15667" w:rsidRDefault="004036FA" w:rsidP="004036FA">
            <w:pPr>
              <w:spacing w:line="240" w:lineRule="auto"/>
              <w:jc w:val="center"/>
              <w:rPr>
                <w:rFonts w:eastAsia="Times New Roman"/>
                <w:b/>
                <w:bCs/>
                <w:szCs w:val="24"/>
                <w:lang w:eastAsia="cs-CZ"/>
              </w:rPr>
            </w:pPr>
            <w:r w:rsidRPr="00F15667">
              <w:rPr>
                <w:rFonts w:eastAsia="Times New Roman"/>
                <w:b/>
                <w:bCs/>
                <w:szCs w:val="24"/>
                <w:lang w:eastAsia="cs-CZ"/>
              </w:rPr>
              <w:t>Nevyřízeno</w:t>
            </w:r>
          </w:p>
        </w:tc>
        <w:tc>
          <w:tcPr>
            <w:tcW w:w="1417" w:type="dxa"/>
            <w:vMerge/>
            <w:tcBorders>
              <w:top w:val="double" w:sz="6" w:space="0" w:color="auto"/>
              <w:left w:val="nil"/>
              <w:bottom w:val="double" w:sz="6" w:space="0" w:color="000000"/>
              <w:right w:val="nil"/>
            </w:tcBorders>
            <w:vAlign w:val="center"/>
            <w:hideMark/>
          </w:tcPr>
          <w:p w14:paraId="03EB4D77" w14:textId="77777777" w:rsidR="004036FA" w:rsidRPr="00F15667" w:rsidRDefault="004036FA" w:rsidP="004036FA">
            <w:pPr>
              <w:spacing w:line="240" w:lineRule="auto"/>
              <w:jc w:val="center"/>
              <w:rPr>
                <w:rFonts w:eastAsia="Times New Roman"/>
                <w:b/>
                <w:bCs/>
                <w:szCs w:val="24"/>
                <w:lang w:eastAsia="cs-CZ"/>
              </w:rPr>
            </w:pPr>
          </w:p>
        </w:tc>
      </w:tr>
      <w:tr w:rsidR="004036FA" w:rsidRPr="00F15667" w14:paraId="6A92EB81" w14:textId="77777777" w:rsidTr="003C28CA">
        <w:trPr>
          <w:trHeight w:val="330"/>
        </w:trPr>
        <w:tc>
          <w:tcPr>
            <w:tcW w:w="2020" w:type="dxa"/>
            <w:tcBorders>
              <w:top w:val="single" w:sz="4" w:space="0" w:color="auto"/>
              <w:left w:val="nil"/>
              <w:bottom w:val="single" w:sz="4" w:space="0" w:color="auto"/>
              <w:right w:val="nil"/>
            </w:tcBorders>
            <w:shd w:val="clear" w:color="auto" w:fill="auto"/>
            <w:noWrap/>
            <w:vAlign w:val="center"/>
            <w:hideMark/>
          </w:tcPr>
          <w:p w14:paraId="7ABB6B83" w14:textId="77777777" w:rsidR="004036FA" w:rsidRPr="00F15667" w:rsidRDefault="004036FA" w:rsidP="004036FA">
            <w:pPr>
              <w:spacing w:line="240" w:lineRule="auto"/>
              <w:jc w:val="left"/>
              <w:rPr>
                <w:rFonts w:eastAsia="Times New Roman"/>
                <w:szCs w:val="24"/>
                <w:lang w:eastAsia="cs-CZ"/>
              </w:rPr>
            </w:pPr>
            <w:r w:rsidRPr="00F15667">
              <w:rPr>
                <w:rFonts w:eastAsia="Times New Roman"/>
                <w:szCs w:val="24"/>
                <w:lang w:eastAsia="cs-CZ"/>
              </w:rPr>
              <w:t>MS Praha</w:t>
            </w:r>
          </w:p>
        </w:tc>
        <w:tc>
          <w:tcPr>
            <w:tcW w:w="1214" w:type="dxa"/>
            <w:tcBorders>
              <w:top w:val="single" w:sz="4" w:space="0" w:color="auto"/>
              <w:left w:val="nil"/>
              <w:bottom w:val="single" w:sz="4" w:space="0" w:color="auto"/>
              <w:right w:val="nil"/>
            </w:tcBorders>
            <w:shd w:val="clear" w:color="auto" w:fill="auto"/>
            <w:noWrap/>
            <w:vAlign w:val="center"/>
            <w:hideMark/>
          </w:tcPr>
          <w:p w14:paraId="03187DB9"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11 826</w:t>
            </w:r>
          </w:p>
        </w:tc>
        <w:tc>
          <w:tcPr>
            <w:tcW w:w="735" w:type="dxa"/>
            <w:tcBorders>
              <w:top w:val="single" w:sz="4" w:space="0" w:color="auto"/>
              <w:left w:val="nil"/>
              <w:bottom w:val="single" w:sz="4" w:space="0" w:color="auto"/>
              <w:right w:val="nil"/>
            </w:tcBorders>
            <w:shd w:val="clear" w:color="auto" w:fill="auto"/>
            <w:noWrap/>
            <w:vAlign w:val="center"/>
            <w:hideMark/>
          </w:tcPr>
          <w:p w14:paraId="5D9BE2DE" w14:textId="2498722C"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1214" w:type="dxa"/>
            <w:tcBorders>
              <w:top w:val="single" w:sz="4" w:space="0" w:color="auto"/>
              <w:left w:val="single" w:sz="4" w:space="0" w:color="auto"/>
              <w:bottom w:val="single" w:sz="4" w:space="0" w:color="auto"/>
              <w:right w:val="nil"/>
            </w:tcBorders>
            <w:shd w:val="clear" w:color="auto" w:fill="auto"/>
            <w:noWrap/>
            <w:vAlign w:val="center"/>
            <w:hideMark/>
          </w:tcPr>
          <w:p w14:paraId="405B557D"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12 004</w:t>
            </w:r>
          </w:p>
        </w:tc>
        <w:tc>
          <w:tcPr>
            <w:tcW w:w="771" w:type="dxa"/>
            <w:tcBorders>
              <w:top w:val="single" w:sz="4" w:space="0" w:color="auto"/>
              <w:left w:val="nil"/>
              <w:bottom w:val="single" w:sz="4" w:space="0" w:color="auto"/>
              <w:right w:val="single" w:sz="4" w:space="0" w:color="auto"/>
            </w:tcBorders>
            <w:shd w:val="clear" w:color="auto" w:fill="auto"/>
            <w:noWrap/>
            <w:vAlign w:val="center"/>
            <w:hideMark/>
          </w:tcPr>
          <w:p w14:paraId="0AEB6A0A" w14:textId="0760D59C"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037" w:type="dxa"/>
            <w:tcBorders>
              <w:top w:val="single" w:sz="4" w:space="0" w:color="auto"/>
              <w:left w:val="nil"/>
              <w:bottom w:val="single" w:sz="4" w:space="0" w:color="auto"/>
              <w:right w:val="nil"/>
            </w:tcBorders>
            <w:shd w:val="clear" w:color="auto" w:fill="auto"/>
            <w:noWrap/>
            <w:vAlign w:val="center"/>
            <w:hideMark/>
          </w:tcPr>
          <w:p w14:paraId="044FBC02"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5 409</w:t>
            </w:r>
          </w:p>
        </w:tc>
        <w:tc>
          <w:tcPr>
            <w:tcW w:w="806" w:type="dxa"/>
            <w:tcBorders>
              <w:top w:val="single" w:sz="4" w:space="0" w:color="auto"/>
              <w:left w:val="nil"/>
              <w:bottom w:val="single" w:sz="4" w:space="0" w:color="auto"/>
              <w:right w:val="single" w:sz="4" w:space="0" w:color="auto"/>
            </w:tcBorders>
            <w:shd w:val="clear" w:color="auto" w:fill="auto"/>
            <w:noWrap/>
            <w:vAlign w:val="center"/>
            <w:hideMark/>
          </w:tcPr>
          <w:p w14:paraId="01EC38F3" w14:textId="28EF6A0F"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417" w:type="dxa"/>
            <w:tcBorders>
              <w:top w:val="nil"/>
              <w:left w:val="nil"/>
              <w:bottom w:val="single" w:sz="4" w:space="0" w:color="auto"/>
              <w:right w:val="nil"/>
            </w:tcBorders>
            <w:shd w:val="clear" w:color="auto" w:fill="auto"/>
            <w:noWrap/>
            <w:vAlign w:val="center"/>
            <w:hideMark/>
          </w:tcPr>
          <w:p w14:paraId="5E5179CC" w14:textId="480AE90C"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101,5 %</w:t>
            </w:r>
          </w:p>
        </w:tc>
      </w:tr>
      <w:tr w:rsidR="004036FA" w:rsidRPr="00F15667" w14:paraId="076CDE52" w14:textId="77777777" w:rsidTr="003C28CA">
        <w:trPr>
          <w:trHeight w:val="315"/>
        </w:trPr>
        <w:tc>
          <w:tcPr>
            <w:tcW w:w="2020" w:type="dxa"/>
            <w:tcBorders>
              <w:top w:val="nil"/>
              <w:left w:val="nil"/>
              <w:bottom w:val="single" w:sz="4" w:space="0" w:color="auto"/>
              <w:right w:val="nil"/>
            </w:tcBorders>
            <w:shd w:val="clear" w:color="auto" w:fill="auto"/>
            <w:noWrap/>
            <w:vAlign w:val="center"/>
            <w:hideMark/>
          </w:tcPr>
          <w:p w14:paraId="2161B3C5" w14:textId="77777777" w:rsidR="004036FA" w:rsidRPr="00F15667" w:rsidRDefault="004036FA" w:rsidP="004036FA">
            <w:pPr>
              <w:spacing w:line="240" w:lineRule="auto"/>
              <w:jc w:val="left"/>
              <w:rPr>
                <w:rFonts w:eastAsia="Times New Roman"/>
                <w:szCs w:val="24"/>
                <w:lang w:eastAsia="cs-CZ"/>
              </w:rPr>
            </w:pPr>
            <w:r w:rsidRPr="00F15667">
              <w:rPr>
                <w:rFonts w:eastAsia="Times New Roman"/>
                <w:szCs w:val="24"/>
                <w:lang w:eastAsia="cs-CZ"/>
              </w:rPr>
              <w:t>KS Praha</w:t>
            </w:r>
          </w:p>
        </w:tc>
        <w:tc>
          <w:tcPr>
            <w:tcW w:w="1214" w:type="dxa"/>
            <w:tcBorders>
              <w:top w:val="nil"/>
              <w:left w:val="nil"/>
              <w:bottom w:val="single" w:sz="4" w:space="0" w:color="auto"/>
              <w:right w:val="nil"/>
            </w:tcBorders>
            <w:shd w:val="clear" w:color="auto" w:fill="auto"/>
            <w:noWrap/>
            <w:vAlign w:val="center"/>
            <w:hideMark/>
          </w:tcPr>
          <w:p w14:paraId="3C3A425E"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570</w:t>
            </w:r>
          </w:p>
        </w:tc>
        <w:tc>
          <w:tcPr>
            <w:tcW w:w="735" w:type="dxa"/>
            <w:tcBorders>
              <w:top w:val="nil"/>
              <w:left w:val="nil"/>
              <w:bottom w:val="single" w:sz="4" w:space="0" w:color="auto"/>
              <w:right w:val="nil"/>
            </w:tcBorders>
            <w:shd w:val="clear" w:color="auto" w:fill="auto"/>
            <w:noWrap/>
            <w:vAlign w:val="center"/>
            <w:hideMark/>
          </w:tcPr>
          <w:p w14:paraId="2210D3A9" w14:textId="03C4979F"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214" w:type="dxa"/>
            <w:tcBorders>
              <w:top w:val="nil"/>
              <w:left w:val="single" w:sz="4" w:space="0" w:color="auto"/>
              <w:bottom w:val="single" w:sz="4" w:space="0" w:color="auto"/>
              <w:right w:val="nil"/>
            </w:tcBorders>
            <w:shd w:val="clear" w:color="auto" w:fill="auto"/>
            <w:noWrap/>
            <w:vAlign w:val="center"/>
            <w:hideMark/>
          </w:tcPr>
          <w:p w14:paraId="7A94C71E"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690</w:t>
            </w:r>
          </w:p>
        </w:tc>
        <w:tc>
          <w:tcPr>
            <w:tcW w:w="771" w:type="dxa"/>
            <w:tcBorders>
              <w:top w:val="nil"/>
              <w:left w:val="nil"/>
              <w:bottom w:val="single" w:sz="4" w:space="0" w:color="auto"/>
              <w:right w:val="single" w:sz="4" w:space="0" w:color="auto"/>
            </w:tcBorders>
            <w:shd w:val="clear" w:color="auto" w:fill="auto"/>
            <w:noWrap/>
            <w:vAlign w:val="center"/>
            <w:hideMark/>
          </w:tcPr>
          <w:p w14:paraId="38A7CA1A" w14:textId="27F95DE5"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037" w:type="dxa"/>
            <w:tcBorders>
              <w:top w:val="nil"/>
              <w:left w:val="nil"/>
              <w:bottom w:val="single" w:sz="4" w:space="0" w:color="auto"/>
              <w:right w:val="nil"/>
            </w:tcBorders>
            <w:shd w:val="clear" w:color="auto" w:fill="auto"/>
            <w:noWrap/>
            <w:vAlign w:val="center"/>
            <w:hideMark/>
          </w:tcPr>
          <w:p w14:paraId="18011932"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274</w:t>
            </w:r>
          </w:p>
        </w:tc>
        <w:tc>
          <w:tcPr>
            <w:tcW w:w="806" w:type="dxa"/>
            <w:tcBorders>
              <w:top w:val="nil"/>
              <w:left w:val="nil"/>
              <w:bottom w:val="single" w:sz="4" w:space="0" w:color="auto"/>
              <w:right w:val="single" w:sz="4" w:space="0" w:color="auto"/>
            </w:tcBorders>
            <w:shd w:val="clear" w:color="auto" w:fill="auto"/>
            <w:noWrap/>
            <w:vAlign w:val="center"/>
            <w:hideMark/>
          </w:tcPr>
          <w:p w14:paraId="7D304D28" w14:textId="2493D756"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-30 %</w:t>
            </w:r>
          </w:p>
        </w:tc>
        <w:tc>
          <w:tcPr>
            <w:tcW w:w="1417" w:type="dxa"/>
            <w:tcBorders>
              <w:top w:val="nil"/>
              <w:left w:val="nil"/>
              <w:bottom w:val="single" w:sz="4" w:space="0" w:color="auto"/>
              <w:right w:val="nil"/>
            </w:tcBorders>
            <w:shd w:val="clear" w:color="auto" w:fill="auto"/>
            <w:noWrap/>
            <w:vAlign w:val="center"/>
            <w:hideMark/>
          </w:tcPr>
          <w:p w14:paraId="410CE800" w14:textId="13474231"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121,1 %</w:t>
            </w:r>
          </w:p>
        </w:tc>
      </w:tr>
      <w:tr w:rsidR="004036FA" w:rsidRPr="00F15667" w14:paraId="5F25C0C6" w14:textId="77777777" w:rsidTr="003C28CA">
        <w:trPr>
          <w:trHeight w:val="315"/>
        </w:trPr>
        <w:tc>
          <w:tcPr>
            <w:tcW w:w="2020" w:type="dxa"/>
            <w:tcBorders>
              <w:top w:val="nil"/>
              <w:left w:val="nil"/>
              <w:bottom w:val="single" w:sz="4" w:space="0" w:color="auto"/>
              <w:right w:val="nil"/>
            </w:tcBorders>
            <w:shd w:val="clear" w:color="auto" w:fill="auto"/>
            <w:noWrap/>
            <w:vAlign w:val="center"/>
            <w:hideMark/>
          </w:tcPr>
          <w:p w14:paraId="76999194" w14:textId="77777777" w:rsidR="004036FA" w:rsidRPr="00F15667" w:rsidRDefault="004036FA" w:rsidP="004036FA">
            <w:pPr>
              <w:spacing w:line="240" w:lineRule="auto"/>
              <w:jc w:val="left"/>
              <w:rPr>
                <w:rFonts w:eastAsia="Times New Roman"/>
                <w:szCs w:val="24"/>
                <w:lang w:eastAsia="cs-CZ"/>
              </w:rPr>
            </w:pPr>
            <w:r w:rsidRPr="00F15667">
              <w:rPr>
                <w:rFonts w:eastAsia="Times New Roman"/>
                <w:szCs w:val="24"/>
                <w:lang w:eastAsia="cs-CZ"/>
              </w:rPr>
              <w:t>KS Č. Budějovice</w:t>
            </w:r>
          </w:p>
        </w:tc>
        <w:tc>
          <w:tcPr>
            <w:tcW w:w="1214" w:type="dxa"/>
            <w:tcBorders>
              <w:top w:val="nil"/>
              <w:left w:val="nil"/>
              <w:bottom w:val="single" w:sz="4" w:space="0" w:color="auto"/>
              <w:right w:val="nil"/>
            </w:tcBorders>
            <w:shd w:val="clear" w:color="auto" w:fill="auto"/>
            <w:noWrap/>
            <w:vAlign w:val="center"/>
            <w:hideMark/>
          </w:tcPr>
          <w:p w14:paraId="7C72D7E4"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464</w:t>
            </w:r>
          </w:p>
        </w:tc>
        <w:tc>
          <w:tcPr>
            <w:tcW w:w="735" w:type="dxa"/>
            <w:tcBorders>
              <w:top w:val="nil"/>
              <w:left w:val="nil"/>
              <w:bottom w:val="single" w:sz="4" w:space="0" w:color="auto"/>
              <w:right w:val="nil"/>
            </w:tcBorders>
            <w:shd w:val="clear" w:color="auto" w:fill="auto"/>
            <w:noWrap/>
            <w:vAlign w:val="center"/>
            <w:hideMark/>
          </w:tcPr>
          <w:p w14:paraId="5CD15337" w14:textId="56B8BA1C"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214" w:type="dxa"/>
            <w:tcBorders>
              <w:top w:val="nil"/>
              <w:left w:val="single" w:sz="4" w:space="0" w:color="auto"/>
              <w:bottom w:val="single" w:sz="4" w:space="0" w:color="auto"/>
              <w:right w:val="nil"/>
            </w:tcBorders>
            <w:shd w:val="clear" w:color="auto" w:fill="auto"/>
            <w:noWrap/>
            <w:vAlign w:val="center"/>
            <w:hideMark/>
          </w:tcPr>
          <w:p w14:paraId="65725BE4"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507</w:t>
            </w:r>
          </w:p>
        </w:tc>
        <w:tc>
          <w:tcPr>
            <w:tcW w:w="771" w:type="dxa"/>
            <w:tcBorders>
              <w:top w:val="nil"/>
              <w:left w:val="nil"/>
              <w:bottom w:val="single" w:sz="4" w:space="0" w:color="auto"/>
              <w:right w:val="single" w:sz="4" w:space="0" w:color="auto"/>
            </w:tcBorders>
            <w:shd w:val="clear" w:color="auto" w:fill="auto"/>
            <w:noWrap/>
            <w:vAlign w:val="center"/>
            <w:hideMark/>
          </w:tcPr>
          <w:p w14:paraId="6F3C1DC8" w14:textId="07C8A309"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037" w:type="dxa"/>
            <w:tcBorders>
              <w:top w:val="nil"/>
              <w:left w:val="nil"/>
              <w:bottom w:val="single" w:sz="4" w:space="0" w:color="auto"/>
              <w:right w:val="nil"/>
            </w:tcBorders>
            <w:shd w:val="clear" w:color="auto" w:fill="auto"/>
            <w:noWrap/>
            <w:vAlign w:val="center"/>
            <w:hideMark/>
          </w:tcPr>
          <w:p w14:paraId="704F6755"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292</w:t>
            </w:r>
          </w:p>
        </w:tc>
        <w:tc>
          <w:tcPr>
            <w:tcW w:w="806" w:type="dxa"/>
            <w:tcBorders>
              <w:top w:val="nil"/>
              <w:left w:val="nil"/>
              <w:bottom w:val="single" w:sz="4" w:space="0" w:color="auto"/>
              <w:right w:val="single" w:sz="4" w:space="0" w:color="auto"/>
            </w:tcBorders>
            <w:shd w:val="clear" w:color="auto" w:fill="auto"/>
            <w:noWrap/>
            <w:vAlign w:val="center"/>
            <w:hideMark/>
          </w:tcPr>
          <w:p w14:paraId="313C1474" w14:textId="37234219"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417" w:type="dxa"/>
            <w:tcBorders>
              <w:top w:val="nil"/>
              <w:left w:val="nil"/>
              <w:bottom w:val="single" w:sz="4" w:space="0" w:color="auto"/>
              <w:right w:val="nil"/>
            </w:tcBorders>
            <w:shd w:val="clear" w:color="auto" w:fill="auto"/>
            <w:noWrap/>
            <w:vAlign w:val="center"/>
            <w:hideMark/>
          </w:tcPr>
          <w:p w14:paraId="68E96142" w14:textId="68D0996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109,3 %</w:t>
            </w:r>
          </w:p>
        </w:tc>
      </w:tr>
      <w:tr w:rsidR="004036FA" w:rsidRPr="00F15667" w14:paraId="3A5A3AD7" w14:textId="77777777" w:rsidTr="003C28CA">
        <w:trPr>
          <w:trHeight w:val="315"/>
        </w:trPr>
        <w:tc>
          <w:tcPr>
            <w:tcW w:w="2020" w:type="dxa"/>
            <w:tcBorders>
              <w:top w:val="nil"/>
              <w:left w:val="nil"/>
              <w:bottom w:val="single" w:sz="4" w:space="0" w:color="auto"/>
              <w:right w:val="nil"/>
            </w:tcBorders>
            <w:shd w:val="clear" w:color="auto" w:fill="auto"/>
            <w:noWrap/>
            <w:vAlign w:val="center"/>
            <w:hideMark/>
          </w:tcPr>
          <w:p w14:paraId="4661605E" w14:textId="77777777" w:rsidR="004036FA" w:rsidRPr="00F15667" w:rsidRDefault="004036FA" w:rsidP="004036FA">
            <w:pPr>
              <w:spacing w:line="240" w:lineRule="auto"/>
              <w:jc w:val="left"/>
              <w:rPr>
                <w:rFonts w:eastAsia="Times New Roman"/>
                <w:szCs w:val="24"/>
                <w:lang w:eastAsia="cs-CZ"/>
              </w:rPr>
            </w:pPr>
            <w:r w:rsidRPr="00F15667">
              <w:rPr>
                <w:rFonts w:eastAsia="Times New Roman"/>
                <w:szCs w:val="24"/>
                <w:lang w:eastAsia="cs-CZ"/>
              </w:rPr>
              <w:t>KS Plzeň</w:t>
            </w:r>
          </w:p>
        </w:tc>
        <w:tc>
          <w:tcPr>
            <w:tcW w:w="1214" w:type="dxa"/>
            <w:tcBorders>
              <w:top w:val="nil"/>
              <w:left w:val="nil"/>
              <w:bottom w:val="single" w:sz="4" w:space="0" w:color="auto"/>
              <w:right w:val="nil"/>
            </w:tcBorders>
            <w:shd w:val="clear" w:color="auto" w:fill="auto"/>
            <w:noWrap/>
            <w:vAlign w:val="center"/>
            <w:hideMark/>
          </w:tcPr>
          <w:p w14:paraId="20BADA54" w14:textId="147CEDDD"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1 192</w:t>
            </w:r>
          </w:p>
        </w:tc>
        <w:tc>
          <w:tcPr>
            <w:tcW w:w="735" w:type="dxa"/>
            <w:tcBorders>
              <w:top w:val="nil"/>
              <w:left w:val="nil"/>
              <w:bottom w:val="single" w:sz="4" w:space="0" w:color="auto"/>
              <w:right w:val="nil"/>
            </w:tcBorders>
            <w:shd w:val="clear" w:color="auto" w:fill="auto"/>
            <w:noWrap/>
            <w:vAlign w:val="center"/>
            <w:hideMark/>
          </w:tcPr>
          <w:p w14:paraId="3B569CBC" w14:textId="5EAB8AE7"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+40 %</w:t>
            </w:r>
          </w:p>
        </w:tc>
        <w:tc>
          <w:tcPr>
            <w:tcW w:w="1214" w:type="dxa"/>
            <w:tcBorders>
              <w:top w:val="nil"/>
              <w:left w:val="single" w:sz="4" w:space="0" w:color="auto"/>
              <w:bottom w:val="single" w:sz="4" w:space="0" w:color="auto"/>
              <w:right w:val="nil"/>
            </w:tcBorders>
            <w:shd w:val="clear" w:color="auto" w:fill="auto"/>
            <w:noWrap/>
            <w:vAlign w:val="center"/>
            <w:hideMark/>
          </w:tcPr>
          <w:p w14:paraId="04C7B86F" w14:textId="67BB0A2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1 157</w:t>
            </w:r>
          </w:p>
        </w:tc>
        <w:tc>
          <w:tcPr>
            <w:tcW w:w="771" w:type="dxa"/>
            <w:tcBorders>
              <w:top w:val="nil"/>
              <w:left w:val="nil"/>
              <w:bottom w:val="single" w:sz="4" w:space="0" w:color="auto"/>
              <w:right w:val="single" w:sz="4" w:space="0" w:color="auto"/>
            </w:tcBorders>
            <w:shd w:val="clear" w:color="auto" w:fill="auto"/>
            <w:noWrap/>
            <w:vAlign w:val="center"/>
            <w:hideMark/>
          </w:tcPr>
          <w:p w14:paraId="7CFB2F85" w14:textId="75FCA73E"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+43 %</w:t>
            </w:r>
          </w:p>
        </w:tc>
        <w:tc>
          <w:tcPr>
            <w:tcW w:w="1037" w:type="dxa"/>
            <w:tcBorders>
              <w:top w:val="nil"/>
              <w:left w:val="nil"/>
              <w:bottom w:val="single" w:sz="4" w:space="0" w:color="auto"/>
              <w:right w:val="nil"/>
            </w:tcBorders>
            <w:shd w:val="clear" w:color="auto" w:fill="auto"/>
            <w:noWrap/>
            <w:vAlign w:val="center"/>
            <w:hideMark/>
          </w:tcPr>
          <w:p w14:paraId="4B5B002B" w14:textId="7777777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714</w:t>
            </w:r>
          </w:p>
        </w:tc>
        <w:tc>
          <w:tcPr>
            <w:tcW w:w="806" w:type="dxa"/>
            <w:tcBorders>
              <w:top w:val="nil"/>
              <w:left w:val="nil"/>
              <w:bottom w:val="single" w:sz="4" w:space="0" w:color="auto"/>
              <w:right w:val="single" w:sz="4" w:space="0" w:color="auto"/>
            </w:tcBorders>
            <w:shd w:val="clear" w:color="auto" w:fill="auto"/>
            <w:noWrap/>
            <w:vAlign w:val="center"/>
            <w:hideMark/>
          </w:tcPr>
          <w:p w14:paraId="7D225F63" w14:textId="78A8E1DE"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417" w:type="dxa"/>
            <w:tcBorders>
              <w:top w:val="nil"/>
              <w:left w:val="nil"/>
              <w:bottom w:val="single" w:sz="4" w:space="0" w:color="auto"/>
              <w:right w:val="nil"/>
            </w:tcBorders>
            <w:shd w:val="clear" w:color="auto" w:fill="auto"/>
            <w:noWrap/>
            <w:vAlign w:val="center"/>
            <w:hideMark/>
          </w:tcPr>
          <w:p w14:paraId="2AB25D24" w14:textId="1BBC7278"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97,1 %</w:t>
            </w:r>
          </w:p>
        </w:tc>
      </w:tr>
      <w:tr w:rsidR="004036FA" w:rsidRPr="00F15667" w14:paraId="3F2F6E36" w14:textId="77777777" w:rsidTr="003C28CA">
        <w:trPr>
          <w:trHeight w:val="315"/>
        </w:trPr>
        <w:tc>
          <w:tcPr>
            <w:tcW w:w="2020" w:type="dxa"/>
            <w:tcBorders>
              <w:top w:val="nil"/>
              <w:left w:val="nil"/>
              <w:bottom w:val="single" w:sz="4" w:space="0" w:color="auto"/>
              <w:right w:val="nil"/>
            </w:tcBorders>
            <w:shd w:val="clear" w:color="auto" w:fill="auto"/>
            <w:noWrap/>
            <w:vAlign w:val="center"/>
            <w:hideMark/>
          </w:tcPr>
          <w:p w14:paraId="32902C30" w14:textId="77777777" w:rsidR="004036FA" w:rsidRPr="00F15667" w:rsidRDefault="004036FA" w:rsidP="004036FA">
            <w:pPr>
              <w:spacing w:line="240" w:lineRule="auto"/>
              <w:jc w:val="left"/>
              <w:rPr>
                <w:rFonts w:eastAsia="Times New Roman"/>
                <w:szCs w:val="24"/>
                <w:lang w:eastAsia="cs-CZ"/>
              </w:rPr>
            </w:pPr>
            <w:r w:rsidRPr="00F15667">
              <w:rPr>
                <w:rFonts w:eastAsia="Times New Roman"/>
                <w:szCs w:val="24"/>
                <w:lang w:eastAsia="cs-CZ"/>
              </w:rPr>
              <w:t>KS Ústí n. Labem</w:t>
            </w:r>
          </w:p>
        </w:tc>
        <w:tc>
          <w:tcPr>
            <w:tcW w:w="1214" w:type="dxa"/>
            <w:tcBorders>
              <w:top w:val="nil"/>
              <w:left w:val="nil"/>
              <w:bottom w:val="single" w:sz="4" w:space="0" w:color="auto"/>
              <w:right w:val="nil"/>
            </w:tcBorders>
            <w:shd w:val="clear" w:color="auto" w:fill="auto"/>
            <w:noWrap/>
            <w:vAlign w:val="center"/>
            <w:hideMark/>
          </w:tcPr>
          <w:p w14:paraId="5FFBFE5C" w14:textId="6E756908"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1 520</w:t>
            </w:r>
          </w:p>
        </w:tc>
        <w:tc>
          <w:tcPr>
            <w:tcW w:w="735" w:type="dxa"/>
            <w:tcBorders>
              <w:top w:val="nil"/>
              <w:left w:val="nil"/>
              <w:bottom w:val="single" w:sz="4" w:space="0" w:color="auto"/>
              <w:right w:val="nil"/>
            </w:tcBorders>
            <w:shd w:val="clear" w:color="auto" w:fill="auto"/>
            <w:noWrap/>
            <w:vAlign w:val="center"/>
            <w:hideMark/>
          </w:tcPr>
          <w:p w14:paraId="6159EFDA" w14:textId="01EDF4AB"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+62 %</w:t>
            </w:r>
          </w:p>
        </w:tc>
        <w:tc>
          <w:tcPr>
            <w:tcW w:w="1214" w:type="dxa"/>
            <w:tcBorders>
              <w:top w:val="nil"/>
              <w:left w:val="single" w:sz="4" w:space="0" w:color="auto"/>
              <w:bottom w:val="single" w:sz="4" w:space="0" w:color="auto"/>
              <w:right w:val="nil"/>
            </w:tcBorders>
            <w:shd w:val="clear" w:color="auto" w:fill="auto"/>
            <w:noWrap/>
            <w:vAlign w:val="center"/>
            <w:hideMark/>
          </w:tcPr>
          <w:p w14:paraId="525375A1" w14:textId="7E75B084"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1 405</w:t>
            </w:r>
          </w:p>
        </w:tc>
        <w:tc>
          <w:tcPr>
            <w:tcW w:w="771" w:type="dxa"/>
            <w:tcBorders>
              <w:top w:val="nil"/>
              <w:left w:val="nil"/>
              <w:bottom w:val="single" w:sz="4" w:space="0" w:color="auto"/>
              <w:right w:val="single" w:sz="4" w:space="0" w:color="auto"/>
            </w:tcBorders>
            <w:shd w:val="clear" w:color="auto" w:fill="auto"/>
            <w:noWrap/>
            <w:vAlign w:val="center"/>
            <w:hideMark/>
          </w:tcPr>
          <w:p w14:paraId="66D48FDB" w14:textId="20CFF0B5"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1037" w:type="dxa"/>
            <w:tcBorders>
              <w:top w:val="nil"/>
              <w:left w:val="nil"/>
              <w:bottom w:val="single" w:sz="4" w:space="0" w:color="auto"/>
              <w:right w:val="nil"/>
            </w:tcBorders>
            <w:shd w:val="clear" w:color="auto" w:fill="auto"/>
            <w:noWrap/>
            <w:vAlign w:val="center"/>
            <w:hideMark/>
          </w:tcPr>
          <w:p w14:paraId="039FB3C2" w14:textId="3E42488D"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1 415</w:t>
            </w:r>
          </w:p>
        </w:tc>
        <w:tc>
          <w:tcPr>
            <w:tcW w:w="806" w:type="dxa"/>
            <w:tcBorders>
              <w:top w:val="nil"/>
              <w:left w:val="nil"/>
              <w:bottom w:val="single" w:sz="4" w:space="0" w:color="auto"/>
              <w:right w:val="single" w:sz="4" w:space="0" w:color="auto"/>
            </w:tcBorders>
            <w:shd w:val="clear" w:color="auto" w:fill="auto"/>
            <w:noWrap/>
            <w:vAlign w:val="center"/>
            <w:hideMark/>
          </w:tcPr>
          <w:p w14:paraId="20BFBBDF" w14:textId="64520627"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+9 %</w:t>
            </w:r>
          </w:p>
        </w:tc>
        <w:tc>
          <w:tcPr>
            <w:tcW w:w="1417" w:type="dxa"/>
            <w:tcBorders>
              <w:top w:val="nil"/>
              <w:left w:val="nil"/>
              <w:bottom w:val="single" w:sz="4" w:space="0" w:color="auto"/>
              <w:right w:val="nil"/>
            </w:tcBorders>
            <w:shd w:val="clear" w:color="auto" w:fill="auto"/>
            <w:noWrap/>
            <w:vAlign w:val="center"/>
            <w:hideMark/>
          </w:tcPr>
          <w:p w14:paraId="76971BCC" w14:textId="7A626148"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92,4 %</w:t>
            </w:r>
          </w:p>
        </w:tc>
      </w:tr>
      <w:tr w:rsidR="004036FA" w:rsidRPr="00F15667" w14:paraId="1E6E024F" w14:textId="77777777" w:rsidTr="003C28CA">
        <w:trPr>
          <w:trHeight w:val="315"/>
        </w:trPr>
        <w:tc>
          <w:tcPr>
            <w:tcW w:w="2020" w:type="dxa"/>
            <w:tcBorders>
              <w:top w:val="nil"/>
              <w:left w:val="nil"/>
              <w:bottom w:val="single" w:sz="4" w:space="0" w:color="auto"/>
              <w:right w:val="nil"/>
            </w:tcBorders>
            <w:shd w:val="clear" w:color="auto" w:fill="auto"/>
            <w:noWrap/>
            <w:vAlign w:val="center"/>
            <w:hideMark/>
          </w:tcPr>
          <w:p w14:paraId="19A3DDA5" w14:textId="77777777" w:rsidR="004036FA" w:rsidRPr="00F15667" w:rsidRDefault="004036FA" w:rsidP="004036FA">
            <w:pPr>
              <w:spacing w:line="240" w:lineRule="auto"/>
              <w:jc w:val="left"/>
              <w:rPr>
                <w:rFonts w:eastAsia="Times New Roman"/>
                <w:szCs w:val="24"/>
                <w:lang w:eastAsia="cs-CZ"/>
              </w:rPr>
            </w:pPr>
            <w:r w:rsidRPr="00F15667">
              <w:rPr>
                <w:rFonts w:eastAsia="Times New Roman"/>
                <w:szCs w:val="24"/>
                <w:lang w:eastAsia="cs-CZ"/>
              </w:rPr>
              <w:t>KS Hr. Králové</w:t>
            </w:r>
          </w:p>
        </w:tc>
        <w:tc>
          <w:tcPr>
            <w:tcW w:w="1214" w:type="dxa"/>
            <w:tcBorders>
              <w:top w:val="nil"/>
              <w:left w:val="nil"/>
              <w:bottom w:val="single" w:sz="4" w:space="0" w:color="auto"/>
              <w:right w:val="nil"/>
            </w:tcBorders>
            <w:shd w:val="clear" w:color="auto" w:fill="auto"/>
            <w:noWrap/>
            <w:vAlign w:val="center"/>
            <w:hideMark/>
          </w:tcPr>
          <w:p w14:paraId="3E7AB61E" w14:textId="05BEBF0C"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2 243</w:t>
            </w:r>
          </w:p>
        </w:tc>
        <w:tc>
          <w:tcPr>
            <w:tcW w:w="735" w:type="dxa"/>
            <w:tcBorders>
              <w:top w:val="nil"/>
              <w:left w:val="nil"/>
              <w:bottom w:val="single" w:sz="4" w:space="0" w:color="auto"/>
              <w:right w:val="nil"/>
            </w:tcBorders>
            <w:shd w:val="clear" w:color="auto" w:fill="auto"/>
            <w:noWrap/>
            <w:vAlign w:val="center"/>
            <w:hideMark/>
          </w:tcPr>
          <w:p w14:paraId="04A97910" w14:textId="39C2F211"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+19 %</w:t>
            </w:r>
          </w:p>
        </w:tc>
        <w:tc>
          <w:tcPr>
            <w:tcW w:w="1214" w:type="dxa"/>
            <w:tcBorders>
              <w:top w:val="nil"/>
              <w:left w:val="single" w:sz="4" w:space="0" w:color="auto"/>
              <w:bottom w:val="single" w:sz="4" w:space="0" w:color="auto"/>
              <w:right w:val="nil"/>
            </w:tcBorders>
            <w:shd w:val="clear" w:color="auto" w:fill="auto"/>
            <w:noWrap/>
            <w:vAlign w:val="center"/>
            <w:hideMark/>
          </w:tcPr>
          <w:p w14:paraId="74961E52" w14:textId="6005F481"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2 094</w:t>
            </w:r>
          </w:p>
        </w:tc>
        <w:tc>
          <w:tcPr>
            <w:tcW w:w="771" w:type="dxa"/>
            <w:tcBorders>
              <w:top w:val="nil"/>
              <w:left w:val="nil"/>
              <w:bottom w:val="single" w:sz="4" w:space="0" w:color="auto"/>
              <w:right w:val="single" w:sz="4" w:space="0" w:color="auto"/>
            </w:tcBorders>
            <w:shd w:val="clear" w:color="auto" w:fill="auto"/>
            <w:noWrap/>
            <w:vAlign w:val="center"/>
            <w:hideMark/>
          </w:tcPr>
          <w:p w14:paraId="3E1622E1" w14:textId="06CD3F3C"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1037" w:type="dxa"/>
            <w:tcBorders>
              <w:top w:val="nil"/>
              <w:left w:val="nil"/>
              <w:bottom w:val="single" w:sz="4" w:space="0" w:color="auto"/>
              <w:right w:val="nil"/>
            </w:tcBorders>
            <w:shd w:val="clear" w:color="auto" w:fill="auto"/>
            <w:noWrap/>
            <w:vAlign w:val="center"/>
            <w:hideMark/>
          </w:tcPr>
          <w:p w14:paraId="7244EB93" w14:textId="31DBC2B8"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1 272</w:t>
            </w:r>
          </w:p>
        </w:tc>
        <w:tc>
          <w:tcPr>
            <w:tcW w:w="806" w:type="dxa"/>
            <w:tcBorders>
              <w:top w:val="nil"/>
              <w:left w:val="nil"/>
              <w:bottom w:val="single" w:sz="4" w:space="0" w:color="auto"/>
              <w:right w:val="single" w:sz="4" w:space="0" w:color="auto"/>
            </w:tcBorders>
            <w:shd w:val="clear" w:color="auto" w:fill="auto"/>
            <w:noWrap/>
            <w:vAlign w:val="center"/>
            <w:hideMark/>
          </w:tcPr>
          <w:p w14:paraId="590E5E70" w14:textId="0AFF9819"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417" w:type="dxa"/>
            <w:tcBorders>
              <w:top w:val="nil"/>
              <w:left w:val="nil"/>
              <w:bottom w:val="single" w:sz="4" w:space="0" w:color="auto"/>
              <w:right w:val="nil"/>
            </w:tcBorders>
            <w:shd w:val="clear" w:color="auto" w:fill="auto"/>
            <w:noWrap/>
            <w:vAlign w:val="center"/>
            <w:hideMark/>
          </w:tcPr>
          <w:p w14:paraId="1749C83B" w14:textId="133FBE9E"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93,4 %</w:t>
            </w:r>
          </w:p>
        </w:tc>
      </w:tr>
      <w:tr w:rsidR="004036FA" w:rsidRPr="00F15667" w14:paraId="28402FC9" w14:textId="77777777" w:rsidTr="003C28CA">
        <w:trPr>
          <w:trHeight w:val="315"/>
        </w:trPr>
        <w:tc>
          <w:tcPr>
            <w:tcW w:w="2020" w:type="dxa"/>
            <w:tcBorders>
              <w:top w:val="nil"/>
              <w:left w:val="nil"/>
              <w:bottom w:val="single" w:sz="4" w:space="0" w:color="auto"/>
              <w:right w:val="nil"/>
            </w:tcBorders>
            <w:shd w:val="clear" w:color="auto" w:fill="auto"/>
            <w:noWrap/>
            <w:vAlign w:val="center"/>
            <w:hideMark/>
          </w:tcPr>
          <w:p w14:paraId="7D5B5D6C" w14:textId="77777777" w:rsidR="004036FA" w:rsidRPr="00F15667" w:rsidRDefault="004036FA" w:rsidP="004036FA">
            <w:pPr>
              <w:spacing w:line="240" w:lineRule="auto"/>
              <w:jc w:val="left"/>
              <w:rPr>
                <w:rFonts w:eastAsia="Times New Roman"/>
                <w:szCs w:val="24"/>
                <w:lang w:eastAsia="cs-CZ"/>
              </w:rPr>
            </w:pPr>
            <w:r w:rsidRPr="00F15667">
              <w:rPr>
                <w:rFonts w:eastAsia="Times New Roman"/>
                <w:szCs w:val="24"/>
                <w:lang w:eastAsia="cs-CZ"/>
              </w:rPr>
              <w:t>KS Brno</w:t>
            </w:r>
          </w:p>
        </w:tc>
        <w:tc>
          <w:tcPr>
            <w:tcW w:w="1214" w:type="dxa"/>
            <w:tcBorders>
              <w:top w:val="nil"/>
              <w:left w:val="nil"/>
              <w:bottom w:val="single" w:sz="4" w:space="0" w:color="auto"/>
              <w:right w:val="nil"/>
            </w:tcBorders>
            <w:shd w:val="clear" w:color="auto" w:fill="auto"/>
            <w:noWrap/>
            <w:vAlign w:val="center"/>
            <w:hideMark/>
          </w:tcPr>
          <w:p w14:paraId="351BF870" w14:textId="0F732358"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2 749</w:t>
            </w:r>
          </w:p>
        </w:tc>
        <w:tc>
          <w:tcPr>
            <w:tcW w:w="735" w:type="dxa"/>
            <w:tcBorders>
              <w:top w:val="nil"/>
              <w:left w:val="nil"/>
              <w:bottom w:val="single" w:sz="4" w:space="0" w:color="auto"/>
              <w:right w:val="nil"/>
            </w:tcBorders>
            <w:shd w:val="clear" w:color="auto" w:fill="auto"/>
            <w:noWrap/>
            <w:vAlign w:val="center"/>
            <w:hideMark/>
          </w:tcPr>
          <w:p w14:paraId="0D16B270" w14:textId="0A7AAC82"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214" w:type="dxa"/>
            <w:tcBorders>
              <w:top w:val="nil"/>
              <w:left w:val="single" w:sz="4" w:space="0" w:color="auto"/>
              <w:bottom w:val="single" w:sz="4" w:space="0" w:color="auto"/>
              <w:right w:val="nil"/>
            </w:tcBorders>
            <w:shd w:val="clear" w:color="auto" w:fill="auto"/>
            <w:noWrap/>
            <w:vAlign w:val="center"/>
            <w:hideMark/>
          </w:tcPr>
          <w:p w14:paraId="3AC82CAF" w14:textId="65ED37A6"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3 030</w:t>
            </w:r>
          </w:p>
        </w:tc>
        <w:tc>
          <w:tcPr>
            <w:tcW w:w="771" w:type="dxa"/>
            <w:tcBorders>
              <w:top w:val="nil"/>
              <w:left w:val="nil"/>
              <w:bottom w:val="single" w:sz="4" w:space="0" w:color="auto"/>
              <w:right w:val="single" w:sz="4" w:space="0" w:color="auto"/>
            </w:tcBorders>
            <w:shd w:val="clear" w:color="auto" w:fill="auto"/>
            <w:noWrap/>
            <w:vAlign w:val="center"/>
            <w:hideMark/>
          </w:tcPr>
          <w:p w14:paraId="2C66FFAE" w14:textId="1F38BE43"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037" w:type="dxa"/>
            <w:tcBorders>
              <w:top w:val="nil"/>
              <w:left w:val="nil"/>
              <w:bottom w:val="single" w:sz="4" w:space="0" w:color="auto"/>
              <w:right w:val="nil"/>
            </w:tcBorders>
            <w:shd w:val="clear" w:color="auto" w:fill="auto"/>
            <w:noWrap/>
            <w:vAlign w:val="center"/>
            <w:hideMark/>
          </w:tcPr>
          <w:p w14:paraId="066B8258" w14:textId="41E07E2B"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2 559</w:t>
            </w:r>
          </w:p>
        </w:tc>
        <w:tc>
          <w:tcPr>
            <w:tcW w:w="806" w:type="dxa"/>
            <w:tcBorders>
              <w:top w:val="nil"/>
              <w:left w:val="nil"/>
              <w:bottom w:val="single" w:sz="4" w:space="0" w:color="auto"/>
              <w:right w:val="single" w:sz="4" w:space="0" w:color="auto"/>
            </w:tcBorders>
            <w:shd w:val="clear" w:color="auto" w:fill="auto"/>
            <w:noWrap/>
            <w:vAlign w:val="center"/>
            <w:hideMark/>
          </w:tcPr>
          <w:p w14:paraId="65740C0F" w14:textId="5EE7CB4F"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417" w:type="dxa"/>
            <w:tcBorders>
              <w:top w:val="nil"/>
              <w:left w:val="nil"/>
              <w:bottom w:val="single" w:sz="4" w:space="0" w:color="auto"/>
              <w:right w:val="nil"/>
            </w:tcBorders>
            <w:shd w:val="clear" w:color="auto" w:fill="auto"/>
            <w:noWrap/>
            <w:vAlign w:val="center"/>
            <w:hideMark/>
          </w:tcPr>
          <w:p w14:paraId="2FFF8E17" w14:textId="4C0B9024"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110,2 %</w:t>
            </w:r>
          </w:p>
        </w:tc>
      </w:tr>
      <w:tr w:rsidR="004036FA" w:rsidRPr="00F15667" w14:paraId="1AF8D55B" w14:textId="77777777" w:rsidTr="003C28CA">
        <w:trPr>
          <w:trHeight w:val="330"/>
        </w:trPr>
        <w:tc>
          <w:tcPr>
            <w:tcW w:w="2020" w:type="dxa"/>
            <w:tcBorders>
              <w:top w:val="nil"/>
              <w:left w:val="nil"/>
              <w:bottom w:val="double" w:sz="6" w:space="0" w:color="auto"/>
              <w:right w:val="nil"/>
            </w:tcBorders>
            <w:shd w:val="clear" w:color="auto" w:fill="auto"/>
            <w:noWrap/>
            <w:vAlign w:val="center"/>
            <w:hideMark/>
          </w:tcPr>
          <w:p w14:paraId="41760929" w14:textId="77777777" w:rsidR="004036FA" w:rsidRPr="00F15667" w:rsidRDefault="004036FA" w:rsidP="004036FA">
            <w:pPr>
              <w:spacing w:line="240" w:lineRule="auto"/>
              <w:jc w:val="left"/>
              <w:rPr>
                <w:rFonts w:eastAsia="Times New Roman"/>
                <w:szCs w:val="24"/>
                <w:lang w:eastAsia="cs-CZ"/>
              </w:rPr>
            </w:pPr>
            <w:r w:rsidRPr="00F15667">
              <w:rPr>
                <w:rFonts w:eastAsia="Times New Roman"/>
                <w:szCs w:val="24"/>
                <w:lang w:eastAsia="cs-CZ"/>
              </w:rPr>
              <w:t>KS Ostrava</w:t>
            </w:r>
          </w:p>
        </w:tc>
        <w:tc>
          <w:tcPr>
            <w:tcW w:w="1214" w:type="dxa"/>
            <w:tcBorders>
              <w:top w:val="nil"/>
              <w:left w:val="nil"/>
              <w:bottom w:val="double" w:sz="6" w:space="0" w:color="auto"/>
              <w:right w:val="nil"/>
            </w:tcBorders>
            <w:shd w:val="clear" w:color="auto" w:fill="auto"/>
            <w:noWrap/>
            <w:vAlign w:val="center"/>
            <w:hideMark/>
          </w:tcPr>
          <w:p w14:paraId="684A4D3F" w14:textId="449ADEF4"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2 592</w:t>
            </w:r>
          </w:p>
        </w:tc>
        <w:tc>
          <w:tcPr>
            <w:tcW w:w="735" w:type="dxa"/>
            <w:tcBorders>
              <w:top w:val="nil"/>
              <w:left w:val="nil"/>
              <w:bottom w:val="double" w:sz="6" w:space="0" w:color="auto"/>
              <w:right w:val="nil"/>
            </w:tcBorders>
            <w:shd w:val="clear" w:color="auto" w:fill="auto"/>
            <w:noWrap/>
            <w:vAlign w:val="center"/>
            <w:hideMark/>
          </w:tcPr>
          <w:p w14:paraId="0582648C" w14:textId="7D6F6DA9"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1214" w:type="dxa"/>
            <w:tcBorders>
              <w:top w:val="nil"/>
              <w:left w:val="single" w:sz="4" w:space="0" w:color="auto"/>
              <w:bottom w:val="double" w:sz="6" w:space="0" w:color="auto"/>
              <w:right w:val="nil"/>
            </w:tcBorders>
            <w:shd w:val="clear" w:color="auto" w:fill="auto"/>
            <w:noWrap/>
            <w:vAlign w:val="center"/>
            <w:hideMark/>
          </w:tcPr>
          <w:p w14:paraId="76580F98" w14:textId="62F4C98A"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2 693</w:t>
            </w:r>
          </w:p>
        </w:tc>
        <w:tc>
          <w:tcPr>
            <w:tcW w:w="771" w:type="dxa"/>
            <w:tcBorders>
              <w:top w:val="nil"/>
              <w:left w:val="nil"/>
              <w:bottom w:val="double" w:sz="6" w:space="0" w:color="auto"/>
              <w:right w:val="single" w:sz="4" w:space="0" w:color="auto"/>
            </w:tcBorders>
            <w:shd w:val="clear" w:color="auto" w:fill="auto"/>
            <w:noWrap/>
            <w:vAlign w:val="center"/>
            <w:hideMark/>
          </w:tcPr>
          <w:p w14:paraId="2B5B3806" w14:textId="36CEF60A"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-21 %</w:t>
            </w:r>
          </w:p>
        </w:tc>
        <w:tc>
          <w:tcPr>
            <w:tcW w:w="1037" w:type="dxa"/>
            <w:tcBorders>
              <w:top w:val="nil"/>
              <w:left w:val="nil"/>
              <w:bottom w:val="double" w:sz="6" w:space="0" w:color="auto"/>
              <w:right w:val="nil"/>
            </w:tcBorders>
            <w:shd w:val="clear" w:color="auto" w:fill="auto"/>
            <w:noWrap/>
            <w:vAlign w:val="center"/>
            <w:hideMark/>
          </w:tcPr>
          <w:p w14:paraId="6581171E" w14:textId="54C3B1C7"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1 275</w:t>
            </w:r>
          </w:p>
        </w:tc>
        <w:tc>
          <w:tcPr>
            <w:tcW w:w="806" w:type="dxa"/>
            <w:tcBorders>
              <w:top w:val="nil"/>
              <w:left w:val="nil"/>
              <w:bottom w:val="double" w:sz="6" w:space="0" w:color="auto"/>
              <w:right w:val="single" w:sz="4" w:space="0" w:color="auto"/>
            </w:tcBorders>
            <w:shd w:val="clear" w:color="auto" w:fill="auto"/>
            <w:noWrap/>
            <w:vAlign w:val="center"/>
            <w:hideMark/>
          </w:tcPr>
          <w:p w14:paraId="2460CB0B" w14:textId="3CC1AB09" w:rsidR="004036FA" w:rsidRPr="00F15667" w:rsidRDefault="004036FA" w:rsidP="004036FA">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417" w:type="dxa"/>
            <w:tcBorders>
              <w:top w:val="nil"/>
              <w:left w:val="nil"/>
              <w:bottom w:val="nil"/>
              <w:right w:val="nil"/>
            </w:tcBorders>
            <w:shd w:val="clear" w:color="auto" w:fill="auto"/>
            <w:noWrap/>
            <w:vAlign w:val="center"/>
            <w:hideMark/>
          </w:tcPr>
          <w:p w14:paraId="305A231D" w14:textId="55C46F65" w:rsidR="004036FA" w:rsidRPr="00F15667" w:rsidRDefault="004036FA" w:rsidP="004036FA">
            <w:pPr>
              <w:spacing w:line="240" w:lineRule="auto"/>
              <w:jc w:val="center"/>
              <w:rPr>
                <w:rFonts w:eastAsia="Times New Roman"/>
                <w:szCs w:val="24"/>
                <w:lang w:eastAsia="cs-CZ"/>
              </w:rPr>
            </w:pPr>
            <w:r w:rsidRPr="00F15667">
              <w:rPr>
                <w:rFonts w:eastAsia="Times New Roman"/>
                <w:szCs w:val="24"/>
                <w:lang w:eastAsia="cs-CZ"/>
              </w:rPr>
              <w:t>103,9 %</w:t>
            </w:r>
          </w:p>
        </w:tc>
      </w:tr>
      <w:tr w:rsidR="004036FA" w:rsidRPr="00F15667" w14:paraId="65C4921C" w14:textId="77777777" w:rsidTr="003C28CA">
        <w:trPr>
          <w:trHeight w:val="345"/>
        </w:trPr>
        <w:tc>
          <w:tcPr>
            <w:tcW w:w="2020" w:type="dxa"/>
            <w:tcBorders>
              <w:top w:val="nil"/>
              <w:left w:val="nil"/>
              <w:bottom w:val="double" w:sz="6" w:space="0" w:color="auto"/>
              <w:right w:val="nil"/>
            </w:tcBorders>
            <w:shd w:val="clear" w:color="auto" w:fill="auto"/>
            <w:noWrap/>
            <w:vAlign w:val="center"/>
            <w:hideMark/>
          </w:tcPr>
          <w:p w14:paraId="571DBAC1" w14:textId="77777777" w:rsidR="004036FA" w:rsidRPr="00F15667" w:rsidRDefault="004036FA" w:rsidP="004036FA">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214" w:type="dxa"/>
            <w:tcBorders>
              <w:top w:val="nil"/>
              <w:left w:val="nil"/>
              <w:bottom w:val="double" w:sz="6" w:space="0" w:color="auto"/>
              <w:right w:val="nil"/>
            </w:tcBorders>
            <w:shd w:val="clear" w:color="auto" w:fill="auto"/>
            <w:noWrap/>
            <w:vAlign w:val="center"/>
            <w:hideMark/>
          </w:tcPr>
          <w:p w14:paraId="2A926EE2" w14:textId="6DA03FB1" w:rsidR="004036FA" w:rsidRPr="00F15667" w:rsidRDefault="004036FA" w:rsidP="004036FA">
            <w:pPr>
              <w:spacing w:line="240" w:lineRule="auto"/>
              <w:jc w:val="center"/>
              <w:rPr>
                <w:rFonts w:eastAsia="Times New Roman"/>
                <w:b/>
                <w:bCs/>
                <w:szCs w:val="24"/>
                <w:lang w:eastAsia="cs-CZ"/>
              </w:rPr>
            </w:pPr>
            <w:r w:rsidRPr="00F15667">
              <w:rPr>
                <w:rFonts w:eastAsia="Times New Roman"/>
                <w:b/>
                <w:bCs/>
                <w:szCs w:val="24"/>
                <w:lang w:eastAsia="cs-CZ"/>
              </w:rPr>
              <w:t>23 156</w:t>
            </w:r>
          </w:p>
        </w:tc>
        <w:tc>
          <w:tcPr>
            <w:tcW w:w="735" w:type="dxa"/>
            <w:tcBorders>
              <w:top w:val="nil"/>
              <w:left w:val="nil"/>
              <w:bottom w:val="double" w:sz="6" w:space="0" w:color="auto"/>
              <w:right w:val="nil"/>
            </w:tcBorders>
            <w:shd w:val="clear" w:color="auto" w:fill="auto"/>
            <w:noWrap/>
            <w:vAlign w:val="center"/>
            <w:hideMark/>
          </w:tcPr>
          <w:p w14:paraId="4EB495BD" w14:textId="6CCB4418" w:rsidR="004036FA" w:rsidRPr="00F15667" w:rsidRDefault="004036FA" w:rsidP="004036FA">
            <w:pPr>
              <w:spacing w:line="240" w:lineRule="auto"/>
              <w:jc w:val="center"/>
              <w:rPr>
                <w:rFonts w:eastAsia="Times New Roman"/>
                <w:b/>
                <w:bCs/>
                <w:sz w:val="20"/>
                <w:szCs w:val="20"/>
                <w:lang w:eastAsia="cs-CZ"/>
              </w:rPr>
            </w:pPr>
            <w:r w:rsidRPr="00F15667">
              <w:rPr>
                <w:rFonts w:eastAsia="Times New Roman"/>
                <w:b/>
                <w:bCs/>
                <w:sz w:val="20"/>
                <w:szCs w:val="20"/>
                <w:lang w:eastAsia="cs-CZ"/>
              </w:rPr>
              <w:t>-1 %</w:t>
            </w:r>
          </w:p>
        </w:tc>
        <w:tc>
          <w:tcPr>
            <w:tcW w:w="1214" w:type="dxa"/>
            <w:tcBorders>
              <w:top w:val="nil"/>
              <w:left w:val="single" w:sz="4" w:space="0" w:color="auto"/>
              <w:bottom w:val="double" w:sz="6" w:space="0" w:color="auto"/>
              <w:right w:val="nil"/>
            </w:tcBorders>
            <w:shd w:val="clear" w:color="auto" w:fill="auto"/>
            <w:noWrap/>
            <w:vAlign w:val="center"/>
            <w:hideMark/>
          </w:tcPr>
          <w:p w14:paraId="00E15200" w14:textId="7BE918AA" w:rsidR="004036FA" w:rsidRPr="00F15667" w:rsidRDefault="004036FA" w:rsidP="004036FA">
            <w:pPr>
              <w:spacing w:line="240" w:lineRule="auto"/>
              <w:jc w:val="center"/>
              <w:rPr>
                <w:rFonts w:eastAsia="Times New Roman"/>
                <w:b/>
                <w:bCs/>
                <w:szCs w:val="24"/>
                <w:lang w:eastAsia="cs-CZ"/>
              </w:rPr>
            </w:pPr>
            <w:r w:rsidRPr="00F15667">
              <w:rPr>
                <w:rFonts w:eastAsia="Times New Roman"/>
                <w:b/>
                <w:bCs/>
                <w:szCs w:val="24"/>
                <w:lang w:eastAsia="cs-CZ"/>
              </w:rPr>
              <w:t>23 580</w:t>
            </w:r>
          </w:p>
        </w:tc>
        <w:tc>
          <w:tcPr>
            <w:tcW w:w="771" w:type="dxa"/>
            <w:tcBorders>
              <w:top w:val="nil"/>
              <w:left w:val="nil"/>
              <w:bottom w:val="double" w:sz="6" w:space="0" w:color="auto"/>
              <w:right w:val="single" w:sz="4" w:space="0" w:color="auto"/>
            </w:tcBorders>
            <w:shd w:val="clear" w:color="auto" w:fill="auto"/>
            <w:noWrap/>
            <w:vAlign w:val="center"/>
            <w:hideMark/>
          </w:tcPr>
          <w:p w14:paraId="5F137169" w14:textId="4D004607" w:rsidR="004036FA" w:rsidRPr="00F15667" w:rsidRDefault="004036FA" w:rsidP="004036FA">
            <w:pPr>
              <w:spacing w:line="240" w:lineRule="auto"/>
              <w:jc w:val="center"/>
              <w:rPr>
                <w:rFonts w:eastAsia="Times New Roman"/>
                <w:b/>
                <w:bCs/>
                <w:sz w:val="20"/>
                <w:szCs w:val="20"/>
                <w:lang w:eastAsia="cs-CZ"/>
              </w:rPr>
            </w:pPr>
            <w:r w:rsidRPr="00F15667">
              <w:rPr>
                <w:rFonts w:eastAsia="Times New Roman"/>
                <w:b/>
                <w:bCs/>
                <w:sz w:val="20"/>
                <w:szCs w:val="20"/>
                <w:lang w:eastAsia="cs-CZ"/>
              </w:rPr>
              <w:t>+0 %</w:t>
            </w:r>
          </w:p>
        </w:tc>
        <w:tc>
          <w:tcPr>
            <w:tcW w:w="1037" w:type="dxa"/>
            <w:tcBorders>
              <w:top w:val="nil"/>
              <w:left w:val="nil"/>
              <w:bottom w:val="double" w:sz="6" w:space="0" w:color="auto"/>
              <w:right w:val="nil"/>
            </w:tcBorders>
            <w:shd w:val="clear" w:color="auto" w:fill="auto"/>
            <w:noWrap/>
            <w:vAlign w:val="center"/>
            <w:hideMark/>
          </w:tcPr>
          <w:p w14:paraId="07F2B7D2" w14:textId="1FAD95C1" w:rsidR="004036FA" w:rsidRPr="00F15667" w:rsidRDefault="004036FA" w:rsidP="004036FA">
            <w:pPr>
              <w:spacing w:line="240" w:lineRule="auto"/>
              <w:jc w:val="center"/>
              <w:rPr>
                <w:rFonts w:eastAsia="Times New Roman"/>
                <w:b/>
                <w:bCs/>
                <w:szCs w:val="24"/>
                <w:lang w:eastAsia="cs-CZ"/>
              </w:rPr>
            </w:pPr>
            <w:r w:rsidRPr="00F15667">
              <w:rPr>
                <w:rFonts w:eastAsia="Times New Roman"/>
                <w:b/>
                <w:bCs/>
                <w:szCs w:val="24"/>
                <w:lang w:eastAsia="cs-CZ"/>
              </w:rPr>
              <w:t>13 210</w:t>
            </w:r>
          </w:p>
        </w:tc>
        <w:tc>
          <w:tcPr>
            <w:tcW w:w="806" w:type="dxa"/>
            <w:tcBorders>
              <w:top w:val="nil"/>
              <w:left w:val="nil"/>
              <w:bottom w:val="double" w:sz="6" w:space="0" w:color="auto"/>
              <w:right w:val="single" w:sz="4" w:space="0" w:color="auto"/>
            </w:tcBorders>
            <w:shd w:val="clear" w:color="auto" w:fill="auto"/>
            <w:noWrap/>
            <w:vAlign w:val="center"/>
            <w:hideMark/>
          </w:tcPr>
          <w:p w14:paraId="058296BC" w14:textId="1E8B5762" w:rsidR="004036FA" w:rsidRPr="00F15667" w:rsidRDefault="004036FA" w:rsidP="004036FA">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c>
          <w:tcPr>
            <w:tcW w:w="1417" w:type="dxa"/>
            <w:tcBorders>
              <w:top w:val="double" w:sz="6" w:space="0" w:color="auto"/>
              <w:left w:val="nil"/>
              <w:bottom w:val="double" w:sz="6" w:space="0" w:color="auto"/>
              <w:right w:val="nil"/>
            </w:tcBorders>
            <w:shd w:val="clear" w:color="auto" w:fill="auto"/>
            <w:noWrap/>
            <w:vAlign w:val="center"/>
            <w:hideMark/>
          </w:tcPr>
          <w:p w14:paraId="7DDD5A8C" w14:textId="49D66698" w:rsidR="004036FA" w:rsidRPr="00F15667" w:rsidRDefault="004036FA" w:rsidP="004036FA">
            <w:pPr>
              <w:spacing w:line="240" w:lineRule="auto"/>
              <w:jc w:val="center"/>
              <w:rPr>
                <w:rFonts w:eastAsia="Times New Roman"/>
                <w:b/>
                <w:bCs/>
                <w:szCs w:val="24"/>
                <w:lang w:eastAsia="cs-CZ"/>
              </w:rPr>
            </w:pPr>
            <w:r w:rsidRPr="00F15667">
              <w:rPr>
                <w:rFonts w:eastAsia="Times New Roman"/>
                <w:b/>
                <w:bCs/>
                <w:szCs w:val="24"/>
                <w:lang w:eastAsia="cs-CZ"/>
              </w:rPr>
              <w:t>101,8 %</w:t>
            </w:r>
          </w:p>
        </w:tc>
      </w:tr>
      <w:tr w:rsidR="004036FA" w:rsidRPr="00F15667" w14:paraId="24EE8FDD" w14:textId="77777777" w:rsidTr="003C28CA">
        <w:trPr>
          <w:trHeight w:val="330"/>
        </w:trPr>
        <w:tc>
          <w:tcPr>
            <w:tcW w:w="2020" w:type="dxa"/>
            <w:tcBorders>
              <w:top w:val="nil"/>
              <w:left w:val="nil"/>
              <w:bottom w:val="nil"/>
              <w:right w:val="nil"/>
            </w:tcBorders>
            <w:shd w:val="clear" w:color="auto" w:fill="auto"/>
            <w:noWrap/>
            <w:vAlign w:val="center"/>
            <w:hideMark/>
          </w:tcPr>
          <w:p w14:paraId="4126279F" w14:textId="77777777" w:rsidR="004036FA" w:rsidRPr="00F15667" w:rsidRDefault="004036FA" w:rsidP="004036FA">
            <w:pPr>
              <w:spacing w:line="240" w:lineRule="auto"/>
              <w:jc w:val="center"/>
              <w:rPr>
                <w:rFonts w:ascii="Times New Roman" w:eastAsia="Times New Roman" w:hAnsi="Times New Roman"/>
                <w:sz w:val="20"/>
                <w:szCs w:val="20"/>
                <w:lang w:eastAsia="cs-CZ"/>
              </w:rPr>
            </w:pPr>
          </w:p>
        </w:tc>
        <w:tc>
          <w:tcPr>
            <w:tcW w:w="1214" w:type="dxa"/>
            <w:tcBorders>
              <w:top w:val="nil"/>
              <w:left w:val="nil"/>
              <w:bottom w:val="nil"/>
              <w:right w:val="nil"/>
            </w:tcBorders>
            <w:shd w:val="clear" w:color="auto" w:fill="auto"/>
            <w:noWrap/>
            <w:vAlign w:val="center"/>
            <w:hideMark/>
          </w:tcPr>
          <w:p w14:paraId="6FCAC45E" w14:textId="77777777" w:rsidR="004036FA" w:rsidRPr="00F15667" w:rsidRDefault="004036FA" w:rsidP="004036FA">
            <w:pPr>
              <w:spacing w:line="240" w:lineRule="auto"/>
              <w:jc w:val="center"/>
              <w:rPr>
                <w:rFonts w:ascii="Times New Roman" w:eastAsia="Times New Roman" w:hAnsi="Times New Roman"/>
                <w:sz w:val="20"/>
                <w:szCs w:val="20"/>
                <w:lang w:eastAsia="cs-CZ"/>
              </w:rPr>
            </w:pPr>
          </w:p>
        </w:tc>
        <w:tc>
          <w:tcPr>
            <w:tcW w:w="735" w:type="dxa"/>
            <w:tcBorders>
              <w:top w:val="nil"/>
              <w:left w:val="nil"/>
              <w:bottom w:val="nil"/>
              <w:right w:val="nil"/>
            </w:tcBorders>
            <w:shd w:val="clear" w:color="auto" w:fill="auto"/>
            <w:noWrap/>
            <w:vAlign w:val="center"/>
            <w:hideMark/>
          </w:tcPr>
          <w:p w14:paraId="50DC4089" w14:textId="77777777" w:rsidR="004036FA" w:rsidRPr="00F15667" w:rsidRDefault="004036FA" w:rsidP="004036FA">
            <w:pPr>
              <w:spacing w:line="240" w:lineRule="auto"/>
              <w:jc w:val="center"/>
              <w:rPr>
                <w:rFonts w:ascii="Times New Roman" w:eastAsia="Times New Roman" w:hAnsi="Times New Roman"/>
                <w:sz w:val="20"/>
                <w:szCs w:val="20"/>
                <w:lang w:eastAsia="cs-CZ"/>
              </w:rPr>
            </w:pPr>
          </w:p>
        </w:tc>
        <w:tc>
          <w:tcPr>
            <w:tcW w:w="1214" w:type="dxa"/>
            <w:tcBorders>
              <w:top w:val="nil"/>
              <w:left w:val="nil"/>
              <w:bottom w:val="nil"/>
              <w:right w:val="nil"/>
            </w:tcBorders>
            <w:shd w:val="clear" w:color="auto" w:fill="auto"/>
            <w:noWrap/>
            <w:vAlign w:val="center"/>
            <w:hideMark/>
          </w:tcPr>
          <w:p w14:paraId="2CA4A14F" w14:textId="77777777" w:rsidR="004036FA" w:rsidRPr="00F15667" w:rsidRDefault="004036FA" w:rsidP="004036FA">
            <w:pPr>
              <w:spacing w:line="240" w:lineRule="auto"/>
              <w:jc w:val="center"/>
              <w:rPr>
                <w:rFonts w:ascii="Times New Roman" w:eastAsia="Times New Roman" w:hAnsi="Times New Roman"/>
                <w:sz w:val="20"/>
                <w:szCs w:val="20"/>
                <w:lang w:eastAsia="cs-CZ"/>
              </w:rPr>
            </w:pPr>
          </w:p>
        </w:tc>
        <w:tc>
          <w:tcPr>
            <w:tcW w:w="771" w:type="dxa"/>
            <w:tcBorders>
              <w:top w:val="nil"/>
              <w:left w:val="nil"/>
              <w:bottom w:val="nil"/>
              <w:right w:val="nil"/>
            </w:tcBorders>
            <w:shd w:val="clear" w:color="auto" w:fill="auto"/>
            <w:noWrap/>
            <w:vAlign w:val="center"/>
            <w:hideMark/>
          </w:tcPr>
          <w:p w14:paraId="42CD2FDC" w14:textId="77777777" w:rsidR="004036FA" w:rsidRPr="00F15667" w:rsidRDefault="004036FA" w:rsidP="004036FA">
            <w:pPr>
              <w:spacing w:line="240" w:lineRule="auto"/>
              <w:jc w:val="center"/>
              <w:rPr>
                <w:rFonts w:ascii="Times New Roman" w:eastAsia="Times New Roman" w:hAnsi="Times New Roman"/>
                <w:sz w:val="20"/>
                <w:szCs w:val="20"/>
                <w:lang w:eastAsia="cs-CZ"/>
              </w:rPr>
            </w:pPr>
          </w:p>
        </w:tc>
        <w:tc>
          <w:tcPr>
            <w:tcW w:w="1037" w:type="dxa"/>
            <w:tcBorders>
              <w:top w:val="nil"/>
              <w:left w:val="nil"/>
              <w:bottom w:val="nil"/>
              <w:right w:val="nil"/>
            </w:tcBorders>
            <w:shd w:val="clear" w:color="auto" w:fill="auto"/>
            <w:noWrap/>
            <w:vAlign w:val="center"/>
            <w:hideMark/>
          </w:tcPr>
          <w:p w14:paraId="54B1F4CB" w14:textId="77777777" w:rsidR="004036FA" w:rsidRPr="00F15667" w:rsidRDefault="004036FA" w:rsidP="004036FA">
            <w:pPr>
              <w:spacing w:line="240" w:lineRule="auto"/>
              <w:jc w:val="center"/>
              <w:rPr>
                <w:rFonts w:ascii="Times New Roman" w:eastAsia="Times New Roman" w:hAnsi="Times New Roman"/>
                <w:sz w:val="20"/>
                <w:szCs w:val="20"/>
                <w:lang w:eastAsia="cs-CZ"/>
              </w:rPr>
            </w:pPr>
          </w:p>
        </w:tc>
        <w:tc>
          <w:tcPr>
            <w:tcW w:w="806" w:type="dxa"/>
            <w:tcBorders>
              <w:top w:val="nil"/>
              <w:left w:val="nil"/>
              <w:bottom w:val="nil"/>
              <w:right w:val="nil"/>
            </w:tcBorders>
            <w:shd w:val="clear" w:color="auto" w:fill="auto"/>
            <w:noWrap/>
            <w:vAlign w:val="center"/>
            <w:hideMark/>
          </w:tcPr>
          <w:p w14:paraId="4A0902D6" w14:textId="77777777" w:rsidR="004036FA" w:rsidRPr="00F15667" w:rsidRDefault="004036FA" w:rsidP="004036FA">
            <w:pPr>
              <w:spacing w:line="240" w:lineRule="auto"/>
              <w:jc w:val="center"/>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center"/>
            <w:hideMark/>
          </w:tcPr>
          <w:p w14:paraId="56BEA595" w14:textId="77777777" w:rsidR="004036FA" w:rsidRPr="00F15667" w:rsidRDefault="004036FA" w:rsidP="004036FA">
            <w:pPr>
              <w:spacing w:line="240" w:lineRule="auto"/>
              <w:jc w:val="center"/>
              <w:rPr>
                <w:rFonts w:ascii="Times New Roman" w:eastAsia="Times New Roman" w:hAnsi="Times New Roman"/>
                <w:sz w:val="20"/>
                <w:szCs w:val="20"/>
                <w:lang w:eastAsia="cs-CZ"/>
              </w:rPr>
            </w:pPr>
          </w:p>
        </w:tc>
      </w:tr>
    </w:tbl>
    <w:p w14:paraId="5198B5CA" w14:textId="77777777" w:rsidR="002F2932" w:rsidRPr="00F15667" w:rsidRDefault="002F2932" w:rsidP="002F2932">
      <w:pPr>
        <w:pStyle w:val="OdstavecASR"/>
      </w:pPr>
      <w:r w:rsidRPr="00F15667">
        <w:t>V tabulce můžeme vysledovat několik zajímavých skutečností, a to:</w:t>
      </w:r>
    </w:p>
    <w:p w14:paraId="6A82EDEE" w14:textId="7161E265" w:rsidR="002F2932" w:rsidRPr="00F15667" w:rsidRDefault="002F2932" w:rsidP="002F2932">
      <w:pPr>
        <w:pStyle w:val="OdstavecASR"/>
        <w:numPr>
          <w:ilvl w:val="0"/>
          <w:numId w:val="34"/>
        </w:numPr>
      </w:pPr>
      <w:r w:rsidRPr="00F15667">
        <w:t xml:space="preserve">Velké rozdíly mezi mírami vyřizování mezi soudy. </w:t>
      </w:r>
      <w:r w:rsidR="00966D00" w:rsidRPr="00F15667">
        <w:t xml:space="preserve">Některé jsou </w:t>
      </w:r>
      <w:r w:rsidR="002D335C" w:rsidRPr="00F15667">
        <w:t>pod 100 % (až téměř 8</w:t>
      </w:r>
      <w:r w:rsidR="00895C30" w:rsidRPr="00F15667">
        <w:t> </w:t>
      </w:r>
      <w:r w:rsidR="002D335C" w:rsidRPr="00F15667">
        <w:t>procentních bodů), jiné jsou vysoko nad 100 %.</w:t>
      </w:r>
    </w:p>
    <w:p w14:paraId="3BEEC4B6" w14:textId="2DF46989" w:rsidR="002F2932" w:rsidRPr="00F15667" w:rsidRDefault="002F2932" w:rsidP="002F2932">
      <w:pPr>
        <w:pStyle w:val="OdstavecASR"/>
        <w:numPr>
          <w:ilvl w:val="0"/>
          <w:numId w:val="34"/>
        </w:numPr>
      </w:pPr>
      <w:r w:rsidRPr="00F15667">
        <w:t xml:space="preserve">Velký nárůst v počtu příchozích věcí </w:t>
      </w:r>
      <w:r w:rsidR="00966D00" w:rsidRPr="00F15667">
        <w:t>u KS v Plzni a KS v Ústí nad Labem. V Plzni se rovněž zvýšil počet vyřízených věcí, v Ústí nad Labem ne.</w:t>
      </w:r>
    </w:p>
    <w:p w14:paraId="7D449A8B" w14:textId="77777777" w:rsidR="002D335C" w:rsidRPr="00F15667" w:rsidRDefault="002D335C" w:rsidP="002D335C">
      <w:pPr>
        <w:pStyle w:val="Nadpis3"/>
        <w:numPr>
          <w:ilvl w:val="2"/>
          <w:numId w:val="1"/>
        </w:numPr>
        <w:rPr>
          <w:color w:val="auto"/>
        </w:rPr>
      </w:pPr>
      <w:bookmarkStart w:id="641" w:name="_Toc106092755"/>
      <w:bookmarkStart w:id="642" w:name="_Toc109801366"/>
      <w:bookmarkStart w:id="643" w:name="_Toc144104368"/>
      <w:r w:rsidRPr="00F15667">
        <w:rPr>
          <w:color w:val="auto"/>
        </w:rPr>
        <w:t>Vyřizování v přepočtu na soudce</w:t>
      </w:r>
      <w:bookmarkEnd w:id="641"/>
      <w:bookmarkEnd w:id="642"/>
      <w:bookmarkEnd w:id="643"/>
    </w:p>
    <w:p w14:paraId="4BE9B5C4" w14:textId="77777777" w:rsidR="002D335C" w:rsidRPr="00F15667" w:rsidRDefault="002D335C" w:rsidP="002D335C">
      <w:pPr>
        <w:pStyle w:val="OdstavecASR"/>
      </w:pPr>
      <w:r w:rsidRPr="00F15667">
        <w:t>Stejně jako u OS má Ministerstvo spravedlnosti k dispozici přesnější data o počtu soudců, která budou využita pro přepočet, neboť umožňují oddělit soudce vyřizující prvostupňovou agendu od soudců, kteří vyřizují agendu odvolací. V těchto datech tedy je zahrnut skutečný počet soudců (skutečných úvazků), kteří se zabývají prvostupňovou občanskoprávní a obchodněprávní agendou. Soudci, kteří se zabývají insolvencemi, incidenčními spory a obchodním rejstříkem zde započteni nejsou. Přepočet na soudce je uveden v tabulce níže.</w:t>
      </w:r>
    </w:p>
    <w:p w14:paraId="5FEEF000" w14:textId="742121F1" w:rsidR="002D335C" w:rsidRPr="00F15667" w:rsidRDefault="002D335C" w:rsidP="002D335C">
      <w:pPr>
        <w:pStyle w:val="Podnadpis"/>
        <w:rPr>
          <w:color w:val="auto"/>
        </w:rPr>
      </w:pPr>
      <w:bookmarkStart w:id="644" w:name="_Toc75952348"/>
      <w:bookmarkStart w:id="645" w:name="_Toc106106805"/>
      <w:bookmarkStart w:id="646" w:name="_Toc109802128"/>
      <w:bookmarkStart w:id="647" w:name="_Toc144104286"/>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47</w:t>
      </w:r>
      <w:r w:rsidRPr="00F15667">
        <w:rPr>
          <w:noProof/>
          <w:color w:val="auto"/>
        </w:rPr>
        <w:fldChar w:fldCharType="end"/>
      </w:r>
      <w:r w:rsidRPr="00F15667">
        <w:rPr>
          <w:color w:val="auto"/>
        </w:rPr>
        <w:t>: KS – vyřiz. prvostupň. civil. věcí na skutečný úvazek dle soudů</w:t>
      </w:r>
      <w:bookmarkEnd w:id="644"/>
      <w:bookmarkEnd w:id="645"/>
      <w:bookmarkEnd w:id="646"/>
      <w:bookmarkEnd w:id="647"/>
    </w:p>
    <w:tbl>
      <w:tblPr>
        <w:tblW w:w="9143" w:type="dxa"/>
        <w:tblLayout w:type="fixed"/>
        <w:tblCellMar>
          <w:left w:w="70" w:type="dxa"/>
          <w:right w:w="70" w:type="dxa"/>
        </w:tblCellMar>
        <w:tblLook w:val="04A0" w:firstRow="1" w:lastRow="0" w:firstColumn="1" w:lastColumn="0" w:noHBand="0" w:noVBand="1"/>
      </w:tblPr>
      <w:tblGrid>
        <w:gridCol w:w="2268"/>
        <w:gridCol w:w="1418"/>
        <w:gridCol w:w="1819"/>
        <w:gridCol w:w="1819"/>
        <w:gridCol w:w="1819"/>
      </w:tblGrid>
      <w:tr w:rsidR="00F15667" w:rsidRPr="00F15667" w14:paraId="6BD336A0" w14:textId="77777777" w:rsidTr="003C28CA">
        <w:trPr>
          <w:trHeight w:val="330"/>
        </w:trPr>
        <w:tc>
          <w:tcPr>
            <w:tcW w:w="2268" w:type="dxa"/>
            <w:vMerge w:val="restart"/>
            <w:tcBorders>
              <w:top w:val="double" w:sz="6" w:space="0" w:color="auto"/>
              <w:left w:val="nil"/>
              <w:bottom w:val="double" w:sz="6" w:space="0" w:color="000000"/>
              <w:right w:val="nil"/>
            </w:tcBorders>
            <w:shd w:val="clear" w:color="auto" w:fill="auto"/>
            <w:noWrap/>
            <w:vAlign w:val="center"/>
            <w:hideMark/>
          </w:tcPr>
          <w:p w14:paraId="6640949E" w14:textId="38BFD52B" w:rsidR="001630A8" w:rsidRPr="00F15667" w:rsidRDefault="004036FA" w:rsidP="001630A8">
            <w:pPr>
              <w:spacing w:line="240" w:lineRule="auto"/>
              <w:jc w:val="center"/>
              <w:rPr>
                <w:rFonts w:eastAsia="Times New Roman"/>
                <w:b/>
                <w:bCs/>
                <w:szCs w:val="24"/>
                <w:lang w:eastAsia="cs-CZ"/>
              </w:rPr>
            </w:pPr>
            <w:r>
              <w:rPr>
                <w:rFonts w:eastAsia="Times New Roman"/>
                <w:b/>
                <w:bCs/>
                <w:szCs w:val="24"/>
                <w:lang w:eastAsia="cs-CZ"/>
              </w:rPr>
              <w:t>S</w:t>
            </w:r>
            <w:r w:rsidR="001630A8" w:rsidRPr="00F15667">
              <w:rPr>
                <w:rFonts w:eastAsia="Times New Roman"/>
                <w:b/>
                <w:bCs/>
                <w:szCs w:val="24"/>
                <w:lang w:eastAsia="cs-CZ"/>
              </w:rPr>
              <w:t>oud</w:t>
            </w:r>
          </w:p>
        </w:tc>
        <w:tc>
          <w:tcPr>
            <w:tcW w:w="1418" w:type="dxa"/>
            <w:vMerge w:val="restart"/>
            <w:tcBorders>
              <w:top w:val="double" w:sz="6" w:space="0" w:color="auto"/>
              <w:left w:val="nil"/>
              <w:bottom w:val="double" w:sz="6" w:space="0" w:color="000000"/>
              <w:right w:val="nil"/>
            </w:tcBorders>
            <w:shd w:val="clear" w:color="auto" w:fill="auto"/>
            <w:noWrap/>
            <w:vAlign w:val="center"/>
            <w:hideMark/>
          </w:tcPr>
          <w:p w14:paraId="56926ADB" w14:textId="77777777" w:rsidR="001630A8" w:rsidRPr="00F15667" w:rsidRDefault="001630A8" w:rsidP="001630A8">
            <w:pPr>
              <w:spacing w:line="240" w:lineRule="auto"/>
              <w:jc w:val="center"/>
              <w:rPr>
                <w:rFonts w:eastAsia="Times New Roman"/>
                <w:b/>
                <w:bCs/>
                <w:szCs w:val="24"/>
                <w:lang w:eastAsia="cs-CZ"/>
              </w:rPr>
            </w:pPr>
            <w:r w:rsidRPr="00F15667">
              <w:rPr>
                <w:rFonts w:eastAsia="Times New Roman"/>
                <w:b/>
                <w:bCs/>
                <w:szCs w:val="24"/>
                <w:lang w:eastAsia="cs-CZ"/>
              </w:rPr>
              <w:t>Počet úvazků</w:t>
            </w:r>
          </w:p>
        </w:tc>
        <w:tc>
          <w:tcPr>
            <w:tcW w:w="5457" w:type="dxa"/>
            <w:gridSpan w:val="3"/>
            <w:tcBorders>
              <w:top w:val="double" w:sz="6" w:space="0" w:color="auto"/>
              <w:left w:val="nil"/>
              <w:bottom w:val="nil"/>
              <w:right w:val="nil"/>
            </w:tcBorders>
            <w:shd w:val="clear" w:color="auto" w:fill="auto"/>
            <w:noWrap/>
            <w:vAlign w:val="center"/>
            <w:hideMark/>
          </w:tcPr>
          <w:p w14:paraId="4A1A3E42" w14:textId="77777777" w:rsidR="001630A8" w:rsidRPr="00F15667" w:rsidRDefault="001630A8" w:rsidP="001630A8">
            <w:pPr>
              <w:spacing w:line="240" w:lineRule="auto"/>
              <w:jc w:val="center"/>
              <w:rPr>
                <w:rFonts w:eastAsia="Times New Roman"/>
                <w:b/>
                <w:bCs/>
                <w:szCs w:val="24"/>
                <w:lang w:eastAsia="cs-CZ"/>
              </w:rPr>
            </w:pPr>
            <w:r w:rsidRPr="00F15667">
              <w:rPr>
                <w:rFonts w:eastAsia="Times New Roman"/>
                <w:b/>
                <w:bCs/>
                <w:szCs w:val="24"/>
                <w:lang w:eastAsia="cs-CZ"/>
              </w:rPr>
              <w:t>Počet věcí na úvazek</w:t>
            </w:r>
          </w:p>
        </w:tc>
      </w:tr>
      <w:tr w:rsidR="00F15667" w:rsidRPr="00F15667" w14:paraId="1123EB28" w14:textId="77777777" w:rsidTr="003C28CA">
        <w:trPr>
          <w:trHeight w:val="330"/>
        </w:trPr>
        <w:tc>
          <w:tcPr>
            <w:tcW w:w="2268" w:type="dxa"/>
            <w:vMerge/>
            <w:tcBorders>
              <w:top w:val="double" w:sz="6" w:space="0" w:color="auto"/>
              <w:left w:val="nil"/>
              <w:bottom w:val="double" w:sz="6" w:space="0" w:color="000000"/>
              <w:right w:val="nil"/>
            </w:tcBorders>
            <w:vAlign w:val="center"/>
            <w:hideMark/>
          </w:tcPr>
          <w:p w14:paraId="20E3915C" w14:textId="77777777" w:rsidR="001630A8" w:rsidRPr="00F15667" w:rsidRDefault="001630A8" w:rsidP="001630A8">
            <w:pPr>
              <w:spacing w:line="240" w:lineRule="auto"/>
              <w:jc w:val="left"/>
              <w:rPr>
                <w:rFonts w:eastAsia="Times New Roman"/>
                <w:b/>
                <w:bCs/>
                <w:szCs w:val="24"/>
                <w:lang w:eastAsia="cs-CZ"/>
              </w:rPr>
            </w:pPr>
          </w:p>
        </w:tc>
        <w:tc>
          <w:tcPr>
            <w:tcW w:w="1418" w:type="dxa"/>
            <w:vMerge/>
            <w:tcBorders>
              <w:top w:val="double" w:sz="6" w:space="0" w:color="auto"/>
              <w:left w:val="nil"/>
              <w:bottom w:val="double" w:sz="6" w:space="0" w:color="000000"/>
              <w:right w:val="nil"/>
            </w:tcBorders>
            <w:vAlign w:val="center"/>
            <w:hideMark/>
          </w:tcPr>
          <w:p w14:paraId="554C4C5D" w14:textId="77777777" w:rsidR="001630A8" w:rsidRPr="00F15667" w:rsidRDefault="001630A8" w:rsidP="001630A8">
            <w:pPr>
              <w:spacing w:line="240" w:lineRule="auto"/>
              <w:jc w:val="left"/>
              <w:rPr>
                <w:rFonts w:eastAsia="Times New Roman"/>
                <w:b/>
                <w:bCs/>
                <w:szCs w:val="24"/>
                <w:lang w:eastAsia="cs-CZ"/>
              </w:rPr>
            </w:pPr>
          </w:p>
        </w:tc>
        <w:tc>
          <w:tcPr>
            <w:tcW w:w="1819" w:type="dxa"/>
            <w:tcBorders>
              <w:top w:val="nil"/>
              <w:left w:val="nil"/>
              <w:bottom w:val="double" w:sz="6" w:space="0" w:color="auto"/>
              <w:right w:val="nil"/>
            </w:tcBorders>
            <w:shd w:val="clear" w:color="auto" w:fill="auto"/>
            <w:noWrap/>
            <w:vAlign w:val="center"/>
            <w:hideMark/>
          </w:tcPr>
          <w:p w14:paraId="6B1A72BC" w14:textId="77777777" w:rsidR="001630A8" w:rsidRPr="00F15667" w:rsidRDefault="001630A8" w:rsidP="001630A8">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819" w:type="dxa"/>
            <w:tcBorders>
              <w:top w:val="nil"/>
              <w:left w:val="nil"/>
              <w:bottom w:val="double" w:sz="6" w:space="0" w:color="auto"/>
              <w:right w:val="nil"/>
            </w:tcBorders>
            <w:shd w:val="clear" w:color="auto" w:fill="auto"/>
            <w:noWrap/>
            <w:vAlign w:val="center"/>
            <w:hideMark/>
          </w:tcPr>
          <w:p w14:paraId="70B0862A" w14:textId="77777777" w:rsidR="001630A8" w:rsidRPr="00F15667" w:rsidRDefault="001630A8" w:rsidP="001630A8">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819" w:type="dxa"/>
            <w:tcBorders>
              <w:top w:val="nil"/>
              <w:left w:val="nil"/>
              <w:bottom w:val="double" w:sz="6" w:space="0" w:color="auto"/>
              <w:right w:val="nil"/>
            </w:tcBorders>
            <w:shd w:val="clear" w:color="auto" w:fill="auto"/>
            <w:noWrap/>
            <w:vAlign w:val="center"/>
            <w:hideMark/>
          </w:tcPr>
          <w:p w14:paraId="3F17DA71" w14:textId="77777777" w:rsidR="001630A8" w:rsidRPr="00F15667" w:rsidRDefault="001630A8" w:rsidP="001630A8">
            <w:pPr>
              <w:spacing w:line="240" w:lineRule="auto"/>
              <w:jc w:val="center"/>
              <w:rPr>
                <w:rFonts w:eastAsia="Times New Roman"/>
                <w:b/>
                <w:bCs/>
                <w:szCs w:val="24"/>
                <w:lang w:eastAsia="cs-CZ"/>
              </w:rPr>
            </w:pPr>
            <w:r w:rsidRPr="00F15667">
              <w:rPr>
                <w:rFonts w:eastAsia="Times New Roman"/>
                <w:b/>
                <w:bCs/>
                <w:szCs w:val="24"/>
                <w:lang w:eastAsia="cs-CZ"/>
              </w:rPr>
              <w:t>Nevyřízeno</w:t>
            </w:r>
          </w:p>
        </w:tc>
      </w:tr>
      <w:tr w:rsidR="00F15667" w:rsidRPr="00F15667" w14:paraId="259E2814" w14:textId="77777777" w:rsidTr="003C28CA">
        <w:trPr>
          <w:trHeight w:val="330"/>
        </w:trPr>
        <w:tc>
          <w:tcPr>
            <w:tcW w:w="2268" w:type="dxa"/>
            <w:tcBorders>
              <w:top w:val="single" w:sz="4" w:space="0" w:color="auto"/>
              <w:left w:val="nil"/>
              <w:bottom w:val="single" w:sz="4" w:space="0" w:color="auto"/>
              <w:right w:val="nil"/>
            </w:tcBorders>
            <w:shd w:val="clear" w:color="auto" w:fill="auto"/>
            <w:noWrap/>
            <w:vAlign w:val="bottom"/>
            <w:hideMark/>
          </w:tcPr>
          <w:p w14:paraId="2A0129A9" w14:textId="77777777" w:rsidR="001630A8" w:rsidRPr="00F15667" w:rsidRDefault="001630A8" w:rsidP="001630A8">
            <w:pPr>
              <w:spacing w:line="240" w:lineRule="auto"/>
              <w:jc w:val="left"/>
              <w:rPr>
                <w:rFonts w:eastAsia="Times New Roman"/>
                <w:szCs w:val="24"/>
                <w:lang w:eastAsia="cs-CZ"/>
              </w:rPr>
            </w:pPr>
            <w:r w:rsidRPr="00F15667">
              <w:rPr>
                <w:rFonts w:eastAsia="Times New Roman"/>
                <w:szCs w:val="24"/>
                <w:lang w:eastAsia="cs-CZ"/>
              </w:rPr>
              <w:t>MS Praha</w:t>
            </w:r>
          </w:p>
        </w:tc>
        <w:tc>
          <w:tcPr>
            <w:tcW w:w="1418" w:type="dxa"/>
            <w:tcBorders>
              <w:top w:val="single" w:sz="4" w:space="0" w:color="auto"/>
              <w:left w:val="nil"/>
              <w:bottom w:val="single" w:sz="4" w:space="0" w:color="auto"/>
              <w:right w:val="nil"/>
            </w:tcBorders>
            <w:shd w:val="clear" w:color="auto" w:fill="auto"/>
            <w:noWrap/>
            <w:vAlign w:val="bottom"/>
            <w:hideMark/>
          </w:tcPr>
          <w:p w14:paraId="09A800DB" w14:textId="18F86E7B"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27,25</w:t>
            </w:r>
          </w:p>
        </w:tc>
        <w:tc>
          <w:tcPr>
            <w:tcW w:w="1819" w:type="dxa"/>
            <w:tcBorders>
              <w:top w:val="single" w:sz="4" w:space="0" w:color="auto"/>
              <w:left w:val="nil"/>
              <w:bottom w:val="single" w:sz="4" w:space="0" w:color="auto"/>
              <w:right w:val="nil"/>
            </w:tcBorders>
            <w:shd w:val="clear" w:color="auto" w:fill="auto"/>
            <w:noWrap/>
            <w:vAlign w:val="bottom"/>
            <w:hideMark/>
          </w:tcPr>
          <w:p w14:paraId="0D35777A" w14:textId="3BAACEA9"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433,98</w:t>
            </w:r>
          </w:p>
        </w:tc>
        <w:tc>
          <w:tcPr>
            <w:tcW w:w="1819" w:type="dxa"/>
            <w:tcBorders>
              <w:top w:val="single" w:sz="4" w:space="0" w:color="auto"/>
              <w:left w:val="nil"/>
              <w:bottom w:val="single" w:sz="4" w:space="0" w:color="auto"/>
              <w:right w:val="nil"/>
            </w:tcBorders>
            <w:shd w:val="clear" w:color="auto" w:fill="auto"/>
            <w:noWrap/>
            <w:vAlign w:val="bottom"/>
            <w:hideMark/>
          </w:tcPr>
          <w:p w14:paraId="57353359" w14:textId="46D411FB"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440,51</w:t>
            </w:r>
          </w:p>
        </w:tc>
        <w:tc>
          <w:tcPr>
            <w:tcW w:w="1819" w:type="dxa"/>
            <w:tcBorders>
              <w:top w:val="single" w:sz="4" w:space="0" w:color="auto"/>
              <w:left w:val="nil"/>
              <w:bottom w:val="single" w:sz="4" w:space="0" w:color="auto"/>
              <w:right w:val="nil"/>
            </w:tcBorders>
            <w:shd w:val="clear" w:color="auto" w:fill="auto"/>
            <w:noWrap/>
            <w:vAlign w:val="bottom"/>
            <w:hideMark/>
          </w:tcPr>
          <w:p w14:paraId="2EFFC7BB" w14:textId="538349BA"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198,50</w:t>
            </w:r>
          </w:p>
        </w:tc>
      </w:tr>
      <w:tr w:rsidR="00F15667" w:rsidRPr="00F15667" w14:paraId="0CF91006" w14:textId="77777777" w:rsidTr="003C28CA">
        <w:trPr>
          <w:trHeight w:val="315"/>
        </w:trPr>
        <w:tc>
          <w:tcPr>
            <w:tcW w:w="2268" w:type="dxa"/>
            <w:tcBorders>
              <w:top w:val="nil"/>
              <w:left w:val="nil"/>
              <w:bottom w:val="single" w:sz="4" w:space="0" w:color="auto"/>
              <w:right w:val="nil"/>
            </w:tcBorders>
            <w:shd w:val="clear" w:color="auto" w:fill="auto"/>
            <w:noWrap/>
            <w:vAlign w:val="bottom"/>
            <w:hideMark/>
          </w:tcPr>
          <w:p w14:paraId="3F744442" w14:textId="77777777" w:rsidR="001630A8" w:rsidRPr="00F15667" w:rsidRDefault="001630A8" w:rsidP="001630A8">
            <w:pPr>
              <w:spacing w:line="240" w:lineRule="auto"/>
              <w:jc w:val="left"/>
              <w:rPr>
                <w:rFonts w:eastAsia="Times New Roman"/>
                <w:szCs w:val="24"/>
                <w:lang w:eastAsia="cs-CZ"/>
              </w:rPr>
            </w:pPr>
            <w:r w:rsidRPr="00F15667">
              <w:rPr>
                <w:rFonts w:eastAsia="Times New Roman"/>
                <w:szCs w:val="24"/>
                <w:lang w:eastAsia="cs-CZ"/>
              </w:rPr>
              <w:t>KS Praha</w:t>
            </w:r>
          </w:p>
        </w:tc>
        <w:tc>
          <w:tcPr>
            <w:tcW w:w="1418" w:type="dxa"/>
            <w:tcBorders>
              <w:top w:val="nil"/>
              <w:left w:val="nil"/>
              <w:bottom w:val="single" w:sz="4" w:space="0" w:color="auto"/>
              <w:right w:val="nil"/>
            </w:tcBorders>
            <w:shd w:val="clear" w:color="auto" w:fill="auto"/>
            <w:noWrap/>
            <w:vAlign w:val="bottom"/>
            <w:hideMark/>
          </w:tcPr>
          <w:p w14:paraId="6A6B6C45" w14:textId="77777777"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w:t>
            </w:r>
          </w:p>
        </w:tc>
        <w:tc>
          <w:tcPr>
            <w:tcW w:w="1819" w:type="dxa"/>
            <w:tcBorders>
              <w:top w:val="nil"/>
              <w:left w:val="nil"/>
              <w:bottom w:val="single" w:sz="4" w:space="0" w:color="auto"/>
              <w:right w:val="nil"/>
            </w:tcBorders>
            <w:shd w:val="clear" w:color="auto" w:fill="auto"/>
            <w:noWrap/>
            <w:vAlign w:val="bottom"/>
            <w:hideMark/>
          </w:tcPr>
          <w:p w14:paraId="36257A2B" w14:textId="7934C0E0"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285,00</w:t>
            </w:r>
          </w:p>
        </w:tc>
        <w:tc>
          <w:tcPr>
            <w:tcW w:w="1819" w:type="dxa"/>
            <w:tcBorders>
              <w:top w:val="nil"/>
              <w:left w:val="nil"/>
              <w:bottom w:val="single" w:sz="4" w:space="0" w:color="auto"/>
              <w:right w:val="nil"/>
            </w:tcBorders>
            <w:shd w:val="clear" w:color="auto" w:fill="auto"/>
            <w:noWrap/>
            <w:vAlign w:val="bottom"/>
            <w:hideMark/>
          </w:tcPr>
          <w:p w14:paraId="56CC9B10" w14:textId="3FD2B71E"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345,00</w:t>
            </w:r>
          </w:p>
        </w:tc>
        <w:tc>
          <w:tcPr>
            <w:tcW w:w="1819" w:type="dxa"/>
            <w:tcBorders>
              <w:top w:val="nil"/>
              <w:left w:val="nil"/>
              <w:bottom w:val="single" w:sz="4" w:space="0" w:color="auto"/>
              <w:right w:val="nil"/>
            </w:tcBorders>
            <w:shd w:val="clear" w:color="auto" w:fill="auto"/>
            <w:noWrap/>
            <w:vAlign w:val="bottom"/>
            <w:hideMark/>
          </w:tcPr>
          <w:p w14:paraId="02658DAE" w14:textId="39F60CA0"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137,00</w:t>
            </w:r>
          </w:p>
        </w:tc>
      </w:tr>
      <w:tr w:rsidR="00F15667" w:rsidRPr="00F15667" w14:paraId="35197927" w14:textId="77777777" w:rsidTr="003C28CA">
        <w:trPr>
          <w:trHeight w:val="315"/>
        </w:trPr>
        <w:tc>
          <w:tcPr>
            <w:tcW w:w="2268" w:type="dxa"/>
            <w:tcBorders>
              <w:top w:val="nil"/>
              <w:left w:val="nil"/>
              <w:bottom w:val="single" w:sz="4" w:space="0" w:color="auto"/>
              <w:right w:val="nil"/>
            </w:tcBorders>
            <w:shd w:val="clear" w:color="auto" w:fill="auto"/>
            <w:noWrap/>
            <w:vAlign w:val="bottom"/>
            <w:hideMark/>
          </w:tcPr>
          <w:p w14:paraId="49E8786B" w14:textId="77777777" w:rsidR="001630A8" w:rsidRPr="00F15667" w:rsidRDefault="001630A8" w:rsidP="001630A8">
            <w:pPr>
              <w:spacing w:line="240" w:lineRule="auto"/>
              <w:jc w:val="left"/>
              <w:rPr>
                <w:rFonts w:eastAsia="Times New Roman"/>
                <w:szCs w:val="24"/>
                <w:lang w:eastAsia="cs-CZ"/>
              </w:rPr>
            </w:pPr>
            <w:r w:rsidRPr="00F15667">
              <w:rPr>
                <w:rFonts w:eastAsia="Times New Roman"/>
                <w:szCs w:val="24"/>
                <w:lang w:eastAsia="cs-CZ"/>
              </w:rPr>
              <w:t>KS Č. Budějovice</w:t>
            </w:r>
          </w:p>
        </w:tc>
        <w:tc>
          <w:tcPr>
            <w:tcW w:w="1418" w:type="dxa"/>
            <w:tcBorders>
              <w:top w:val="nil"/>
              <w:left w:val="nil"/>
              <w:bottom w:val="single" w:sz="4" w:space="0" w:color="auto"/>
              <w:right w:val="nil"/>
            </w:tcBorders>
            <w:shd w:val="clear" w:color="auto" w:fill="auto"/>
            <w:noWrap/>
            <w:vAlign w:val="bottom"/>
            <w:hideMark/>
          </w:tcPr>
          <w:p w14:paraId="76608137" w14:textId="2A9E8F79"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2,5</w:t>
            </w:r>
          </w:p>
        </w:tc>
        <w:tc>
          <w:tcPr>
            <w:tcW w:w="1819" w:type="dxa"/>
            <w:tcBorders>
              <w:top w:val="nil"/>
              <w:left w:val="nil"/>
              <w:bottom w:val="single" w:sz="4" w:space="0" w:color="auto"/>
              <w:right w:val="nil"/>
            </w:tcBorders>
            <w:shd w:val="clear" w:color="auto" w:fill="auto"/>
            <w:noWrap/>
            <w:vAlign w:val="bottom"/>
            <w:hideMark/>
          </w:tcPr>
          <w:p w14:paraId="6F4A2286" w14:textId="0C4BE444"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185,60</w:t>
            </w:r>
          </w:p>
        </w:tc>
        <w:tc>
          <w:tcPr>
            <w:tcW w:w="1819" w:type="dxa"/>
            <w:tcBorders>
              <w:top w:val="nil"/>
              <w:left w:val="nil"/>
              <w:bottom w:val="single" w:sz="4" w:space="0" w:color="auto"/>
              <w:right w:val="nil"/>
            </w:tcBorders>
            <w:shd w:val="clear" w:color="auto" w:fill="auto"/>
            <w:noWrap/>
            <w:vAlign w:val="bottom"/>
            <w:hideMark/>
          </w:tcPr>
          <w:p w14:paraId="0A1B5F27" w14:textId="265129EA"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202,80</w:t>
            </w:r>
          </w:p>
        </w:tc>
        <w:tc>
          <w:tcPr>
            <w:tcW w:w="1819" w:type="dxa"/>
            <w:tcBorders>
              <w:top w:val="nil"/>
              <w:left w:val="nil"/>
              <w:bottom w:val="single" w:sz="4" w:space="0" w:color="auto"/>
              <w:right w:val="nil"/>
            </w:tcBorders>
            <w:shd w:val="clear" w:color="auto" w:fill="auto"/>
            <w:noWrap/>
            <w:vAlign w:val="bottom"/>
            <w:hideMark/>
          </w:tcPr>
          <w:p w14:paraId="571E0101" w14:textId="2E8F1DAE"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116,80</w:t>
            </w:r>
          </w:p>
        </w:tc>
      </w:tr>
      <w:tr w:rsidR="00F15667" w:rsidRPr="00F15667" w14:paraId="168DC5D4" w14:textId="77777777" w:rsidTr="003C28CA">
        <w:trPr>
          <w:trHeight w:val="315"/>
        </w:trPr>
        <w:tc>
          <w:tcPr>
            <w:tcW w:w="2268" w:type="dxa"/>
            <w:tcBorders>
              <w:top w:val="nil"/>
              <w:left w:val="nil"/>
              <w:bottom w:val="single" w:sz="4" w:space="0" w:color="auto"/>
              <w:right w:val="nil"/>
            </w:tcBorders>
            <w:shd w:val="clear" w:color="auto" w:fill="auto"/>
            <w:noWrap/>
            <w:vAlign w:val="bottom"/>
            <w:hideMark/>
          </w:tcPr>
          <w:p w14:paraId="2D499553" w14:textId="77777777" w:rsidR="001630A8" w:rsidRPr="00F15667" w:rsidRDefault="001630A8" w:rsidP="001630A8">
            <w:pPr>
              <w:spacing w:line="240" w:lineRule="auto"/>
              <w:jc w:val="left"/>
              <w:rPr>
                <w:rFonts w:eastAsia="Times New Roman"/>
                <w:szCs w:val="24"/>
                <w:lang w:eastAsia="cs-CZ"/>
              </w:rPr>
            </w:pPr>
            <w:r w:rsidRPr="00F15667">
              <w:rPr>
                <w:rFonts w:eastAsia="Times New Roman"/>
                <w:szCs w:val="24"/>
                <w:lang w:eastAsia="cs-CZ"/>
              </w:rPr>
              <w:t>KS Plzeň</w:t>
            </w:r>
          </w:p>
        </w:tc>
        <w:tc>
          <w:tcPr>
            <w:tcW w:w="1418" w:type="dxa"/>
            <w:tcBorders>
              <w:top w:val="nil"/>
              <w:left w:val="nil"/>
              <w:bottom w:val="single" w:sz="4" w:space="0" w:color="auto"/>
              <w:right w:val="nil"/>
            </w:tcBorders>
            <w:shd w:val="clear" w:color="auto" w:fill="auto"/>
            <w:noWrap/>
            <w:vAlign w:val="bottom"/>
            <w:hideMark/>
          </w:tcPr>
          <w:p w14:paraId="7AF267EB" w14:textId="77777777"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5</w:t>
            </w:r>
          </w:p>
        </w:tc>
        <w:tc>
          <w:tcPr>
            <w:tcW w:w="1819" w:type="dxa"/>
            <w:tcBorders>
              <w:top w:val="nil"/>
              <w:left w:val="nil"/>
              <w:bottom w:val="single" w:sz="4" w:space="0" w:color="auto"/>
              <w:right w:val="nil"/>
            </w:tcBorders>
            <w:shd w:val="clear" w:color="auto" w:fill="auto"/>
            <w:noWrap/>
            <w:vAlign w:val="bottom"/>
            <w:hideMark/>
          </w:tcPr>
          <w:p w14:paraId="4089893F" w14:textId="17B1F336"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238,40</w:t>
            </w:r>
          </w:p>
        </w:tc>
        <w:tc>
          <w:tcPr>
            <w:tcW w:w="1819" w:type="dxa"/>
            <w:tcBorders>
              <w:top w:val="nil"/>
              <w:left w:val="nil"/>
              <w:bottom w:val="single" w:sz="4" w:space="0" w:color="auto"/>
              <w:right w:val="nil"/>
            </w:tcBorders>
            <w:shd w:val="clear" w:color="auto" w:fill="auto"/>
            <w:noWrap/>
            <w:vAlign w:val="bottom"/>
            <w:hideMark/>
          </w:tcPr>
          <w:p w14:paraId="77631EDC" w14:textId="4F99F77E"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231,40</w:t>
            </w:r>
          </w:p>
        </w:tc>
        <w:tc>
          <w:tcPr>
            <w:tcW w:w="1819" w:type="dxa"/>
            <w:tcBorders>
              <w:top w:val="nil"/>
              <w:left w:val="nil"/>
              <w:bottom w:val="single" w:sz="4" w:space="0" w:color="auto"/>
              <w:right w:val="nil"/>
            </w:tcBorders>
            <w:shd w:val="clear" w:color="auto" w:fill="auto"/>
            <w:noWrap/>
            <w:vAlign w:val="bottom"/>
            <w:hideMark/>
          </w:tcPr>
          <w:p w14:paraId="30A3CA1F" w14:textId="22ECD134"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142,80</w:t>
            </w:r>
          </w:p>
        </w:tc>
      </w:tr>
      <w:tr w:rsidR="00F15667" w:rsidRPr="00F15667" w14:paraId="4F93EB90" w14:textId="77777777" w:rsidTr="003C28CA">
        <w:trPr>
          <w:trHeight w:val="315"/>
        </w:trPr>
        <w:tc>
          <w:tcPr>
            <w:tcW w:w="2268" w:type="dxa"/>
            <w:tcBorders>
              <w:top w:val="nil"/>
              <w:left w:val="nil"/>
              <w:bottom w:val="single" w:sz="4" w:space="0" w:color="auto"/>
              <w:right w:val="nil"/>
            </w:tcBorders>
            <w:shd w:val="clear" w:color="auto" w:fill="auto"/>
            <w:noWrap/>
            <w:vAlign w:val="bottom"/>
            <w:hideMark/>
          </w:tcPr>
          <w:p w14:paraId="57EB2331" w14:textId="77777777" w:rsidR="001630A8" w:rsidRPr="00F15667" w:rsidRDefault="001630A8" w:rsidP="001630A8">
            <w:pPr>
              <w:spacing w:line="240" w:lineRule="auto"/>
              <w:jc w:val="left"/>
              <w:rPr>
                <w:rFonts w:eastAsia="Times New Roman"/>
                <w:szCs w:val="24"/>
                <w:lang w:eastAsia="cs-CZ"/>
              </w:rPr>
            </w:pPr>
            <w:r w:rsidRPr="00F15667">
              <w:rPr>
                <w:rFonts w:eastAsia="Times New Roman"/>
                <w:szCs w:val="24"/>
                <w:lang w:eastAsia="cs-CZ"/>
              </w:rPr>
              <w:t>KS Ústí n. Labem</w:t>
            </w:r>
          </w:p>
        </w:tc>
        <w:tc>
          <w:tcPr>
            <w:tcW w:w="1418" w:type="dxa"/>
            <w:tcBorders>
              <w:top w:val="nil"/>
              <w:left w:val="nil"/>
              <w:bottom w:val="single" w:sz="4" w:space="0" w:color="auto"/>
              <w:right w:val="nil"/>
            </w:tcBorders>
            <w:shd w:val="clear" w:color="auto" w:fill="auto"/>
            <w:noWrap/>
            <w:vAlign w:val="bottom"/>
            <w:hideMark/>
          </w:tcPr>
          <w:p w14:paraId="72B1EC15" w14:textId="44418AFB"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6,81</w:t>
            </w:r>
          </w:p>
        </w:tc>
        <w:tc>
          <w:tcPr>
            <w:tcW w:w="1819" w:type="dxa"/>
            <w:tcBorders>
              <w:top w:val="nil"/>
              <w:left w:val="nil"/>
              <w:bottom w:val="single" w:sz="4" w:space="0" w:color="auto"/>
              <w:right w:val="nil"/>
            </w:tcBorders>
            <w:shd w:val="clear" w:color="auto" w:fill="auto"/>
            <w:noWrap/>
            <w:vAlign w:val="bottom"/>
            <w:hideMark/>
          </w:tcPr>
          <w:p w14:paraId="2EBAE74D" w14:textId="324C0F78"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223,20</w:t>
            </w:r>
          </w:p>
        </w:tc>
        <w:tc>
          <w:tcPr>
            <w:tcW w:w="1819" w:type="dxa"/>
            <w:tcBorders>
              <w:top w:val="nil"/>
              <w:left w:val="nil"/>
              <w:bottom w:val="single" w:sz="4" w:space="0" w:color="auto"/>
              <w:right w:val="nil"/>
            </w:tcBorders>
            <w:shd w:val="clear" w:color="auto" w:fill="auto"/>
            <w:noWrap/>
            <w:vAlign w:val="bottom"/>
            <w:hideMark/>
          </w:tcPr>
          <w:p w14:paraId="5348509C" w14:textId="5ED09AF6"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206,31</w:t>
            </w:r>
          </w:p>
        </w:tc>
        <w:tc>
          <w:tcPr>
            <w:tcW w:w="1819" w:type="dxa"/>
            <w:tcBorders>
              <w:top w:val="nil"/>
              <w:left w:val="nil"/>
              <w:bottom w:val="single" w:sz="4" w:space="0" w:color="auto"/>
              <w:right w:val="nil"/>
            </w:tcBorders>
            <w:shd w:val="clear" w:color="auto" w:fill="auto"/>
            <w:noWrap/>
            <w:vAlign w:val="bottom"/>
            <w:hideMark/>
          </w:tcPr>
          <w:p w14:paraId="18495022" w14:textId="3786DF64"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207,78</w:t>
            </w:r>
          </w:p>
        </w:tc>
      </w:tr>
      <w:tr w:rsidR="00F15667" w:rsidRPr="00F15667" w14:paraId="3355B097" w14:textId="77777777" w:rsidTr="003C28CA">
        <w:trPr>
          <w:trHeight w:val="315"/>
        </w:trPr>
        <w:tc>
          <w:tcPr>
            <w:tcW w:w="2268" w:type="dxa"/>
            <w:tcBorders>
              <w:top w:val="nil"/>
              <w:left w:val="nil"/>
              <w:bottom w:val="single" w:sz="4" w:space="0" w:color="auto"/>
              <w:right w:val="nil"/>
            </w:tcBorders>
            <w:shd w:val="clear" w:color="auto" w:fill="auto"/>
            <w:noWrap/>
            <w:vAlign w:val="bottom"/>
            <w:hideMark/>
          </w:tcPr>
          <w:p w14:paraId="78C0CA87" w14:textId="77777777" w:rsidR="001630A8" w:rsidRPr="00F15667" w:rsidRDefault="001630A8" w:rsidP="001630A8">
            <w:pPr>
              <w:spacing w:line="240" w:lineRule="auto"/>
              <w:jc w:val="left"/>
              <w:rPr>
                <w:rFonts w:eastAsia="Times New Roman"/>
                <w:szCs w:val="24"/>
                <w:lang w:eastAsia="cs-CZ"/>
              </w:rPr>
            </w:pPr>
            <w:r w:rsidRPr="00F15667">
              <w:rPr>
                <w:rFonts w:eastAsia="Times New Roman"/>
                <w:szCs w:val="24"/>
                <w:lang w:eastAsia="cs-CZ"/>
              </w:rPr>
              <w:t>KS Hr. Králové</w:t>
            </w:r>
          </w:p>
        </w:tc>
        <w:tc>
          <w:tcPr>
            <w:tcW w:w="1418" w:type="dxa"/>
            <w:tcBorders>
              <w:top w:val="nil"/>
              <w:left w:val="nil"/>
              <w:bottom w:val="single" w:sz="4" w:space="0" w:color="auto"/>
              <w:right w:val="nil"/>
            </w:tcBorders>
            <w:shd w:val="clear" w:color="auto" w:fill="auto"/>
            <w:noWrap/>
            <w:vAlign w:val="bottom"/>
            <w:hideMark/>
          </w:tcPr>
          <w:p w14:paraId="1726875E" w14:textId="6BF99A9D"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5,5</w:t>
            </w:r>
          </w:p>
        </w:tc>
        <w:tc>
          <w:tcPr>
            <w:tcW w:w="1819" w:type="dxa"/>
            <w:tcBorders>
              <w:top w:val="nil"/>
              <w:left w:val="nil"/>
              <w:bottom w:val="single" w:sz="4" w:space="0" w:color="auto"/>
              <w:right w:val="nil"/>
            </w:tcBorders>
            <w:shd w:val="clear" w:color="auto" w:fill="auto"/>
            <w:noWrap/>
            <w:vAlign w:val="bottom"/>
            <w:hideMark/>
          </w:tcPr>
          <w:p w14:paraId="3C23F166" w14:textId="21E69F05"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407,82</w:t>
            </w:r>
          </w:p>
        </w:tc>
        <w:tc>
          <w:tcPr>
            <w:tcW w:w="1819" w:type="dxa"/>
            <w:tcBorders>
              <w:top w:val="nil"/>
              <w:left w:val="nil"/>
              <w:bottom w:val="single" w:sz="4" w:space="0" w:color="auto"/>
              <w:right w:val="nil"/>
            </w:tcBorders>
            <w:shd w:val="clear" w:color="auto" w:fill="auto"/>
            <w:noWrap/>
            <w:vAlign w:val="bottom"/>
            <w:hideMark/>
          </w:tcPr>
          <w:p w14:paraId="49F09E23" w14:textId="73CFC6E5"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380,73</w:t>
            </w:r>
          </w:p>
        </w:tc>
        <w:tc>
          <w:tcPr>
            <w:tcW w:w="1819" w:type="dxa"/>
            <w:tcBorders>
              <w:top w:val="nil"/>
              <w:left w:val="nil"/>
              <w:bottom w:val="single" w:sz="4" w:space="0" w:color="auto"/>
              <w:right w:val="nil"/>
            </w:tcBorders>
            <w:shd w:val="clear" w:color="auto" w:fill="auto"/>
            <w:noWrap/>
            <w:vAlign w:val="bottom"/>
            <w:hideMark/>
          </w:tcPr>
          <w:p w14:paraId="2EEF7484" w14:textId="0B38FEC2"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231,27</w:t>
            </w:r>
          </w:p>
        </w:tc>
      </w:tr>
      <w:tr w:rsidR="00F15667" w:rsidRPr="00F15667" w14:paraId="5D077DC3" w14:textId="77777777" w:rsidTr="003C28CA">
        <w:trPr>
          <w:trHeight w:val="315"/>
        </w:trPr>
        <w:tc>
          <w:tcPr>
            <w:tcW w:w="2268" w:type="dxa"/>
            <w:tcBorders>
              <w:top w:val="nil"/>
              <w:left w:val="nil"/>
              <w:bottom w:val="single" w:sz="4" w:space="0" w:color="auto"/>
              <w:right w:val="nil"/>
            </w:tcBorders>
            <w:shd w:val="clear" w:color="auto" w:fill="auto"/>
            <w:noWrap/>
            <w:vAlign w:val="bottom"/>
            <w:hideMark/>
          </w:tcPr>
          <w:p w14:paraId="79645304" w14:textId="77777777" w:rsidR="001630A8" w:rsidRPr="00F15667" w:rsidRDefault="001630A8" w:rsidP="001630A8">
            <w:pPr>
              <w:spacing w:line="240" w:lineRule="auto"/>
              <w:jc w:val="left"/>
              <w:rPr>
                <w:rFonts w:eastAsia="Times New Roman"/>
                <w:szCs w:val="24"/>
                <w:lang w:eastAsia="cs-CZ"/>
              </w:rPr>
            </w:pPr>
            <w:r w:rsidRPr="00F15667">
              <w:rPr>
                <w:rFonts w:eastAsia="Times New Roman"/>
                <w:szCs w:val="24"/>
                <w:lang w:eastAsia="cs-CZ"/>
              </w:rPr>
              <w:t>KS Brno</w:t>
            </w:r>
          </w:p>
        </w:tc>
        <w:tc>
          <w:tcPr>
            <w:tcW w:w="1418" w:type="dxa"/>
            <w:tcBorders>
              <w:top w:val="nil"/>
              <w:left w:val="nil"/>
              <w:bottom w:val="single" w:sz="4" w:space="0" w:color="auto"/>
              <w:right w:val="nil"/>
            </w:tcBorders>
            <w:shd w:val="clear" w:color="auto" w:fill="auto"/>
            <w:noWrap/>
            <w:vAlign w:val="bottom"/>
            <w:hideMark/>
          </w:tcPr>
          <w:p w14:paraId="18D1A935" w14:textId="77777777"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15</w:t>
            </w:r>
          </w:p>
        </w:tc>
        <w:tc>
          <w:tcPr>
            <w:tcW w:w="1819" w:type="dxa"/>
            <w:tcBorders>
              <w:top w:val="nil"/>
              <w:left w:val="nil"/>
              <w:bottom w:val="single" w:sz="4" w:space="0" w:color="auto"/>
              <w:right w:val="nil"/>
            </w:tcBorders>
            <w:shd w:val="clear" w:color="auto" w:fill="auto"/>
            <w:noWrap/>
            <w:vAlign w:val="bottom"/>
            <w:hideMark/>
          </w:tcPr>
          <w:p w14:paraId="3E550755" w14:textId="10E18CD3"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183,27</w:t>
            </w:r>
          </w:p>
        </w:tc>
        <w:tc>
          <w:tcPr>
            <w:tcW w:w="1819" w:type="dxa"/>
            <w:tcBorders>
              <w:top w:val="nil"/>
              <w:left w:val="nil"/>
              <w:bottom w:val="single" w:sz="4" w:space="0" w:color="auto"/>
              <w:right w:val="nil"/>
            </w:tcBorders>
            <w:shd w:val="clear" w:color="auto" w:fill="auto"/>
            <w:noWrap/>
            <w:vAlign w:val="bottom"/>
            <w:hideMark/>
          </w:tcPr>
          <w:p w14:paraId="5F0720BE" w14:textId="4AF23552"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202,00</w:t>
            </w:r>
          </w:p>
        </w:tc>
        <w:tc>
          <w:tcPr>
            <w:tcW w:w="1819" w:type="dxa"/>
            <w:tcBorders>
              <w:top w:val="nil"/>
              <w:left w:val="nil"/>
              <w:bottom w:val="single" w:sz="4" w:space="0" w:color="auto"/>
              <w:right w:val="nil"/>
            </w:tcBorders>
            <w:shd w:val="clear" w:color="auto" w:fill="auto"/>
            <w:noWrap/>
            <w:vAlign w:val="bottom"/>
            <w:hideMark/>
          </w:tcPr>
          <w:p w14:paraId="2F800333" w14:textId="61A2F338"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170,60</w:t>
            </w:r>
          </w:p>
        </w:tc>
      </w:tr>
      <w:tr w:rsidR="00F15667" w:rsidRPr="00F15667" w14:paraId="7A3A8DC5" w14:textId="77777777" w:rsidTr="003C28CA">
        <w:trPr>
          <w:trHeight w:val="330"/>
        </w:trPr>
        <w:tc>
          <w:tcPr>
            <w:tcW w:w="2268" w:type="dxa"/>
            <w:tcBorders>
              <w:top w:val="nil"/>
              <w:left w:val="nil"/>
              <w:bottom w:val="double" w:sz="6" w:space="0" w:color="auto"/>
              <w:right w:val="nil"/>
            </w:tcBorders>
            <w:shd w:val="clear" w:color="auto" w:fill="auto"/>
            <w:noWrap/>
            <w:vAlign w:val="bottom"/>
            <w:hideMark/>
          </w:tcPr>
          <w:p w14:paraId="03709190" w14:textId="77777777" w:rsidR="001630A8" w:rsidRPr="00F15667" w:rsidRDefault="001630A8" w:rsidP="001630A8">
            <w:pPr>
              <w:spacing w:line="240" w:lineRule="auto"/>
              <w:jc w:val="left"/>
              <w:rPr>
                <w:rFonts w:eastAsia="Times New Roman"/>
                <w:szCs w:val="24"/>
                <w:lang w:eastAsia="cs-CZ"/>
              </w:rPr>
            </w:pPr>
            <w:r w:rsidRPr="00F15667">
              <w:rPr>
                <w:rFonts w:eastAsia="Times New Roman"/>
                <w:szCs w:val="24"/>
                <w:lang w:eastAsia="cs-CZ"/>
              </w:rPr>
              <w:t>KS Ostrava</w:t>
            </w:r>
          </w:p>
        </w:tc>
        <w:tc>
          <w:tcPr>
            <w:tcW w:w="1418" w:type="dxa"/>
            <w:tcBorders>
              <w:top w:val="nil"/>
              <w:left w:val="nil"/>
              <w:bottom w:val="double" w:sz="6" w:space="0" w:color="auto"/>
              <w:right w:val="nil"/>
            </w:tcBorders>
            <w:shd w:val="clear" w:color="auto" w:fill="auto"/>
            <w:noWrap/>
            <w:vAlign w:val="bottom"/>
            <w:hideMark/>
          </w:tcPr>
          <w:p w14:paraId="108CEE1F" w14:textId="56281575"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12,8</w:t>
            </w:r>
          </w:p>
        </w:tc>
        <w:tc>
          <w:tcPr>
            <w:tcW w:w="1819" w:type="dxa"/>
            <w:tcBorders>
              <w:top w:val="nil"/>
              <w:left w:val="nil"/>
              <w:bottom w:val="double" w:sz="6" w:space="0" w:color="auto"/>
              <w:right w:val="nil"/>
            </w:tcBorders>
            <w:shd w:val="clear" w:color="auto" w:fill="auto"/>
            <w:noWrap/>
            <w:vAlign w:val="bottom"/>
            <w:hideMark/>
          </w:tcPr>
          <w:p w14:paraId="0997E691" w14:textId="61285643"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202,50</w:t>
            </w:r>
          </w:p>
        </w:tc>
        <w:tc>
          <w:tcPr>
            <w:tcW w:w="1819" w:type="dxa"/>
            <w:tcBorders>
              <w:top w:val="nil"/>
              <w:left w:val="nil"/>
              <w:bottom w:val="double" w:sz="6" w:space="0" w:color="auto"/>
              <w:right w:val="nil"/>
            </w:tcBorders>
            <w:shd w:val="clear" w:color="auto" w:fill="auto"/>
            <w:noWrap/>
            <w:vAlign w:val="bottom"/>
            <w:hideMark/>
          </w:tcPr>
          <w:p w14:paraId="23751135" w14:textId="1798F482"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210,39</w:t>
            </w:r>
          </w:p>
        </w:tc>
        <w:tc>
          <w:tcPr>
            <w:tcW w:w="1819" w:type="dxa"/>
            <w:tcBorders>
              <w:top w:val="nil"/>
              <w:left w:val="nil"/>
              <w:bottom w:val="double" w:sz="6" w:space="0" w:color="auto"/>
              <w:right w:val="nil"/>
            </w:tcBorders>
            <w:shd w:val="clear" w:color="auto" w:fill="auto"/>
            <w:noWrap/>
            <w:vAlign w:val="bottom"/>
            <w:hideMark/>
          </w:tcPr>
          <w:p w14:paraId="5D21F17F" w14:textId="3D5AE461" w:rsidR="001630A8" w:rsidRPr="00F15667" w:rsidRDefault="001630A8" w:rsidP="001630A8">
            <w:pPr>
              <w:spacing w:line="240" w:lineRule="auto"/>
              <w:jc w:val="center"/>
              <w:rPr>
                <w:rFonts w:eastAsia="Times New Roman"/>
                <w:szCs w:val="24"/>
                <w:lang w:eastAsia="cs-CZ"/>
              </w:rPr>
            </w:pPr>
            <w:r w:rsidRPr="00F15667">
              <w:rPr>
                <w:rFonts w:eastAsia="Times New Roman"/>
                <w:szCs w:val="24"/>
                <w:lang w:eastAsia="cs-CZ"/>
              </w:rPr>
              <w:t>99,61</w:t>
            </w:r>
          </w:p>
        </w:tc>
      </w:tr>
      <w:tr w:rsidR="00F15667" w:rsidRPr="00F15667" w14:paraId="16865583" w14:textId="77777777" w:rsidTr="003C28CA">
        <w:trPr>
          <w:trHeight w:val="345"/>
        </w:trPr>
        <w:tc>
          <w:tcPr>
            <w:tcW w:w="2268" w:type="dxa"/>
            <w:tcBorders>
              <w:top w:val="nil"/>
              <w:left w:val="nil"/>
              <w:bottom w:val="double" w:sz="6" w:space="0" w:color="auto"/>
              <w:right w:val="nil"/>
            </w:tcBorders>
            <w:shd w:val="clear" w:color="auto" w:fill="auto"/>
            <w:noWrap/>
            <w:vAlign w:val="bottom"/>
            <w:hideMark/>
          </w:tcPr>
          <w:p w14:paraId="335DA957" w14:textId="77777777" w:rsidR="001630A8" w:rsidRPr="00F15667" w:rsidRDefault="001630A8" w:rsidP="001630A8">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418" w:type="dxa"/>
            <w:tcBorders>
              <w:top w:val="nil"/>
              <w:left w:val="nil"/>
              <w:bottom w:val="double" w:sz="6" w:space="0" w:color="auto"/>
              <w:right w:val="nil"/>
            </w:tcBorders>
            <w:shd w:val="clear" w:color="auto" w:fill="auto"/>
            <w:noWrap/>
            <w:vAlign w:val="bottom"/>
            <w:hideMark/>
          </w:tcPr>
          <w:p w14:paraId="2B36424D" w14:textId="5FF6B526" w:rsidR="001630A8" w:rsidRPr="00F15667" w:rsidRDefault="001630A8" w:rsidP="001630A8">
            <w:pPr>
              <w:spacing w:line="240" w:lineRule="auto"/>
              <w:jc w:val="center"/>
              <w:rPr>
                <w:rFonts w:eastAsia="Times New Roman"/>
                <w:b/>
                <w:bCs/>
                <w:szCs w:val="24"/>
                <w:lang w:eastAsia="cs-CZ"/>
              </w:rPr>
            </w:pPr>
            <w:r w:rsidRPr="00F15667">
              <w:rPr>
                <w:rFonts w:eastAsia="Times New Roman"/>
                <w:b/>
                <w:bCs/>
                <w:szCs w:val="24"/>
                <w:lang w:eastAsia="cs-CZ"/>
              </w:rPr>
              <w:t>76,86</w:t>
            </w:r>
          </w:p>
        </w:tc>
        <w:tc>
          <w:tcPr>
            <w:tcW w:w="1819" w:type="dxa"/>
            <w:tcBorders>
              <w:top w:val="nil"/>
              <w:left w:val="nil"/>
              <w:bottom w:val="double" w:sz="6" w:space="0" w:color="auto"/>
              <w:right w:val="nil"/>
            </w:tcBorders>
            <w:shd w:val="clear" w:color="auto" w:fill="auto"/>
            <w:noWrap/>
            <w:vAlign w:val="bottom"/>
            <w:hideMark/>
          </w:tcPr>
          <w:p w14:paraId="5B9A59B0" w14:textId="68266345" w:rsidR="001630A8" w:rsidRPr="00F15667" w:rsidRDefault="001630A8" w:rsidP="001630A8">
            <w:pPr>
              <w:spacing w:line="240" w:lineRule="auto"/>
              <w:jc w:val="center"/>
              <w:rPr>
                <w:rFonts w:eastAsia="Times New Roman"/>
                <w:b/>
                <w:bCs/>
                <w:szCs w:val="24"/>
                <w:lang w:eastAsia="cs-CZ"/>
              </w:rPr>
            </w:pPr>
            <w:r w:rsidRPr="00F15667">
              <w:rPr>
                <w:rFonts w:eastAsia="Times New Roman"/>
                <w:b/>
                <w:bCs/>
                <w:szCs w:val="24"/>
                <w:lang w:eastAsia="cs-CZ"/>
              </w:rPr>
              <w:t>301,28</w:t>
            </w:r>
          </w:p>
        </w:tc>
        <w:tc>
          <w:tcPr>
            <w:tcW w:w="1819" w:type="dxa"/>
            <w:tcBorders>
              <w:top w:val="nil"/>
              <w:left w:val="nil"/>
              <w:bottom w:val="double" w:sz="6" w:space="0" w:color="auto"/>
              <w:right w:val="nil"/>
            </w:tcBorders>
            <w:shd w:val="clear" w:color="auto" w:fill="auto"/>
            <w:noWrap/>
            <w:vAlign w:val="bottom"/>
            <w:hideMark/>
          </w:tcPr>
          <w:p w14:paraId="4B6FAD59" w14:textId="6282EC93" w:rsidR="001630A8" w:rsidRPr="00F15667" w:rsidRDefault="001630A8" w:rsidP="001630A8">
            <w:pPr>
              <w:spacing w:line="240" w:lineRule="auto"/>
              <w:jc w:val="center"/>
              <w:rPr>
                <w:rFonts w:eastAsia="Times New Roman"/>
                <w:b/>
                <w:bCs/>
                <w:szCs w:val="24"/>
                <w:lang w:eastAsia="cs-CZ"/>
              </w:rPr>
            </w:pPr>
            <w:r w:rsidRPr="00F15667">
              <w:rPr>
                <w:rFonts w:eastAsia="Times New Roman"/>
                <w:b/>
                <w:bCs/>
                <w:szCs w:val="24"/>
                <w:lang w:eastAsia="cs-CZ"/>
              </w:rPr>
              <w:t>306,79</w:t>
            </w:r>
          </w:p>
        </w:tc>
        <w:tc>
          <w:tcPr>
            <w:tcW w:w="1819" w:type="dxa"/>
            <w:tcBorders>
              <w:top w:val="nil"/>
              <w:left w:val="nil"/>
              <w:bottom w:val="double" w:sz="6" w:space="0" w:color="auto"/>
              <w:right w:val="nil"/>
            </w:tcBorders>
            <w:shd w:val="clear" w:color="auto" w:fill="auto"/>
            <w:noWrap/>
            <w:vAlign w:val="bottom"/>
            <w:hideMark/>
          </w:tcPr>
          <w:p w14:paraId="165A0534" w14:textId="3BF52541" w:rsidR="001630A8" w:rsidRPr="00F15667" w:rsidRDefault="001630A8" w:rsidP="001630A8">
            <w:pPr>
              <w:spacing w:line="240" w:lineRule="auto"/>
              <w:jc w:val="center"/>
              <w:rPr>
                <w:rFonts w:eastAsia="Times New Roman"/>
                <w:b/>
                <w:bCs/>
                <w:szCs w:val="24"/>
                <w:lang w:eastAsia="cs-CZ"/>
              </w:rPr>
            </w:pPr>
            <w:r w:rsidRPr="00F15667">
              <w:rPr>
                <w:rFonts w:eastAsia="Times New Roman"/>
                <w:b/>
                <w:bCs/>
                <w:szCs w:val="24"/>
                <w:lang w:eastAsia="cs-CZ"/>
              </w:rPr>
              <w:t>171,87</w:t>
            </w:r>
          </w:p>
        </w:tc>
      </w:tr>
      <w:tr w:rsidR="00F15667" w:rsidRPr="00F15667" w14:paraId="0FE8B518" w14:textId="77777777" w:rsidTr="003C28CA">
        <w:trPr>
          <w:trHeight w:val="330"/>
        </w:trPr>
        <w:tc>
          <w:tcPr>
            <w:tcW w:w="2268" w:type="dxa"/>
            <w:tcBorders>
              <w:top w:val="nil"/>
              <w:left w:val="nil"/>
              <w:bottom w:val="nil"/>
              <w:right w:val="nil"/>
            </w:tcBorders>
            <w:shd w:val="clear" w:color="auto" w:fill="auto"/>
            <w:noWrap/>
            <w:vAlign w:val="bottom"/>
            <w:hideMark/>
          </w:tcPr>
          <w:p w14:paraId="3A8B5037" w14:textId="77777777" w:rsidR="001630A8" w:rsidRPr="00F15667" w:rsidRDefault="001630A8" w:rsidP="001630A8">
            <w:pPr>
              <w:spacing w:line="240" w:lineRule="auto"/>
              <w:jc w:val="center"/>
              <w:rPr>
                <w:rFonts w:eastAsia="Times New Roman"/>
                <w:b/>
                <w:bCs/>
                <w:szCs w:val="24"/>
                <w:lang w:eastAsia="cs-CZ"/>
              </w:rPr>
            </w:pPr>
          </w:p>
        </w:tc>
        <w:tc>
          <w:tcPr>
            <w:tcW w:w="1418" w:type="dxa"/>
            <w:tcBorders>
              <w:top w:val="nil"/>
              <w:left w:val="nil"/>
              <w:bottom w:val="nil"/>
              <w:right w:val="nil"/>
            </w:tcBorders>
            <w:shd w:val="clear" w:color="auto" w:fill="auto"/>
            <w:noWrap/>
            <w:vAlign w:val="bottom"/>
            <w:hideMark/>
          </w:tcPr>
          <w:p w14:paraId="0D912EB7" w14:textId="77777777" w:rsidR="001630A8" w:rsidRPr="00F15667" w:rsidRDefault="001630A8" w:rsidP="001630A8">
            <w:pPr>
              <w:spacing w:line="240" w:lineRule="auto"/>
              <w:jc w:val="left"/>
              <w:rPr>
                <w:rFonts w:ascii="Times New Roman" w:eastAsia="Times New Roman" w:hAnsi="Times New Roman"/>
                <w:sz w:val="20"/>
                <w:szCs w:val="20"/>
                <w:lang w:eastAsia="cs-CZ"/>
              </w:rPr>
            </w:pPr>
          </w:p>
        </w:tc>
        <w:tc>
          <w:tcPr>
            <w:tcW w:w="1819" w:type="dxa"/>
            <w:tcBorders>
              <w:top w:val="nil"/>
              <w:left w:val="nil"/>
              <w:bottom w:val="nil"/>
              <w:right w:val="nil"/>
            </w:tcBorders>
            <w:shd w:val="clear" w:color="auto" w:fill="auto"/>
            <w:noWrap/>
            <w:vAlign w:val="bottom"/>
            <w:hideMark/>
          </w:tcPr>
          <w:p w14:paraId="15B9E911" w14:textId="77777777" w:rsidR="001630A8" w:rsidRPr="00F15667" w:rsidRDefault="001630A8" w:rsidP="001630A8">
            <w:pPr>
              <w:spacing w:line="240" w:lineRule="auto"/>
              <w:jc w:val="left"/>
              <w:rPr>
                <w:rFonts w:ascii="Times New Roman" w:eastAsia="Times New Roman" w:hAnsi="Times New Roman"/>
                <w:sz w:val="20"/>
                <w:szCs w:val="20"/>
                <w:lang w:eastAsia="cs-CZ"/>
              </w:rPr>
            </w:pPr>
          </w:p>
        </w:tc>
        <w:tc>
          <w:tcPr>
            <w:tcW w:w="1819" w:type="dxa"/>
            <w:tcBorders>
              <w:top w:val="nil"/>
              <w:left w:val="nil"/>
              <w:bottom w:val="nil"/>
              <w:right w:val="nil"/>
            </w:tcBorders>
            <w:shd w:val="clear" w:color="auto" w:fill="auto"/>
            <w:noWrap/>
            <w:vAlign w:val="bottom"/>
            <w:hideMark/>
          </w:tcPr>
          <w:p w14:paraId="182EE8B3" w14:textId="77777777" w:rsidR="001630A8" w:rsidRPr="00F15667" w:rsidRDefault="001630A8" w:rsidP="001630A8">
            <w:pPr>
              <w:spacing w:line="240" w:lineRule="auto"/>
              <w:jc w:val="left"/>
              <w:rPr>
                <w:rFonts w:ascii="Times New Roman" w:eastAsia="Times New Roman" w:hAnsi="Times New Roman"/>
                <w:sz w:val="20"/>
                <w:szCs w:val="20"/>
                <w:lang w:eastAsia="cs-CZ"/>
              </w:rPr>
            </w:pPr>
          </w:p>
        </w:tc>
        <w:tc>
          <w:tcPr>
            <w:tcW w:w="1819" w:type="dxa"/>
            <w:tcBorders>
              <w:top w:val="nil"/>
              <w:left w:val="nil"/>
              <w:bottom w:val="nil"/>
              <w:right w:val="nil"/>
            </w:tcBorders>
            <w:shd w:val="clear" w:color="auto" w:fill="auto"/>
            <w:noWrap/>
            <w:vAlign w:val="bottom"/>
            <w:hideMark/>
          </w:tcPr>
          <w:p w14:paraId="5AA1E55B" w14:textId="77777777" w:rsidR="001630A8" w:rsidRPr="00F15667" w:rsidRDefault="001630A8" w:rsidP="001630A8">
            <w:pPr>
              <w:spacing w:line="240" w:lineRule="auto"/>
              <w:jc w:val="left"/>
              <w:rPr>
                <w:rFonts w:ascii="Times New Roman" w:eastAsia="Times New Roman" w:hAnsi="Times New Roman"/>
                <w:sz w:val="20"/>
                <w:szCs w:val="20"/>
                <w:lang w:eastAsia="cs-CZ"/>
              </w:rPr>
            </w:pPr>
          </w:p>
        </w:tc>
      </w:tr>
    </w:tbl>
    <w:p w14:paraId="0217E41E" w14:textId="77777777" w:rsidR="001630A8" w:rsidRPr="00F15667" w:rsidRDefault="001630A8" w:rsidP="001630A8">
      <w:pPr>
        <w:pStyle w:val="OdstavecASR"/>
      </w:pPr>
      <w:r w:rsidRPr="00F15667">
        <w:t>Z tabulky vyplývá několik zajímavých údajů, například:</w:t>
      </w:r>
    </w:p>
    <w:p w14:paraId="69970998" w14:textId="6BF9CD46" w:rsidR="001630A8" w:rsidRPr="00F15667" w:rsidRDefault="002C0E1C" w:rsidP="001630A8">
      <w:pPr>
        <w:pStyle w:val="OdstavecASR"/>
        <w:numPr>
          <w:ilvl w:val="0"/>
          <w:numId w:val="23"/>
        </w:numPr>
      </w:pPr>
      <w:r w:rsidRPr="00F15667">
        <w:lastRenderedPageBreak/>
        <w:t>Asi</w:t>
      </w:r>
      <w:r w:rsidR="001630A8" w:rsidRPr="00F15667">
        <w:t xml:space="preserve"> jedna šestina soudců na civilním úseku se zabývá prvostupňovou agendou. Prvostupňový úsek je tedy poměrně malý.</w:t>
      </w:r>
    </w:p>
    <w:p w14:paraId="6257FCFD" w14:textId="77777777" w:rsidR="001630A8" w:rsidRPr="00F15667" w:rsidRDefault="001630A8" w:rsidP="001630A8">
      <w:pPr>
        <w:pStyle w:val="OdstavecASR"/>
        <w:numPr>
          <w:ilvl w:val="0"/>
          <w:numId w:val="23"/>
        </w:numPr>
      </w:pPr>
      <w:r w:rsidRPr="00F15667">
        <w:t>Mezi soudy jsou velké rozdíly v přepočtu věcí na soudce. U počtu nevyřízených věcí to plyne z celkové zatíženosti soudu i počtu soudců, kteří se danou agendou zabývají. Nicméně počet příchozích věcí (a tím v zásadě i vyřízených věcí) je zohledněn v systemizaci, takže by mezi soudy měly být menší rozdíly. Pro rozdíly může být několik vysvětlení:</w:t>
      </w:r>
    </w:p>
    <w:p w14:paraId="64914E8C" w14:textId="77777777" w:rsidR="001630A8" w:rsidRPr="00F15667" w:rsidRDefault="001630A8" w:rsidP="001630A8">
      <w:pPr>
        <w:pStyle w:val="OdstavecASR"/>
        <w:numPr>
          <w:ilvl w:val="1"/>
          <w:numId w:val="23"/>
        </w:numPr>
      </w:pPr>
      <w:r w:rsidRPr="00F15667">
        <w:t>Počet soudců je u některých soudů malý, dočasný výpadek i jednoho soudce proto může hrát velkou roli v datech.</w:t>
      </w:r>
    </w:p>
    <w:p w14:paraId="357F4C7E" w14:textId="77777777" w:rsidR="001630A8" w:rsidRPr="00F15667" w:rsidRDefault="001630A8" w:rsidP="001630A8">
      <w:pPr>
        <w:pStyle w:val="OdstavecASR"/>
        <w:numPr>
          <w:ilvl w:val="1"/>
          <w:numId w:val="23"/>
        </w:numPr>
      </w:pPr>
      <w:r w:rsidRPr="00F15667">
        <w:t>Některé KS tuto agendu mohly posílit kvůli vysokému počtu nedodělků, případně z jiných důvodů.</w:t>
      </w:r>
    </w:p>
    <w:p w14:paraId="6FA64C5F" w14:textId="77777777" w:rsidR="001630A8" w:rsidRPr="00F15667" w:rsidRDefault="001630A8" w:rsidP="001630A8">
      <w:pPr>
        <w:pStyle w:val="OdstavecASR"/>
        <w:numPr>
          <w:ilvl w:val="1"/>
          <w:numId w:val="23"/>
        </w:numPr>
      </w:pPr>
      <w:r w:rsidRPr="00F15667">
        <w:t>Přestože se Ministerstvo spravedlnosti snaží přesně definovat metodiku sběru dat, nelze garantovat jejich přesnost na 100 %. Jednotlivé soudy totiž mohou zvolit k vyplňování datových tabulek poněkud odlišný přístup.</w:t>
      </w:r>
    </w:p>
    <w:p w14:paraId="59CCC71B" w14:textId="080B6C6C" w:rsidR="001630A8" w:rsidRPr="00F15667" w:rsidRDefault="001630A8" w:rsidP="001630A8">
      <w:pPr>
        <w:pStyle w:val="OdstavecASR"/>
        <w:numPr>
          <w:ilvl w:val="0"/>
          <w:numId w:val="23"/>
        </w:numPr>
      </w:pPr>
      <w:r w:rsidRPr="00F15667">
        <w:t xml:space="preserve">Jak je již výše zmíněno, rozdíly jsou patrné i u stejného soudu mezi jednotlivými roky. Mezi roky na úrovni ČR prakticky nedošlo ke změně, ale u jednotlivých soudů ano (například </w:t>
      </w:r>
      <w:r w:rsidR="002C0E1C" w:rsidRPr="00F15667">
        <w:t>u</w:t>
      </w:r>
      <w:r w:rsidR="003C28CA">
        <w:t> </w:t>
      </w:r>
      <w:r w:rsidR="002C0E1C" w:rsidRPr="00F15667">
        <w:t>KS v Praze či</w:t>
      </w:r>
      <w:r w:rsidRPr="00F15667">
        <w:t xml:space="preserve"> u KS v Českých Budějovicích). Zřejmě dochází k přesunům mezi úseky v rámci soudu, roli ale určitě bude hrát i to, jak soudy ke sběru dat přistoupily. V neposlední řadě je třeba pamatovat na to, že se jedná o stavovou veličinu k 1.1. K přesunu může tedy docházet i v průběhu roku.</w:t>
      </w:r>
    </w:p>
    <w:p w14:paraId="5B5C2E27" w14:textId="0D21637B" w:rsidR="008430BD" w:rsidRPr="00F15667" w:rsidRDefault="008430BD" w:rsidP="008430BD">
      <w:pPr>
        <w:pStyle w:val="Nadpis3"/>
        <w:keepNext w:val="0"/>
        <w:numPr>
          <w:ilvl w:val="2"/>
          <w:numId w:val="1"/>
        </w:numPr>
        <w:rPr>
          <w:color w:val="auto"/>
        </w:rPr>
      </w:pPr>
      <w:bookmarkStart w:id="648" w:name="_Toc515871251"/>
      <w:bookmarkStart w:id="649" w:name="_Toc106092756"/>
      <w:bookmarkStart w:id="650" w:name="_Toc144104369"/>
      <w:r w:rsidRPr="00F15667">
        <w:rPr>
          <w:color w:val="auto"/>
        </w:rPr>
        <w:t>Disposition time</w:t>
      </w:r>
      <w:bookmarkEnd w:id="648"/>
      <w:r w:rsidRPr="00F15667">
        <w:rPr>
          <w:color w:val="auto"/>
        </w:rPr>
        <w:t xml:space="preserve"> (dispoziční čas)</w:t>
      </w:r>
      <w:bookmarkEnd w:id="649"/>
      <w:bookmarkEnd w:id="650"/>
    </w:p>
    <w:p w14:paraId="288F1163" w14:textId="79C5A17E" w:rsidR="002C0E1C" w:rsidRPr="00F15667" w:rsidRDefault="002C0E1C" w:rsidP="002C0E1C">
      <w:r w:rsidRPr="00F15667">
        <w:t>Od roku 2010 do roku 2019 byl vývoj DT celkem stabilizovaný okolo hodnoty 240 kalendářních dnů a konkrétní hodnota v daném roce vždy závisela na vzájemném poměru a vývoji mezi počtem nevyřízených a vyřízených věcí. V roce 2020 došlo k dalšímu poklesu, což je dáno poklesem v počtu nevyřízených věcí. V roce 2021 DT mírně narostl, jedná se ale o marginální změnu.</w:t>
      </w:r>
      <w:r w:rsidR="007B2C74" w:rsidRPr="00F15667">
        <w:t xml:space="preserve"> A v roce 2022 opět mírně klesl (počet nevyřízených věcí). Pokles byl velmi malý, ale díky němu byl DT v roce 2022 nejnižší za sledované období. </w:t>
      </w:r>
    </w:p>
    <w:p w14:paraId="139AC01C" w14:textId="494BAA64" w:rsidR="002C0E1C" w:rsidRPr="00F15667" w:rsidRDefault="002C0E1C" w:rsidP="002C0E1C">
      <w:r w:rsidRPr="00F15667">
        <w:t>Připomínáme, že DT je doba, za kterou by soud vyřídil všechny nevyřízené věci, které u něj v</w:t>
      </w:r>
      <w:r w:rsidR="003C28CA">
        <w:t> </w:t>
      </w:r>
      <w:r w:rsidRPr="00F15667">
        <w:t>daném roce „leží“, pokud by pracoval stejným tempem a neměl žádný nový nápad ani obživu věcí. Nejde tedy o průměrnou délku řízení a DT není závislý na velikosti soudu; proto se hodí k</w:t>
      </w:r>
      <w:r w:rsidR="003C28CA">
        <w:t> </w:t>
      </w:r>
      <w:r w:rsidRPr="00F15667">
        <w:t>vzájemnému srovnávání během let nebo mezi soudy.</w:t>
      </w:r>
    </w:p>
    <w:p w14:paraId="54F20AEC" w14:textId="604FF152" w:rsidR="002C0E1C" w:rsidRPr="00F15667" w:rsidRDefault="002C0E1C" w:rsidP="002C0E1C">
      <w:pPr>
        <w:pStyle w:val="Podnadpis"/>
        <w:rPr>
          <w:color w:val="auto"/>
        </w:rPr>
      </w:pPr>
      <w:bookmarkStart w:id="651" w:name="_Toc144104168"/>
      <w:r w:rsidRPr="00F15667">
        <w:rPr>
          <w:color w:val="auto"/>
        </w:rPr>
        <w:lastRenderedPageBreak/>
        <w:t xml:space="preserve">Graf </w:t>
      </w:r>
      <w:r w:rsidR="006E2BBC" w:rsidRPr="00F15667">
        <w:rPr>
          <w:color w:val="auto"/>
        </w:rPr>
        <w:fldChar w:fldCharType="begin"/>
      </w:r>
      <w:r w:rsidR="006E2BBC" w:rsidRPr="00F15667">
        <w:rPr>
          <w:color w:val="auto"/>
        </w:rPr>
        <w:instrText xml:space="preserve"> SEQ Graf \* ARABIC </w:instrText>
      </w:r>
      <w:r w:rsidR="006E2BBC" w:rsidRPr="00F15667">
        <w:rPr>
          <w:color w:val="auto"/>
        </w:rPr>
        <w:fldChar w:fldCharType="separate"/>
      </w:r>
      <w:r w:rsidR="001E1A67">
        <w:rPr>
          <w:noProof/>
          <w:color w:val="auto"/>
        </w:rPr>
        <w:t>56</w:t>
      </w:r>
      <w:r w:rsidR="006E2BBC" w:rsidRPr="00F15667">
        <w:rPr>
          <w:color w:val="auto"/>
        </w:rPr>
        <w:fldChar w:fldCharType="end"/>
      </w:r>
      <w:r w:rsidRPr="00F15667">
        <w:rPr>
          <w:color w:val="auto"/>
        </w:rPr>
        <w:t>: KS – DT prvostupňového civilního řízení v letech 2008–2022</w:t>
      </w:r>
      <w:bookmarkEnd w:id="651"/>
    </w:p>
    <w:p w14:paraId="33DBDF63" w14:textId="075D9594" w:rsidR="00F20567" w:rsidRPr="00F15667" w:rsidRDefault="00F20567" w:rsidP="003C28CA">
      <w:pPr>
        <w:pStyle w:val="OdstavecASR"/>
      </w:pPr>
      <w:r w:rsidRPr="00F15667">
        <w:rPr>
          <w:noProof/>
          <w:lang w:eastAsia="cs-CZ"/>
        </w:rPr>
        <w:drawing>
          <wp:inline distT="0" distB="0" distL="0" distR="0" wp14:anchorId="15618F11" wp14:editId="2A12CEA4">
            <wp:extent cx="5029200" cy="3657600"/>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9FDDA4F" w14:textId="7539BADA" w:rsidR="008B4D69" w:rsidRPr="00F15667" w:rsidRDefault="007B2C74" w:rsidP="007B2C74">
      <w:pPr>
        <w:pStyle w:val="OdstavecASR"/>
      </w:pPr>
      <w:r w:rsidRPr="00F15667">
        <w:t>V tabulce níže vidíme, že DT nejvíce klesl u KS v Praze a u KS v Plzni. Naopak nejvíce narostl u</w:t>
      </w:r>
      <w:r w:rsidR="003C28CA">
        <w:t> </w:t>
      </w:r>
      <w:r w:rsidRPr="00F15667">
        <w:t xml:space="preserve">KS v Ostravě, kde je ale stále poměrně nízký – nyní 3. nejnižší. </w:t>
      </w:r>
      <w:r w:rsidR="00895C30" w:rsidRPr="00F15667">
        <w:t xml:space="preserve">Pokud si připomeneme, že tento ukazatel vyjadřuje, kolik kalendářních dnů by si soud musel rezervovat na dokončení/uzavření dosud nevyřízených věcí, aby měl tzv. „čistý stůl“, potom zjistíme, že například KS v Ústí nad Labem </w:t>
      </w:r>
      <w:r w:rsidR="00BA35BC" w:rsidRPr="00F15667">
        <w:t>by tohoto stravu</w:t>
      </w:r>
      <w:r w:rsidR="00895C30" w:rsidRPr="00F15667">
        <w:t xml:space="preserve"> dosá</w:t>
      </w:r>
      <w:r w:rsidR="006023DD" w:rsidRPr="00F15667">
        <w:t>hl</w:t>
      </w:r>
      <w:r w:rsidR="003503EC" w:rsidRPr="00F15667">
        <w:t xml:space="preserve"> </w:t>
      </w:r>
      <w:r w:rsidR="00BA35BC" w:rsidRPr="00F15667">
        <w:t>až</w:t>
      </w:r>
      <w:r w:rsidR="00895C30" w:rsidRPr="00F15667">
        <w:t xml:space="preserve"> 3.</w:t>
      </w:r>
      <w:r w:rsidR="00F30343" w:rsidRPr="00F15667">
        <w:t xml:space="preserve"> </w:t>
      </w:r>
      <w:r w:rsidR="00895C30" w:rsidRPr="00F15667">
        <w:t>1.</w:t>
      </w:r>
      <w:r w:rsidR="00F30343" w:rsidRPr="00F15667">
        <w:t xml:space="preserve"> </w:t>
      </w:r>
      <w:r w:rsidR="00895C30" w:rsidRPr="00F15667">
        <w:t>2024</w:t>
      </w:r>
      <w:r w:rsidR="00BA35BC" w:rsidRPr="00F15667">
        <w:t xml:space="preserve"> </w:t>
      </w:r>
      <w:r w:rsidR="00CF32FA">
        <w:t>–</w:t>
      </w:r>
      <w:r w:rsidR="00895C30" w:rsidRPr="00F15667">
        <w:t xml:space="preserve"> pokud by celý rok</w:t>
      </w:r>
      <w:r w:rsidR="00B633D4" w:rsidRPr="00F15667">
        <w:t xml:space="preserve"> 2023 vůbec</w:t>
      </w:r>
      <w:r w:rsidR="00895C30" w:rsidRPr="00F15667">
        <w:t xml:space="preserve"> nepracoval na nově příchozích věcech</w:t>
      </w:r>
      <w:r w:rsidR="00BA35BC" w:rsidRPr="00F15667">
        <w:t xml:space="preserve"> ani obživě a</w:t>
      </w:r>
      <w:r w:rsidR="003503EC" w:rsidRPr="00F15667">
        <w:t xml:space="preserve"> nectil víkendy ani žádné svátky (čerpání dovolené,</w:t>
      </w:r>
      <w:r w:rsidR="00BA35BC" w:rsidRPr="00F15667">
        <w:t xml:space="preserve"> mateřské,</w:t>
      </w:r>
      <w:r w:rsidR="003503EC" w:rsidRPr="00F15667">
        <w:t xml:space="preserve"> nemocenské apod. by přitom zůstalo na stejné úrovni jako v roce 2022, protože tento ukazatel předpokládá práci se stejným úsilím jako v hodnoceném roce).</w:t>
      </w:r>
      <w:r w:rsidR="00895C30" w:rsidRPr="00F15667">
        <w:t xml:space="preserve"> Samozřejmě, že tato úvaha není reálná, </w:t>
      </w:r>
      <w:r w:rsidR="003503EC" w:rsidRPr="00F15667">
        <w:t xml:space="preserve">již jen proto, že ani teoreticky není možné dosáhnout nulového stavu nevyřízených věcí, </w:t>
      </w:r>
      <w:r w:rsidR="00895C30" w:rsidRPr="00F15667">
        <w:t xml:space="preserve">ale </w:t>
      </w:r>
      <w:r w:rsidR="003503EC" w:rsidRPr="00F15667">
        <w:t xml:space="preserve">ukazatel </w:t>
      </w:r>
      <w:r w:rsidR="00895C30" w:rsidRPr="00F15667">
        <w:t>dokáže indikovat, že problémy jsou nemalé</w:t>
      </w:r>
      <w:r w:rsidR="00F30343" w:rsidRPr="00F15667">
        <w:t>,</w:t>
      </w:r>
      <w:r w:rsidR="008B4D69" w:rsidRPr="00F15667">
        <w:t xml:space="preserve"> a to zvláště </w:t>
      </w:r>
      <w:r w:rsidR="0020512F" w:rsidRPr="00F15667">
        <w:t>v porovnání</w:t>
      </w:r>
      <w:r w:rsidR="008B4D69" w:rsidRPr="00F15667">
        <w:t xml:space="preserve"> s jinými soudy.</w:t>
      </w:r>
    </w:p>
    <w:p w14:paraId="0E3755CE" w14:textId="539846AA" w:rsidR="007B2C74" w:rsidRPr="00F15667" w:rsidRDefault="008B4D69" w:rsidP="007B2C74">
      <w:pPr>
        <w:pStyle w:val="OdstavecASR"/>
      </w:pPr>
      <w:r w:rsidRPr="00F15667">
        <w:t xml:space="preserve">Je možné také vzít v úvahu, že </w:t>
      </w:r>
      <w:r w:rsidR="003503EC" w:rsidRPr="00F15667">
        <w:t xml:space="preserve">do nevyřízených věcí </w:t>
      </w:r>
      <w:r w:rsidRPr="00F15667">
        <w:t xml:space="preserve">se </w:t>
      </w:r>
      <w:r w:rsidR="003503EC" w:rsidRPr="00F15667">
        <w:t>započítáva</w:t>
      </w:r>
      <w:r w:rsidRPr="00F15667">
        <w:t>jí</w:t>
      </w:r>
      <w:r w:rsidR="003503EC" w:rsidRPr="00F15667">
        <w:t xml:space="preserve"> věci přerušené, </w:t>
      </w:r>
      <w:r w:rsidRPr="00F15667">
        <w:t xml:space="preserve">kdy délku přerušení </w:t>
      </w:r>
      <w:r w:rsidR="003503EC" w:rsidRPr="00F15667">
        <w:t xml:space="preserve">soud nemůže nijak ovlivnit a urychlení </w:t>
      </w:r>
      <w:r w:rsidR="00BA35BC" w:rsidRPr="00F15667">
        <w:t xml:space="preserve">těchto věcí </w:t>
      </w:r>
      <w:r w:rsidR="003503EC" w:rsidRPr="00F15667">
        <w:t>je mimo jeho kontrolu. Například zmiňovaný KS v Ústí nad Labem měl</w:t>
      </w:r>
      <w:r w:rsidRPr="00F15667">
        <w:t xml:space="preserve"> 119 přerušených věcí</w:t>
      </w:r>
      <w:r w:rsidR="003503EC" w:rsidRPr="00F15667">
        <w:t xml:space="preserve"> z celkem </w:t>
      </w:r>
      <w:r w:rsidR="00617F01" w:rsidRPr="00F15667">
        <w:t>1</w:t>
      </w:r>
      <w:r w:rsidR="003C28CA">
        <w:t> </w:t>
      </w:r>
      <w:r w:rsidR="00617F01" w:rsidRPr="00F15667">
        <w:t>415 nevyřízených věcí k 31.</w:t>
      </w:r>
      <w:r w:rsidR="003C28CA">
        <w:t> </w:t>
      </w:r>
      <w:r w:rsidR="00617F01" w:rsidRPr="00F15667">
        <w:t>12.</w:t>
      </w:r>
      <w:r w:rsidR="003C28CA">
        <w:t> </w:t>
      </w:r>
      <w:r w:rsidR="00617F01" w:rsidRPr="00F15667">
        <w:t>2022</w:t>
      </w:r>
      <w:r w:rsidRPr="00F15667">
        <w:t>. Po jejich odečtení vychází DT = 337 kal. dn</w:t>
      </w:r>
      <w:r w:rsidR="000373A5" w:rsidRPr="00F15667">
        <w:t>ů a datum „čistého stolu“ se posouvá o</w:t>
      </w:r>
      <w:r w:rsidR="003C28CA">
        <w:t> </w:t>
      </w:r>
      <w:r w:rsidR="000373A5" w:rsidRPr="00F15667">
        <w:t xml:space="preserve">měsíc, na </w:t>
      </w:r>
      <w:r w:rsidR="00D51423" w:rsidRPr="00F15667">
        <w:t>3</w:t>
      </w:r>
      <w:r w:rsidR="000373A5" w:rsidRPr="00F15667">
        <w:t>.</w:t>
      </w:r>
      <w:r w:rsidR="00F30343" w:rsidRPr="00F15667">
        <w:t xml:space="preserve"> </w:t>
      </w:r>
      <w:r w:rsidR="000373A5" w:rsidRPr="00F15667">
        <w:t>12.</w:t>
      </w:r>
      <w:r w:rsidR="00F30343" w:rsidRPr="00F15667">
        <w:t xml:space="preserve"> </w:t>
      </w:r>
      <w:r w:rsidR="000373A5" w:rsidRPr="00F15667">
        <w:t>2022.</w:t>
      </w:r>
    </w:p>
    <w:p w14:paraId="7A9E4C86" w14:textId="77777777" w:rsidR="00FB2477" w:rsidRDefault="00FB2477">
      <w:pPr>
        <w:spacing w:after="160" w:line="259" w:lineRule="auto"/>
        <w:jc w:val="left"/>
        <w:rPr>
          <w:rFonts w:eastAsia="Times New Roman"/>
          <w:b/>
          <w:iCs/>
          <w:spacing w:val="15"/>
          <w:szCs w:val="24"/>
        </w:rPr>
      </w:pPr>
      <w:bookmarkStart w:id="652" w:name="_Toc515871470"/>
      <w:bookmarkStart w:id="653" w:name="_Toc11133237"/>
      <w:bookmarkStart w:id="654" w:name="_Toc43931216"/>
      <w:bookmarkStart w:id="655" w:name="_Toc75952349"/>
      <w:bookmarkStart w:id="656" w:name="_Toc106106806"/>
      <w:bookmarkStart w:id="657" w:name="_Toc109802129"/>
      <w:r>
        <w:br w:type="page"/>
      </w:r>
    </w:p>
    <w:p w14:paraId="6BA77866" w14:textId="4026AB08" w:rsidR="007B2C74" w:rsidRPr="00F15667" w:rsidRDefault="007B2C74" w:rsidP="007B2C74">
      <w:pPr>
        <w:pStyle w:val="Podnadpis"/>
        <w:rPr>
          <w:color w:val="auto"/>
        </w:rPr>
      </w:pPr>
      <w:bookmarkStart w:id="658" w:name="_Toc144104287"/>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48</w:t>
      </w:r>
      <w:r w:rsidRPr="00F15667">
        <w:rPr>
          <w:color w:val="auto"/>
        </w:rPr>
        <w:fldChar w:fldCharType="end"/>
      </w:r>
      <w:r w:rsidRPr="00F15667">
        <w:rPr>
          <w:color w:val="auto"/>
        </w:rPr>
        <w:t>: KS – DT prvostupňového civilního řízení dle soudů</w:t>
      </w:r>
      <w:bookmarkEnd w:id="652"/>
      <w:bookmarkEnd w:id="653"/>
      <w:bookmarkEnd w:id="654"/>
      <w:bookmarkEnd w:id="655"/>
      <w:bookmarkEnd w:id="656"/>
      <w:bookmarkEnd w:id="657"/>
      <w:bookmarkEnd w:id="658"/>
    </w:p>
    <w:tbl>
      <w:tblPr>
        <w:tblW w:w="6096" w:type="dxa"/>
        <w:tblCellMar>
          <w:left w:w="70" w:type="dxa"/>
          <w:right w:w="70" w:type="dxa"/>
        </w:tblCellMar>
        <w:tblLook w:val="04A0" w:firstRow="1" w:lastRow="0" w:firstColumn="1" w:lastColumn="0" w:noHBand="0" w:noVBand="1"/>
      </w:tblPr>
      <w:tblGrid>
        <w:gridCol w:w="2780"/>
        <w:gridCol w:w="1898"/>
        <w:gridCol w:w="1418"/>
      </w:tblGrid>
      <w:tr w:rsidR="00F15667" w:rsidRPr="00F15667" w14:paraId="2F8F3304" w14:textId="77777777" w:rsidTr="003C28CA">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9D1687E" w14:textId="77777777" w:rsidR="007B2C74" w:rsidRPr="00F15667" w:rsidRDefault="007B2C74" w:rsidP="003C28CA">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3316" w:type="dxa"/>
            <w:gridSpan w:val="2"/>
            <w:tcBorders>
              <w:top w:val="double" w:sz="6" w:space="0" w:color="auto"/>
              <w:left w:val="nil"/>
              <w:bottom w:val="double" w:sz="6" w:space="0" w:color="auto"/>
              <w:right w:val="nil"/>
            </w:tcBorders>
            <w:shd w:val="clear" w:color="auto" w:fill="auto"/>
            <w:noWrap/>
            <w:vAlign w:val="center"/>
            <w:hideMark/>
          </w:tcPr>
          <w:p w14:paraId="61A26F28" w14:textId="77777777" w:rsidR="007B2C74" w:rsidRPr="00F15667" w:rsidRDefault="007B2C74" w:rsidP="003C28CA">
            <w:pPr>
              <w:spacing w:line="240" w:lineRule="auto"/>
              <w:jc w:val="center"/>
              <w:rPr>
                <w:rFonts w:eastAsia="Times New Roman"/>
                <w:b/>
                <w:bCs/>
                <w:szCs w:val="24"/>
                <w:lang w:eastAsia="cs-CZ"/>
              </w:rPr>
            </w:pPr>
            <w:r w:rsidRPr="00F15667">
              <w:rPr>
                <w:rFonts w:eastAsia="Times New Roman"/>
                <w:b/>
                <w:bCs/>
                <w:szCs w:val="24"/>
                <w:lang w:eastAsia="cs-CZ"/>
              </w:rPr>
              <w:t>Disposition time</w:t>
            </w:r>
          </w:p>
        </w:tc>
      </w:tr>
      <w:tr w:rsidR="00F15667" w:rsidRPr="00F15667" w14:paraId="361FBFE5" w14:textId="77777777" w:rsidTr="003C28CA">
        <w:trPr>
          <w:trHeight w:val="330"/>
        </w:trPr>
        <w:tc>
          <w:tcPr>
            <w:tcW w:w="2780" w:type="dxa"/>
            <w:tcBorders>
              <w:top w:val="nil"/>
              <w:left w:val="nil"/>
              <w:bottom w:val="single" w:sz="4" w:space="0" w:color="auto"/>
              <w:right w:val="nil"/>
            </w:tcBorders>
            <w:shd w:val="clear" w:color="auto" w:fill="auto"/>
            <w:noWrap/>
            <w:vAlign w:val="center"/>
            <w:hideMark/>
          </w:tcPr>
          <w:p w14:paraId="23A4DFFF" w14:textId="77777777" w:rsidR="007B2C74" w:rsidRPr="00F15667" w:rsidRDefault="007B2C74" w:rsidP="003C28CA">
            <w:pPr>
              <w:spacing w:line="240" w:lineRule="auto"/>
              <w:jc w:val="left"/>
              <w:rPr>
                <w:rFonts w:eastAsia="Times New Roman"/>
                <w:szCs w:val="24"/>
                <w:lang w:eastAsia="cs-CZ"/>
              </w:rPr>
            </w:pPr>
            <w:r w:rsidRPr="00F15667">
              <w:rPr>
                <w:rFonts w:eastAsia="Times New Roman"/>
                <w:szCs w:val="24"/>
                <w:lang w:eastAsia="cs-CZ"/>
              </w:rPr>
              <w:t>MS Praha</w:t>
            </w:r>
          </w:p>
        </w:tc>
        <w:tc>
          <w:tcPr>
            <w:tcW w:w="1898" w:type="dxa"/>
            <w:tcBorders>
              <w:top w:val="nil"/>
              <w:left w:val="nil"/>
              <w:bottom w:val="single" w:sz="4" w:space="0" w:color="auto"/>
              <w:right w:val="nil"/>
            </w:tcBorders>
            <w:shd w:val="clear" w:color="auto" w:fill="auto"/>
            <w:noWrap/>
            <w:vAlign w:val="center"/>
            <w:hideMark/>
          </w:tcPr>
          <w:p w14:paraId="0731EE51" w14:textId="77777777" w:rsidR="007B2C74" w:rsidRPr="00F15667" w:rsidRDefault="007B2C74" w:rsidP="003C28CA">
            <w:pPr>
              <w:spacing w:line="240" w:lineRule="auto"/>
              <w:jc w:val="center"/>
              <w:rPr>
                <w:rFonts w:eastAsia="Times New Roman"/>
                <w:szCs w:val="24"/>
                <w:lang w:eastAsia="cs-CZ"/>
              </w:rPr>
            </w:pPr>
            <w:r w:rsidRPr="00F15667">
              <w:rPr>
                <w:rFonts w:eastAsia="Times New Roman"/>
                <w:szCs w:val="24"/>
                <w:lang w:eastAsia="cs-CZ"/>
              </w:rPr>
              <w:t>164</w:t>
            </w:r>
          </w:p>
        </w:tc>
        <w:tc>
          <w:tcPr>
            <w:tcW w:w="1418" w:type="dxa"/>
            <w:tcBorders>
              <w:top w:val="nil"/>
              <w:left w:val="nil"/>
              <w:bottom w:val="single" w:sz="4" w:space="0" w:color="auto"/>
              <w:right w:val="nil"/>
            </w:tcBorders>
            <w:shd w:val="clear" w:color="auto" w:fill="auto"/>
            <w:noWrap/>
            <w:vAlign w:val="center"/>
            <w:hideMark/>
          </w:tcPr>
          <w:p w14:paraId="21904124" w14:textId="3BD5F7B2" w:rsidR="007B2C74" w:rsidRPr="00F15667" w:rsidRDefault="007B2C74" w:rsidP="003C28CA">
            <w:pPr>
              <w:spacing w:line="240" w:lineRule="auto"/>
              <w:jc w:val="center"/>
              <w:rPr>
                <w:rFonts w:eastAsia="Times New Roman"/>
                <w:sz w:val="20"/>
                <w:szCs w:val="20"/>
                <w:lang w:eastAsia="cs-CZ"/>
              </w:rPr>
            </w:pPr>
            <w:r w:rsidRPr="00F15667">
              <w:rPr>
                <w:rFonts w:eastAsia="Times New Roman"/>
                <w:sz w:val="20"/>
                <w:szCs w:val="20"/>
                <w:lang w:eastAsia="cs-CZ"/>
              </w:rPr>
              <w:t>-8 %</w:t>
            </w:r>
          </w:p>
        </w:tc>
      </w:tr>
      <w:tr w:rsidR="00F15667" w:rsidRPr="00F15667" w14:paraId="6DBAA26B" w14:textId="77777777" w:rsidTr="003C28CA">
        <w:trPr>
          <w:trHeight w:val="315"/>
        </w:trPr>
        <w:tc>
          <w:tcPr>
            <w:tcW w:w="2780" w:type="dxa"/>
            <w:tcBorders>
              <w:top w:val="nil"/>
              <w:left w:val="nil"/>
              <w:bottom w:val="single" w:sz="4" w:space="0" w:color="auto"/>
              <w:right w:val="nil"/>
            </w:tcBorders>
            <w:shd w:val="clear" w:color="auto" w:fill="auto"/>
            <w:noWrap/>
            <w:vAlign w:val="center"/>
            <w:hideMark/>
          </w:tcPr>
          <w:p w14:paraId="7B118868" w14:textId="77777777" w:rsidR="007B2C74" w:rsidRPr="00F15667" w:rsidRDefault="007B2C74" w:rsidP="003C28CA">
            <w:pPr>
              <w:spacing w:line="240" w:lineRule="auto"/>
              <w:jc w:val="left"/>
              <w:rPr>
                <w:rFonts w:eastAsia="Times New Roman"/>
                <w:szCs w:val="24"/>
                <w:lang w:eastAsia="cs-CZ"/>
              </w:rPr>
            </w:pPr>
            <w:r w:rsidRPr="00F15667">
              <w:rPr>
                <w:rFonts w:eastAsia="Times New Roman"/>
                <w:szCs w:val="24"/>
                <w:lang w:eastAsia="cs-CZ"/>
              </w:rPr>
              <w:t>KS Praha</w:t>
            </w:r>
          </w:p>
        </w:tc>
        <w:tc>
          <w:tcPr>
            <w:tcW w:w="1898" w:type="dxa"/>
            <w:tcBorders>
              <w:top w:val="nil"/>
              <w:left w:val="nil"/>
              <w:bottom w:val="single" w:sz="4" w:space="0" w:color="auto"/>
              <w:right w:val="nil"/>
            </w:tcBorders>
            <w:shd w:val="clear" w:color="auto" w:fill="auto"/>
            <w:noWrap/>
            <w:vAlign w:val="center"/>
            <w:hideMark/>
          </w:tcPr>
          <w:p w14:paraId="6AAB0446" w14:textId="77777777" w:rsidR="007B2C74" w:rsidRPr="00F15667" w:rsidRDefault="007B2C74" w:rsidP="003C28CA">
            <w:pPr>
              <w:spacing w:line="240" w:lineRule="auto"/>
              <w:jc w:val="center"/>
              <w:rPr>
                <w:rFonts w:eastAsia="Times New Roman"/>
                <w:szCs w:val="24"/>
                <w:lang w:eastAsia="cs-CZ"/>
              </w:rPr>
            </w:pPr>
            <w:r w:rsidRPr="00F15667">
              <w:rPr>
                <w:rFonts w:eastAsia="Times New Roman"/>
                <w:szCs w:val="24"/>
                <w:lang w:eastAsia="cs-CZ"/>
              </w:rPr>
              <w:t>145</w:t>
            </w:r>
          </w:p>
        </w:tc>
        <w:tc>
          <w:tcPr>
            <w:tcW w:w="1418" w:type="dxa"/>
            <w:tcBorders>
              <w:top w:val="nil"/>
              <w:left w:val="nil"/>
              <w:bottom w:val="single" w:sz="4" w:space="0" w:color="auto"/>
              <w:right w:val="nil"/>
            </w:tcBorders>
            <w:shd w:val="clear" w:color="auto" w:fill="auto"/>
            <w:noWrap/>
            <w:vAlign w:val="center"/>
            <w:hideMark/>
          </w:tcPr>
          <w:p w14:paraId="3DCFF36E" w14:textId="1A8C28EE" w:rsidR="007B2C74" w:rsidRPr="00F15667" w:rsidRDefault="007B2C74" w:rsidP="003C28CA">
            <w:pPr>
              <w:spacing w:line="240" w:lineRule="auto"/>
              <w:jc w:val="center"/>
              <w:rPr>
                <w:rFonts w:eastAsia="Times New Roman"/>
                <w:sz w:val="20"/>
                <w:szCs w:val="20"/>
                <w:lang w:eastAsia="cs-CZ"/>
              </w:rPr>
            </w:pPr>
            <w:r w:rsidRPr="00F15667">
              <w:rPr>
                <w:rFonts w:eastAsia="Times New Roman"/>
                <w:sz w:val="20"/>
                <w:szCs w:val="20"/>
                <w:lang w:eastAsia="cs-CZ"/>
              </w:rPr>
              <w:t>-31 %</w:t>
            </w:r>
          </w:p>
        </w:tc>
      </w:tr>
      <w:tr w:rsidR="00F15667" w:rsidRPr="00F15667" w14:paraId="624A4FA0" w14:textId="77777777" w:rsidTr="003C28CA">
        <w:trPr>
          <w:trHeight w:val="315"/>
        </w:trPr>
        <w:tc>
          <w:tcPr>
            <w:tcW w:w="2780" w:type="dxa"/>
            <w:tcBorders>
              <w:top w:val="nil"/>
              <w:left w:val="nil"/>
              <w:bottom w:val="single" w:sz="4" w:space="0" w:color="auto"/>
              <w:right w:val="nil"/>
            </w:tcBorders>
            <w:shd w:val="clear" w:color="auto" w:fill="auto"/>
            <w:noWrap/>
            <w:vAlign w:val="center"/>
            <w:hideMark/>
          </w:tcPr>
          <w:p w14:paraId="2BF5CC72" w14:textId="77777777" w:rsidR="007B2C74" w:rsidRPr="00F15667" w:rsidRDefault="007B2C74" w:rsidP="003C28CA">
            <w:pPr>
              <w:spacing w:line="240" w:lineRule="auto"/>
              <w:jc w:val="left"/>
              <w:rPr>
                <w:rFonts w:eastAsia="Times New Roman"/>
                <w:szCs w:val="24"/>
                <w:lang w:eastAsia="cs-CZ"/>
              </w:rPr>
            </w:pPr>
            <w:r w:rsidRPr="00F15667">
              <w:rPr>
                <w:rFonts w:eastAsia="Times New Roman"/>
                <w:szCs w:val="24"/>
                <w:lang w:eastAsia="cs-CZ"/>
              </w:rPr>
              <w:t>KS Č. Budějovice</w:t>
            </w:r>
          </w:p>
        </w:tc>
        <w:tc>
          <w:tcPr>
            <w:tcW w:w="1898" w:type="dxa"/>
            <w:tcBorders>
              <w:top w:val="nil"/>
              <w:left w:val="nil"/>
              <w:bottom w:val="single" w:sz="4" w:space="0" w:color="auto"/>
              <w:right w:val="nil"/>
            </w:tcBorders>
            <w:shd w:val="clear" w:color="auto" w:fill="auto"/>
            <w:noWrap/>
            <w:vAlign w:val="center"/>
            <w:hideMark/>
          </w:tcPr>
          <w:p w14:paraId="0FB108B5" w14:textId="77777777" w:rsidR="007B2C74" w:rsidRPr="00F15667" w:rsidRDefault="007B2C74" w:rsidP="003C28CA">
            <w:pPr>
              <w:spacing w:line="240" w:lineRule="auto"/>
              <w:jc w:val="center"/>
              <w:rPr>
                <w:rFonts w:eastAsia="Times New Roman"/>
                <w:szCs w:val="24"/>
                <w:lang w:eastAsia="cs-CZ"/>
              </w:rPr>
            </w:pPr>
            <w:r w:rsidRPr="00F15667">
              <w:rPr>
                <w:rFonts w:eastAsia="Times New Roman"/>
                <w:szCs w:val="24"/>
                <w:lang w:eastAsia="cs-CZ"/>
              </w:rPr>
              <w:t>210</w:t>
            </w:r>
          </w:p>
        </w:tc>
        <w:tc>
          <w:tcPr>
            <w:tcW w:w="1418" w:type="dxa"/>
            <w:tcBorders>
              <w:top w:val="nil"/>
              <w:left w:val="nil"/>
              <w:bottom w:val="single" w:sz="4" w:space="0" w:color="auto"/>
              <w:right w:val="nil"/>
            </w:tcBorders>
            <w:shd w:val="clear" w:color="auto" w:fill="auto"/>
            <w:noWrap/>
            <w:vAlign w:val="center"/>
            <w:hideMark/>
          </w:tcPr>
          <w:p w14:paraId="15A7D2AF" w14:textId="0E0AEDF5" w:rsidR="007B2C74" w:rsidRPr="00F15667" w:rsidRDefault="007B2C74" w:rsidP="003C28CA">
            <w:pPr>
              <w:spacing w:line="240" w:lineRule="auto"/>
              <w:jc w:val="center"/>
              <w:rPr>
                <w:rFonts w:eastAsia="Times New Roman"/>
                <w:sz w:val="20"/>
                <w:szCs w:val="20"/>
                <w:lang w:eastAsia="cs-CZ"/>
              </w:rPr>
            </w:pPr>
            <w:r w:rsidRPr="00F15667">
              <w:rPr>
                <w:rFonts w:eastAsia="Times New Roman"/>
                <w:sz w:val="20"/>
                <w:szCs w:val="20"/>
                <w:lang w:eastAsia="cs-CZ"/>
              </w:rPr>
              <w:t>-18 %</w:t>
            </w:r>
          </w:p>
        </w:tc>
      </w:tr>
      <w:tr w:rsidR="00F15667" w:rsidRPr="00F15667" w14:paraId="59456C57" w14:textId="77777777" w:rsidTr="003C28CA">
        <w:trPr>
          <w:trHeight w:val="315"/>
        </w:trPr>
        <w:tc>
          <w:tcPr>
            <w:tcW w:w="2780" w:type="dxa"/>
            <w:tcBorders>
              <w:top w:val="nil"/>
              <w:left w:val="nil"/>
              <w:bottom w:val="single" w:sz="4" w:space="0" w:color="auto"/>
              <w:right w:val="nil"/>
            </w:tcBorders>
            <w:shd w:val="clear" w:color="auto" w:fill="auto"/>
            <w:noWrap/>
            <w:vAlign w:val="center"/>
            <w:hideMark/>
          </w:tcPr>
          <w:p w14:paraId="57DD94F9" w14:textId="77777777" w:rsidR="007B2C74" w:rsidRPr="00F15667" w:rsidRDefault="007B2C74" w:rsidP="003C28CA">
            <w:pPr>
              <w:spacing w:line="240" w:lineRule="auto"/>
              <w:jc w:val="left"/>
              <w:rPr>
                <w:rFonts w:eastAsia="Times New Roman"/>
                <w:szCs w:val="24"/>
                <w:lang w:eastAsia="cs-CZ"/>
              </w:rPr>
            </w:pPr>
            <w:r w:rsidRPr="00F15667">
              <w:rPr>
                <w:rFonts w:eastAsia="Times New Roman"/>
                <w:szCs w:val="24"/>
                <w:lang w:eastAsia="cs-CZ"/>
              </w:rPr>
              <w:t>KS Plzeň</w:t>
            </w:r>
          </w:p>
        </w:tc>
        <w:tc>
          <w:tcPr>
            <w:tcW w:w="1898" w:type="dxa"/>
            <w:tcBorders>
              <w:top w:val="nil"/>
              <w:left w:val="nil"/>
              <w:bottom w:val="single" w:sz="4" w:space="0" w:color="auto"/>
              <w:right w:val="nil"/>
            </w:tcBorders>
            <w:shd w:val="clear" w:color="auto" w:fill="auto"/>
            <w:noWrap/>
            <w:vAlign w:val="center"/>
            <w:hideMark/>
          </w:tcPr>
          <w:p w14:paraId="6AA90B37" w14:textId="77777777" w:rsidR="007B2C74" w:rsidRPr="00F15667" w:rsidRDefault="007B2C74" w:rsidP="003C28CA">
            <w:pPr>
              <w:spacing w:line="240" w:lineRule="auto"/>
              <w:jc w:val="center"/>
              <w:rPr>
                <w:rFonts w:eastAsia="Times New Roman"/>
                <w:szCs w:val="24"/>
                <w:lang w:eastAsia="cs-CZ"/>
              </w:rPr>
            </w:pPr>
            <w:r w:rsidRPr="00F15667">
              <w:rPr>
                <w:rFonts w:eastAsia="Times New Roman"/>
                <w:szCs w:val="24"/>
                <w:lang w:eastAsia="cs-CZ"/>
              </w:rPr>
              <w:t>225</w:t>
            </w:r>
          </w:p>
        </w:tc>
        <w:tc>
          <w:tcPr>
            <w:tcW w:w="1418" w:type="dxa"/>
            <w:tcBorders>
              <w:top w:val="nil"/>
              <w:left w:val="nil"/>
              <w:bottom w:val="single" w:sz="4" w:space="0" w:color="auto"/>
              <w:right w:val="nil"/>
            </w:tcBorders>
            <w:shd w:val="clear" w:color="auto" w:fill="auto"/>
            <w:noWrap/>
            <w:vAlign w:val="center"/>
            <w:hideMark/>
          </w:tcPr>
          <w:p w14:paraId="7220395C" w14:textId="54578C05" w:rsidR="007B2C74" w:rsidRPr="00F15667" w:rsidRDefault="007B2C74" w:rsidP="003C28CA">
            <w:pPr>
              <w:spacing w:line="240" w:lineRule="auto"/>
              <w:jc w:val="center"/>
              <w:rPr>
                <w:rFonts w:eastAsia="Times New Roman"/>
                <w:sz w:val="20"/>
                <w:szCs w:val="20"/>
                <w:lang w:eastAsia="cs-CZ"/>
              </w:rPr>
            </w:pPr>
            <w:r w:rsidRPr="00F15667">
              <w:rPr>
                <w:rFonts w:eastAsia="Times New Roman"/>
                <w:sz w:val="20"/>
                <w:szCs w:val="20"/>
                <w:lang w:eastAsia="cs-CZ"/>
              </w:rPr>
              <w:t>-26 %</w:t>
            </w:r>
          </w:p>
        </w:tc>
      </w:tr>
      <w:tr w:rsidR="00F15667" w:rsidRPr="00F15667" w14:paraId="4E02197D" w14:textId="77777777" w:rsidTr="003C28CA">
        <w:trPr>
          <w:trHeight w:val="315"/>
        </w:trPr>
        <w:tc>
          <w:tcPr>
            <w:tcW w:w="2780" w:type="dxa"/>
            <w:tcBorders>
              <w:top w:val="nil"/>
              <w:left w:val="nil"/>
              <w:bottom w:val="single" w:sz="4" w:space="0" w:color="auto"/>
              <w:right w:val="nil"/>
            </w:tcBorders>
            <w:shd w:val="clear" w:color="auto" w:fill="auto"/>
            <w:noWrap/>
            <w:vAlign w:val="center"/>
            <w:hideMark/>
          </w:tcPr>
          <w:p w14:paraId="575A316D" w14:textId="77777777" w:rsidR="007B2C74" w:rsidRPr="00F15667" w:rsidRDefault="007B2C74" w:rsidP="003C28CA">
            <w:pPr>
              <w:spacing w:line="240" w:lineRule="auto"/>
              <w:jc w:val="left"/>
              <w:rPr>
                <w:rFonts w:eastAsia="Times New Roman"/>
                <w:szCs w:val="24"/>
                <w:lang w:eastAsia="cs-CZ"/>
              </w:rPr>
            </w:pPr>
            <w:r w:rsidRPr="00F15667">
              <w:rPr>
                <w:rFonts w:eastAsia="Times New Roman"/>
                <w:szCs w:val="24"/>
                <w:lang w:eastAsia="cs-CZ"/>
              </w:rPr>
              <w:t>KS Ústí n. Labem</w:t>
            </w:r>
          </w:p>
        </w:tc>
        <w:tc>
          <w:tcPr>
            <w:tcW w:w="1898" w:type="dxa"/>
            <w:tcBorders>
              <w:top w:val="nil"/>
              <w:left w:val="nil"/>
              <w:bottom w:val="single" w:sz="4" w:space="0" w:color="auto"/>
              <w:right w:val="nil"/>
            </w:tcBorders>
            <w:shd w:val="clear" w:color="auto" w:fill="auto"/>
            <w:noWrap/>
            <w:vAlign w:val="center"/>
            <w:hideMark/>
          </w:tcPr>
          <w:p w14:paraId="3A270B0C" w14:textId="77777777" w:rsidR="007B2C74" w:rsidRPr="00F15667" w:rsidRDefault="007B2C74" w:rsidP="003C28CA">
            <w:pPr>
              <w:spacing w:line="240" w:lineRule="auto"/>
              <w:jc w:val="center"/>
              <w:rPr>
                <w:rFonts w:eastAsia="Times New Roman"/>
                <w:szCs w:val="24"/>
                <w:lang w:eastAsia="cs-CZ"/>
              </w:rPr>
            </w:pPr>
            <w:r w:rsidRPr="00F15667">
              <w:rPr>
                <w:rFonts w:eastAsia="Times New Roman"/>
                <w:szCs w:val="24"/>
                <w:lang w:eastAsia="cs-CZ"/>
              </w:rPr>
              <w:t>368</w:t>
            </w:r>
          </w:p>
        </w:tc>
        <w:tc>
          <w:tcPr>
            <w:tcW w:w="1418" w:type="dxa"/>
            <w:tcBorders>
              <w:top w:val="nil"/>
              <w:left w:val="nil"/>
              <w:bottom w:val="single" w:sz="4" w:space="0" w:color="auto"/>
              <w:right w:val="nil"/>
            </w:tcBorders>
            <w:shd w:val="clear" w:color="auto" w:fill="auto"/>
            <w:noWrap/>
            <w:vAlign w:val="center"/>
            <w:hideMark/>
          </w:tcPr>
          <w:p w14:paraId="06DFAD25" w14:textId="3DA3889D" w:rsidR="007B2C74" w:rsidRPr="00F15667" w:rsidRDefault="007B2C74" w:rsidP="003C28CA">
            <w:pPr>
              <w:spacing w:line="240" w:lineRule="auto"/>
              <w:jc w:val="center"/>
              <w:rPr>
                <w:rFonts w:eastAsia="Times New Roman"/>
                <w:sz w:val="20"/>
                <w:szCs w:val="20"/>
                <w:lang w:eastAsia="cs-CZ"/>
              </w:rPr>
            </w:pPr>
            <w:r w:rsidRPr="00F15667">
              <w:rPr>
                <w:rFonts w:eastAsia="Times New Roman"/>
                <w:sz w:val="20"/>
                <w:szCs w:val="20"/>
                <w:lang w:eastAsia="cs-CZ"/>
              </w:rPr>
              <w:t>+9 %</w:t>
            </w:r>
          </w:p>
        </w:tc>
      </w:tr>
      <w:tr w:rsidR="00F15667" w:rsidRPr="00F15667" w14:paraId="2DBB0D4E" w14:textId="77777777" w:rsidTr="003C28CA">
        <w:trPr>
          <w:trHeight w:val="315"/>
        </w:trPr>
        <w:tc>
          <w:tcPr>
            <w:tcW w:w="2780" w:type="dxa"/>
            <w:tcBorders>
              <w:top w:val="nil"/>
              <w:left w:val="nil"/>
              <w:bottom w:val="single" w:sz="4" w:space="0" w:color="auto"/>
              <w:right w:val="nil"/>
            </w:tcBorders>
            <w:shd w:val="clear" w:color="auto" w:fill="auto"/>
            <w:noWrap/>
            <w:vAlign w:val="center"/>
            <w:hideMark/>
          </w:tcPr>
          <w:p w14:paraId="4198C154" w14:textId="77777777" w:rsidR="007B2C74" w:rsidRPr="00F15667" w:rsidRDefault="007B2C74" w:rsidP="003C28CA">
            <w:pPr>
              <w:spacing w:line="240" w:lineRule="auto"/>
              <w:jc w:val="left"/>
              <w:rPr>
                <w:rFonts w:eastAsia="Times New Roman"/>
                <w:szCs w:val="24"/>
                <w:lang w:eastAsia="cs-CZ"/>
              </w:rPr>
            </w:pPr>
            <w:r w:rsidRPr="00F15667">
              <w:rPr>
                <w:rFonts w:eastAsia="Times New Roman"/>
                <w:szCs w:val="24"/>
                <w:lang w:eastAsia="cs-CZ"/>
              </w:rPr>
              <w:t>KS Hr. Králové</w:t>
            </w:r>
          </w:p>
        </w:tc>
        <w:tc>
          <w:tcPr>
            <w:tcW w:w="1898" w:type="dxa"/>
            <w:tcBorders>
              <w:top w:val="nil"/>
              <w:left w:val="nil"/>
              <w:bottom w:val="single" w:sz="4" w:space="0" w:color="auto"/>
              <w:right w:val="nil"/>
            </w:tcBorders>
            <w:shd w:val="clear" w:color="auto" w:fill="auto"/>
            <w:noWrap/>
            <w:vAlign w:val="center"/>
            <w:hideMark/>
          </w:tcPr>
          <w:p w14:paraId="1C3D8318" w14:textId="77777777" w:rsidR="007B2C74" w:rsidRPr="00F15667" w:rsidRDefault="007B2C74" w:rsidP="003C28CA">
            <w:pPr>
              <w:spacing w:line="240" w:lineRule="auto"/>
              <w:jc w:val="center"/>
              <w:rPr>
                <w:rFonts w:eastAsia="Times New Roman"/>
                <w:szCs w:val="24"/>
                <w:lang w:eastAsia="cs-CZ"/>
              </w:rPr>
            </w:pPr>
            <w:r w:rsidRPr="00F15667">
              <w:rPr>
                <w:rFonts w:eastAsia="Times New Roman"/>
                <w:szCs w:val="24"/>
                <w:lang w:eastAsia="cs-CZ"/>
              </w:rPr>
              <w:t>222</w:t>
            </w:r>
          </w:p>
        </w:tc>
        <w:tc>
          <w:tcPr>
            <w:tcW w:w="1418" w:type="dxa"/>
            <w:tcBorders>
              <w:top w:val="nil"/>
              <w:left w:val="nil"/>
              <w:bottom w:val="single" w:sz="4" w:space="0" w:color="auto"/>
              <w:right w:val="nil"/>
            </w:tcBorders>
            <w:shd w:val="clear" w:color="auto" w:fill="auto"/>
            <w:noWrap/>
            <w:vAlign w:val="center"/>
            <w:hideMark/>
          </w:tcPr>
          <w:p w14:paraId="7EDADF72" w14:textId="45BCBEFC" w:rsidR="007B2C74" w:rsidRPr="00F15667" w:rsidRDefault="007B2C74" w:rsidP="003C28CA">
            <w:pPr>
              <w:spacing w:line="240" w:lineRule="auto"/>
              <w:jc w:val="center"/>
              <w:rPr>
                <w:rFonts w:eastAsia="Times New Roman"/>
                <w:sz w:val="20"/>
                <w:szCs w:val="20"/>
                <w:lang w:eastAsia="cs-CZ"/>
              </w:rPr>
            </w:pPr>
            <w:r w:rsidRPr="00F15667">
              <w:rPr>
                <w:rFonts w:eastAsia="Times New Roman"/>
                <w:sz w:val="20"/>
                <w:szCs w:val="20"/>
                <w:lang w:eastAsia="cs-CZ"/>
              </w:rPr>
              <w:t>-2 %</w:t>
            </w:r>
          </w:p>
        </w:tc>
      </w:tr>
      <w:tr w:rsidR="00F15667" w:rsidRPr="00F15667" w14:paraId="06E1B0B8" w14:textId="77777777" w:rsidTr="003C28CA">
        <w:trPr>
          <w:trHeight w:val="315"/>
        </w:trPr>
        <w:tc>
          <w:tcPr>
            <w:tcW w:w="2780" w:type="dxa"/>
            <w:tcBorders>
              <w:top w:val="nil"/>
              <w:left w:val="nil"/>
              <w:bottom w:val="single" w:sz="4" w:space="0" w:color="auto"/>
              <w:right w:val="nil"/>
            </w:tcBorders>
            <w:shd w:val="clear" w:color="auto" w:fill="auto"/>
            <w:noWrap/>
            <w:vAlign w:val="center"/>
            <w:hideMark/>
          </w:tcPr>
          <w:p w14:paraId="7BFA2A98" w14:textId="77777777" w:rsidR="007B2C74" w:rsidRPr="00F15667" w:rsidRDefault="007B2C74" w:rsidP="003C28CA">
            <w:pPr>
              <w:spacing w:line="240" w:lineRule="auto"/>
              <w:jc w:val="left"/>
              <w:rPr>
                <w:rFonts w:eastAsia="Times New Roman"/>
                <w:szCs w:val="24"/>
                <w:lang w:eastAsia="cs-CZ"/>
              </w:rPr>
            </w:pPr>
            <w:r w:rsidRPr="00F15667">
              <w:rPr>
                <w:rFonts w:eastAsia="Times New Roman"/>
                <w:szCs w:val="24"/>
                <w:lang w:eastAsia="cs-CZ"/>
              </w:rPr>
              <w:t>KS Brno</w:t>
            </w:r>
          </w:p>
        </w:tc>
        <w:tc>
          <w:tcPr>
            <w:tcW w:w="1898" w:type="dxa"/>
            <w:tcBorders>
              <w:top w:val="nil"/>
              <w:left w:val="nil"/>
              <w:bottom w:val="single" w:sz="4" w:space="0" w:color="auto"/>
              <w:right w:val="nil"/>
            </w:tcBorders>
            <w:shd w:val="clear" w:color="auto" w:fill="auto"/>
            <w:noWrap/>
            <w:vAlign w:val="center"/>
            <w:hideMark/>
          </w:tcPr>
          <w:p w14:paraId="47411170" w14:textId="77777777" w:rsidR="007B2C74" w:rsidRPr="00F15667" w:rsidRDefault="007B2C74" w:rsidP="003C28CA">
            <w:pPr>
              <w:spacing w:line="240" w:lineRule="auto"/>
              <w:jc w:val="center"/>
              <w:rPr>
                <w:rFonts w:eastAsia="Times New Roman"/>
                <w:szCs w:val="24"/>
                <w:lang w:eastAsia="cs-CZ"/>
              </w:rPr>
            </w:pPr>
            <w:r w:rsidRPr="00F15667">
              <w:rPr>
                <w:rFonts w:eastAsia="Times New Roman"/>
                <w:szCs w:val="24"/>
                <w:lang w:eastAsia="cs-CZ"/>
              </w:rPr>
              <w:t>308</w:t>
            </w:r>
          </w:p>
        </w:tc>
        <w:tc>
          <w:tcPr>
            <w:tcW w:w="1418" w:type="dxa"/>
            <w:tcBorders>
              <w:top w:val="nil"/>
              <w:left w:val="nil"/>
              <w:bottom w:val="single" w:sz="4" w:space="0" w:color="auto"/>
              <w:right w:val="nil"/>
            </w:tcBorders>
            <w:shd w:val="clear" w:color="auto" w:fill="auto"/>
            <w:noWrap/>
            <w:vAlign w:val="center"/>
            <w:hideMark/>
          </w:tcPr>
          <w:p w14:paraId="2646D838" w14:textId="74F79C1D" w:rsidR="007B2C74" w:rsidRPr="00F15667" w:rsidRDefault="007B2C74" w:rsidP="003C28CA">
            <w:pPr>
              <w:spacing w:line="240" w:lineRule="auto"/>
              <w:jc w:val="center"/>
              <w:rPr>
                <w:rFonts w:eastAsia="Times New Roman"/>
                <w:sz w:val="20"/>
                <w:szCs w:val="20"/>
                <w:lang w:eastAsia="cs-CZ"/>
              </w:rPr>
            </w:pPr>
            <w:r w:rsidRPr="00F15667">
              <w:rPr>
                <w:rFonts w:eastAsia="Times New Roman"/>
                <w:sz w:val="20"/>
                <w:szCs w:val="20"/>
                <w:lang w:eastAsia="cs-CZ"/>
              </w:rPr>
              <w:t>+4 %</w:t>
            </w:r>
          </w:p>
        </w:tc>
      </w:tr>
      <w:tr w:rsidR="00F15667" w:rsidRPr="00F15667" w14:paraId="70698A21" w14:textId="77777777" w:rsidTr="003C28CA">
        <w:trPr>
          <w:trHeight w:val="330"/>
        </w:trPr>
        <w:tc>
          <w:tcPr>
            <w:tcW w:w="2780" w:type="dxa"/>
            <w:tcBorders>
              <w:top w:val="nil"/>
              <w:left w:val="nil"/>
              <w:bottom w:val="double" w:sz="6" w:space="0" w:color="auto"/>
              <w:right w:val="nil"/>
            </w:tcBorders>
            <w:shd w:val="clear" w:color="auto" w:fill="auto"/>
            <w:noWrap/>
            <w:vAlign w:val="center"/>
            <w:hideMark/>
          </w:tcPr>
          <w:p w14:paraId="1B452430" w14:textId="77777777" w:rsidR="007B2C74" w:rsidRPr="00F15667" w:rsidRDefault="007B2C74" w:rsidP="003C28CA">
            <w:pPr>
              <w:spacing w:line="240" w:lineRule="auto"/>
              <w:jc w:val="left"/>
              <w:rPr>
                <w:rFonts w:eastAsia="Times New Roman"/>
                <w:szCs w:val="24"/>
                <w:lang w:eastAsia="cs-CZ"/>
              </w:rPr>
            </w:pPr>
            <w:r w:rsidRPr="00F15667">
              <w:rPr>
                <w:rFonts w:eastAsia="Times New Roman"/>
                <w:szCs w:val="24"/>
                <w:lang w:eastAsia="cs-CZ"/>
              </w:rPr>
              <w:t>KS Ostrava</w:t>
            </w:r>
          </w:p>
        </w:tc>
        <w:tc>
          <w:tcPr>
            <w:tcW w:w="1898" w:type="dxa"/>
            <w:tcBorders>
              <w:top w:val="nil"/>
              <w:left w:val="nil"/>
              <w:bottom w:val="double" w:sz="6" w:space="0" w:color="auto"/>
              <w:right w:val="nil"/>
            </w:tcBorders>
            <w:shd w:val="clear" w:color="auto" w:fill="auto"/>
            <w:noWrap/>
            <w:vAlign w:val="center"/>
            <w:hideMark/>
          </w:tcPr>
          <w:p w14:paraId="468A18C2" w14:textId="77777777" w:rsidR="007B2C74" w:rsidRPr="00F15667" w:rsidRDefault="007B2C74" w:rsidP="003C28CA">
            <w:pPr>
              <w:spacing w:line="240" w:lineRule="auto"/>
              <w:jc w:val="center"/>
              <w:rPr>
                <w:rFonts w:eastAsia="Times New Roman"/>
                <w:szCs w:val="24"/>
                <w:lang w:eastAsia="cs-CZ"/>
              </w:rPr>
            </w:pPr>
            <w:r w:rsidRPr="00F15667">
              <w:rPr>
                <w:rFonts w:eastAsia="Times New Roman"/>
                <w:szCs w:val="24"/>
                <w:lang w:eastAsia="cs-CZ"/>
              </w:rPr>
              <w:t>173</w:t>
            </w:r>
          </w:p>
        </w:tc>
        <w:tc>
          <w:tcPr>
            <w:tcW w:w="1418" w:type="dxa"/>
            <w:tcBorders>
              <w:top w:val="nil"/>
              <w:left w:val="nil"/>
              <w:bottom w:val="double" w:sz="6" w:space="0" w:color="auto"/>
              <w:right w:val="nil"/>
            </w:tcBorders>
            <w:shd w:val="clear" w:color="auto" w:fill="auto"/>
            <w:noWrap/>
            <w:vAlign w:val="center"/>
            <w:hideMark/>
          </w:tcPr>
          <w:p w14:paraId="3AE4A3B7" w14:textId="5A2D0B2E" w:rsidR="007B2C74" w:rsidRPr="00F15667" w:rsidRDefault="007B2C74" w:rsidP="003C28CA">
            <w:pPr>
              <w:spacing w:line="240" w:lineRule="auto"/>
              <w:jc w:val="center"/>
              <w:rPr>
                <w:rFonts w:eastAsia="Times New Roman"/>
                <w:sz w:val="20"/>
                <w:szCs w:val="20"/>
                <w:lang w:eastAsia="cs-CZ"/>
              </w:rPr>
            </w:pPr>
            <w:r w:rsidRPr="00F15667">
              <w:rPr>
                <w:rFonts w:eastAsia="Times New Roman"/>
                <w:sz w:val="20"/>
                <w:szCs w:val="20"/>
                <w:lang w:eastAsia="cs-CZ"/>
              </w:rPr>
              <w:t>+18 %</w:t>
            </w:r>
          </w:p>
        </w:tc>
      </w:tr>
      <w:tr w:rsidR="00F15667" w:rsidRPr="00F15667" w14:paraId="36D5E2A2" w14:textId="77777777" w:rsidTr="003C28CA">
        <w:trPr>
          <w:trHeight w:val="345"/>
        </w:trPr>
        <w:tc>
          <w:tcPr>
            <w:tcW w:w="2780" w:type="dxa"/>
            <w:tcBorders>
              <w:top w:val="nil"/>
              <w:left w:val="nil"/>
              <w:bottom w:val="double" w:sz="6" w:space="0" w:color="auto"/>
              <w:right w:val="nil"/>
            </w:tcBorders>
            <w:shd w:val="clear" w:color="auto" w:fill="auto"/>
            <w:noWrap/>
            <w:vAlign w:val="center"/>
            <w:hideMark/>
          </w:tcPr>
          <w:p w14:paraId="1BE50E59" w14:textId="77777777" w:rsidR="007B2C74" w:rsidRPr="00F15667" w:rsidRDefault="007B2C74" w:rsidP="003C28CA">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898" w:type="dxa"/>
            <w:tcBorders>
              <w:top w:val="nil"/>
              <w:left w:val="nil"/>
              <w:bottom w:val="double" w:sz="6" w:space="0" w:color="auto"/>
              <w:right w:val="nil"/>
            </w:tcBorders>
            <w:shd w:val="clear" w:color="auto" w:fill="auto"/>
            <w:noWrap/>
            <w:vAlign w:val="center"/>
            <w:hideMark/>
          </w:tcPr>
          <w:p w14:paraId="3D6437A3" w14:textId="77777777" w:rsidR="007B2C74" w:rsidRPr="00F15667" w:rsidRDefault="007B2C74" w:rsidP="003C28CA">
            <w:pPr>
              <w:spacing w:line="240" w:lineRule="auto"/>
              <w:jc w:val="center"/>
              <w:rPr>
                <w:rFonts w:eastAsia="Times New Roman"/>
                <w:b/>
                <w:bCs/>
                <w:szCs w:val="24"/>
                <w:lang w:eastAsia="cs-CZ"/>
              </w:rPr>
            </w:pPr>
            <w:r w:rsidRPr="00F15667">
              <w:rPr>
                <w:rFonts w:eastAsia="Times New Roman"/>
                <w:b/>
                <w:bCs/>
                <w:szCs w:val="24"/>
                <w:lang w:eastAsia="cs-CZ"/>
              </w:rPr>
              <w:t>204</w:t>
            </w:r>
          </w:p>
        </w:tc>
        <w:tc>
          <w:tcPr>
            <w:tcW w:w="1418" w:type="dxa"/>
            <w:tcBorders>
              <w:top w:val="nil"/>
              <w:left w:val="nil"/>
              <w:bottom w:val="double" w:sz="6" w:space="0" w:color="auto"/>
              <w:right w:val="nil"/>
            </w:tcBorders>
            <w:shd w:val="clear" w:color="auto" w:fill="auto"/>
            <w:noWrap/>
            <w:vAlign w:val="center"/>
            <w:hideMark/>
          </w:tcPr>
          <w:p w14:paraId="48B730BF" w14:textId="0D12CD4A" w:rsidR="007B2C74" w:rsidRPr="00F15667" w:rsidRDefault="007B2C74" w:rsidP="003C28CA">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r>
      <w:tr w:rsidR="00F15667" w:rsidRPr="00F15667" w14:paraId="62C40493" w14:textId="77777777" w:rsidTr="003C28CA">
        <w:trPr>
          <w:trHeight w:val="330"/>
        </w:trPr>
        <w:tc>
          <w:tcPr>
            <w:tcW w:w="2780" w:type="dxa"/>
            <w:tcBorders>
              <w:top w:val="nil"/>
              <w:left w:val="nil"/>
              <w:bottom w:val="nil"/>
              <w:right w:val="nil"/>
            </w:tcBorders>
            <w:shd w:val="clear" w:color="auto" w:fill="auto"/>
            <w:noWrap/>
            <w:vAlign w:val="center"/>
            <w:hideMark/>
          </w:tcPr>
          <w:p w14:paraId="4664331F" w14:textId="77777777" w:rsidR="007B2C74" w:rsidRPr="00F15667" w:rsidRDefault="007B2C74" w:rsidP="003C28CA">
            <w:pPr>
              <w:spacing w:line="240" w:lineRule="auto"/>
              <w:jc w:val="center"/>
              <w:rPr>
                <w:rFonts w:eastAsia="Times New Roman"/>
                <w:b/>
                <w:bCs/>
                <w:sz w:val="20"/>
                <w:szCs w:val="20"/>
                <w:lang w:eastAsia="cs-CZ"/>
              </w:rPr>
            </w:pPr>
          </w:p>
        </w:tc>
        <w:tc>
          <w:tcPr>
            <w:tcW w:w="1898" w:type="dxa"/>
            <w:tcBorders>
              <w:top w:val="nil"/>
              <w:left w:val="nil"/>
              <w:bottom w:val="nil"/>
              <w:right w:val="nil"/>
            </w:tcBorders>
            <w:shd w:val="clear" w:color="auto" w:fill="auto"/>
            <w:noWrap/>
            <w:vAlign w:val="center"/>
            <w:hideMark/>
          </w:tcPr>
          <w:p w14:paraId="0D0A170A" w14:textId="77777777" w:rsidR="007B2C74" w:rsidRPr="00F15667" w:rsidRDefault="007B2C74" w:rsidP="003C28CA">
            <w:pPr>
              <w:spacing w:line="240" w:lineRule="auto"/>
              <w:jc w:val="center"/>
              <w:rPr>
                <w:rFonts w:ascii="Times New Roman" w:eastAsia="Times New Roman" w:hAnsi="Times New Roman"/>
                <w:sz w:val="20"/>
                <w:szCs w:val="20"/>
                <w:lang w:eastAsia="cs-CZ"/>
              </w:rPr>
            </w:pPr>
          </w:p>
        </w:tc>
        <w:tc>
          <w:tcPr>
            <w:tcW w:w="1418" w:type="dxa"/>
            <w:tcBorders>
              <w:top w:val="nil"/>
              <w:left w:val="nil"/>
              <w:bottom w:val="nil"/>
              <w:right w:val="nil"/>
            </w:tcBorders>
            <w:shd w:val="clear" w:color="auto" w:fill="auto"/>
            <w:noWrap/>
            <w:vAlign w:val="center"/>
            <w:hideMark/>
          </w:tcPr>
          <w:p w14:paraId="572287E3" w14:textId="77777777" w:rsidR="007B2C74" w:rsidRPr="00F15667" w:rsidRDefault="007B2C74" w:rsidP="003C28CA">
            <w:pPr>
              <w:spacing w:line="240" w:lineRule="auto"/>
              <w:jc w:val="center"/>
              <w:rPr>
                <w:rFonts w:ascii="Times New Roman" w:eastAsia="Times New Roman" w:hAnsi="Times New Roman"/>
                <w:sz w:val="20"/>
                <w:szCs w:val="20"/>
                <w:lang w:eastAsia="cs-CZ"/>
              </w:rPr>
            </w:pPr>
          </w:p>
        </w:tc>
      </w:tr>
    </w:tbl>
    <w:p w14:paraId="108E928D" w14:textId="5C8DF3A1" w:rsidR="008430BD" w:rsidRPr="00F15667" w:rsidRDefault="008430BD" w:rsidP="008430BD">
      <w:pPr>
        <w:pStyle w:val="Nadpis3"/>
        <w:numPr>
          <w:ilvl w:val="2"/>
          <w:numId w:val="1"/>
        </w:numPr>
        <w:rPr>
          <w:color w:val="auto"/>
        </w:rPr>
      </w:pPr>
      <w:bookmarkStart w:id="659" w:name="_Toc106092757"/>
      <w:bookmarkStart w:id="660" w:name="_Toc144104370"/>
      <w:r w:rsidRPr="00F15667">
        <w:rPr>
          <w:color w:val="auto"/>
        </w:rPr>
        <w:t>Další statistiky</w:t>
      </w:r>
      <w:bookmarkEnd w:id="659"/>
      <w:bookmarkEnd w:id="660"/>
    </w:p>
    <w:p w14:paraId="5D77685F" w14:textId="3AAE5618" w:rsidR="00B17BA5" w:rsidRPr="00F15667" w:rsidRDefault="00B17BA5" w:rsidP="00B17BA5">
      <w:pPr>
        <w:pStyle w:val="OdstavecASR"/>
      </w:pPr>
      <w:r w:rsidRPr="00F15667">
        <w:t xml:space="preserve">U krajských soudů uvádíme stejné </w:t>
      </w:r>
      <w:r w:rsidRPr="00F15667">
        <w:rPr>
          <w:iCs/>
        </w:rPr>
        <w:t xml:space="preserve">další </w:t>
      </w:r>
      <w:r w:rsidR="00F30343" w:rsidRPr="00F15667">
        <w:t>dvě</w:t>
      </w:r>
      <w:r w:rsidR="00F30343" w:rsidRPr="00F15667">
        <w:rPr>
          <w:iCs/>
        </w:rPr>
        <w:t xml:space="preserve"> </w:t>
      </w:r>
      <w:r w:rsidRPr="00F15667">
        <w:rPr>
          <w:iCs/>
        </w:rPr>
        <w:t>statistiky</w:t>
      </w:r>
      <w:r w:rsidRPr="00F15667">
        <w:t xml:space="preserve"> jako u soudů okresních, tj. míru odvolání a míru změny rozsudku. Díky tomu je tyto statistiky možné porovnat mezi okresními a krajskými soudy. Dále je uveden podíl vybraných sporů (</w:t>
      </w:r>
      <w:r w:rsidRPr="00F15667">
        <w:rPr>
          <w:i/>
          <w:iCs/>
        </w:rPr>
        <w:t xml:space="preserve">zrušení a jmenování likvidátora u jiných korporací </w:t>
      </w:r>
      <w:r w:rsidR="00195405" w:rsidRPr="00F15667">
        <w:rPr>
          <w:i/>
          <w:iCs/>
        </w:rPr>
        <w:t>[</w:t>
      </w:r>
      <w:r w:rsidRPr="00F15667">
        <w:rPr>
          <w:i/>
          <w:iCs/>
        </w:rPr>
        <w:t>spolky, odborové organizace atd</w:t>
      </w:r>
      <w:r w:rsidR="00F30343" w:rsidRPr="00F15667">
        <w:rPr>
          <w:i/>
          <w:iCs/>
        </w:rPr>
        <w:t>.</w:t>
      </w:r>
      <w:r w:rsidR="00195405" w:rsidRPr="00F15667">
        <w:rPr>
          <w:i/>
          <w:iCs/>
        </w:rPr>
        <w:t>]</w:t>
      </w:r>
      <w:r w:rsidRPr="00F15667">
        <w:t xml:space="preserve"> a </w:t>
      </w:r>
      <w:r w:rsidRPr="00F15667">
        <w:rPr>
          <w:i/>
          <w:iCs/>
        </w:rPr>
        <w:t>právní vztahy souvisejících se zrušením a likvidací obchodní korporace</w:t>
      </w:r>
      <w:r w:rsidRPr="00F15667">
        <w:t>) v obchodní agendě.</w:t>
      </w:r>
    </w:p>
    <w:p w14:paraId="7B2B1227" w14:textId="69DACE32" w:rsidR="00B17BA5" w:rsidRPr="00F15667" w:rsidRDefault="00B17BA5" w:rsidP="00B17BA5">
      <w:pPr>
        <w:pStyle w:val="OdstavecASR"/>
        <w:keepNext/>
        <w:outlineLvl w:val="3"/>
        <w:rPr>
          <w:b/>
        </w:rPr>
      </w:pPr>
      <w:r w:rsidRPr="00F15667">
        <w:rPr>
          <w:b/>
        </w:rPr>
        <w:t>Míra odvolání</w:t>
      </w:r>
    </w:p>
    <w:p w14:paraId="26CAA63A" w14:textId="2296EC23" w:rsidR="00B17BA5" w:rsidRPr="00F15667" w:rsidRDefault="00B17BA5" w:rsidP="00B17BA5">
      <w:pPr>
        <w:pStyle w:val="OdstavecASR"/>
      </w:pPr>
      <w:r w:rsidRPr="00F15667">
        <w:t xml:space="preserve">Vypočtená míra odvolání byla již v letech 2017 až 2020 ovlivněna především očištěním dat o věci s předmětem sporu </w:t>
      </w:r>
      <w:r w:rsidRPr="00F15667">
        <w:rPr>
          <w:i/>
        </w:rPr>
        <w:t>právní vztahy související se zrušením a likvidací obchodních korporací</w:t>
      </w:r>
      <w:r w:rsidRPr="00F15667">
        <w:t xml:space="preserve"> (viz podkapitola </w:t>
      </w:r>
      <w:r w:rsidRPr="00F15667">
        <w:fldChar w:fldCharType="begin"/>
      </w:r>
      <w:r w:rsidRPr="00F15667">
        <w:instrText xml:space="preserve"> REF _Ref103764802 \r \h  \* MERGEFORMAT </w:instrText>
      </w:r>
      <w:r w:rsidRPr="00F15667">
        <w:fldChar w:fldCharType="separate"/>
      </w:r>
      <w:r w:rsidR="001E1A67">
        <w:t>3.2.1</w:t>
      </w:r>
      <w:r w:rsidRPr="00F15667">
        <w:fldChar w:fldCharType="end"/>
      </w:r>
      <w:r w:rsidRPr="00F15667">
        <w:t xml:space="preserve">.). Od roku 2021 byla míra odvolání rovněž očištěna o věci s předmětem sporu </w:t>
      </w:r>
      <w:r w:rsidRPr="00F15667">
        <w:rPr>
          <w:i/>
          <w:iCs/>
        </w:rPr>
        <w:t>zrušení a jmenování likvidátora u jiných korporací (spolky, odborové organizace atd.)</w:t>
      </w:r>
      <w:r w:rsidRPr="00F15667">
        <w:t xml:space="preserve">; více opět viz podkapitola </w:t>
      </w:r>
      <w:r w:rsidRPr="00F15667">
        <w:fldChar w:fldCharType="begin"/>
      </w:r>
      <w:r w:rsidRPr="00F15667">
        <w:instrText xml:space="preserve"> REF _Ref103764829 \r \h  \* MERGEFORMAT </w:instrText>
      </w:r>
      <w:r w:rsidRPr="00F15667">
        <w:fldChar w:fldCharType="separate"/>
      </w:r>
      <w:r w:rsidR="001E1A67">
        <w:t>3.2.1</w:t>
      </w:r>
      <w:r w:rsidRPr="00F15667">
        <w:fldChar w:fldCharType="end"/>
      </w:r>
      <w:r w:rsidRPr="00F15667">
        <w:t>. Za účelem srovnání opět došlo ke změně i zpětně.</w:t>
      </w:r>
    </w:p>
    <w:p w14:paraId="5EB185B9" w14:textId="29322F85" w:rsidR="00236A55" w:rsidRPr="00F15667" w:rsidRDefault="00236A55" w:rsidP="00236A55">
      <w:pPr>
        <w:pStyle w:val="Podnadpis"/>
        <w:rPr>
          <w:color w:val="auto"/>
        </w:rPr>
      </w:pPr>
      <w:bookmarkStart w:id="661" w:name="_Toc515871471"/>
      <w:bookmarkStart w:id="662" w:name="_Toc11133238"/>
      <w:bookmarkStart w:id="663" w:name="_Toc43931217"/>
      <w:bookmarkStart w:id="664" w:name="_Toc75952350"/>
      <w:bookmarkStart w:id="665" w:name="_Toc106106807"/>
      <w:bookmarkStart w:id="666" w:name="_Toc109802130"/>
      <w:bookmarkStart w:id="667" w:name="_Toc144104288"/>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49</w:t>
      </w:r>
      <w:r w:rsidRPr="00F15667">
        <w:rPr>
          <w:color w:val="auto"/>
        </w:rPr>
        <w:fldChar w:fldCharType="end"/>
      </w:r>
      <w:r w:rsidRPr="00F15667">
        <w:rPr>
          <w:color w:val="auto"/>
        </w:rPr>
        <w:t>: KS – míra odvolání dle soudů v civilním řízení</w:t>
      </w:r>
      <w:bookmarkEnd w:id="661"/>
      <w:bookmarkEnd w:id="662"/>
      <w:bookmarkEnd w:id="663"/>
      <w:bookmarkEnd w:id="664"/>
      <w:bookmarkEnd w:id="665"/>
      <w:bookmarkEnd w:id="666"/>
      <w:bookmarkEnd w:id="667"/>
    </w:p>
    <w:tbl>
      <w:tblPr>
        <w:tblW w:w="6379" w:type="dxa"/>
        <w:tblCellMar>
          <w:left w:w="70" w:type="dxa"/>
          <w:right w:w="70" w:type="dxa"/>
        </w:tblCellMar>
        <w:tblLook w:val="04A0" w:firstRow="1" w:lastRow="0" w:firstColumn="1" w:lastColumn="0" w:noHBand="0" w:noVBand="1"/>
      </w:tblPr>
      <w:tblGrid>
        <w:gridCol w:w="2780"/>
        <w:gridCol w:w="1898"/>
        <w:gridCol w:w="1701"/>
      </w:tblGrid>
      <w:tr w:rsidR="00F15667" w:rsidRPr="00F15667" w14:paraId="1FADB79C" w14:textId="77777777" w:rsidTr="00CB1CF5">
        <w:trPr>
          <w:cantSplit/>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7F80389" w14:textId="77777777" w:rsidR="00236A55" w:rsidRPr="00F15667" w:rsidRDefault="00236A55" w:rsidP="00CB1CF5">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3599" w:type="dxa"/>
            <w:gridSpan w:val="2"/>
            <w:tcBorders>
              <w:top w:val="double" w:sz="6" w:space="0" w:color="auto"/>
              <w:left w:val="nil"/>
              <w:bottom w:val="double" w:sz="6" w:space="0" w:color="auto"/>
              <w:right w:val="nil"/>
            </w:tcBorders>
            <w:shd w:val="clear" w:color="auto" w:fill="auto"/>
            <w:noWrap/>
            <w:vAlign w:val="center"/>
            <w:hideMark/>
          </w:tcPr>
          <w:p w14:paraId="70AC5E62" w14:textId="5E10927E" w:rsidR="00236A55" w:rsidRPr="00F15667" w:rsidRDefault="00236A55" w:rsidP="00CB1CF5">
            <w:pPr>
              <w:spacing w:line="240" w:lineRule="auto"/>
              <w:jc w:val="center"/>
              <w:rPr>
                <w:rFonts w:eastAsia="Times New Roman"/>
                <w:b/>
                <w:bCs/>
                <w:szCs w:val="24"/>
                <w:lang w:eastAsia="cs-CZ"/>
              </w:rPr>
            </w:pPr>
            <w:r w:rsidRPr="00F15667">
              <w:rPr>
                <w:rFonts w:eastAsia="Times New Roman"/>
                <w:b/>
                <w:bCs/>
                <w:szCs w:val="24"/>
                <w:lang w:eastAsia="cs-CZ"/>
              </w:rPr>
              <w:t>Míra odvolání (v %)</w:t>
            </w:r>
          </w:p>
        </w:tc>
      </w:tr>
      <w:tr w:rsidR="00F15667" w:rsidRPr="00F15667" w14:paraId="6FD2B43F" w14:textId="77777777" w:rsidTr="00CB1CF5">
        <w:trPr>
          <w:cantSplit/>
          <w:trHeight w:val="330"/>
        </w:trPr>
        <w:tc>
          <w:tcPr>
            <w:tcW w:w="2780" w:type="dxa"/>
            <w:tcBorders>
              <w:top w:val="nil"/>
              <w:left w:val="nil"/>
              <w:bottom w:val="single" w:sz="4" w:space="0" w:color="auto"/>
              <w:right w:val="nil"/>
            </w:tcBorders>
            <w:shd w:val="clear" w:color="auto" w:fill="auto"/>
            <w:noWrap/>
            <w:vAlign w:val="center"/>
            <w:hideMark/>
          </w:tcPr>
          <w:p w14:paraId="6669A5A0" w14:textId="77777777" w:rsidR="00236A55" w:rsidRPr="00F15667" w:rsidRDefault="00236A55" w:rsidP="00CB1CF5">
            <w:pPr>
              <w:spacing w:line="240" w:lineRule="auto"/>
              <w:jc w:val="left"/>
              <w:rPr>
                <w:rFonts w:eastAsia="Times New Roman"/>
                <w:szCs w:val="24"/>
                <w:lang w:eastAsia="cs-CZ"/>
              </w:rPr>
            </w:pPr>
            <w:r w:rsidRPr="00F15667">
              <w:rPr>
                <w:rFonts w:eastAsia="Times New Roman"/>
                <w:szCs w:val="24"/>
                <w:lang w:eastAsia="cs-CZ"/>
              </w:rPr>
              <w:t>MS Praha</w:t>
            </w:r>
          </w:p>
        </w:tc>
        <w:tc>
          <w:tcPr>
            <w:tcW w:w="1898" w:type="dxa"/>
            <w:tcBorders>
              <w:top w:val="nil"/>
              <w:left w:val="nil"/>
              <w:bottom w:val="single" w:sz="4" w:space="0" w:color="auto"/>
              <w:right w:val="nil"/>
            </w:tcBorders>
            <w:shd w:val="clear" w:color="auto" w:fill="auto"/>
            <w:noWrap/>
            <w:vAlign w:val="center"/>
            <w:hideMark/>
          </w:tcPr>
          <w:p w14:paraId="7E03CFAD" w14:textId="0327F44A" w:rsidR="00236A55" w:rsidRPr="00F15667" w:rsidRDefault="00236A55" w:rsidP="00CB1CF5">
            <w:pPr>
              <w:spacing w:line="240" w:lineRule="auto"/>
              <w:jc w:val="center"/>
              <w:rPr>
                <w:rFonts w:eastAsia="Times New Roman"/>
                <w:szCs w:val="24"/>
                <w:lang w:eastAsia="cs-CZ"/>
              </w:rPr>
            </w:pPr>
            <w:r w:rsidRPr="00F15667">
              <w:rPr>
                <w:rFonts w:eastAsia="Times New Roman"/>
                <w:szCs w:val="24"/>
                <w:lang w:eastAsia="cs-CZ"/>
              </w:rPr>
              <w:t>31,72</w:t>
            </w:r>
          </w:p>
        </w:tc>
        <w:tc>
          <w:tcPr>
            <w:tcW w:w="1701" w:type="dxa"/>
            <w:tcBorders>
              <w:top w:val="nil"/>
              <w:left w:val="nil"/>
              <w:bottom w:val="single" w:sz="4" w:space="0" w:color="auto"/>
              <w:right w:val="nil"/>
            </w:tcBorders>
            <w:shd w:val="clear" w:color="auto" w:fill="auto"/>
            <w:noWrap/>
            <w:vAlign w:val="center"/>
            <w:hideMark/>
          </w:tcPr>
          <w:p w14:paraId="734316E8" w14:textId="6FDBD72A" w:rsidR="00236A55" w:rsidRPr="00F15667" w:rsidRDefault="00236A55" w:rsidP="00CB1CF5">
            <w:pPr>
              <w:spacing w:line="240" w:lineRule="auto"/>
              <w:jc w:val="center"/>
              <w:rPr>
                <w:rFonts w:eastAsia="Times New Roman"/>
                <w:sz w:val="20"/>
                <w:szCs w:val="20"/>
                <w:lang w:eastAsia="cs-CZ"/>
              </w:rPr>
            </w:pPr>
            <w:r w:rsidRPr="00F15667">
              <w:rPr>
                <w:rFonts w:eastAsia="Times New Roman"/>
                <w:sz w:val="20"/>
                <w:szCs w:val="20"/>
                <w:lang w:eastAsia="cs-CZ"/>
              </w:rPr>
              <w:t>-4,4 p.b.</w:t>
            </w:r>
          </w:p>
        </w:tc>
      </w:tr>
      <w:tr w:rsidR="00F15667" w:rsidRPr="00F15667" w14:paraId="6B57E761" w14:textId="77777777" w:rsidTr="00CB1CF5">
        <w:trPr>
          <w:cantSplit/>
          <w:trHeight w:val="315"/>
        </w:trPr>
        <w:tc>
          <w:tcPr>
            <w:tcW w:w="2780" w:type="dxa"/>
            <w:tcBorders>
              <w:top w:val="nil"/>
              <w:left w:val="nil"/>
              <w:bottom w:val="single" w:sz="4" w:space="0" w:color="auto"/>
              <w:right w:val="nil"/>
            </w:tcBorders>
            <w:shd w:val="clear" w:color="auto" w:fill="auto"/>
            <w:noWrap/>
            <w:vAlign w:val="center"/>
            <w:hideMark/>
          </w:tcPr>
          <w:p w14:paraId="0159B95F" w14:textId="77777777" w:rsidR="00236A55" w:rsidRPr="00F15667" w:rsidRDefault="00236A55" w:rsidP="00CB1CF5">
            <w:pPr>
              <w:spacing w:line="240" w:lineRule="auto"/>
              <w:jc w:val="left"/>
              <w:rPr>
                <w:rFonts w:eastAsia="Times New Roman"/>
                <w:szCs w:val="24"/>
                <w:lang w:eastAsia="cs-CZ"/>
              </w:rPr>
            </w:pPr>
            <w:r w:rsidRPr="00F15667">
              <w:rPr>
                <w:rFonts w:eastAsia="Times New Roman"/>
                <w:szCs w:val="24"/>
                <w:lang w:eastAsia="cs-CZ"/>
              </w:rPr>
              <w:t>KS Praha</w:t>
            </w:r>
          </w:p>
        </w:tc>
        <w:tc>
          <w:tcPr>
            <w:tcW w:w="1898" w:type="dxa"/>
            <w:tcBorders>
              <w:top w:val="nil"/>
              <w:left w:val="nil"/>
              <w:bottom w:val="single" w:sz="4" w:space="0" w:color="auto"/>
              <w:right w:val="nil"/>
            </w:tcBorders>
            <w:shd w:val="clear" w:color="auto" w:fill="auto"/>
            <w:noWrap/>
            <w:vAlign w:val="center"/>
            <w:hideMark/>
          </w:tcPr>
          <w:p w14:paraId="6A2914F3" w14:textId="7F015F52" w:rsidR="00236A55" w:rsidRPr="00F15667" w:rsidRDefault="00236A55" w:rsidP="00CB1CF5">
            <w:pPr>
              <w:spacing w:line="240" w:lineRule="auto"/>
              <w:jc w:val="center"/>
              <w:rPr>
                <w:rFonts w:eastAsia="Times New Roman"/>
                <w:szCs w:val="24"/>
                <w:lang w:eastAsia="cs-CZ"/>
              </w:rPr>
            </w:pPr>
            <w:r w:rsidRPr="00F15667">
              <w:rPr>
                <w:rFonts w:eastAsia="Times New Roman"/>
                <w:szCs w:val="24"/>
                <w:lang w:eastAsia="cs-CZ"/>
              </w:rPr>
              <w:t>28,06</w:t>
            </w:r>
          </w:p>
        </w:tc>
        <w:tc>
          <w:tcPr>
            <w:tcW w:w="1701" w:type="dxa"/>
            <w:tcBorders>
              <w:top w:val="nil"/>
              <w:left w:val="nil"/>
              <w:bottom w:val="single" w:sz="4" w:space="0" w:color="auto"/>
              <w:right w:val="nil"/>
            </w:tcBorders>
            <w:shd w:val="clear" w:color="auto" w:fill="auto"/>
            <w:noWrap/>
            <w:vAlign w:val="center"/>
            <w:hideMark/>
          </w:tcPr>
          <w:p w14:paraId="4515AB42" w14:textId="5746696A" w:rsidR="00236A55" w:rsidRPr="00F15667" w:rsidRDefault="00236A55" w:rsidP="00CB1CF5">
            <w:pPr>
              <w:spacing w:line="240" w:lineRule="auto"/>
              <w:jc w:val="center"/>
              <w:rPr>
                <w:rFonts w:eastAsia="Times New Roman"/>
                <w:sz w:val="20"/>
                <w:szCs w:val="20"/>
                <w:lang w:eastAsia="cs-CZ"/>
              </w:rPr>
            </w:pPr>
            <w:r w:rsidRPr="00F15667">
              <w:rPr>
                <w:rFonts w:eastAsia="Times New Roman"/>
                <w:sz w:val="20"/>
                <w:szCs w:val="20"/>
                <w:lang w:eastAsia="cs-CZ"/>
              </w:rPr>
              <w:t>-1,6 p.b.</w:t>
            </w:r>
          </w:p>
        </w:tc>
      </w:tr>
      <w:tr w:rsidR="00F15667" w:rsidRPr="00F15667" w14:paraId="4C64B53F" w14:textId="77777777" w:rsidTr="00CB1CF5">
        <w:trPr>
          <w:cantSplit/>
          <w:trHeight w:val="315"/>
        </w:trPr>
        <w:tc>
          <w:tcPr>
            <w:tcW w:w="2780" w:type="dxa"/>
            <w:tcBorders>
              <w:top w:val="nil"/>
              <w:left w:val="nil"/>
              <w:bottom w:val="single" w:sz="4" w:space="0" w:color="auto"/>
              <w:right w:val="nil"/>
            </w:tcBorders>
            <w:shd w:val="clear" w:color="auto" w:fill="auto"/>
            <w:noWrap/>
            <w:vAlign w:val="center"/>
            <w:hideMark/>
          </w:tcPr>
          <w:p w14:paraId="26545D5D" w14:textId="77777777" w:rsidR="00236A55" w:rsidRPr="00F15667" w:rsidRDefault="00236A55" w:rsidP="00CB1CF5">
            <w:pPr>
              <w:spacing w:line="240" w:lineRule="auto"/>
              <w:jc w:val="left"/>
              <w:rPr>
                <w:rFonts w:eastAsia="Times New Roman"/>
                <w:szCs w:val="24"/>
                <w:lang w:eastAsia="cs-CZ"/>
              </w:rPr>
            </w:pPr>
            <w:r w:rsidRPr="00F15667">
              <w:rPr>
                <w:rFonts w:eastAsia="Times New Roman"/>
                <w:szCs w:val="24"/>
                <w:lang w:eastAsia="cs-CZ"/>
              </w:rPr>
              <w:t>KS Č. Budějovice</w:t>
            </w:r>
          </w:p>
        </w:tc>
        <w:tc>
          <w:tcPr>
            <w:tcW w:w="1898" w:type="dxa"/>
            <w:tcBorders>
              <w:top w:val="nil"/>
              <w:left w:val="nil"/>
              <w:bottom w:val="single" w:sz="4" w:space="0" w:color="auto"/>
              <w:right w:val="nil"/>
            </w:tcBorders>
            <w:shd w:val="clear" w:color="auto" w:fill="auto"/>
            <w:noWrap/>
            <w:vAlign w:val="center"/>
            <w:hideMark/>
          </w:tcPr>
          <w:p w14:paraId="0D8E8CA2" w14:textId="4D02458A" w:rsidR="00236A55" w:rsidRPr="00F15667" w:rsidRDefault="00236A55" w:rsidP="00CB1CF5">
            <w:pPr>
              <w:spacing w:line="240" w:lineRule="auto"/>
              <w:jc w:val="center"/>
              <w:rPr>
                <w:rFonts w:eastAsia="Times New Roman"/>
                <w:szCs w:val="24"/>
                <w:lang w:eastAsia="cs-CZ"/>
              </w:rPr>
            </w:pPr>
            <w:r w:rsidRPr="00F15667">
              <w:rPr>
                <w:rFonts w:eastAsia="Times New Roman"/>
                <w:szCs w:val="24"/>
                <w:lang w:eastAsia="cs-CZ"/>
              </w:rPr>
              <w:t>26,14</w:t>
            </w:r>
          </w:p>
        </w:tc>
        <w:tc>
          <w:tcPr>
            <w:tcW w:w="1701" w:type="dxa"/>
            <w:tcBorders>
              <w:top w:val="nil"/>
              <w:left w:val="nil"/>
              <w:bottom w:val="single" w:sz="4" w:space="0" w:color="auto"/>
              <w:right w:val="nil"/>
            </w:tcBorders>
            <w:shd w:val="clear" w:color="auto" w:fill="auto"/>
            <w:noWrap/>
            <w:vAlign w:val="center"/>
            <w:hideMark/>
          </w:tcPr>
          <w:p w14:paraId="30B5E025" w14:textId="10349109" w:rsidR="00236A55" w:rsidRPr="00F15667" w:rsidRDefault="00236A55" w:rsidP="00CB1CF5">
            <w:pPr>
              <w:spacing w:line="240" w:lineRule="auto"/>
              <w:jc w:val="center"/>
              <w:rPr>
                <w:rFonts w:eastAsia="Times New Roman"/>
                <w:sz w:val="20"/>
                <w:szCs w:val="20"/>
                <w:lang w:eastAsia="cs-CZ"/>
              </w:rPr>
            </w:pPr>
            <w:r w:rsidRPr="00F15667">
              <w:rPr>
                <w:rFonts w:eastAsia="Times New Roman"/>
                <w:sz w:val="20"/>
                <w:szCs w:val="20"/>
                <w:lang w:eastAsia="cs-CZ"/>
              </w:rPr>
              <w:t>-12,1 p.b.</w:t>
            </w:r>
          </w:p>
        </w:tc>
      </w:tr>
      <w:tr w:rsidR="00F15667" w:rsidRPr="00F15667" w14:paraId="0C854D84" w14:textId="77777777" w:rsidTr="00CB1CF5">
        <w:trPr>
          <w:cantSplit/>
          <w:trHeight w:val="315"/>
        </w:trPr>
        <w:tc>
          <w:tcPr>
            <w:tcW w:w="2780" w:type="dxa"/>
            <w:tcBorders>
              <w:top w:val="nil"/>
              <w:left w:val="nil"/>
              <w:bottom w:val="single" w:sz="4" w:space="0" w:color="auto"/>
              <w:right w:val="nil"/>
            </w:tcBorders>
            <w:shd w:val="clear" w:color="auto" w:fill="auto"/>
            <w:noWrap/>
            <w:vAlign w:val="center"/>
            <w:hideMark/>
          </w:tcPr>
          <w:p w14:paraId="4E8A0881" w14:textId="77777777" w:rsidR="00236A55" w:rsidRPr="00F15667" w:rsidRDefault="00236A55" w:rsidP="00CB1CF5">
            <w:pPr>
              <w:spacing w:line="240" w:lineRule="auto"/>
              <w:jc w:val="left"/>
              <w:rPr>
                <w:rFonts w:eastAsia="Times New Roman"/>
                <w:szCs w:val="24"/>
                <w:lang w:eastAsia="cs-CZ"/>
              </w:rPr>
            </w:pPr>
            <w:r w:rsidRPr="00F15667">
              <w:rPr>
                <w:rFonts w:eastAsia="Times New Roman"/>
                <w:szCs w:val="24"/>
                <w:lang w:eastAsia="cs-CZ"/>
              </w:rPr>
              <w:t>KS Plzeň</w:t>
            </w:r>
          </w:p>
        </w:tc>
        <w:tc>
          <w:tcPr>
            <w:tcW w:w="1898" w:type="dxa"/>
            <w:tcBorders>
              <w:top w:val="nil"/>
              <w:left w:val="nil"/>
              <w:bottom w:val="single" w:sz="4" w:space="0" w:color="auto"/>
              <w:right w:val="nil"/>
            </w:tcBorders>
            <w:shd w:val="clear" w:color="auto" w:fill="auto"/>
            <w:noWrap/>
            <w:vAlign w:val="center"/>
            <w:hideMark/>
          </w:tcPr>
          <w:p w14:paraId="207515CE" w14:textId="0FCFD25F" w:rsidR="00236A55" w:rsidRPr="00F15667" w:rsidRDefault="00236A55" w:rsidP="00CB1CF5">
            <w:pPr>
              <w:spacing w:line="240" w:lineRule="auto"/>
              <w:jc w:val="center"/>
              <w:rPr>
                <w:rFonts w:eastAsia="Times New Roman"/>
                <w:szCs w:val="24"/>
                <w:lang w:eastAsia="cs-CZ"/>
              </w:rPr>
            </w:pPr>
            <w:r w:rsidRPr="00F15667">
              <w:rPr>
                <w:rFonts w:eastAsia="Times New Roman"/>
                <w:szCs w:val="24"/>
                <w:lang w:eastAsia="cs-CZ"/>
              </w:rPr>
              <w:t>21,84</w:t>
            </w:r>
          </w:p>
        </w:tc>
        <w:tc>
          <w:tcPr>
            <w:tcW w:w="1701" w:type="dxa"/>
            <w:tcBorders>
              <w:top w:val="nil"/>
              <w:left w:val="nil"/>
              <w:bottom w:val="single" w:sz="4" w:space="0" w:color="auto"/>
              <w:right w:val="nil"/>
            </w:tcBorders>
            <w:shd w:val="clear" w:color="auto" w:fill="auto"/>
            <w:noWrap/>
            <w:vAlign w:val="center"/>
            <w:hideMark/>
          </w:tcPr>
          <w:p w14:paraId="46D24A9D" w14:textId="3C3F077B" w:rsidR="00236A55" w:rsidRPr="00F15667" w:rsidRDefault="00236A55" w:rsidP="00CB1CF5">
            <w:pPr>
              <w:spacing w:line="240" w:lineRule="auto"/>
              <w:jc w:val="center"/>
              <w:rPr>
                <w:rFonts w:eastAsia="Times New Roman"/>
                <w:sz w:val="20"/>
                <w:szCs w:val="20"/>
                <w:lang w:eastAsia="cs-CZ"/>
              </w:rPr>
            </w:pPr>
            <w:r w:rsidRPr="00F15667">
              <w:rPr>
                <w:rFonts w:eastAsia="Times New Roman"/>
                <w:sz w:val="20"/>
                <w:szCs w:val="20"/>
                <w:lang w:eastAsia="cs-CZ"/>
              </w:rPr>
              <w:t>-1,3 p.b.</w:t>
            </w:r>
          </w:p>
        </w:tc>
      </w:tr>
      <w:tr w:rsidR="00F15667" w:rsidRPr="00F15667" w14:paraId="70425DEA" w14:textId="77777777" w:rsidTr="00CB1CF5">
        <w:trPr>
          <w:cantSplit/>
          <w:trHeight w:val="315"/>
        </w:trPr>
        <w:tc>
          <w:tcPr>
            <w:tcW w:w="2780" w:type="dxa"/>
            <w:tcBorders>
              <w:top w:val="nil"/>
              <w:left w:val="nil"/>
              <w:bottom w:val="single" w:sz="4" w:space="0" w:color="auto"/>
              <w:right w:val="nil"/>
            </w:tcBorders>
            <w:shd w:val="clear" w:color="auto" w:fill="auto"/>
            <w:noWrap/>
            <w:vAlign w:val="center"/>
            <w:hideMark/>
          </w:tcPr>
          <w:p w14:paraId="70FB8AAE" w14:textId="77777777" w:rsidR="00236A55" w:rsidRPr="00F15667" w:rsidRDefault="00236A55" w:rsidP="00CB1CF5">
            <w:pPr>
              <w:spacing w:line="240" w:lineRule="auto"/>
              <w:jc w:val="left"/>
              <w:rPr>
                <w:rFonts w:eastAsia="Times New Roman"/>
                <w:szCs w:val="24"/>
                <w:lang w:eastAsia="cs-CZ"/>
              </w:rPr>
            </w:pPr>
            <w:r w:rsidRPr="00F15667">
              <w:rPr>
                <w:rFonts w:eastAsia="Times New Roman"/>
                <w:szCs w:val="24"/>
                <w:lang w:eastAsia="cs-CZ"/>
              </w:rPr>
              <w:t>KS Ústí n. Labem</w:t>
            </w:r>
          </w:p>
        </w:tc>
        <w:tc>
          <w:tcPr>
            <w:tcW w:w="1898" w:type="dxa"/>
            <w:tcBorders>
              <w:top w:val="nil"/>
              <w:left w:val="nil"/>
              <w:bottom w:val="single" w:sz="4" w:space="0" w:color="auto"/>
              <w:right w:val="nil"/>
            </w:tcBorders>
            <w:shd w:val="clear" w:color="auto" w:fill="auto"/>
            <w:noWrap/>
            <w:vAlign w:val="center"/>
            <w:hideMark/>
          </w:tcPr>
          <w:p w14:paraId="7D042B38" w14:textId="7CD04C5E" w:rsidR="00236A55" w:rsidRPr="00F15667" w:rsidRDefault="00236A55" w:rsidP="00CB1CF5">
            <w:pPr>
              <w:spacing w:line="240" w:lineRule="auto"/>
              <w:jc w:val="center"/>
              <w:rPr>
                <w:rFonts w:eastAsia="Times New Roman"/>
                <w:szCs w:val="24"/>
                <w:lang w:eastAsia="cs-CZ"/>
              </w:rPr>
            </w:pPr>
            <w:r w:rsidRPr="00F15667">
              <w:rPr>
                <w:rFonts w:eastAsia="Times New Roman"/>
                <w:szCs w:val="24"/>
                <w:lang w:eastAsia="cs-CZ"/>
              </w:rPr>
              <w:t>19,04</w:t>
            </w:r>
          </w:p>
        </w:tc>
        <w:tc>
          <w:tcPr>
            <w:tcW w:w="1701" w:type="dxa"/>
            <w:tcBorders>
              <w:top w:val="nil"/>
              <w:left w:val="nil"/>
              <w:bottom w:val="single" w:sz="4" w:space="0" w:color="auto"/>
              <w:right w:val="nil"/>
            </w:tcBorders>
            <w:shd w:val="clear" w:color="auto" w:fill="auto"/>
            <w:noWrap/>
            <w:vAlign w:val="center"/>
            <w:hideMark/>
          </w:tcPr>
          <w:p w14:paraId="23FB06D8" w14:textId="29CFA21A" w:rsidR="00236A55" w:rsidRPr="00F15667" w:rsidRDefault="00236A55" w:rsidP="00CB1CF5">
            <w:pPr>
              <w:spacing w:line="240" w:lineRule="auto"/>
              <w:jc w:val="center"/>
              <w:rPr>
                <w:rFonts w:eastAsia="Times New Roman"/>
                <w:sz w:val="20"/>
                <w:szCs w:val="20"/>
                <w:lang w:eastAsia="cs-CZ"/>
              </w:rPr>
            </w:pPr>
            <w:r w:rsidRPr="00F15667">
              <w:rPr>
                <w:rFonts w:eastAsia="Times New Roman"/>
                <w:sz w:val="20"/>
                <w:szCs w:val="20"/>
                <w:lang w:eastAsia="cs-CZ"/>
              </w:rPr>
              <w:t>+3,5 p.b.</w:t>
            </w:r>
          </w:p>
        </w:tc>
      </w:tr>
      <w:tr w:rsidR="00F15667" w:rsidRPr="00F15667" w14:paraId="4D4238A6" w14:textId="77777777" w:rsidTr="00CB1CF5">
        <w:trPr>
          <w:cantSplit/>
          <w:trHeight w:val="315"/>
        </w:trPr>
        <w:tc>
          <w:tcPr>
            <w:tcW w:w="2780" w:type="dxa"/>
            <w:tcBorders>
              <w:top w:val="nil"/>
              <w:left w:val="nil"/>
              <w:bottom w:val="single" w:sz="4" w:space="0" w:color="auto"/>
              <w:right w:val="nil"/>
            </w:tcBorders>
            <w:shd w:val="clear" w:color="auto" w:fill="auto"/>
            <w:noWrap/>
            <w:vAlign w:val="center"/>
            <w:hideMark/>
          </w:tcPr>
          <w:p w14:paraId="3D19C4DB" w14:textId="77777777" w:rsidR="00236A55" w:rsidRPr="00F15667" w:rsidRDefault="00236A55" w:rsidP="00CB1CF5">
            <w:pPr>
              <w:spacing w:line="240" w:lineRule="auto"/>
              <w:jc w:val="left"/>
              <w:rPr>
                <w:rFonts w:eastAsia="Times New Roman"/>
                <w:szCs w:val="24"/>
                <w:lang w:eastAsia="cs-CZ"/>
              </w:rPr>
            </w:pPr>
            <w:r w:rsidRPr="00F15667">
              <w:rPr>
                <w:rFonts w:eastAsia="Times New Roman"/>
                <w:szCs w:val="24"/>
                <w:lang w:eastAsia="cs-CZ"/>
              </w:rPr>
              <w:t>KS Hr. Králové</w:t>
            </w:r>
          </w:p>
        </w:tc>
        <w:tc>
          <w:tcPr>
            <w:tcW w:w="1898" w:type="dxa"/>
            <w:tcBorders>
              <w:top w:val="nil"/>
              <w:left w:val="nil"/>
              <w:bottom w:val="single" w:sz="4" w:space="0" w:color="auto"/>
              <w:right w:val="nil"/>
            </w:tcBorders>
            <w:shd w:val="clear" w:color="auto" w:fill="auto"/>
            <w:noWrap/>
            <w:vAlign w:val="center"/>
            <w:hideMark/>
          </w:tcPr>
          <w:p w14:paraId="20A1E04D" w14:textId="7458BE63" w:rsidR="00236A55" w:rsidRPr="00F15667" w:rsidRDefault="00236A55" w:rsidP="00CB1CF5">
            <w:pPr>
              <w:spacing w:line="240" w:lineRule="auto"/>
              <w:jc w:val="center"/>
              <w:rPr>
                <w:rFonts w:eastAsia="Times New Roman"/>
                <w:szCs w:val="24"/>
                <w:lang w:eastAsia="cs-CZ"/>
              </w:rPr>
            </w:pPr>
            <w:r w:rsidRPr="00F15667">
              <w:rPr>
                <w:rFonts w:eastAsia="Times New Roman"/>
                <w:szCs w:val="24"/>
                <w:lang w:eastAsia="cs-CZ"/>
              </w:rPr>
              <w:t>22,97</w:t>
            </w:r>
          </w:p>
        </w:tc>
        <w:tc>
          <w:tcPr>
            <w:tcW w:w="1701" w:type="dxa"/>
            <w:tcBorders>
              <w:top w:val="nil"/>
              <w:left w:val="nil"/>
              <w:bottom w:val="single" w:sz="4" w:space="0" w:color="auto"/>
              <w:right w:val="nil"/>
            </w:tcBorders>
            <w:shd w:val="clear" w:color="auto" w:fill="auto"/>
            <w:noWrap/>
            <w:vAlign w:val="center"/>
            <w:hideMark/>
          </w:tcPr>
          <w:p w14:paraId="7D269C2C" w14:textId="67194EDB" w:rsidR="00236A55" w:rsidRPr="00F15667" w:rsidRDefault="00236A55" w:rsidP="00CB1CF5">
            <w:pPr>
              <w:spacing w:line="240" w:lineRule="auto"/>
              <w:jc w:val="center"/>
              <w:rPr>
                <w:rFonts w:eastAsia="Times New Roman"/>
                <w:sz w:val="20"/>
                <w:szCs w:val="20"/>
                <w:lang w:eastAsia="cs-CZ"/>
              </w:rPr>
            </w:pPr>
            <w:r w:rsidRPr="00F15667">
              <w:rPr>
                <w:rFonts w:eastAsia="Times New Roman"/>
                <w:sz w:val="20"/>
                <w:szCs w:val="20"/>
                <w:lang w:eastAsia="cs-CZ"/>
              </w:rPr>
              <w:t>+9,3 p.b.</w:t>
            </w:r>
          </w:p>
        </w:tc>
      </w:tr>
      <w:tr w:rsidR="00F15667" w:rsidRPr="00F15667" w14:paraId="016816BB" w14:textId="77777777" w:rsidTr="00CB1CF5">
        <w:trPr>
          <w:cantSplit/>
          <w:trHeight w:val="315"/>
        </w:trPr>
        <w:tc>
          <w:tcPr>
            <w:tcW w:w="2780" w:type="dxa"/>
            <w:tcBorders>
              <w:top w:val="nil"/>
              <w:left w:val="nil"/>
              <w:bottom w:val="single" w:sz="4" w:space="0" w:color="auto"/>
              <w:right w:val="nil"/>
            </w:tcBorders>
            <w:shd w:val="clear" w:color="auto" w:fill="auto"/>
            <w:noWrap/>
            <w:vAlign w:val="center"/>
            <w:hideMark/>
          </w:tcPr>
          <w:p w14:paraId="00840B1B" w14:textId="77777777" w:rsidR="00236A55" w:rsidRPr="00F15667" w:rsidRDefault="00236A55" w:rsidP="00CB1CF5">
            <w:pPr>
              <w:spacing w:line="240" w:lineRule="auto"/>
              <w:jc w:val="left"/>
              <w:rPr>
                <w:rFonts w:eastAsia="Times New Roman"/>
                <w:szCs w:val="24"/>
                <w:lang w:eastAsia="cs-CZ"/>
              </w:rPr>
            </w:pPr>
            <w:r w:rsidRPr="00F15667">
              <w:rPr>
                <w:rFonts w:eastAsia="Times New Roman"/>
                <w:szCs w:val="24"/>
                <w:lang w:eastAsia="cs-CZ"/>
              </w:rPr>
              <w:t>KS Brno</w:t>
            </w:r>
          </w:p>
        </w:tc>
        <w:tc>
          <w:tcPr>
            <w:tcW w:w="1898" w:type="dxa"/>
            <w:tcBorders>
              <w:top w:val="nil"/>
              <w:left w:val="nil"/>
              <w:bottom w:val="single" w:sz="4" w:space="0" w:color="auto"/>
              <w:right w:val="nil"/>
            </w:tcBorders>
            <w:shd w:val="clear" w:color="auto" w:fill="auto"/>
            <w:noWrap/>
            <w:vAlign w:val="center"/>
            <w:hideMark/>
          </w:tcPr>
          <w:p w14:paraId="64AAB345" w14:textId="368B07EC" w:rsidR="00236A55" w:rsidRPr="00F15667" w:rsidRDefault="00236A55" w:rsidP="00CB1CF5">
            <w:pPr>
              <w:spacing w:line="240" w:lineRule="auto"/>
              <w:jc w:val="center"/>
              <w:rPr>
                <w:rFonts w:eastAsia="Times New Roman"/>
                <w:szCs w:val="24"/>
                <w:lang w:eastAsia="cs-CZ"/>
              </w:rPr>
            </w:pPr>
            <w:r w:rsidRPr="00F15667">
              <w:rPr>
                <w:rFonts w:eastAsia="Times New Roman"/>
                <w:szCs w:val="24"/>
                <w:lang w:eastAsia="cs-CZ"/>
              </w:rPr>
              <w:t>17,01</w:t>
            </w:r>
          </w:p>
        </w:tc>
        <w:tc>
          <w:tcPr>
            <w:tcW w:w="1701" w:type="dxa"/>
            <w:tcBorders>
              <w:top w:val="nil"/>
              <w:left w:val="nil"/>
              <w:bottom w:val="single" w:sz="4" w:space="0" w:color="auto"/>
              <w:right w:val="nil"/>
            </w:tcBorders>
            <w:shd w:val="clear" w:color="auto" w:fill="auto"/>
            <w:noWrap/>
            <w:vAlign w:val="center"/>
            <w:hideMark/>
          </w:tcPr>
          <w:p w14:paraId="03AC3B35" w14:textId="1940ECEC" w:rsidR="00236A55" w:rsidRPr="00F15667" w:rsidRDefault="00236A55" w:rsidP="00CB1CF5">
            <w:pPr>
              <w:spacing w:line="240" w:lineRule="auto"/>
              <w:jc w:val="center"/>
              <w:rPr>
                <w:rFonts w:eastAsia="Times New Roman"/>
                <w:sz w:val="20"/>
                <w:szCs w:val="20"/>
                <w:lang w:eastAsia="cs-CZ"/>
              </w:rPr>
            </w:pPr>
            <w:r w:rsidRPr="00F15667">
              <w:rPr>
                <w:rFonts w:eastAsia="Times New Roman"/>
                <w:sz w:val="20"/>
                <w:szCs w:val="20"/>
                <w:lang w:eastAsia="cs-CZ"/>
              </w:rPr>
              <w:t>+2,8 p.b.</w:t>
            </w:r>
          </w:p>
        </w:tc>
      </w:tr>
      <w:tr w:rsidR="00F15667" w:rsidRPr="00F15667" w14:paraId="0DF78A3D" w14:textId="77777777" w:rsidTr="00CB1CF5">
        <w:trPr>
          <w:cantSplit/>
          <w:trHeight w:val="330"/>
        </w:trPr>
        <w:tc>
          <w:tcPr>
            <w:tcW w:w="2780" w:type="dxa"/>
            <w:tcBorders>
              <w:top w:val="nil"/>
              <w:left w:val="nil"/>
              <w:bottom w:val="double" w:sz="6" w:space="0" w:color="auto"/>
              <w:right w:val="nil"/>
            </w:tcBorders>
            <w:shd w:val="clear" w:color="auto" w:fill="auto"/>
            <w:noWrap/>
            <w:vAlign w:val="center"/>
            <w:hideMark/>
          </w:tcPr>
          <w:p w14:paraId="113CB970" w14:textId="77777777" w:rsidR="00236A55" w:rsidRPr="00F15667" w:rsidRDefault="00236A55" w:rsidP="00CB1CF5">
            <w:pPr>
              <w:spacing w:line="240" w:lineRule="auto"/>
              <w:jc w:val="left"/>
              <w:rPr>
                <w:rFonts w:eastAsia="Times New Roman"/>
                <w:szCs w:val="24"/>
                <w:lang w:eastAsia="cs-CZ"/>
              </w:rPr>
            </w:pPr>
            <w:r w:rsidRPr="00F15667">
              <w:rPr>
                <w:rFonts w:eastAsia="Times New Roman"/>
                <w:szCs w:val="24"/>
                <w:lang w:eastAsia="cs-CZ"/>
              </w:rPr>
              <w:t>KS Ostrava</w:t>
            </w:r>
          </w:p>
        </w:tc>
        <w:tc>
          <w:tcPr>
            <w:tcW w:w="1898" w:type="dxa"/>
            <w:tcBorders>
              <w:top w:val="nil"/>
              <w:left w:val="nil"/>
              <w:bottom w:val="double" w:sz="6" w:space="0" w:color="auto"/>
              <w:right w:val="nil"/>
            </w:tcBorders>
            <w:shd w:val="clear" w:color="auto" w:fill="auto"/>
            <w:noWrap/>
            <w:vAlign w:val="center"/>
            <w:hideMark/>
          </w:tcPr>
          <w:p w14:paraId="61A2A553" w14:textId="535DFBFF" w:rsidR="00236A55" w:rsidRPr="00F15667" w:rsidRDefault="00236A55" w:rsidP="00CB1CF5">
            <w:pPr>
              <w:spacing w:line="240" w:lineRule="auto"/>
              <w:jc w:val="center"/>
              <w:rPr>
                <w:rFonts w:eastAsia="Times New Roman"/>
                <w:szCs w:val="24"/>
                <w:lang w:eastAsia="cs-CZ"/>
              </w:rPr>
            </w:pPr>
            <w:r w:rsidRPr="00F15667">
              <w:rPr>
                <w:rFonts w:eastAsia="Times New Roman"/>
                <w:szCs w:val="24"/>
                <w:lang w:eastAsia="cs-CZ"/>
              </w:rPr>
              <w:t>12,08</w:t>
            </w:r>
          </w:p>
        </w:tc>
        <w:tc>
          <w:tcPr>
            <w:tcW w:w="1701" w:type="dxa"/>
            <w:tcBorders>
              <w:top w:val="nil"/>
              <w:left w:val="nil"/>
              <w:bottom w:val="nil"/>
              <w:right w:val="nil"/>
            </w:tcBorders>
            <w:shd w:val="clear" w:color="auto" w:fill="auto"/>
            <w:noWrap/>
            <w:vAlign w:val="center"/>
            <w:hideMark/>
          </w:tcPr>
          <w:p w14:paraId="37AD49DE" w14:textId="76C1A5B4" w:rsidR="00236A55" w:rsidRPr="00F15667" w:rsidRDefault="00236A55" w:rsidP="00CB1CF5">
            <w:pPr>
              <w:spacing w:line="240" w:lineRule="auto"/>
              <w:jc w:val="center"/>
              <w:rPr>
                <w:rFonts w:eastAsia="Times New Roman"/>
                <w:sz w:val="20"/>
                <w:szCs w:val="20"/>
                <w:lang w:eastAsia="cs-CZ"/>
              </w:rPr>
            </w:pPr>
            <w:r w:rsidRPr="00F15667">
              <w:rPr>
                <w:rFonts w:eastAsia="Times New Roman"/>
                <w:sz w:val="20"/>
                <w:szCs w:val="20"/>
                <w:lang w:eastAsia="cs-CZ"/>
              </w:rPr>
              <w:t>-0,8 p.b.</w:t>
            </w:r>
          </w:p>
        </w:tc>
      </w:tr>
      <w:tr w:rsidR="00F15667" w:rsidRPr="00F15667" w14:paraId="56AC8F65" w14:textId="77777777" w:rsidTr="00CB1CF5">
        <w:trPr>
          <w:cantSplit/>
          <w:trHeight w:val="345"/>
        </w:trPr>
        <w:tc>
          <w:tcPr>
            <w:tcW w:w="2780" w:type="dxa"/>
            <w:tcBorders>
              <w:top w:val="nil"/>
              <w:left w:val="nil"/>
              <w:bottom w:val="double" w:sz="6" w:space="0" w:color="auto"/>
              <w:right w:val="nil"/>
            </w:tcBorders>
            <w:shd w:val="clear" w:color="auto" w:fill="auto"/>
            <w:noWrap/>
            <w:vAlign w:val="center"/>
            <w:hideMark/>
          </w:tcPr>
          <w:p w14:paraId="6C7F0FAA" w14:textId="77777777" w:rsidR="00236A55" w:rsidRPr="00F15667" w:rsidRDefault="00236A55" w:rsidP="00CB1CF5">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898" w:type="dxa"/>
            <w:tcBorders>
              <w:top w:val="nil"/>
              <w:left w:val="nil"/>
              <w:bottom w:val="double" w:sz="6" w:space="0" w:color="auto"/>
              <w:right w:val="nil"/>
            </w:tcBorders>
            <w:shd w:val="clear" w:color="auto" w:fill="auto"/>
            <w:noWrap/>
            <w:vAlign w:val="center"/>
            <w:hideMark/>
          </w:tcPr>
          <w:p w14:paraId="6188CDDD" w14:textId="2F72427B" w:rsidR="00236A55" w:rsidRPr="00F15667" w:rsidRDefault="00236A55" w:rsidP="00CB1CF5">
            <w:pPr>
              <w:spacing w:line="240" w:lineRule="auto"/>
              <w:jc w:val="center"/>
              <w:rPr>
                <w:rFonts w:eastAsia="Times New Roman"/>
                <w:b/>
                <w:bCs/>
                <w:szCs w:val="24"/>
                <w:lang w:eastAsia="cs-CZ"/>
              </w:rPr>
            </w:pPr>
            <w:r w:rsidRPr="00F15667">
              <w:rPr>
                <w:rFonts w:eastAsia="Times New Roman"/>
                <w:b/>
                <w:bCs/>
                <w:szCs w:val="24"/>
                <w:lang w:eastAsia="cs-CZ"/>
              </w:rPr>
              <w:t>24,08</w:t>
            </w:r>
          </w:p>
        </w:tc>
        <w:tc>
          <w:tcPr>
            <w:tcW w:w="1701" w:type="dxa"/>
            <w:tcBorders>
              <w:top w:val="double" w:sz="6" w:space="0" w:color="auto"/>
              <w:left w:val="nil"/>
              <w:bottom w:val="double" w:sz="6" w:space="0" w:color="auto"/>
              <w:right w:val="nil"/>
            </w:tcBorders>
            <w:shd w:val="clear" w:color="auto" w:fill="auto"/>
            <w:noWrap/>
            <w:vAlign w:val="center"/>
            <w:hideMark/>
          </w:tcPr>
          <w:p w14:paraId="584E80B5" w14:textId="38EA8A6A" w:rsidR="00236A55" w:rsidRPr="00F15667" w:rsidRDefault="00236A55" w:rsidP="00CB1CF5">
            <w:pPr>
              <w:spacing w:line="240" w:lineRule="auto"/>
              <w:jc w:val="center"/>
              <w:rPr>
                <w:rFonts w:eastAsia="Times New Roman"/>
                <w:b/>
                <w:bCs/>
                <w:sz w:val="20"/>
                <w:szCs w:val="20"/>
                <w:lang w:eastAsia="cs-CZ"/>
              </w:rPr>
            </w:pPr>
            <w:r w:rsidRPr="00F15667">
              <w:rPr>
                <w:rFonts w:eastAsia="Times New Roman"/>
                <w:b/>
                <w:bCs/>
                <w:sz w:val="20"/>
                <w:szCs w:val="20"/>
                <w:lang w:eastAsia="cs-CZ"/>
              </w:rPr>
              <w:t>+0,1 p.b.</w:t>
            </w:r>
          </w:p>
        </w:tc>
      </w:tr>
      <w:tr w:rsidR="00F15667" w:rsidRPr="00F15667" w14:paraId="0FE48C2C" w14:textId="77777777" w:rsidTr="00CB1CF5">
        <w:trPr>
          <w:cantSplit/>
          <w:trHeight w:val="330"/>
        </w:trPr>
        <w:tc>
          <w:tcPr>
            <w:tcW w:w="2780" w:type="dxa"/>
            <w:tcBorders>
              <w:top w:val="nil"/>
              <w:left w:val="nil"/>
              <w:bottom w:val="nil"/>
              <w:right w:val="nil"/>
            </w:tcBorders>
            <w:shd w:val="clear" w:color="auto" w:fill="auto"/>
            <w:noWrap/>
            <w:vAlign w:val="center"/>
            <w:hideMark/>
          </w:tcPr>
          <w:p w14:paraId="35060842" w14:textId="77777777" w:rsidR="00236A55" w:rsidRPr="00F15667" w:rsidRDefault="00236A55" w:rsidP="00CB1CF5">
            <w:pPr>
              <w:spacing w:line="240" w:lineRule="auto"/>
              <w:jc w:val="center"/>
              <w:rPr>
                <w:rFonts w:eastAsia="Times New Roman"/>
                <w:b/>
                <w:bCs/>
                <w:sz w:val="20"/>
                <w:szCs w:val="20"/>
                <w:lang w:eastAsia="cs-CZ"/>
              </w:rPr>
            </w:pPr>
          </w:p>
        </w:tc>
        <w:tc>
          <w:tcPr>
            <w:tcW w:w="1898" w:type="dxa"/>
            <w:tcBorders>
              <w:top w:val="nil"/>
              <w:left w:val="nil"/>
              <w:bottom w:val="nil"/>
              <w:right w:val="nil"/>
            </w:tcBorders>
            <w:shd w:val="clear" w:color="auto" w:fill="auto"/>
            <w:noWrap/>
            <w:vAlign w:val="center"/>
            <w:hideMark/>
          </w:tcPr>
          <w:p w14:paraId="43779B67" w14:textId="77777777" w:rsidR="00236A55" w:rsidRPr="00F15667" w:rsidRDefault="00236A55" w:rsidP="00CB1CF5">
            <w:pPr>
              <w:spacing w:line="240" w:lineRule="auto"/>
              <w:jc w:val="center"/>
              <w:rPr>
                <w:rFonts w:ascii="Times New Roman" w:eastAsia="Times New Roman" w:hAnsi="Times New Roman"/>
                <w:sz w:val="20"/>
                <w:szCs w:val="20"/>
                <w:lang w:eastAsia="cs-CZ"/>
              </w:rPr>
            </w:pPr>
          </w:p>
        </w:tc>
        <w:tc>
          <w:tcPr>
            <w:tcW w:w="1701" w:type="dxa"/>
            <w:tcBorders>
              <w:top w:val="nil"/>
              <w:left w:val="nil"/>
              <w:bottom w:val="nil"/>
              <w:right w:val="nil"/>
            </w:tcBorders>
            <w:shd w:val="clear" w:color="auto" w:fill="auto"/>
            <w:noWrap/>
            <w:vAlign w:val="center"/>
            <w:hideMark/>
          </w:tcPr>
          <w:p w14:paraId="5E918693" w14:textId="77777777" w:rsidR="00236A55" w:rsidRPr="00F15667" w:rsidRDefault="00236A55" w:rsidP="00CB1CF5">
            <w:pPr>
              <w:spacing w:line="240" w:lineRule="auto"/>
              <w:jc w:val="center"/>
              <w:rPr>
                <w:rFonts w:ascii="Times New Roman" w:eastAsia="Times New Roman" w:hAnsi="Times New Roman"/>
                <w:sz w:val="20"/>
                <w:szCs w:val="20"/>
                <w:lang w:eastAsia="cs-CZ"/>
              </w:rPr>
            </w:pPr>
          </w:p>
        </w:tc>
      </w:tr>
    </w:tbl>
    <w:p w14:paraId="3807ADF2" w14:textId="4771E1EF" w:rsidR="00236A55" w:rsidRPr="00F15667" w:rsidRDefault="00236A55" w:rsidP="00236A55">
      <w:pPr>
        <w:pStyle w:val="OdstavecASR"/>
      </w:pPr>
      <w:r w:rsidRPr="00F15667">
        <w:t>V tabulce výše vidíme značné rozdíly mezi jednotlivými soudy. Zároveň se míra odvolání skokově snížila u KS v Českých Budějovicích, a naopak se skokově zvýšila u KS v Hradci Králové. I u</w:t>
      </w:r>
      <w:r w:rsidR="003C28CA">
        <w:t> </w:t>
      </w:r>
      <w:r w:rsidRPr="00F15667">
        <w:t>některých dalších soudů došlo k nemalým změnám. Ani na úrovni jednotlivých soudů tak není míra odvolání stabilní.</w:t>
      </w:r>
    </w:p>
    <w:p w14:paraId="19A8E4C6" w14:textId="77777777" w:rsidR="00236A55" w:rsidRPr="00F15667" w:rsidRDefault="00236A55" w:rsidP="00236A55">
      <w:pPr>
        <w:pStyle w:val="OdstavecASR"/>
      </w:pPr>
      <w:r w:rsidRPr="00F15667">
        <w:lastRenderedPageBreak/>
        <w:t>Při srovnání s tabulkou 14 vidíme, že u krajských soudů zůstává míra odvolání asi třikrát vyšší než u soudů okresních. To souvisí s náročností a závažností vyřizované agendy.</w:t>
      </w:r>
    </w:p>
    <w:p w14:paraId="100A6556" w14:textId="77777777" w:rsidR="003535B6" w:rsidRPr="00F15667" w:rsidRDefault="003535B6" w:rsidP="003535B6">
      <w:pPr>
        <w:pStyle w:val="Podnadpis"/>
        <w:outlineLvl w:val="3"/>
        <w:rPr>
          <w:color w:val="auto"/>
          <w:spacing w:val="0"/>
        </w:rPr>
      </w:pPr>
      <w:bookmarkStart w:id="668" w:name="_Toc515871472"/>
      <w:bookmarkStart w:id="669" w:name="_Toc11133239"/>
      <w:bookmarkStart w:id="670" w:name="_Toc43931218"/>
      <w:r w:rsidRPr="00F15667">
        <w:rPr>
          <w:color w:val="auto"/>
          <w:spacing w:val="0"/>
        </w:rPr>
        <w:t>Míra změny rozsudku</w:t>
      </w:r>
    </w:p>
    <w:p w14:paraId="79DE453E" w14:textId="6ED16E89" w:rsidR="003535B6" w:rsidRPr="00F15667" w:rsidRDefault="003535B6" w:rsidP="003535B6">
      <w:pPr>
        <w:pStyle w:val="Podnadpis"/>
        <w:rPr>
          <w:color w:val="auto"/>
        </w:rPr>
      </w:pPr>
      <w:bookmarkStart w:id="671" w:name="_Toc75952351"/>
      <w:bookmarkStart w:id="672" w:name="_Toc106106808"/>
      <w:bookmarkStart w:id="673" w:name="_Toc109802131"/>
      <w:bookmarkStart w:id="674" w:name="_Toc144104289"/>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50</w:t>
      </w:r>
      <w:r w:rsidRPr="00F15667">
        <w:rPr>
          <w:color w:val="auto"/>
        </w:rPr>
        <w:fldChar w:fldCharType="end"/>
      </w:r>
      <w:r w:rsidRPr="00F15667">
        <w:rPr>
          <w:color w:val="auto"/>
        </w:rPr>
        <w:t>: KS – míra změny rozsudku dle soudů v civilním řízení</w:t>
      </w:r>
      <w:bookmarkEnd w:id="668"/>
      <w:bookmarkEnd w:id="669"/>
      <w:bookmarkEnd w:id="670"/>
      <w:bookmarkEnd w:id="671"/>
      <w:bookmarkEnd w:id="672"/>
      <w:bookmarkEnd w:id="673"/>
      <w:bookmarkEnd w:id="674"/>
    </w:p>
    <w:tbl>
      <w:tblPr>
        <w:tblW w:w="6379" w:type="dxa"/>
        <w:tblCellMar>
          <w:left w:w="70" w:type="dxa"/>
          <w:right w:w="70" w:type="dxa"/>
        </w:tblCellMar>
        <w:tblLook w:val="04A0" w:firstRow="1" w:lastRow="0" w:firstColumn="1" w:lastColumn="0" w:noHBand="0" w:noVBand="1"/>
      </w:tblPr>
      <w:tblGrid>
        <w:gridCol w:w="2780"/>
        <w:gridCol w:w="1898"/>
        <w:gridCol w:w="1701"/>
      </w:tblGrid>
      <w:tr w:rsidR="00F15667" w:rsidRPr="00F15667" w14:paraId="28F82744" w14:textId="77777777" w:rsidTr="00687F4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55B468A6" w14:textId="77777777" w:rsidR="003535B6" w:rsidRPr="00F15667" w:rsidRDefault="003535B6" w:rsidP="00687F42">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3599" w:type="dxa"/>
            <w:gridSpan w:val="2"/>
            <w:tcBorders>
              <w:top w:val="double" w:sz="6" w:space="0" w:color="auto"/>
              <w:left w:val="nil"/>
              <w:bottom w:val="double" w:sz="6" w:space="0" w:color="auto"/>
              <w:right w:val="nil"/>
            </w:tcBorders>
            <w:shd w:val="clear" w:color="auto" w:fill="auto"/>
            <w:noWrap/>
            <w:vAlign w:val="center"/>
            <w:hideMark/>
          </w:tcPr>
          <w:p w14:paraId="051F9DDF" w14:textId="59498B28" w:rsidR="003535B6" w:rsidRPr="00F15667" w:rsidRDefault="003535B6" w:rsidP="00687F42">
            <w:pPr>
              <w:spacing w:line="240" w:lineRule="auto"/>
              <w:jc w:val="center"/>
              <w:rPr>
                <w:rFonts w:eastAsia="Times New Roman"/>
                <w:b/>
                <w:bCs/>
                <w:szCs w:val="24"/>
                <w:lang w:eastAsia="cs-CZ"/>
              </w:rPr>
            </w:pPr>
            <w:r w:rsidRPr="00F15667">
              <w:rPr>
                <w:rFonts w:eastAsia="Times New Roman"/>
                <w:b/>
                <w:bCs/>
                <w:szCs w:val="24"/>
                <w:lang w:eastAsia="cs-CZ"/>
              </w:rPr>
              <w:t>Míra změny rozsudku (v %)</w:t>
            </w:r>
          </w:p>
        </w:tc>
      </w:tr>
      <w:tr w:rsidR="00F15667" w:rsidRPr="00F15667" w14:paraId="3D0D50A4" w14:textId="77777777" w:rsidTr="00687F42">
        <w:trPr>
          <w:trHeight w:val="330"/>
        </w:trPr>
        <w:tc>
          <w:tcPr>
            <w:tcW w:w="2780" w:type="dxa"/>
            <w:tcBorders>
              <w:top w:val="nil"/>
              <w:left w:val="nil"/>
              <w:bottom w:val="single" w:sz="4" w:space="0" w:color="auto"/>
              <w:right w:val="nil"/>
            </w:tcBorders>
            <w:shd w:val="clear" w:color="auto" w:fill="auto"/>
            <w:noWrap/>
            <w:vAlign w:val="center"/>
            <w:hideMark/>
          </w:tcPr>
          <w:p w14:paraId="53071878" w14:textId="77777777" w:rsidR="003535B6" w:rsidRPr="00F15667" w:rsidRDefault="003535B6" w:rsidP="00687F42">
            <w:pPr>
              <w:spacing w:line="240" w:lineRule="auto"/>
              <w:jc w:val="left"/>
              <w:rPr>
                <w:rFonts w:eastAsia="Times New Roman"/>
                <w:szCs w:val="24"/>
                <w:lang w:eastAsia="cs-CZ"/>
              </w:rPr>
            </w:pPr>
            <w:r w:rsidRPr="00F15667">
              <w:rPr>
                <w:rFonts w:eastAsia="Times New Roman"/>
                <w:szCs w:val="24"/>
                <w:lang w:eastAsia="cs-CZ"/>
              </w:rPr>
              <w:t>MS Praha</w:t>
            </w:r>
          </w:p>
        </w:tc>
        <w:tc>
          <w:tcPr>
            <w:tcW w:w="1898" w:type="dxa"/>
            <w:tcBorders>
              <w:top w:val="nil"/>
              <w:left w:val="nil"/>
              <w:bottom w:val="single" w:sz="4" w:space="0" w:color="auto"/>
              <w:right w:val="nil"/>
            </w:tcBorders>
            <w:shd w:val="clear" w:color="auto" w:fill="auto"/>
            <w:noWrap/>
            <w:vAlign w:val="center"/>
            <w:hideMark/>
          </w:tcPr>
          <w:p w14:paraId="52429958" w14:textId="75F4704F" w:rsidR="003535B6" w:rsidRPr="00F15667" w:rsidRDefault="003535B6" w:rsidP="00687F42">
            <w:pPr>
              <w:spacing w:line="240" w:lineRule="auto"/>
              <w:jc w:val="center"/>
              <w:rPr>
                <w:rFonts w:eastAsia="Times New Roman"/>
                <w:szCs w:val="24"/>
                <w:lang w:eastAsia="cs-CZ"/>
              </w:rPr>
            </w:pPr>
            <w:r w:rsidRPr="00F15667">
              <w:rPr>
                <w:rFonts w:eastAsia="Times New Roman"/>
                <w:szCs w:val="24"/>
                <w:lang w:eastAsia="cs-CZ"/>
              </w:rPr>
              <w:t>48,19</w:t>
            </w:r>
          </w:p>
        </w:tc>
        <w:tc>
          <w:tcPr>
            <w:tcW w:w="1701" w:type="dxa"/>
            <w:tcBorders>
              <w:top w:val="nil"/>
              <w:left w:val="nil"/>
              <w:bottom w:val="single" w:sz="4" w:space="0" w:color="auto"/>
              <w:right w:val="nil"/>
            </w:tcBorders>
            <w:shd w:val="clear" w:color="auto" w:fill="auto"/>
            <w:noWrap/>
            <w:vAlign w:val="center"/>
            <w:hideMark/>
          </w:tcPr>
          <w:p w14:paraId="6001B86E" w14:textId="3A3FDA92" w:rsidR="003535B6" w:rsidRPr="00F15667" w:rsidRDefault="003535B6" w:rsidP="00687F42">
            <w:pPr>
              <w:spacing w:line="240" w:lineRule="auto"/>
              <w:jc w:val="center"/>
              <w:rPr>
                <w:rFonts w:eastAsia="Times New Roman"/>
                <w:sz w:val="20"/>
                <w:szCs w:val="20"/>
                <w:lang w:eastAsia="cs-CZ"/>
              </w:rPr>
            </w:pPr>
            <w:r w:rsidRPr="00F15667">
              <w:rPr>
                <w:rFonts w:eastAsia="Times New Roman"/>
                <w:sz w:val="20"/>
                <w:szCs w:val="20"/>
                <w:lang w:eastAsia="cs-CZ"/>
              </w:rPr>
              <w:t>-0,2 p.b.</w:t>
            </w:r>
          </w:p>
        </w:tc>
      </w:tr>
      <w:tr w:rsidR="00F15667" w:rsidRPr="00F15667" w14:paraId="27CB60B9" w14:textId="77777777" w:rsidTr="00687F42">
        <w:trPr>
          <w:trHeight w:val="315"/>
        </w:trPr>
        <w:tc>
          <w:tcPr>
            <w:tcW w:w="2780" w:type="dxa"/>
            <w:tcBorders>
              <w:top w:val="nil"/>
              <w:left w:val="nil"/>
              <w:bottom w:val="single" w:sz="4" w:space="0" w:color="auto"/>
              <w:right w:val="nil"/>
            </w:tcBorders>
            <w:shd w:val="clear" w:color="auto" w:fill="auto"/>
            <w:noWrap/>
            <w:vAlign w:val="center"/>
            <w:hideMark/>
          </w:tcPr>
          <w:p w14:paraId="42DB8702" w14:textId="77777777" w:rsidR="003535B6" w:rsidRPr="00F15667" w:rsidRDefault="003535B6" w:rsidP="00687F42">
            <w:pPr>
              <w:spacing w:line="240" w:lineRule="auto"/>
              <w:jc w:val="left"/>
              <w:rPr>
                <w:rFonts w:eastAsia="Times New Roman"/>
                <w:szCs w:val="24"/>
                <w:lang w:eastAsia="cs-CZ"/>
              </w:rPr>
            </w:pPr>
            <w:r w:rsidRPr="00F15667">
              <w:rPr>
                <w:rFonts w:eastAsia="Times New Roman"/>
                <w:szCs w:val="24"/>
                <w:lang w:eastAsia="cs-CZ"/>
              </w:rPr>
              <w:t>KS Praha</w:t>
            </w:r>
          </w:p>
        </w:tc>
        <w:tc>
          <w:tcPr>
            <w:tcW w:w="1898" w:type="dxa"/>
            <w:tcBorders>
              <w:top w:val="nil"/>
              <w:left w:val="nil"/>
              <w:bottom w:val="single" w:sz="4" w:space="0" w:color="auto"/>
              <w:right w:val="nil"/>
            </w:tcBorders>
            <w:shd w:val="clear" w:color="auto" w:fill="auto"/>
            <w:noWrap/>
            <w:vAlign w:val="center"/>
            <w:hideMark/>
          </w:tcPr>
          <w:p w14:paraId="7AD732FC" w14:textId="46899E2F" w:rsidR="003535B6" w:rsidRPr="00F15667" w:rsidRDefault="003535B6" w:rsidP="00687F42">
            <w:pPr>
              <w:spacing w:line="240" w:lineRule="auto"/>
              <w:jc w:val="center"/>
              <w:rPr>
                <w:rFonts w:eastAsia="Times New Roman"/>
                <w:szCs w:val="24"/>
                <w:lang w:eastAsia="cs-CZ"/>
              </w:rPr>
            </w:pPr>
            <w:r w:rsidRPr="00F15667">
              <w:rPr>
                <w:rFonts w:eastAsia="Times New Roman"/>
                <w:szCs w:val="24"/>
                <w:lang w:eastAsia="cs-CZ"/>
              </w:rPr>
              <w:t>56,96</w:t>
            </w:r>
          </w:p>
        </w:tc>
        <w:tc>
          <w:tcPr>
            <w:tcW w:w="1701" w:type="dxa"/>
            <w:tcBorders>
              <w:top w:val="nil"/>
              <w:left w:val="nil"/>
              <w:bottom w:val="single" w:sz="4" w:space="0" w:color="auto"/>
              <w:right w:val="nil"/>
            </w:tcBorders>
            <w:shd w:val="clear" w:color="auto" w:fill="auto"/>
            <w:noWrap/>
            <w:vAlign w:val="center"/>
            <w:hideMark/>
          </w:tcPr>
          <w:p w14:paraId="2CCBF6E4" w14:textId="24820527" w:rsidR="003535B6" w:rsidRPr="00F15667" w:rsidRDefault="003535B6" w:rsidP="00687F42">
            <w:pPr>
              <w:spacing w:line="240" w:lineRule="auto"/>
              <w:jc w:val="center"/>
              <w:rPr>
                <w:rFonts w:eastAsia="Times New Roman"/>
                <w:sz w:val="20"/>
                <w:szCs w:val="20"/>
                <w:lang w:eastAsia="cs-CZ"/>
              </w:rPr>
            </w:pPr>
            <w:r w:rsidRPr="00F15667">
              <w:rPr>
                <w:rFonts w:eastAsia="Times New Roman"/>
                <w:sz w:val="20"/>
                <w:szCs w:val="20"/>
                <w:lang w:eastAsia="cs-CZ"/>
              </w:rPr>
              <w:t>-2,2 p.b.</w:t>
            </w:r>
          </w:p>
        </w:tc>
      </w:tr>
      <w:tr w:rsidR="00F15667" w:rsidRPr="00F15667" w14:paraId="789CC9DB" w14:textId="77777777" w:rsidTr="00687F42">
        <w:trPr>
          <w:trHeight w:val="315"/>
        </w:trPr>
        <w:tc>
          <w:tcPr>
            <w:tcW w:w="2780" w:type="dxa"/>
            <w:tcBorders>
              <w:top w:val="nil"/>
              <w:left w:val="nil"/>
              <w:bottom w:val="single" w:sz="4" w:space="0" w:color="auto"/>
              <w:right w:val="nil"/>
            </w:tcBorders>
            <w:shd w:val="clear" w:color="auto" w:fill="auto"/>
            <w:noWrap/>
            <w:vAlign w:val="center"/>
            <w:hideMark/>
          </w:tcPr>
          <w:p w14:paraId="404A4F28" w14:textId="77777777" w:rsidR="003535B6" w:rsidRPr="00F15667" w:rsidRDefault="003535B6" w:rsidP="00687F42">
            <w:pPr>
              <w:spacing w:line="240" w:lineRule="auto"/>
              <w:jc w:val="left"/>
              <w:rPr>
                <w:rFonts w:eastAsia="Times New Roman"/>
                <w:szCs w:val="24"/>
                <w:lang w:eastAsia="cs-CZ"/>
              </w:rPr>
            </w:pPr>
            <w:r w:rsidRPr="00F15667">
              <w:rPr>
                <w:rFonts w:eastAsia="Times New Roman"/>
                <w:szCs w:val="24"/>
                <w:lang w:eastAsia="cs-CZ"/>
              </w:rPr>
              <w:t>KS Č. Budějovice</w:t>
            </w:r>
          </w:p>
        </w:tc>
        <w:tc>
          <w:tcPr>
            <w:tcW w:w="1898" w:type="dxa"/>
            <w:tcBorders>
              <w:top w:val="nil"/>
              <w:left w:val="nil"/>
              <w:bottom w:val="single" w:sz="4" w:space="0" w:color="auto"/>
              <w:right w:val="nil"/>
            </w:tcBorders>
            <w:shd w:val="clear" w:color="auto" w:fill="auto"/>
            <w:noWrap/>
            <w:vAlign w:val="center"/>
            <w:hideMark/>
          </w:tcPr>
          <w:p w14:paraId="7DCB82FA" w14:textId="40A77F31" w:rsidR="003535B6" w:rsidRPr="00F15667" w:rsidRDefault="003535B6" w:rsidP="00687F42">
            <w:pPr>
              <w:spacing w:line="240" w:lineRule="auto"/>
              <w:jc w:val="center"/>
              <w:rPr>
                <w:rFonts w:eastAsia="Times New Roman"/>
                <w:szCs w:val="24"/>
                <w:lang w:eastAsia="cs-CZ"/>
              </w:rPr>
            </w:pPr>
            <w:r w:rsidRPr="00F15667">
              <w:rPr>
                <w:rFonts w:eastAsia="Times New Roman"/>
                <w:szCs w:val="24"/>
                <w:lang w:eastAsia="cs-CZ"/>
              </w:rPr>
              <w:t>55,26</w:t>
            </w:r>
          </w:p>
        </w:tc>
        <w:tc>
          <w:tcPr>
            <w:tcW w:w="1701" w:type="dxa"/>
            <w:tcBorders>
              <w:top w:val="nil"/>
              <w:left w:val="nil"/>
              <w:bottom w:val="single" w:sz="4" w:space="0" w:color="auto"/>
              <w:right w:val="nil"/>
            </w:tcBorders>
            <w:shd w:val="clear" w:color="auto" w:fill="auto"/>
            <w:noWrap/>
            <w:vAlign w:val="center"/>
            <w:hideMark/>
          </w:tcPr>
          <w:p w14:paraId="036C9BAC" w14:textId="18BD4467" w:rsidR="003535B6" w:rsidRPr="00F15667" w:rsidRDefault="003535B6" w:rsidP="00687F42">
            <w:pPr>
              <w:spacing w:line="240" w:lineRule="auto"/>
              <w:jc w:val="center"/>
              <w:rPr>
                <w:rFonts w:eastAsia="Times New Roman"/>
                <w:sz w:val="20"/>
                <w:szCs w:val="20"/>
                <w:lang w:eastAsia="cs-CZ"/>
              </w:rPr>
            </w:pPr>
            <w:r w:rsidRPr="00F15667">
              <w:rPr>
                <w:rFonts w:eastAsia="Times New Roman"/>
                <w:sz w:val="20"/>
                <w:szCs w:val="20"/>
                <w:lang w:eastAsia="cs-CZ"/>
              </w:rPr>
              <w:t>+6,8 p.b.</w:t>
            </w:r>
          </w:p>
        </w:tc>
      </w:tr>
      <w:tr w:rsidR="00F15667" w:rsidRPr="00F15667" w14:paraId="030645BF" w14:textId="77777777" w:rsidTr="00687F42">
        <w:trPr>
          <w:trHeight w:val="315"/>
        </w:trPr>
        <w:tc>
          <w:tcPr>
            <w:tcW w:w="2780" w:type="dxa"/>
            <w:tcBorders>
              <w:top w:val="nil"/>
              <w:left w:val="nil"/>
              <w:bottom w:val="single" w:sz="4" w:space="0" w:color="auto"/>
              <w:right w:val="nil"/>
            </w:tcBorders>
            <w:shd w:val="clear" w:color="auto" w:fill="auto"/>
            <w:noWrap/>
            <w:vAlign w:val="center"/>
            <w:hideMark/>
          </w:tcPr>
          <w:p w14:paraId="31F8D57D" w14:textId="77777777" w:rsidR="003535B6" w:rsidRPr="00F15667" w:rsidRDefault="003535B6" w:rsidP="00687F42">
            <w:pPr>
              <w:spacing w:line="240" w:lineRule="auto"/>
              <w:jc w:val="left"/>
              <w:rPr>
                <w:rFonts w:eastAsia="Times New Roman"/>
                <w:szCs w:val="24"/>
                <w:lang w:eastAsia="cs-CZ"/>
              </w:rPr>
            </w:pPr>
            <w:r w:rsidRPr="00F15667">
              <w:rPr>
                <w:rFonts w:eastAsia="Times New Roman"/>
                <w:szCs w:val="24"/>
                <w:lang w:eastAsia="cs-CZ"/>
              </w:rPr>
              <w:t>KS Plzeň</w:t>
            </w:r>
          </w:p>
        </w:tc>
        <w:tc>
          <w:tcPr>
            <w:tcW w:w="1898" w:type="dxa"/>
            <w:tcBorders>
              <w:top w:val="nil"/>
              <w:left w:val="nil"/>
              <w:bottom w:val="single" w:sz="4" w:space="0" w:color="auto"/>
              <w:right w:val="nil"/>
            </w:tcBorders>
            <w:shd w:val="clear" w:color="auto" w:fill="auto"/>
            <w:noWrap/>
            <w:vAlign w:val="center"/>
            <w:hideMark/>
          </w:tcPr>
          <w:p w14:paraId="3222EADC" w14:textId="1E15489B" w:rsidR="003535B6" w:rsidRPr="00F15667" w:rsidRDefault="003535B6" w:rsidP="00687F42">
            <w:pPr>
              <w:spacing w:line="240" w:lineRule="auto"/>
              <w:jc w:val="center"/>
              <w:rPr>
                <w:rFonts w:eastAsia="Times New Roman"/>
                <w:szCs w:val="24"/>
                <w:lang w:eastAsia="cs-CZ"/>
              </w:rPr>
            </w:pPr>
            <w:r w:rsidRPr="00F15667">
              <w:rPr>
                <w:rFonts w:eastAsia="Times New Roman"/>
                <w:szCs w:val="24"/>
                <w:lang w:eastAsia="cs-CZ"/>
              </w:rPr>
              <w:t>48,98</w:t>
            </w:r>
          </w:p>
        </w:tc>
        <w:tc>
          <w:tcPr>
            <w:tcW w:w="1701" w:type="dxa"/>
            <w:tcBorders>
              <w:top w:val="nil"/>
              <w:left w:val="nil"/>
              <w:bottom w:val="single" w:sz="4" w:space="0" w:color="auto"/>
              <w:right w:val="nil"/>
            </w:tcBorders>
            <w:shd w:val="clear" w:color="auto" w:fill="auto"/>
            <w:noWrap/>
            <w:vAlign w:val="center"/>
            <w:hideMark/>
          </w:tcPr>
          <w:p w14:paraId="0098DA95" w14:textId="07D7031F" w:rsidR="003535B6" w:rsidRPr="00F15667" w:rsidRDefault="003535B6" w:rsidP="00687F42">
            <w:pPr>
              <w:spacing w:line="240" w:lineRule="auto"/>
              <w:jc w:val="center"/>
              <w:rPr>
                <w:rFonts w:eastAsia="Times New Roman"/>
                <w:sz w:val="20"/>
                <w:szCs w:val="20"/>
                <w:lang w:eastAsia="cs-CZ"/>
              </w:rPr>
            </w:pPr>
            <w:r w:rsidRPr="00F15667">
              <w:rPr>
                <w:rFonts w:eastAsia="Times New Roman"/>
                <w:sz w:val="20"/>
                <w:szCs w:val="20"/>
                <w:lang w:eastAsia="cs-CZ"/>
              </w:rPr>
              <w:t>+6,7 p.b.</w:t>
            </w:r>
          </w:p>
        </w:tc>
      </w:tr>
      <w:tr w:rsidR="00F15667" w:rsidRPr="00F15667" w14:paraId="700502EF" w14:textId="77777777" w:rsidTr="00687F42">
        <w:trPr>
          <w:trHeight w:val="315"/>
        </w:trPr>
        <w:tc>
          <w:tcPr>
            <w:tcW w:w="2780" w:type="dxa"/>
            <w:tcBorders>
              <w:top w:val="nil"/>
              <w:left w:val="nil"/>
              <w:bottom w:val="single" w:sz="4" w:space="0" w:color="auto"/>
              <w:right w:val="nil"/>
            </w:tcBorders>
            <w:shd w:val="clear" w:color="auto" w:fill="auto"/>
            <w:noWrap/>
            <w:vAlign w:val="center"/>
            <w:hideMark/>
          </w:tcPr>
          <w:p w14:paraId="22AE6C08" w14:textId="77777777" w:rsidR="003535B6" w:rsidRPr="00F15667" w:rsidRDefault="003535B6" w:rsidP="00687F42">
            <w:pPr>
              <w:spacing w:line="240" w:lineRule="auto"/>
              <w:jc w:val="left"/>
              <w:rPr>
                <w:rFonts w:eastAsia="Times New Roman"/>
                <w:szCs w:val="24"/>
                <w:lang w:eastAsia="cs-CZ"/>
              </w:rPr>
            </w:pPr>
            <w:r w:rsidRPr="00F15667">
              <w:rPr>
                <w:rFonts w:eastAsia="Times New Roman"/>
                <w:szCs w:val="24"/>
                <w:lang w:eastAsia="cs-CZ"/>
              </w:rPr>
              <w:t>KS Ústí n. Labem</w:t>
            </w:r>
          </w:p>
        </w:tc>
        <w:tc>
          <w:tcPr>
            <w:tcW w:w="1898" w:type="dxa"/>
            <w:tcBorders>
              <w:top w:val="nil"/>
              <w:left w:val="nil"/>
              <w:bottom w:val="single" w:sz="4" w:space="0" w:color="auto"/>
              <w:right w:val="nil"/>
            </w:tcBorders>
            <w:shd w:val="clear" w:color="auto" w:fill="auto"/>
            <w:noWrap/>
            <w:vAlign w:val="center"/>
            <w:hideMark/>
          </w:tcPr>
          <w:p w14:paraId="1873445D" w14:textId="5BDE73B0" w:rsidR="003535B6" w:rsidRPr="00F15667" w:rsidRDefault="003535B6" w:rsidP="00687F42">
            <w:pPr>
              <w:spacing w:line="240" w:lineRule="auto"/>
              <w:jc w:val="center"/>
              <w:rPr>
                <w:rFonts w:eastAsia="Times New Roman"/>
                <w:szCs w:val="24"/>
                <w:lang w:eastAsia="cs-CZ"/>
              </w:rPr>
            </w:pPr>
            <w:r w:rsidRPr="00F15667">
              <w:rPr>
                <w:rFonts w:eastAsia="Times New Roman"/>
                <w:szCs w:val="24"/>
                <w:lang w:eastAsia="cs-CZ"/>
              </w:rPr>
              <w:t>46,43</w:t>
            </w:r>
          </w:p>
        </w:tc>
        <w:tc>
          <w:tcPr>
            <w:tcW w:w="1701" w:type="dxa"/>
            <w:tcBorders>
              <w:top w:val="nil"/>
              <w:left w:val="nil"/>
              <w:bottom w:val="single" w:sz="4" w:space="0" w:color="auto"/>
              <w:right w:val="nil"/>
            </w:tcBorders>
            <w:shd w:val="clear" w:color="auto" w:fill="auto"/>
            <w:noWrap/>
            <w:vAlign w:val="center"/>
            <w:hideMark/>
          </w:tcPr>
          <w:p w14:paraId="191259A0" w14:textId="272C64B6" w:rsidR="003535B6" w:rsidRPr="00F15667" w:rsidRDefault="003535B6" w:rsidP="00687F42">
            <w:pPr>
              <w:spacing w:line="240" w:lineRule="auto"/>
              <w:jc w:val="center"/>
              <w:rPr>
                <w:rFonts w:eastAsia="Times New Roman"/>
                <w:sz w:val="20"/>
                <w:szCs w:val="20"/>
                <w:lang w:eastAsia="cs-CZ"/>
              </w:rPr>
            </w:pPr>
            <w:r w:rsidRPr="00F15667">
              <w:rPr>
                <w:rFonts w:eastAsia="Times New Roman"/>
                <w:sz w:val="20"/>
                <w:szCs w:val="20"/>
                <w:lang w:eastAsia="cs-CZ"/>
              </w:rPr>
              <w:t>-3,6 p.b.</w:t>
            </w:r>
          </w:p>
        </w:tc>
      </w:tr>
      <w:tr w:rsidR="00F15667" w:rsidRPr="00F15667" w14:paraId="6BF4CC6B" w14:textId="77777777" w:rsidTr="00687F42">
        <w:trPr>
          <w:trHeight w:val="315"/>
        </w:trPr>
        <w:tc>
          <w:tcPr>
            <w:tcW w:w="2780" w:type="dxa"/>
            <w:tcBorders>
              <w:top w:val="nil"/>
              <w:left w:val="nil"/>
              <w:bottom w:val="single" w:sz="4" w:space="0" w:color="auto"/>
              <w:right w:val="nil"/>
            </w:tcBorders>
            <w:shd w:val="clear" w:color="auto" w:fill="auto"/>
            <w:noWrap/>
            <w:vAlign w:val="center"/>
            <w:hideMark/>
          </w:tcPr>
          <w:p w14:paraId="0B4E8F0A" w14:textId="77777777" w:rsidR="003535B6" w:rsidRPr="00F15667" w:rsidRDefault="003535B6" w:rsidP="00687F42">
            <w:pPr>
              <w:spacing w:line="240" w:lineRule="auto"/>
              <w:jc w:val="left"/>
              <w:rPr>
                <w:rFonts w:eastAsia="Times New Roman"/>
                <w:szCs w:val="24"/>
                <w:lang w:eastAsia="cs-CZ"/>
              </w:rPr>
            </w:pPr>
            <w:r w:rsidRPr="00F15667">
              <w:rPr>
                <w:rFonts w:eastAsia="Times New Roman"/>
                <w:szCs w:val="24"/>
                <w:lang w:eastAsia="cs-CZ"/>
              </w:rPr>
              <w:t>KS Hr. Králové</w:t>
            </w:r>
          </w:p>
        </w:tc>
        <w:tc>
          <w:tcPr>
            <w:tcW w:w="1898" w:type="dxa"/>
            <w:tcBorders>
              <w:top w:val="nil"/>
              <w:left w:val="nil"/>
              <w:bottom w:val="single" w:sz="4" w:space="0" w:color="auto"/>
              <w:right w:val="nil"/>
            </w:tcBorders>
            <w:shd w:val="clear" w:color="auto" w:fill="auto"/>
            <w:noWrap/>
            <w:vAlign w:val="center"/>
            <w:hideMark/>
          </w:tcPr>
          <w:p w14:paraId="5FD22668" w14:textId="74D15F91" w:rsidR="003535B6" w:rsidRPr="00F15667" w:rsidRDefault="003535B6" w:rsidP="00687F42">
            <w:pPr>
              <w:spacing w:line="240" w:lineRule="auto"/>
              <w:jc w:val="center"/>
              <w:rPr>
                <w:rFonts w:eastAsia="Times New Roman"/>
                <w:szCs w:val="24"/>
                <w:lang w:eastAsia="cs-CZ"/>
              </w:rPr>
            </w:pPr>
            <w:r w:rsidRPr="00F15667">
              <w:rPr>
                <w:rFonts w:eastAsia="Times New Roman"/>
                <w:szCs w:val="24"/>
                <w:lang w:eastAsia="cs-CZ"/>
              </w:rPr>
              <w:t>59,32</w:t>
            </w:r>
          </w:p>
        </w:tc>
        <w:tc>
          <w:tcPr>
            <w:tcW w:w="1701" w:type="dxa"/>
            <w:tcBorders>
              <w:top w:val="nil"/>
              <w:left w:val="nil"/>
              <w:bottom w:val="single" w:sz="4" w:space="0" w:color="auto"/>
              <w:right w:val="nil"/>
            </w:tcBorders>
            <w:shd w:val="clear" w:color="auto" w:fill="auto"/>
            <w:noWrap/>
            <w:vAlign w:val="center"/>
            <w:hideMark/>
          </w:tcPr>
          <w:p w14:paraId="1C185154" w14:textId="0E4A2F7E" w:rsidR="003535B6" w:rsidRPr="00F15667" w:rsidRDefault="003535B6" w:rsidP="00687F42">
            <w:pPr>
              <w:spacing w:line="240" w:lineRule="auto"/>
              <w:jc w:val="center"/>
              <w:rPr>
                <w:rFonts w:eastAsia="Times New Roman"/>
                <w:sz w:val="20"/>
                <w:szCs w:val="20"/>
                <w:lang w:eastAsia="cs-CZ"/>
              </w:rPr>
            </w:pPr>
            <w:r w:rsidRPr="00F15667">
              <w:rPr>
                <w:rFonts w:eastAsia="Times New Roman"/>
                <w:sz w:val="20"/>
                <w:szCs w:val="20"/>
                <w:lang w:eastAsia="cs-CZ"/>
              </w:rPr>
              <w:t>+8,3 p.b.</w:t>
            </w:r>
          </w:p>
        </w:tc>
      </w:tr>
      <w:tr w:rsidR="00F15667" w:rsidRPr="00F15667" w14:paraId="4F2E81BF" w14:textId="77777777" w:rsidTr="00687F42">
        <w:trPr>
          <w:trHeight w:val="315"/>
        </w:trPr>
        <w:tc>
          <w:tcPr>
            <w:tcW w:w="2780" w:type="dxa"/>
            <w:tcBorders>
              <w:top w:val="nil"/>
              <w:left w:val="nil"/>
              <w:bottom w:val="single" w:sz="4" w:space="0" w:color="auto"/>
              <w:right w:val="nil"/>
            </w:tcBorders>
            <w:shd w:val="clear" w:color="auto" w:fill="auto"/>
            <w:noWrap/>
            <w:vAlign w:val="center"/>
            <w:hideMark/>
          </w:tcPr>
          <w:p w14:paraId="29531AF6" w14:textId="77777777" w:rsidR="003535B6" w:rsidRPr="00F15667" w:rsidRDefault="003535B6" w:rsidP="00687F42">
            <w:pPr>
              <w:spacing w:line="240" w:lineRule="auto"/>
              <w:jc w:val="left"/>
              <w:rPr>
                <w:rFonts w:eastAsia="Times New Roman"/>
                <w:szCs w:val="24"/>
                <w:lang w:eastAsia="cs-CZ"/>
              </w:rPr>
            </w:pPr>
            <w:r w:rsidRPr="00F15667">
              <w:rPr>
                <w:rFonts w:eastAsia="Times New Roman"/>
                <w:szCs w:val="24"/>
                <w:lang w:eastAsia="cs-CZ"/>
              </w:rPr>
              <w:t>KS Brno</w:t>
            </w:r>
          </w:p>
        </w:tc>
        <w:tc>
          <w:tcPr>
            <w:tcW w:w="1898" w:type="dxa"/>
            <w:tcBorders>
              <w:top w:val="nil"/>
              <w:left w:val="nil"/>
              <w:bottom w:val="single" w:sz="4" w:space="0" w:color="auto"/>
              <w:right w:val="nil"/>
            </w:tcBorders>
            <w:shd w:val="clear" w:color="auto" w:fill="auto"/>
            <w:noWrap/>
            <w:vAlign w:val="center"/>
            <w:hideMark/>
          </w:tcPr>
          <w:p w14:paraId="743E0D08" w14:textId="471D6C18" w:rsidR="003535B6" w:rsidRPr="00F15667" w:rsidRDefault="003535B6" w:rsidP="00687F42">
            <w:pPr>
              <w:spacing w:line="240" w:lineRule="auto"/>
              <w:jc w:val="center"/>
              <w:rPr>
                <w:rFonts w:eastAsia="Times New Roman"/>
                <w:szCs w:val="24"/>
                <w:lang w:eastAsia="cs-CZ"/>
              </w:rPr>
            </w:pPr>
            <w:r w:rsidRPr="00F15667">
              <w:rPr>
                <w:rFonts w:eastAsia="Times New Roman"/>
                <w:szCs w:val="24"/>
                <w:lang w:eastAsia="cs-CZ"/>
              </w:rPr>
              <w:t>45,88</w:t>
            </w:r>
          </w:p>
        </w:tc>
        <w:tc>
          <w:tcPr>
            <w:tcW w:w="1701" w:type="dxa"/>
            <w:tcBorders>
              <w:top w:val="nil"/>
              <w:left w:val="nil"/>
              <w:bottom w:val="single" w:sz="4" w:space="0" w:color="auto"/>
              <w:right w:val="nil"/>
            </w:tcBorders>
            <w:shd w:val="clear" w:color="auto" w:fill="auto"/>
            <w:noWrap/>
            <w:vAlign w:val="center"/>
            <w:hideMark/>
          </w:tcPr>
          <w:p w14:paraId="0B86D88E" w14:textId="3600D581" w:rsidR="003535B6" w:rsidRPr="00F15667" w:rsidRDefault="003535B6" w:rsidP="00687F42">
            <w:pPr>
              <w:spacing w:line="240" w:lineRule="auto"/>
              <w:jc w:val="center"/>
              <w:rPr>
                <w:rFonts w:eastAsia="Times New Roman"/>
                <w:sz w:val="20"/>
                <w:szCs w:val="20"/>
                <w:lang w:eastAsia="cs-CZ"/>
              </w:rPr>
            </w:pPr>
            <w:r w:rsidRPr="00F15667">
              <w:rPr>
                <w:rFonts w:eastAsia="Times New Roman"/>
                <w:sz w:val="20"/>
                <w:szCs w:val="20"/>
                <w:lang w:eastAsia="cs-CZ"/>
              </w:rPr>
              <w:t>+3,4 p.b.</w:t>
            </w:r>
          </w:p>
        </w:tc>
      </w:tr>
      <w:tr w:rsidR="00F15667" w:rsidRPr="00F15667" w14:paraId="72B09315" w14:textId="77777777" w:rsidTr="00687F42">
        <w:trPr>
          <w:trHeight w:val="330"/>
        </w:trPr>
        <w:tc>
          <w:tcPr>
            <w:tcW w:w="2780" w:type="dxa"/>
            <w:tcBorders>
              <w:top w:val="nil"/>
              <w:left w:val="nil"/>
              <w:bottom w:val="double" w:sz="6" w:space="0" w:color="auto"/>
              <w:right w:val="nil"/>
            </w:tcBorders>
            <w:shd w:val="clear" w:color="auto" w:fill="auto"/>
            <w:noWrap/>
            <w:vAlign w:val="center"/>
            <w:hideMark/>
          </w:tcPr>
          <w:p w14:paraId="46346523" w14:textId="77777777" w:rsidR="003535B6" w:rsidRPr="00F15667" w:rsidRDefault="003535B6" w:rsidP="00687F42">
            <w:pPr>
              <w:spacing w:line="240" w:lineRule="auto"/>
              <w:jc w:val="left"/>
              <w:rPr>
                <w:rFonts w:eastAsia="Times New Roman"/>
                <w:szCs w:val="24"/>
                <w:lang w:eastAsia="cs-CZ"/>
              </w:rPr>
            </w:pPr>
            <w:r w:rsidRPr="00F15667">
              <w:rPr>
                <w:rFonts w:eastAsia="Times New Roman"/>
                <w:szCs w:val="24"/>
                <w:lang w:eastAsia="cs-CZ"/>
              </w:rPr>
              <w:t>KS Ostrava</w:t>
            </w:r>
          </w:p>
        </w:tc>
        <w:tc>
          <w:tcPr>
            <w:tcW w:w="1898" w:type="dxa"/>
            <w:tcBorders>
              <w:top w:val="nil"/>
              <w:left w:val="nil"/>
              <w:bottom w:val="double" w:sz="6" w:space="0" w:color="auto"/>
              <w:right w:val="nil"/>
            </w:tcBorders>
            <w:shd w:val="clear" w:color="auto" w:fill="auto"/>
            <w:noWrap/>
            <w:vAlign w:val="center"/>
            <w:hideMark/>
          </w:tcPr>
          <w:p w14:paraId="6318C701" w14:textId="0270660D" w:rsidR="003535B6" w:rsidRPr="00F15667" w:rsidRDefault="003535B6" w:rsidP="00687F42">
            <w:pPr>
              <w:spacing w:line="240" w:lineRule="auto"/>
              <w:jc w:val="center"/>
              <w:rPr>
                <w:rFonts w:eastAsia="Times New Roman"/>
                <w:szCs w:val="24"/>
                <w:lang w:eastAsia="cs-CZ"/>
              </w:rPr>
            </w:pPr>
            <w:r w:rsidRPr="00F15667">
              <w:rPr>
                <w:rFonts w:eastAsia="Times New Roman"/>
                <w:szCs w:val="24"/>
                <w:lang w:eastAsia="cs-CZ"/>
              </w:rPr>
              <w:t>50,68</w:t>
            </w:r>
          </w:p>
        </w:tc>
        <w:tc>
          <w:tcPr>
            <w:tcW w:w="1701" w:type="dxa"/>
            <w:tcBorders>
              <w:top w:val="nil"/>
              <w:left w:val="nil"/>
              <w:bottom w:val="nil"/>
              <w:right w:val="nil"/>
            </w:tcBorders>
            <w:shd w:val="clear" w:color="auto" w:fill="auto"/>
            <w:noWrap/>
            <w:vAlign w:val="center"/>
            <w:hideMark/>
          </w:tcPr>
          <w:p w14:paraId="489762A8" w14:textId="2CD0EFD7" w:rsidR="003535B6" w:rsidRPr="00F15667" w:rsidRDefault="003535B6" w:rsidP="00687F42">
            <w:pPr>
              <w:spacing w:line="240" w:lineRule="auto"/>
              <w:jc w:val="center"/>
              <w:rPr>
                <w:rFonts w:eastAsia="Times New Roman"/>
                <w:sz w:val="20"/>
                <w:szCs w:val="20"/>
                <w:lang w:eastAsia="cs-CZ"/>
              </w:rPr>
            </w:pPr>
            <w:r w:rsidRPr="00F15667">
              <w:rPr>
                <w:rFonts w:eastAsia="Times New Roman"/>
                <w:sz w:val="20"/>
                <w:szCs w:val="20"/>
                <w:lang w:eastAsia="cs-CZ"/>
              </w:rPr>
              <w:t>+14,1 p.b.</w:t>
            </w:r>
          </w:p>
        </w:tc>
      </w:tr>
      <w:tr w:rsidR="00F15667" w:rsidRPr="00F15667" w14:paraId="5F964583" w14:textId="77777777" w:rsidTr="00687F42">
        <w:trPr>
          <w:trHeight w:val="345"/>
        </w:trPr>
        <w:tc>
          <w:tcPr>
            <w:tcW w:w="2780" w:type="dxa"/>
            <w:tcBorders>
              <w:top w:val="nil"/>
              <w:left w:val="nil"/>
              <w:bottom w:val="double" w:sz="6" w:space="0" w:color="auto"/>
              <w:right w:val="nil"/>
            </w:tcBorders>
            <w:shd w:val="clear" w:color="auto" w:fill="auto"/>
            <w:noWrap/>
            <w:vAlign w:val="center"/>
            <w:hideMark/>
          </w:tcPr>
          <w:p w14:paraId="7B07747A" w14:textId="77777777" w:rsidR="003535B6" w:rsidRPr="00F15667" w:rsidRDefault="003535B6" w:rsidP="00687F42">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898" w:type="dxa"/>
            <w:tcBorders>
              <w:top w:val="nil"/>
              <w:left w:val="nil"/>
              <w:bottom w:val="double" w:sz="6" w:space="0" w:color="auto"/>
              <w:right w:val="nil"/>
            </w:tcBorders>
            <w:shd w:val="clear" w:color="auto" w:fill="auto"/>
            <w:noWrap/>
            <w:vAlign w:val="center"/>
            <w:hideMark/>
          </w:tcPr>
          <w:p w14:paraId="680C633B" w14:textId="197992A6" w:rsidR="003535B6" w:rsidRPr="00F15667" w:rsidRDefault="003535B6" w:rsidP="00687F42">
            <w:pPr>
              <w:spacing w:line="240" w:lineRule="auto"/>
              <w:jc w:val="center"/>
              <w:rPr>
                <w:rFonts w:eastAsia="Times New Roman"/>
                <w:b/>
                <w:bCs/>
                <w:szCs w:val="24"/>
                <w:lang w:eastAsia="cs-CZ"/>
              </w:rPr>
            </w:pPr>
            <w:r w:rsidRPr="00F15667">
              <w:rPr>
                <w:rFonts w:eastAsia="Times New Roman"/>
                <w:b/>
                <w:bCs/>
                <w:szCs w:val="24"/>
                <w:lang w:eastAsia="cs-CZ"/>
              </w:rPr>
              <w:t>48,84</w:t>
            </w:r>
          </w:p>
        </w:tc>
        <w:tc>
          <w:tcPr>
            <w:tcW w:w="1701" w:type="dxa"/>
            <w:tcBorders>
              <w:top w:val="double" w:sz="6" w:space="0" w:color="auto"/>
              <w:left w:val="nil"/>
              <w:bottom w:val="double" w:sz="6" w:space="0" w:color="auto"/>
              <w:right w:val="nil"/>
            </w:tcBorders>
            <w:shd w:val="clear" w:color="auto" w:fill="auto"/>
            <w:noWrap/>
            <w:vAlign w:val="center"/>
            <w:hideMark/>
          </w:tcPr>
          <w:p w14:paraId="3E47B277" w14:textId="67D2206B" w:rsidR="003535B6" w:rsidRPr="00F15667" w:rsidRDefault="003535B6" w:rsidP="00687F42">
            <w:pPr>
              <w:spacing w:line="240" w:lineRule="auto"/>
              <w:jc w:val="center"/>
              <w:rPr>
                <w:rFonts w:eastAsia="Times New Roman"/>
                <w:b/>
                <w:bCs/>
                <w:sz w:val="20"/>
                <w:szCs w:val="20"/>
                <w:lang w:eastAsia="cs-CZ"/>
              </w:rPr>
            </w:pPr>
            <w:r w:rsidRPr="00F15667">
              <w:rPr>
                <w:rFonts w:eastAsia="Times New Roman"/>
                <w:b/>
                <w:bCs/>
                <w:sz w:val="20"/>
                <w:szCs w:val="20"/>
                <w:lang w:eastAsia="cs-CZ"/>
              </w:rPr>
              <w:t>+1,2 p.b.</w:t>
            </w:r>
          </w:p>
        </w:tc>
      </w:tr>
      <w:tr w:rsidR="00F15667" w:rsidRPr="00F15667" w14:paraId="412DB116" w14:textId="77777777" w:rsidTr="00687F42">
        <w:trPr>
          <w:trHeight w:val="330"/>
        </w:trPr>
        <w:tc>
          <w:tcPr>
            <w:tcW w:w="2780" w:type="dxa"/>
            <w:tcBorders>
              <w:top w:val="nil"/>
              <w:left w:val="nil"/>
              <w:bottom w:val="nil"/>
              <w:right w:val="nil"/>
            </w:tcBorders>
            <w:shd w:val="clear" w:color="auto" w:fill="auto"/>
            <w:noWrap/>
            <w:vAlign w:val="center"/>
            <w:hideMark/>
          </w:tcPr>
          <w:p w14:paraId="22F59AF8" w14:textId="77777777" w:rsidR="003535B6" w:rsidRPr="00F15667" w:rsidRDefault="003535B6" w:rsidP="00687F42">
            <w:pPr>
              <w:spacing w:line="240" w:lineRule="auto"/>
              <w:jc w:val="center"/>
              <w:rPr>
                <w:rFonts w:eastAsia="Times New Roman"/>
                <w:b/>
                <w:bCs/>
                <w:sz w:val="20"/>
                <w:szCs w:val="20"/>
                <w:lang w:eastAsia="cs-CZ"/>
              </w:rPr>
            </w:pPr>
          </w:p>
        </w:tc>
        <w:tc>
          <w:tcPr>
            <w:tcW w:w="1898" w:type="dxa"/>
            <w:tcBorders>
              <w:top w:val="nil"/>
              <w:left w:val="nil"/>
              <w:bottom w:val="nil"/>
              <w:right w:val="nil"/>
            </w:tcBorders>
            <w:shd w:val="clear" w:color="auto" w:fill="auto"/>
            <w:noWrap/>
            <w:vAlign w:val="center"/>
            <w:hideMark/>
          </w:tcPr>
          <w:p w14:paraId="4346D08B" w14:textId="77777777" w:rsidR="003535B6" w:rsidRPr="00F15667" w:rsidRDefault="003535B6" w:rsidP="00687F42">
            <w:pPr>
              <w:spacing w:line="240" w:lineRule="auto"/>
              <w:jc w:val="center"/>
              <w:rPr>
                <w:rFonts w:ascii="Times New Roman" w:eastAsia="Times New Roman" w:hAnsi="Times New Roman"/>
                <w:sz w:val="20"/>
                <w:szCs w:val="20"/>
                <w:lang w:eastAsia="cs-CZ"/>
              </w:rPr>
            </w:pPr>
          </w:p>
        </w:tc>
        <w:tc>
          <w:tcPr>
            <w:tcW w:w="1701" w:type="dxa"/>
            <w:tcBorders>
              <w:top w:val="nil"/>
              <w:left w:val="nil"/>
              <w:bottom w:val="nil"/>
              <w:right w:val="nil"/>
            </w:tcBorders>
            <w:shd w:val="clear" w:color="auto" w:fill="auto"/>
            <w:noWrap/>
            <w:vAlign w:val="center"/>
            <w:hideMark/>
          </w:tcPr>
          <w:p w14:paraId="0EBB4408" w14:textId="77777777" w:rsidR="003535B6" w:rsidRPr="00F15667" w:rsidRDefault="003535B6" w:rsidP="00687F42">
            <w:pPr>
              <w:spacing w:line="240" w:lineRule="auto"/>
              <w:jc w:val="center"/>
              <w:rPr>
                <w:rFonts w:ascii="Times New Roman" w:eastAsia="Times New Roman" w:hAnsi="Times New Roman"/>
                <w:sz w:val="20"/>
                <w:szCs w:val="20"/>
                <w:lang w:eastAsia="cs-CZ"/>
              </w:rPr>
            </w:pPr>
          </w:p>
        </w:tc>
      </w:tr>
    </w:tbl>
    <w:p w14:paraId="4F572103" w14:textId="76E5A90E" w:rsidR="003D7E16" w:rsidRPr="00F15667" w:rsidRDefault="003D7E16" w:rsidP="003D7E16">
      <w:pPr>
        <w:pStyle w:val="OdstavecASR"/>
      </w:pPr>
      <w:r w:rsidRPr="00F15667">
        <w:t>Rozdíly mezi jednotlivými soudy v míře změny rozsudku jsou rovněž poměrně vysoké. Rozdíly jsou často velké i u soudů mezi jednotlivými lety (viz především KS České Budějovice, KS Plzeň a KS Ostrava). Míra změny rozsudku je také vyšší než u okresních soudů, tentokrát asi o 4 procentní body.</w:t>
      </w:r>
    </w:p>
    <w:p w14:paraId="5C9A4030" w14:textId="6C788901" w:rsidR="003D7E16" w:rsidRPr="00F15667" w:rsidRDefault="003D7E16" w:rsidP="003D7E16">
      <w:pPr>
        <w:pStyle w:val="OdstavecASR"/>
      </w:pPr>
      <w:r w:rsidRPr="00F15667">
        <w:t>Celková míra změny rozsudku je nejvyšší u KS v Hradci Králové. Nejnižší je nově u KS v Brně.</w:t>
      </w:r>
    </w:p>
    <w:p w14:paraId="249D51F2" w14:textId="119AE5A9" w:rsidR="003D7E16" w:rsidRPr="00F15667" w:rsidRDefault="003D7E16" w:rsidP="003D7E16">
      <w:pPr>
        <w:pStyle w:val="OdstavecASR"/>
      </w:pPr>
      <w:r w:rsidRPr="00F15667">
        <w:t>Nakonec ještě krátce porovnáme posledních sedm let. Údaje o míře odvolání, míře změny rozsudku i celkové míře změny rozsudku jsou následující:</w:t>
      </w:r>
    </w:p>
    <w:p w14:paraId="425D88F4" w14:textId="77777777" w:rsidR="003D7E16" w:rsidRPr="00F15667" w:rsidRDefault="003D7E16" w:rsidP="003D7E16">
      <w:pPr>
        <w:pStyle w:val="OdstavecASR"/>
      </w:pPr>
      <w:r w:rsidRPr="00F15667">
        <w:t>2016: 15,62 % × 50,51 % = 7,90 %</w:t>
      </w:r>
    </w:p>
    <w:p w14:paraId="195BE2E4" w14:textId="77777777" w:rsidR="003D7E16" w:rsidRPr="00F15667" w:rsidRDefault="003D7E16" w:rsidP="003D7E16">
      <w:pPr>
        <w:pStyle w:val="OdstavecASR"/>
      </w:pPr>
      <w:r w:rsidRPr="00F15667">
        <w:t>2017: 19,67 % × 50,34 % = 9,90 %</w:t>
      </w:r>
    </w:p>
    <w:p w14:paraId="751C0E08" w14:textId="77777777" w:rsidR="003D7E16" w:rsidRPr="00F15667" w:rsidRDefault="003D7E16" w:rsidP="003D7E16">
      <w:pPr>
        <w:pStyle w:val="OdstavecASR"/>
      </w:pPr>
      <w:r w:rsidRPr="00F15667">
        <w:t>2018: 24,88 % × 50,76 % = 12,63 %</w:t>
      </w:r>
    </w:p>
    <w:p w14:paraId="50533481" w14:textId="77777777" w:rsidR="003D7E16" w:rsidRPr="00F15667" w:rsidRDefault="003D7E16" w:rsidP="003D7E16">
      <w:pPr>
        <w:pStyle w:val="OdstavecASR"/>
      </w:pPr>
      <w:r w:rsidRPr="00F15667">
        <w:t>2019: 24,20 % × 51,81 % = 12,54 %</w:t>
      </w:r>
    </w:p>
    <w:p w14:paraId="23120C69" w14:textId="77777777" w:rsidR="003D7E16" w:rsidRPr="00F15667" w:rsidRDefault="003D7E16" w:rsidP="003D7E16">
      <w:pPr>
        <w:pStyle w:val="OdstavecASR"/>
      </w:pPr>
      <w:r w:rsidRPr="00F15667">
        <w:t>2020: 23,64 % × 53,03 % = 12,54 %</w:t>
      </w:r>
    </w:p>
    <w:p w14:paraId="0672DFEE" w14:textId="7E6937A4" w:rsidR="003D7E16" w:rsidRPr="00F15667" w:rsidRDefault="003D7E16" w:rsidP="003D7E16">
      <w:pPr>
        <w:pStyle w:val="OdstavecASR"/>
      </w:pPr>
      <w:r w:rsidRPr="00F15667">
        <w:t>2021: 23,97 % × 47,65 % = 11,42 %</w:t>
      </w:r>
    </w:p>
    <w:p w14:paraId="78CC7A37" w14:textId="50916EBB" w:rsidR="003D7E16" w:rsidRPr="00F15667" w:rsidRDefault="003D7E16" w:rsidP="003D7E16">
      <w:pPr>
        <w:pStyle w:val="OdstavecASR"/>
      </w:pPr>
      <w:r w:rsidRPr="00F15667">
        <w:t>2022: 2</w:t>
      </w:r>
      <w:r w:rsidR="00A93256" w:rsidRPr="00F15667">
        <w:t>4</w:t>
      </w:r>
      <w:r w:rsidRPr="00F15667">
        <w:t>,</w:t>
      </w:r>
      <w:r w:rsidR="00A93256" w:rsidRPr="00F15667">
        <w:t>08</w:t>
      </w:r>
      <w:r w:rsidRPr="00F15667">
        <w:t> % × 4</w:t>
      </w:r>
      <w:r w:rsidR="00A93256" w:rsidRPr="00F15667">
        <w:t>8</w:t>
      </w:r>
      <w:r w:rsidRPr="00F15667">
        <w:t>,</w:t>
      </w:r>
      <w:r w:rsidR="00A93256" w:rsidRPr="00F15667">
        <w:t>84</w:t>
      </w:r>
      <w:r w:rsidRPr="00F15667">
        <w:t> % = 11,</w:t>
      </w:r>
      <w:r w:rsidR="00A93256" w:rsidRPr="00F15667">
        <w:t>76</w:t>
      </w:r>
      <w:r w:rsidRPr="00F15667">
        <w:t> %</w:t>
      </w:r>
    </w:p>
    <w:p w14:paraId="00056164" w14:textId="5BC2415F" w:rsidR="00A93256" w:rsidRPr="00F15667" w:rsidRDefault="003D7E16" w:rsidP="003D7E16">
      <w:pPr>
        <w:pStyle w:val="OdstavecASR"/>
      </w:pPr>
      <w:r w:rsidRPr="00F15667">
        <w:t>Míra celkové změny rozsudku se v letech 2016 až 2018 zvýšila více než o polovinu. Mezi roky 2018 a 2020 zůstala téměř konstantní a v roce 2021 mírně klesla.</w:t>
      </w:r>
      <w:r w:rsidR="00A93256" w:rsidRPr="00F15667">
        <w:t xml:space="preserve"> V roce 2022 pak velmi mírně klesla.</w:t>
      </w:r>
      <w:r w:rsidRPr="00F15667">
        <w:t xml:space="preserve"> Pro připomenutí tento ukazatel znamená, že téměř u 12 % pravomocných rozhodnutí krajských soudů v civilních věcech došlo ke změně rozsudku.</w:t>
      </w:r>
    </w:p>
    <w:p w14:paraId="71D5D07B" w14:textId="23450182" w:rsidR="00A93256" w:rsidRPr="00F15667" w:rsidRDefault="00A93256" w:rsidP="00A93256">
      <w:pPr>
        <w:pStyle w:val="OdstavecASR"/>
        <w:keepNext/>
        <w:outlineLvl w:val="3"/>
        <w:rPr>
          <w:b/>
        </w:rPr>
      </w:pPr>
      <w:r w:rsidRPr="00F15667">
        <w:rPr>
          <w:b/>
        </w:rPr>
        <w:t>Podíl vybraných předmětů sporů</w:t>
      </w:r>
    </w:p>
    <w:p w14:paraId="4F6B2048" w14:textId="2E6FDE2F" w:rsidR="003D7E16" w:rsidRPr="00F15667" w:rsidRDefault="00A93256" w:rsidP="003D7E16">
      <w:pPr>
        <w:pStyle w:val="OdstavecASR"/>
      </w:pPr>
      <w:r w:rsidRPr="00F15667">
        <w:t xml:space="preserve">Výše uvádíme, že data očišťujeme o vybrané předměty sporů </w:t>
      </w:r>
      <w:r w:rsidR="00CF32FA">
        <w:t>–</w:t>
      </w:r>
      <w:r w:rsidRPr="00F15667">
        <w:t xml:space="preserve"> (</w:t>
      </w:r>
      <w:r w:rsidRPr="00F15667">
        <w:rPr>
          <w:i/>
          <w:iCs/>
        </w:rPr>
        <w:t xml:space="preserve">zrušení a jmenování likvidátora u jiných korporací </w:t>
      </w:r>
      <w:r w:rsidR="00195405" w:rsidRPr="00F15667">
        <w:rPr>
          <w:i/>
          <w:iCs/>
        </w:rPr>
        <w:t>[</w:t>
      </w:r>
      <w:r w:rsidRPr="00F15667">
        <w:rPr>
          <w:i/>
          <w:iCs/>
        </w:rPr>
        <w:t>spolky, odborové organizace atd</w:t>
      </w:r>
      <w:r w:rsidR="00195405" w:rsidRPr="00F15667">
        <w:rPr>
          <w:i/>
          <w:iCs/>
        </w:rPr>
        <w:t>.]</w:t>
      </w:r>
      <w:r w:rsidRPr="00F15667">
        <w:t xml:space="preserve"> a </w:t>
      </w:r>
      <w:r w:rsidRPr="00F15667">
        <w:rPr>
          <w:i/>
          <w:iCs/>
        </w:rPr>
        <w:t>právní vztahy souvisejících se zrušením a likvidací obchodní korporace</w:t>
      </w:r>
      <w:r w:rsidRPr="00F15667">
        <w:t xml:space="preserve">). Je to z toho důvodu, že se nejedná o typický obchodní spor a délka řízení je u těchto sporů výrazně kratší. V některých letech a u některých soudů je těchto sporů více, jindy a jinde </w:t>
      </w:r>
      <w:r w:rsidRPr="00F15667">
        <w:lastRenderedPageBreak/>
        <w:t xml:space="preserve">méně. Celkově tedy tyto spory různě působí na délky řízení a míru odvolání a zkreslují tak časové řady. Zde se podíváme, jaký podíl na celkovém počtu obchodních věcí (rejstřík </w:t>
      </w:r>
      <w:r w:rsidR="003469B1" w:rsidRPr="00F15667">
        <w:t>Cm</w:t>
      </w:r>
      <w:r w:rsidRPr="00F15667">
        <w:t>) tyto spory vlastně tvoří.  Nejdříve je zobrazena časová řada pro ČR:</w:t>
      </w:r>
    </w:p>
    <w:p w14:paraId="45752877" w14:textId="46EFC796" w:rsidR="00A93256" w:rsidRPr="00F15667" w:rsidRDefault="00A93256" w:rsidP="00A93256">
      <w:pPr>
        <w:pStyle w:val="Podnadpis"/>
        <w:rPr>
          <w:color w:val="auto"/>
        </w:rPr>
      </w:pPr>
      <w:bookmarkStart w:id="675" w:name="_Toc144104169"/>
      <w:r w:rsidRPr="00F15667">
        <w:rPr>
          <w:color w:val="auto"/>
        </w:rPr>
        <w:t xml:space="preserve">Graf </w:t>
      </w:r>
      <w:r w:rsidR="006E2BBC" w:rsidRPr="00F15667">
        <w:rPr>
          <w:color w:val="auto"/>
        </w:rPr>
        <w:fldChar w:fldCharType="begin"/>
      </w:r>
      <w:r w:rsidR="006E2BBC" w:rsidRPr="00F15667">
        <w:rPr>
          <w:color w:val="auto"/>
        </w:rPr>
        <w:instrText xml:space="preserve"> SEQ Graf \* ARABIC </w:instrText>
      </w:r>
      <w:r w:rsidR="006E2BBC" w:rsidRPr="00F15667">
        <w:rPr>
          <w:color w:val="auto"/>
        </w:rPr>
        <w:fldChar w:fldCharType="separate"/>
      </w:r>
      <w:r w:rsidR="001E1A67">
        <w:rPr>
          <w:noProof/>
          <w:color w:val="auto"/>
        </w:rPr>
        <w:t>57</w:t>
      </w:r>
      <w:r w:rsidR="006E2BBC" w:rsidRPr="00F15667">
        <w:rPr>
          <w:color w:val="auto"/>
        </w:rPr>
        <w:fldChar w:fldCharType="end"/>
      </w:r>
      <w:r w:rsidRPr="00F15667">
        <w:rPr>
          <w:color w:val="auto"/>
        </w:rPr>
        <w:t>: KS – podíl vybraných předmětů sporu v letech 2014–2022</w:t>
      </w:r>
      <w:bookmarkEnd w:id="675"/>
    </w:p>
    <w:p w14:paraId="3DDA8E6C" w14:textId="7FD3DA41" w:rsidR="00A93256" w:rsidRPr="00F15667" w:rsidRDefault="003A3571" w:rsidP="00687F42">
      <w:pPr>
        <w:pStyle w:val="OdstavecASR"/>
      </w:pPr>
      <w:r w:rsidRPr="00F15667">
        <w:rPr>
          <w:noProof/>
          <w:lang w:eastAsia="cs-CZ"/>
        </w:rPr>
        <w:drawing>
          <wp:inline distT="0" distB="0" distL="0" distR="0" wp14:anchorId="4F3152B3" wp14:editId="308F2D91">
            <wp:extent cx="5029200" cy="3657600"/>
            <wp:effectExtent l="0" t="0" r="0" b="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E602FB0" w14:textId="6A8396F3" w:rsidR="003A3571" w:rsidRPr="00F15667" w:rsidRDefault="003A3571" w:rsidP="00687F42">
      <w:pPr>
        <w:pStyle w:val="OdstavecASR"/>
      </w:pPr>
      <w:r w:rsidRPr="00F15667">
        <w:t xml:space="preserve">Na grafu vidíme, že podíl vybraných sporů rostl velmi rychle v letech 2014 až 2017 s tím, že zdaleka největší růst zaznamenal v roce 2017 (růst asi o 28 procentních bodů), růst následně výrazně zpomalil, ale podíl stále rostl až do roku 2021, kdy dosáhl téměř 72 %. Je pravda, že očistit data asi o 7 věcí z 10 se může zdát kontraproduktivní. Jak ale bylo již zmíněno, cílem této zprávy je měřit délku řízení v obchodní agendě a </w:t>
      </w:r>
      <w:r w:rsidRPr="00F15667">
        <w:rPr>
          <w:i/>
          <w:iCs/>
        </w:rPr>
        <w:t>zrušení a jmenování likvidátora u jiných korporací (spolky, odborové organizace atd</w:t>
      </w:r>
      <w:r w:rsidR="00AA7623" w:rsidRPr="00F15667">
        <w:rPr>
          <w:i/>
          <w:iCs/>
        </w:rPr>
        <w:t>.</w:t>
      </w:r>
      <w:r w:rsidRPr="00F15667">
        <w:rPr>
          <w:i/>
          <w:iCs/>
        </w:rPr>
        <w:t>)</w:t>
      </w:r>
      <w:r w:rsidRPr="00F15667">
        <w:t xml:space="preserve"> a </w:t>
      </w:r>
      <w:r w:rsidRPr="00F15667">
        <w:rPr>
          <w:i/>
          <w:iCs/>
        </w:rPr>
        <w:t>právní vztahy souvisejících se zrušením a likvidací obchodní korporace</w:t>
      </w:r>
      <w:r w:rsidRPr="00F15667">
        <w:t xml:space="preserve"> typickými obchodními spory nejsou a úprava je tedy nutná.</w:t>
      </w:r>
    </w:p>
    <w:p w14:paraId="18D1E78F" w14:textId="38BF6E39" w:rsidR="00881261" w:rsidRPr="00F15667" w:rsidRDefault="003A3571" w:rsidP="00687F42">
      <w:pPr>
        <w:pStyle w:val="OdstavecASR"/>
      </w:pPr>
      <w:r w:rsidRPr="00F15667">
        <w:t>Podíl se rovněž liší mezi jednotlivými soudy</w:t>
      </w:r>
      <w:r w:rsidR="00AA7623" w:rsidRPr="00F15667">
        <w:t>,</w:t>
      </w:r>
      <w:r w:rsidRPr="00F15667">
        <w:t xml:space="preserve"> jak plyne z</w:t>
      </w:r>
      <w:r w:rsidR="00881261" w:rsidRPr="00F15667">
        <w:t> dat za rok 2022</w:t>
      </w:r>
      <w:r w:rsidR="00AA7623" w:rsidRPr="00F15667">
        <w:t>, uvedených</w:t>
      </w:r>
      <w:r w:rsidR="00881261" w:rsidRPr="00F15667">
        <w:t xml:space="preserve"> v </w:t>
      </w:r>
      <w:r w:rsidRPr="00F15667">
        <w:t>tab</w:t>
      </w:r>
      <w:r w:rsidR="00881261" w:rsidRPr="00F15667">
        <w:t>ulce</w:t>
      </w:r>
      <w:r w:rsidRPr="00F15667">
        <w:t xml:space="preserve"> níže:</w:t>
      </w:r>
    </w:p>
    <w:p w14:paraId="5D1419BE" w14:textId="33AEB13B" w:rsidR="003A3571" w:rsidRPr="00F15667" w:rsidRDefault="00881261" w:rsidP="00881261">
      <w:pPr>
        <w:pStyle w:val="Podnadpis"/>
        <w:rPr>
          <w:color w:val="auto"/>
        </w:rPr>
      </w:pPr>
      <w:bookmarkStart w:id="676" w:name="_Toc144104290"/>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51</w:t>
      </w:r>
      <w:r w:rsidRPr="00F15667">
        <w:rPr>
          <w:color w:val="auto"/>
        </w:rPr>
        <w:fldChar w:fldCharType="end"/>
      </w:r>
      <w:r w:rsidRPr="00F15667">
        <w:rPr>
          <w:color w:val="auto"/>
        </w:rPr>
        <w:t>: KS – podíl vybraných předmětů sporu v letech dle soudů</w:t>
      </w:r>
      <w:bookmarkEnd w:id="676"/>
    </w:p>
    <w:tbl>
      <w:tblPr>
        <w:tblW w:w="5220" w:type="dxa"/>
        <w:tblCellMar>
          <w:left w:w="70" w:type="dxa"/>
          <w:right w:w="70" w:type="dxa"/>
        </w:tblCellMar>
        <w:tblLook w:val="04A0" w:firstRow="1" w:lastRow="0" w:firstColumn="1" w:lastColumn="0" w:noHBand="0" w:noVBand="1"/>
      </w:tblPr>
      <w:tblGrid>
        <w:gridCol w:w="2780"/>
        <w:gridCol w:w="2440"/>
      </w:tblGrid>
      <w:tr w:rsidR="00F15667" w:rsidRPr="00F15667" w14:paraId="243AC683" w14:textId="77777777" w:rsidTr="00881261">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2821F70" w14:textId="77777777" w:rsidR="00881261" w:rsidRPr="00F15667" w:rsidRDefault="00881261" w:rsidP="00881261">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2440" w:type="dxa"/>
            <w:tcBorders>
              <w:top w:val="double" w:sz="6" w:space="0" w:color="auto"/>
              <w:left w:val="nil"/>
              <w:bottom w:val="double" w:sz="6" w:space="0" w:color="auto"/>
              <w:right w:val="nil"/>
            </w:tcBorders>
            <w:shd w:val="clear" w:color="auto" w:fill="auto"/>
            <w:noWrap/>
            <w:vAlign w:val="center"/>
            <w:hideMark/>
          </w:tcPr>
          <w:p w14:paraId="74FCE06E" w14:textId="77777777" w:rsidR="00881261" w:rsidRPr="00F15667" w:rsidRDefault="00881261" w:rsidP="00881261">
            <w:pPr>
              <w:spacing w:line="240" w:lineRule="auto"/>
              <w:jc w:val="center"/>
              <w:rPr>
                <w:rFonts w:eastAsia="Times New Roman"/>
                <w:b/>
                <w:bCs/>
                <w:szCs w:val="24"/>
                <w:lang w:eastAsia="cs-CZ"/>
              </w:rPr>
            </w:pPr>
            <w:r w:rsidRPr="00F15667">
              <w:rPr>
                <w:rFonts w:eastAsia="Times New Roman"/>
                <w:b/>
                <w:bCs/>
                <w:szCs w:val="24"/>
                <w:lang w:eastAsia="cs-CZ"/>
              </w:rPr>
              <w:t xml:space="preserve">Podíl vybr. sporů </w:t>
            </w:r>
          </w:p>
        </w:tc>
      </w:tr>
      <w:tr w:rsidR="00F15667" w:rsidRPr="00F15667" w14:paraId="1958A1C1" w14:textId="77777777" w:rsidTr="00881261">
        <w:trPr>
          <w:trHeight w:val="330"/>
        </w:trPr>
        <w:tc>
          <w:tcPr>
            <w:tcW w:w="2780" w:type="dxa"/>
            <w:tcBorders>
              <w:top w:val="nil"/>
              <w:left w:val="nil"/>
              <w:bottom w:val="single" w:sz="4" w:space="0" w:color="auto"/>
              <w:right w:val="nil"/>
            </w:tcBorders>
            <w:shd w:val="clear" w:color="auto" w:fill="auto"/>
            <w:noWrap/>
            <w:vAlign w:val="bottom"/>
            <w:hideMark/>
          </w:tcPr>
          <w:p w14:paraId="7DDE4E74" w14:textId="77777777" w:rsidR="00881261" w:rsidRPr="00F15667" w:rsidRDefault="00881261" w:rsidP="00881261">
            <w:pPr>
              <w:spacing w:line="240" w:lineRule="auto"/>
              <w:jc w:val="left"/>
              <w:rPr>
                <w:rFonts w:eastAsia="Times New Roman"/>
                <w:szCs w:val="24"/>
                <w:lang w:eastAsia="cs-CZ"/>
              </w:rPr>
            </w:pPr>
            <w:r w:rsidRPr="00F15667">
              <w:rPr>
                <w:rFonts w:eastAsia="Times New Roman"/>
                <w:szCs w:val="24"/>
                <w:lang w:eastAsia="cs-CZ"/>
              </w:rPr>
              <w:t>MS Praha</w:t>
            </w:r>
          </w:p>
        </w:tc>
        <w:tc>
          <w:tcPr>
            <w:tcW w:w="2440" w:type="dxa"/>
            <w:tcBorders>
              <w:top w:val="nil"/>
              <w:left w:val="nil"/>
              <w:bottom w:val="single" w:sz="4" w:space="0" w:color="auto"/>
              <w:right w:val="nil"/>
            </w:tcBorders>
            <w:shd w:val="clear" w:color="auto" w:fill="auto"/>
            <w:noWrap/>
            <w:vAlign w:val="bottom"/>
            <w:hideMark/>
          </w:tcPr>
          <w:p w14:paraId="5474A130" w14:textId="700AA4A3" w:rsidR="00881261" w:rsidRPr="00F15667" w:rsidRDefault="00881261" w:rsidP="00881261">
            <w:pPr>
              <w:spacing w:line="240" w:lineRule="auto"/>
              <w:jc w:val="center"/>
              <w:rPr>
                <w:rFonts w:eastAsia="Times New Roman"/>
                <w:szCs w:val="24"/>
                <w:lang w:eastAsia="cs-CZ"/>
              </w:rPr>
            </w:pPr>
            <w:r w:rsidRPr="00F15667">
              <w:rPr>
                <w:rFonts w:eastAsia="Times New Roman"/>
                <w:szCs w:val="24"/>
                <w:lang w:eastAsia="cs-CZ"/>
              </w:rPr>
              <w:t>79</w:t>
            </w:r>
            <w:r w:rsidR="00D53F0B" w:rsidRPr="00F15667">
              <w:rPr>
                <w:rFonts w:eastAsia="Times New Roman"/>
                <w:szCs w:val="24"/>
                <w:lang w:eastAsia="cs-CZ"/>
              </w:rPr>
              <w:t>,</w:t>
            </w:r>
            <w:r w:rsidRPr="00F15667">
              <w:rPr>
                <w:rFonts w:eastAsia="Times New Roman"/>
                <w:szCs w:val="24"/>
                <w:lang w:eastAsia="cs-CZ"/>
              </w:rPr>
              <w:t>90 %</w:t>
            </w:r>
          </w:p>
        </w:tc>
      </w:tr>
      <w:tr w:rsidR="00F15667" w:rsidRPr="00F15667" w14:paraId="073EE202" w14:textId="77777777" w:rsidTr="00881261">
        <w:trPr>
          <w:trHeight w:val="315"/>
        </w:trPr>
        <w:tc>
          <w:tcPr>
            <w:tcW w:w="2780" w:type="dxa"/>
            <w:tcBorders>
              <w:top w:val="nil"/>
              <w:left w:val="nil"/>
              <w:bottom w:val="single" w:sz="4" w:space="0" w:color="auto"/>
              <w:right w:val="nil"/>
            </w:tcBorders>
            <w:shd w:val="clear" w:color="auto" w:fill="auto"/>
            <w:noWrap/>
            <w:vAlign w:val="bottom"/>
            <w:hideMark/>
          </w:tcPr>
          <w:p w14:paraId="7842317E" w14:textId="77777777" w:rsidR="00881261" w:rsidRPr="00F15667" w:rsidRDefault="00881261" w:rsidP="00881261">
            <w:pPr>
              <w:spacing w:line="240" w:lineRule="auto"/>
              <w:jc w:val="left"/>
              <w:rPr>
                <w:rFonts w:eastAsia="Times New Roman"/>
                <w:szCs w:val="24"/>
                <w:lang w:eastAsia="cs-CZ"/>
              </w:rPr>
            </w:pPr>
            <w:r w:rsidRPr="00F15667">
              <w:rPr>
                <w:rFonts w:eastAsia="Times New Roman"/>
                <w:szCs w:val="24"/>
                <w:lang w:eastAsia="cs-CZ"/>
              </w:rPr>
              <w:t>KS Praha</w:t>
            </w:r>
          </w:p>
        </w:tc>
        <w:tc>
          <w:tcPr>
            <w:tcW w:w="2440" w:type="dxa"/>
            <w:tcBorders>
              <w:top w:val="nil"/>
              <w:left w:val="nil"/>
              <w:bottom w:val="single" w:sz="4" w:space="0" w:color="auto"/>
              <w:right w:val="nil"/>
            </w:tcBorders>
            <w:shd w:val="clear" w:color="auto" w:fill="auto"/>
            <w:noWrap/>
            <w:vAlign w:val="bottom"/>
            <w:hideMark/>
          </w:tcPr>
          <w:p w14:paraId="1E719A73" w14:textId="34B9DE8C" w:rsidR="00881261" w:rsidRPr="00F15667" w:rsidRDefault="00881261" w:rsidP="00881261">
            <w:pPr>
              <w:spacing w:line="240" w:lineRule="auto"/>
              <w:jc w:val="center"/>
              <w:rPr>
                <w:rFonts w:eastAsia="Times New Roman"/>
                <w:szCs w:val="24"/>
                <w:lang w:eastAsia="cs-CZ"/>
              </w:rPr>
            </w:pPr>
            <w:r w:rsidRPr="00F15667">
              <w:rPr>
                <w:rFonts w:eastAsia="Times New Roman"/>
                <w:szCs w:val="24"/>
                <w:lang w:eastAsia="cs-CZ"/>
              </w:rPr>
              <w:t>0</w:t>
            </w:r>
            <w:r w:rsidR="00D53F0B" w:rsidRPr="00F15667">
              <w:rPr>
                <w:rFonts w:eastAsia="Times New Roman"/>
                <w:szCs w:val="24"/>
                <w:lang w:eastAsia="cs-CZ"/>
              </w:rPr>
              <w:t>,</w:t>
            </w:r>
            <w:r w:rsidRPr="00F15667">
              <w:rPr>
                <w:rFonts w:eastAsia="Times New Roman"/>
                <w:szCs w:val="24"/>
                <w:lang w:eastAsia="cs-CZ"/>
              </w:rPr>
              <w:t>00 %</w:t>
            </w:r>
          </w:p>
        </w:tc>
      </w:tr>
      <w:tr w:rsidR="00F15667" w:rsidRPr="00F15667" w14:paraId="6FF08BE5" w14:textId="77777777" w:rsidTr="00881261">
        <w:trPr>
          <w:trHeight w:val="315"/>
        </w:trPr>
        <w:tc>
          <w:tcPr>
            <w:tcW w:w="2780" w:type="dxa"/>
            <w:tcBorders>
              <w:top w:val="nil"/>
              <w:left w:val="nil"/>
              <w:bottom w:val="single" w:sz="4" w:space="0" w:color="auto"/>
              <w:right w:val="nil"/>
            </w:tcBorders>
            <w:shd w:val="clear" w:color="auto" w:fill="auto"/>
            <w:noWrap/>
            <w:vAlign w:val="bottom"/>
            <w:hideMark/>
          </w:tcPr>
          <w:p w14:paraId="12710AFF" w14:textId="77777777" w:rsidR="00881261" w:rsidRPr="00F15667" w:rsidRDefault="00881261" w:rsidP="00881261">
            <w:pPr>
              <w:spacing w:line="240" w:lineRule="auto"/>
              <w:jc w:val="left"/>
              <w:rPr>
                <w:rFonts w:eastAsia="Times New Roman"/>
                <w:szCs w:val="24"/>
                <w:lang w:eastAsia="cs-CZ"/>
              </w:rPr>
            </w:pPr>
            <w:r w:rsidRPr="00F15667">
              <w:rPr>
                <w:rFonts w:eastAsia="Times New Roman"/>
                <w:szCs w:val="24"/>
                <w:lang w:eastAsia="cs-CZ"/>
              </w:rPr>
              <w:t>KS Č. Budějovice</w:t>
            </w:r>
          </w:p>
        </w:tc>
        <w:tc>
          <w:tcPr>
            <w:tcW w:w="2440" w:type="dxa"/>
            <w:tcBorders>
              <w:top w:val="nil"/>
              <w:left w:val="nil"/>
              <w:bottom w:val="single" w:sz="4" w:space="0" w:color="auto"/>
              <w:right w:val="nil"/>
            </w:tcBorders>
            <w:shd w:val="clear" w:color="auto" w:fill="auto"/>
            <w:noWrap/>
            <w:vAlign w:val="bottom"/>
            <w:hideMark/>
          </w:tcPr>
          <w:p w14:paraId="15BF88D2" w14:textId="3D0113BA" w:rsidR="00881261" w:rsidRPr="00F15667" w:rsidRDefault="00881261" w:rsidP="00881261">
            <w:pPr>
              <w:spacing w:line="240" w:lineRule="auto"/>
              <w:jc w:val="center"/>
              <w:rPr>
                <w:rFonts w:eastAsia="Times New Roman"/>
                <w:szCs w:val="24"/>
                <w:lang w:eastAsia="cs-CZ"/>
              </w:rPr>
            </w:pPr>
            <w:r w:rsidRPr="00F15667">
              <w:rPr>
                <w:rFonts w:eastAsia="Times New Roman"/>
                <w:szCs w:val="24"/>
                <w:lang w:eastAsia="cs-CZ"/>
              </w:rPr>
              <w:t>70</w:t>
            </w:r>
            <w:r w:rsidR="00D53F0B" w:rsidRPr="00F15667">
              <w:rPr>
                <w:rFonts w:eastAsia="Times New Roman"/>
                <w:szCs w:val="24"/>
                <w:lang w:eastAsia="cs-CZ"/>
              </w:rPr>
              <w:t>,</w:t>
            </w:r>
            <w:r w:rsidRPr="00F15667">
              <w:rPr>
                <w:rFonts w:eastAsia="Times New Roman"/>
                <w:szCs w:val="24"/>
                <w:lang w:eastAsia="cs-CZ"/>
              </w:rPr>
              <w:t>40 %</w:t>
            </w:r>
          </w:p>
        </w:tc>
      </w:tr>
      <w:tr w:rsidR="00F15667" w:rsidRPr="00F15667" w14:paraId="19933916" w14:textId="77777777" w:rsidTr="00881261">
        <w:trPr>
          <w:trHeight w:val="315"/>
        </w:trPr>
        <w:tc>
          <w:tcPr>
            <w:tcW w:w="2780" w:type="dxa"/>
            <w:tcBorders>
              <w:top w:val="nil"/>
              <w:left w:val="nil"/>
              <w:bottom w:val="single" w:sz="4" w:space="0" w:color="auto"/>
              <w:right w:val="nil"/>
            </w:tcBorders>
            <w:shd w:val="clear" w:color="auto" w:fill="auto"/>
            <w:noWrap/>
            <w:vAlign w:val="bottom"/>
            <w:hideMark/>
          </w:tcPr>
          <w:p w14:paraId="7A33C573" w14:textId="77777777" w:rsidR="00881261" w:rsidRPr="00F15667" w:rsidRDefault="00881261" w:rsidP="00881261">
            <w:pPr>
              <w:spacing w:line="240" w:lineRule="auto"/>
              <w:jc w:val="left"/>
              <w:rPr>
                <w:rFonts w:eastAsia="Times New Roman"/>
                <w:szCs w:val="24"/>
                <w:lang w:eastAsia="cs-CZ"/>
              </w:rPr>
            </w:pPr>
            <w:r w:rsidRPr="00F15667">
              <w:rPr>
                <w:rFonts w:eastAsia="Times New Roman"/>
                <w:szCs w:val="24"/>
                <w:lang w:eastAsia="cs-CZ"/>
              </w:rPr>
              <w:t>KS Plzeň</w:t>
            </w:r>
          </w:p>
        </w:tc>
        <w:tc>
          <w:tcPr>
            <w:tcW w:w="2440" w:type="dxa"/>
            <w:tcBorders>
              <w:top w:val="nil"/>
              <w:left w:val="nil"/>
              <w:bottom w:val="single" w:sz="4" w:space="0" w:color="auto"/>
              <w:right w:val="nil"/>
            </w:tcBorders>
            <w:shd w:val="clear" w:color="auto" w:fill="auto"/>
            <w:noWrap/>
            <w:vAlign w:val="bottom"/>
            <w:hideMark/>
          </w:tcPr>
          <w:p w14:paraId="2F2AD752" w14:textId="5F76ADC2" w:rsidR="00881261" w:rsidRPr="00F15667" w:rsidRDefault="00881261" w:rsidP="00881261">
            <w:pPr>
              <w:spacing w:line="240" w:lineRule="auto"/>
              <w:jc w:val="center"/>
              <w:rPr>
                <w:rFonts w:eastAsia="Times New Roman"/>
                <w:szCs w:val="24"/>
                <w:lang w:eastAsia="cs-CZ"/>
              </w:rPr>
            </w:pPr>
            <w:r w:rsidRPr="00F15667">
              <w:rPr>
                <w:rFonts w:eastAsia="Times New Roman"/>
                <w:szCs w:val="24"/>
                <w:lang w:eastAsia="cs-CZ"/>
              </w:rPr>
              <w:t>61</w:t>
            </w:r>
            <w:r w:rsidR="00D53F0B" w:rsidRPr="00F15667">
              <w:rPr>
                <w:rFonts w:eastAsia="Times New Roman"/>
                <w:szCs w:val="24"/>
                <w:lang w:eastAsia="cs-CZ"/>
              </w:rPr>
              <w:t>,</w:t>
            </w:r>
            <w:r w:rsidRPr="00F15667">
              <w:rPr>
                <w:rFonts w:eastAsia="Times New Roman"/>
                <w:szCs w:val="24"/>
                <w:lang w:eastAsia="cs-CZ"/>
              </w:rPr>
              <w:t>26 %</w:t>
            </w:r>
          </w:p>
        </w:tc>
      </w:tr>
      <w:tr w:rsidR="00F15667" w:rsidRPr="00F15667" w14:paraId="159F0DBE" w14:textId="77777777" w:rsidTr="00881261">
        <w:trPr>
          <w:trHeight w:val="315"/>
        </w:trPr>
        <w:tc>
          <w:tcPr>
            <w:tcW w:w="2780" w:type="dxa"/>
            <w:tcBorders>
              <w:top w:val="nil"/>
              <w:left w:val="nil"/>
              <w:bottom w:val="single" w:sz="4" w:space="0" w:color="auto"/>
              <w:right w:val="nil"/>
            </w:tcBorders>
            <w:shd w:val="clear" w:color="auto" w:fill="auto"/>
            <w:noWrap/>
            <w:vAlign w:val="bottom"/>
            <w:hideMark/>
          </w:tcPr>
          <w:p w14:paraId="4001C1BB" w14:textId="77777777" w:rsidR="00881261" w:rsidRPr="00F15667" w:rsidRDefault="00881261" w:rsidP="00881261">
            <w:pPr>
              <w:spacing w:line="240" w:lineRule="auto"/>
              <w:jc w:val="left"/>
              <w:rPr>
                <w:rFonts w:eastAsia="Times New Roman"/>
                <w:szCs w:val="24"/>
                <w:lang w:eastAsia="cs-CZ"/>
              </w:rPr>
            </w:pPr>
            <w:r w:rsidRPr="00F15667">
              <w:rPr>
                <w:rFonts w:eastAsia="Times New Roman"/>
                <w:szCs w:val="24"/>
                <w:lang w:eastAsia="cs-CZ"/>
              </w:rPr>
              <w:t>KS Ústí n. Labem</w:t>
            </w:r>
          </w:p>
        </w:tc>
        <w:tc>
          <w:tcPr>
            <w:tcW w:w="2440" w:type="dxa"/>
            <w:tcBorders>
              <w:top w:val="nil"/>
              <w:left w:val="nil"/>
              <w:bottom w:val="single" w:sz="4" w:space="0" w:color="auto"/>
              <w:right w:val="nil"/>
            </w:tcBorders>
            <w:shd w:val="clear" w:color="auto" w:fill="auto"/>
            <w:noWrap/>
            <w:vAlign w:val="bottom"/>
            <w:hideMark/>
          </w:tcPr>
          <w:p w14:paraId="1E71FA61" w14:textId="5A44E370" w:rsidR="00881261" w:rsidRPr="00F15667" w:rsidRDefault="00881261" w:rsidP="00881261">
            <w:pPr>
              <w:spacing w:line="240" w:lineRule="auto"/>
              <w:jc w:val="center"/>
              <w:rPr>
                <w:rFonts w:eastAsia="Times New Roman"/>
                <w:szCs w:val="24"/>
                <w:lang w:eastAsia="cs-CZ"/>
              </w:rPr>
            </w:pPr>
            <w:r w:rsidRPr="00F15667">
              <w:rPr>
                <w:rFonts w:eastAsia="Times New Roman"/>
                <w:szCs w:val="24"/>
                <w:lang w:eastAsia="cs-CZ"/>
              </w:rPr>
              <w:t>56</w:t>
            </w:r>
            <w:r w:rsidR="00D53F0B" w:rsidRPr="00F15667">
              <w:rPr>
                <w:rFonts w:eastAsia="Times New Roman"/>
                <w:szCs w:val="24"/>
                <w:lang w:eastAsia="cs-CZ"/>
              </w:rPr>
              <w:t>,</w:t>
            </w:r>
            <w:r w:rsidRPr="00F15667">
              <w:rPr>
                <w:rFonts w:eastAsia="Times New Roman"/>
                <w:szCs w:val="24"/>
                <w:lang w:eastAsia="cs-CZ"/>
              </w:rPr>
              <w:t>08 %</w:t>
            </w:r>
          </w:p>
        </w:tc>
      </w:tr>
      <w:tr w:rsidR="00F15667" w:rsidRPr="00F15667" w14:paraId="0FBC6A8B" w14:textId="77777777" w:rsidTr="00881261">
        <w:trPr>
          <w:trHeight w:val="315"/>
        </w:trPr>
        <w:tc>
          <w:tcPr>
            <w:tcW w:w="2780" w:type="dxa"/>
            <w:tcBorders>
              <w:top w:val="nil"/>
              <w:left w:val="nil"/>
              <w:bottom w:val="single" w:sz="4" w:space="0" w:color="auto"/>
              <w:right w:val="nil"/>
            </w:tcBorders>
            <w:shd w:val="clear" w:color="auto" w:fill="auto"/>
            <w:noWrap/>
            <w:vAlign w:val="bottom"/>
            <w:hideMark/>
          </w:tcPr>
          <w:p w14:paraId="11DEF5D6" w14:textId="77777777" w:rsidR="00881261" w:rsidRPr="00F15667" w:rsidRDefault="00881261" w:rsidP="00881261">
            <w:pPr>
              <w:spacing w:line="240" w:lineRule="auto"/>
              <w:jc w:val="left"/>
              <w:rPr>
                <w:rFonts w:eastAsia="Times New Roman"/>
                <w:szCs w:val="24"/>
                <w:lang w:eastAsia="cs-CZ"/>
              </w:rPr>
            </w:pPr>
            <w:r w:rsidRPr="00F15667">
              <w:rPr>
                <w:rFonts w:eastAsia="Times New Roman"/>
                <w:szCs w:val="24"/>
                <w:lang w:eastAsia="cs-CZ"/>
              </w:rPr>
              <w:t>KS Hr. Králové</w:t>
            </w:r>
          </w:p>
        </w:tc>
        <w:tc>
          <w:tcPr>
            <w:tcW w:w="2440" w:type="dxa"/>
            <w:tcBorders>
              <w:top w:val="nil"/>
              <w:left w:val="nil"/>
              <w:bottom w:val="single" w:sz="4" w:space="0" w:color="auto"/>
              <w:right w:val="nil"/>
            </w:tcBorders>
            <w:shd w:val="clear" w:color="auto" w:fill="auto"/>
            <w:noWrap/>
            <w:vAlign w:val="bottom"/>
            <w:hideMark/>
          </w:tcPr>
          <w:p w14:paraId="3189D4FB" w14:textId="74C35485" w:rsidR="00881261" w:rsidRPr="00F15667" w:rsidRDefault="00881261" w:rsidP="00881261">
            <w:pPr>
              <w:spacing w:line="240" w:lineRule="auto"/>
              <w:jc w:val="center"/>
              <w:rPr>
                <w:rFonts w:eastAsia="Times New Roman"/>
                <w:szCs w:val="24"/>
                <w:lang w:eastAsia="cs-CZ"/>
              </w:rPr>
            </w:pPr>
            <w:r w:rsidRPr="00F15667">
              <w:rPr>
                <w:rFonts w:eastAsia="Times New Roman"/>
                <w:szCs w:val="24"/>
                <w:lang w:eastAsia="cs-CZ"/>
              </w:rPr>
              <w:t>65</w:t>
            </w:r>
            <w:r w:rsidR="00D53F0B" w:rsidRPr="00F15667">
              <w:rPr>
                <w:rFonts w:eastAsia="Times New Roman"/>
                <w:szCs w:val="24"/>
                <w:lang w:eastAsia="cs-CZ"/>
              </w:rPr>
              <w:t>,</w:t>
            </w:r>
            <w:r w:rsidRPr="00F15667">
              <w:rPr>
                <w:rFonts w:eastAsia="Times New Roman"/>
                <w:szCs w:val="24"/>
                <w:lang w:eastAsia="cs-CZ"/>
              </w:rPr>
              <w:t>65 %</w:t>
            </w:r>
          </w:p>
        </w:tc>
      </w:tr>
      <w:tr w:rsidR="00F15667" w:rsidRPr="00F15667" w14:paraId="3D55661C" w14:textId="77777777" w:rsidTr="00881261">
        <w:trPr>
          <w:trHeight w:val="315"/>
        </w:trPr>
        <w:tc>
          <w:tcPr>
            <w:tcW w:w="2780" w:type="dxa"/>
            <w:tcBorders>
              <w:top w:val="nil"/>
              <w:left w:val="nil"/>
              <w:bottom w:val="single" w:sz="4" w:space="0" w:color="auto"/>
              <w:right w:val="nil"/>
            </w:tcBorders>
            <w:shd w:val="clear" w:color="auto" w:fill="auto"/>
            <w:noWrap/>
            <w:vAlign w:val="bottom"/>
            <w:hideMark/>
          </w:tcPr>
          <w:p w14:paraId="4A50034E" w14:textId="77777777" w:rsidR="00881261" w:rsidRPr="00F15667" w:rsidRDefault="00881261" w:rsidP="00881261">
            <w:pPr>
              <w:spacing w:line="240" w:lineRule="auto"/>
              <w:jc w:val="left"/>
              <w:rPr>
                <w:rFonts w:eastAsia="Times New Roman"/>
                <w:szCs w:val="24"/>
                <w:lang w:eastAsia="cs-CZ"/>
              </w:rPr>
            </w:pPr>
            <w:r w:rsidRPr="00F15667">
              <w:rPr>
                <w:rFonts w:eastAsia="Times New Roman"/>
                <w:szCs w:val="24"/>
                <w:lang w:eastAsia="cs-CZ"/>
              </w:rPr>
              <w:t>KS Brno</w:t>
            </w:r>
          </w:p>
        </w:tc>
        <w:tc>
          <w:tcPr>
            <w:tcW w:w="2440" w:type="dxa"/>
            <w:tcBorders>
              <w:top w:val="nil"/>
              <w:left w:val="nil"/>
              <w:bottom w:val="single" w:sz="4" w:space="0" w:color="auto"/>
              <w:right w:val="nil"/>
            </w:tcBorders>
            <w:shd w:val="clear" w:color="auto" w:fill="auto"/>
            <w:noWrap/>
            <w:vAlign w:val="bottom"/>
            <w:hideMark/>
          </w:tcPr>
          <w:p w14:paraId="7A9B92A3" w14:textId="67FA27FE" w:rsidR="00881261" w:rsidRPr="00F15667" w:rsidRDefault="00881261" w:rsidP="00881261">
            <w:pPr>
              <w:spacing w:line="240" w:lineRule="auto"/>
              <w:jc w:val="center"/>
              <w:rPr>
                <w:rFonts w:eastAsia="Times New Roman"/>
                <w:szCs w:val="24"/>
                <w:lang w:eastAsia="cs-CZ"/>
              </w:rPr>
            </w:pPr>
            <w:r w:rsidRPr="00F15667">
              <w:rPr>
                <w:rFonts w:eastAsia="Times New Roman"/>
                <w:szCs w:val="24"/>
                <w:lang w:eastAsia="cs-CZ"/>
              </w:rPr>
              <w:t>63</w:t>
            </w:r>
            <w:r w:rsidR="00D53F0B" w:rsidRPr="00F15667">
              <w:rPr>
                <w:rFonts w:eastAsia="Times New Roman"/>
                <w:szCs w:val="24"/>
                <w:lang w:eastAsia="cs-CZ"/>
              </w:rPr>
              <w:t>,</w:t>
            </w:r>
            <w:r w:rsidRPr="00F15667">
              <w:rPr>
                <w:rFonts w:eastAsia="Times New Roman"/>
                <w:szCs w:val="24"/>
                <w:lang w:eastAsia="cs-CZ"/>
              </w:rPr>
              <w:t>53 %</w:t>
            </w:r>
          </w:p>
        </w:tc>
      </w:tr>
      <w:tr w:rsidR="00F15667" w:rsidRPr="00F15667" w14:paraId="4578C9DA" w14:textId="77777777" w:rsidTr="00881261">
        <w:trPr>
          <w:trHeight w:val="330"/>
        </w:trPr>
        <w:tc>
          <w:tcPr>
            <w:tcW w:w="2780" w:type="dxa"/>
            <w:tcBorders>
              <w:top w:val="nil"/>
              <w:left w:val="nil"/>
              <w:bottom w:val="double" w:sz="6" w:space="0" w:color="auto"/>
              <w:right w:val="nil"/>
            </w:tcBorders>
            <w:shd w:val="clear" w:color="auto" w:fill="auto"/>
            <w:noWrap/>
            <w:vAlign w:val="bottom"/>
            <w:hideMark/>
          </w:tcPr>
          <w:p w14:paraId="103B136C" w14:textId="77777777" w:rsidR="00881261" w:rsidRPr="00F15667" w:rsidRDefault="00881261" w:rsidP="00881261">
            <w:pPr>
              <w:spacing w:line="240" w:lineRule="auto"/>
              <w:jc w:val="left"/>
              <w:rPr>
                <w:rFonts w:eastAsia="Times New Roman"/>
                <w:szCs w:val="24"/>
                <w:lang w:eastAsia="cs-CZ"/>
              </w:rPr>
            </w:pPr>
            <w:r w:rsidRPr="00F15667">
              <w:rPr>
                <w:rFonts w:eastAsia="Times New Roman"/>
                <w:szCs w:val="24"/>
                <w:lang w:eastAsia="cs-CZ"/>
              </w:rPr>
              <w:t>KS Ostrava</w:t>
            </w:r>
          </w:p>
        </w:tc>
        <w:tc>
          <w:tcPr>
            <w:tcW w:w="2440" w:type="dxa"/>
            <w:tcBorders>
              <w:top w:val="nil"/>
              <w:left w:val="nil"/>
              <w:bottom w:val="double" w:sz="6" w:space="0" w:color="auto"/>
              <w:right w:val="nil"/>
            </w:tcBorders>
            <w:shd w:val="clear" w:color="auto" w:fill="auto"/>
            <w:noWrap/>
            <w:vAlign w:val="bottom"/>
            <w:hideMark/>
          </w:tcPr>
          <w:p w14:paraId="4564C224" w14:textId="7917CD54" w:rsidR="00881261" w:rsidRPr="00F15667" w:rsidRDefault="00881261" w:rsidP="00881261">
            <w:pPr>
              <w:spacing w:line="240" w:lineRule="auto"/>
              <w:jc w:val="center"/>
              <w:rPr>
                <w:rFonts w:eastAsia="Times New Roman"/>
                <w:szCs w:val="24"/>
                <w:lang w:eastAsia="cs-CZ"/>
              </w:rPr>
            </w:pPr>
            <w:r w:rsidRPr="00F15667">
              <w:rPr>
                <w:rFonts w:eastAsia="Times New Roman"/>
                <w:szCs w:val="24"/>
                <w:lang w:eastAsia="cs-CZ"/>
              </w:rPr>
              <w:t>63</w:t>
            </w:r>
            <w:r w:rsidR="00D53F0B" w:rsidRPr="00F15667">
              <w:rPr>
                <w:rFonts w:eastAsia="Times New Roman"/>
                <w:szCs w:val="24"/>
                <w:lang w:eastAsia="cs-CZ"/>
              </w:rPr>
              <w:t>,</w:t>
            </w:r>
            <w:r w:rsidRPr="00F15667">
              <w:rPr>
                <w:rFonts w:eastAsia="Times New Roman"/>
                <w:szCs w:val="24"/>
                <w:lang w:eastAsia="cs-CZ"/>
              </w:rPr>
              <w:t>51 %</w:t>
            </w:r>
          </w:p>
        </w:tc>
      </w:tr>
      <w:tr w:rsidR="00F15667" w:rsidRPr="00F15667" w14:paraId="59103E04" w14:textId="77777777" w:rsidTr="00881261">
        <w:trPr>
          <w:trHeight w:val="345"/>
        </w:trPr>
        <w:tc>
          <w:tcPr>
            <w:tcW w:w="2780" w:type="dxa"/>
            <w:tcBorders>
              <w:top w:val="nil"/>
              <w:left w:val="nil"/>
              <w:bottom w:val="double" w:sz="6" w:space="0" w:color="auto"/>
              <w:right w:val="nil"/>
            </w:tcBorders>
            <w:shd w:val="clear" w:color="auto" w:fill="auto"/>
            <w:noWrap/>
            <w:vAlign w:val="bottom"/>
            <w:hideMark/>
          </w:tcPr>
          <w:p w14:paraId="45E483D1" w14:textId="77777777" w:rsidR="00881261" w:rsidRPr="00F15667" w:rsidRDefault="00881261" w:rsidP="00881261">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2440" w:type="dxa"/>
            <w:tcBorders>
              <w:top w:val="nil"/>
              <w:left w:val="nil"/>
              <w:bottom w:val="double" w:sz="6" w:space="0" w:color="auto"/>
              <w:right w:val="nil"/>
            </w:tcBorders>
            <w:shd w:val="clear" w:color="auto" w:fill="auto"/>
            <w:noWrap/>
            <w:vAlign w:val="bottom"/>
            <w:hideMark/>
          </w:tcPr>
          <w:p w14:paraId="6AA1B7AC" w14:textId="59C0C315" w:rsidR="00881261" w:rsidRPr="00F15667" w:rsidRDefault="00881261" w:rsidP="00881261">
            <w:pPr>
              <w:spacing w:line="240" w:lineRule="auto"/>
              <w:jc w:val="center"/>
              <w:rPr>
                <w:rFonts w:eastAsia="Times New Roman"/>
                <w:b/>
                <w:bCs/>
                <w:szCs w:val="24"/>
                <w:lang w:eastAsia="cs-CZ"/>
              </w:rPr>
            </w:pPr>
            <w:r w:rsidRPr="00F15667">
              <w:rPr>
                <w:rFonts w:eastAsia="Times New Roman"/>
                <w:b/>
                <w:bCs/>
                <w:szCs w:val="24"/>
                <w:lang w:eastAsia="cs-CZ"/>
              </w:rPr>
              <w:t>70</w:t>
            </w:r>
            <w:r w:rsidR="00D53F0B" w:rsidRPr="00F15667">
              <w:rPr>
                <w:rFonts w:eastAsia="Times New Roman"/>
                <w:b/>
                <w:bCs/>
                <w:szCs w:val="24"/>
                <w:lang w:eastAsia="cs-CZ"/>
              </w:rPr>
              <w:t>,</w:t>
            </w:r>
            <w:r w:rsidRPr="00F15667">
              <w:rPr>
                <w:rFonts w:eastAsia="Times New Roman"/>
                <w:b/>
                <w:bCs/>
                <w:szCs w:val="24"/>
                <w:lang w:eastAsia="cs-CZ"/>
              </w:rPr>
              <w:t>94 %</w:t>
            </w:r>
          </w:p>
        </w:tc>
      </w:tr>
    </w:tbl>
    <w:p w14:paraId="65A218B4" w14:textId="17C5E908" w:rsidR="00881261" w:rsidRPr="00F15667" w:rsidRDefault="00D53F0B" w:rsidP="00881261">
      <w:r w:rsidRPr="00F15667">
        <w:lastRenderedPageBreak/>
        <w:t xml:space="preserve">KS Praha nevede obchodní rejstřík, a proto ani nevyřizuje </w:t>
      </w:r>
      <w:r w:rsidR="00D47195" w:rsidRPr="00F15667">
        <w:t xml:space="preserve">věci s </w:t>
      </w:r>
      <w:r w:rsidR="003469B1" w:rsidRPr="00F15667">
        <w:t xml:space="preserve">předmětem </w:t>
      </w:r>
      <w:r w:rsidRPr="00F15667">
        <w:rPr>
          <w:i/>
          <w:iCs/>
        </w:rPr>
        <w:t>zrušení a jmenování likvidátora u jiných korporací (spolky, odborové organizace atd</w:t>
      </w:r>
      <w:r w:rsidR="00AA7623" w:rsidRPr="00F15667">
        <w:rPr>
          <w:i/>
          <w:iCs/>
        </w:rPr>
        <w:t>.</w:t>
      </w:r>
      <w:r w:rsidRPr="00F15667">
        <w:rPr>
          <w:i/>
          <w:iCs/>
        </w:rPr>
        <w:t>)</w:t>
      </w:r>
      <w:r w:rsidRPr="00F15667">
        <w:t xml:space="preserve"> a </w:t>
      </w:r>
      <w:r w:rsidRPr="00F15667">
        <w:rPr>
          <w:i/>
          <w:iCs/>
        </w:rPr>
        <w:t xml:space="preserve">právní vztahy souvisejících se zrušením a likvidací obchodní korporace. </w:t>
      </w:r>
      <w:r w:rsidRPr="00F15667">
        <w:t xml:space="preserve">Pro </w:t>
      </w:r>
      <w:r w:rsidR="00AA7623" w:rsidRPr="00F15667">
        <w:t>S</w:t>
      </w:r>
      <w:r w:rsidRPr="00F15667">
        <w:t xml:space="preserve">tředočeský kraj má toto na starosti MS Praha a zřejmě i proto (spolu s faktem, že se jedná o sídlo mnoha firem) vykazuje nejvyšší podíl těchto sporů. Čtyři z pěti obchodních věcí u tohoto soudu jsou právě výše vyjmenované </w:t>
      </w:r>
      <w:r w:rsidR="00D47195" w:rsidRPr="00F15667">
        <w:t>věci. Nejnižší má tento podíl KS Ústí nad Labem – 56,08 %. I tento soud má tedy tuto míru přes 50 %.</w:t>
      </w:r>
    </w:p>
    <w:p w14:paraId="550AFBA1" w14:textId="6409171F" w:rsidR="008430BD" w:rsidRPr="00F15667" w:rsidRDefault="008430BD" w:rsidP="00687F42">
      <w:pPr>
        <w:pStyle w:val="Nadpis2"/>
        <w:pageBreakBefore/>
        <w:numPr>
          <w:ilvl w:val="1"/>
          <w:numId w:val="1"/>
        </w:numPr>
        <w:spacing w:before="120"/>
        <w:ind w:left="578" w:hanging="578"/>
        <w:rPr>
          <w:color w:val="auto"/>
        </w:rPr>
      </w:pPr>
      <w:bookmarkStart w:id="677" w:name="_Toc515871253"/>
      <w:bookmarkStart w:id="678" w:name="_Toc106092758"/>
      <w:bookmarkStart w:id="679" w:name="_Toc144104371"/>
      <w:r w:rsidRPr="00F15667">
        <w:rPr>
          <w:color w:val="auto"/>
        </w:rPr>
        <w:lastRenderedPageBreak/>
        <w:t>Civilní odvolací agenda</w:t>
      </w:r>
      <w:bookmarkEnd w:id="677"/>
      <w:bookmarkEnd w:id="678"/>
      <w:bookmarkEnd w:id="679"/>
    </w:p>
    <w:p w14:paraId="76D94148" w14:textId="0B591864" w:rsidR="005F5C4B" w:rsidRPr="00F15667" w:rsidRDefault="005F5C4B" w:rsidP="005F5C4B">
      <w:pPr>
        <w:pStyle w:val="OdstavecASR"/>
      </w:pPr>
      <w:r w:rsidRPr="00F15667">
        <w:t>Odvolací civilní agenda je ve výkazech vedena pod označením Co a zahrnuje širokou škálu věcí. Jedná se o všechny druhy civilního řízení, ve kterých bylo podáno odvolání proti rozhodnutí soudů prvního stupně, včetně odvolání proti rozhodnutí soudního exekutora. Do agendy Co tedy spadají i odvolání ve věcech, které nejsou v kapitolách </w:t>
      </w:r>
      <w:r w:rsidRPr="00F15667">
        <w:fldChar w:fldCharType="begin"/>
      </w:r>
      <w:r w:rsidRPr="00F15667">
        <w:instrText xml:space="preserve"> REF _Ref9425277 \r \h  \* MERGEFORMAT </w:instrText>
      </w:r>
      <w:r w:rsidRPr="00F15667">
        <w:fldChar w:fldCharType="separate"/>
      </w:r>
      <w:r w:rsidR="001E1A67">
        <w:t>2.2</w:t>
      </w:r>
      <w:r w:rsidRPr="00F15667">
        <w:fldChar w:fldCharType="end"/>
      </w:r>
      <w:r w:rsidRPr="00F15667">
        <w:t xml:space="preserve"> a </w:t>
      </w:r>
      <w:r w:rsidRPr="00F15667">
        <w:fldChar w:fldCharType="begin"/>
      </w:r>
      <w:r w:rsidRPr="00F15667">
        <w:instrText xml:space="preserve"> REF _Ref511307913 \r \h  \* MERGEFORMAT </w:instrText>
      </w:r>
      <w:r w:rsidRPr="00F15667">
        <w:fldChar w:fldCharType="separate"/>
      </w:r>
      <w:r w:rsidR="001E1A67">
        <w:t>0</w:t>
      </w:r>
      <w:r w:rsidRPr="00F15667">
        <w:fldChar w:fldCharType="end"/>
      </w:r>
      <w:r w:rsidRPr="00F15667">
        <w:t xml:space="preserve"> zahrnuty. Podkapitoly, které se zabývají vyřizováním věcí a DT, zkoumají celý rejstřík Co. U délky řízení to není možné, protože do statistických listů jsou zaneseny pouze pravomocně skončené věci v hlavních agendách. Uvedené délky řízení se tedy týkají pouze věcí agendy C u okresních soudů, v nichž bylo podáno odvolání. Data byla očištěna stejným způsobem jako u civilní agendy u okresních soudů. Data ze statistických listů se týkají pouze odvolání, která byla podána v meritu věci.</w:t>
      </w:r>
    </w:p>
    <w:p w14:paraId="07AA639E" w14:textId="77777777" w:rsidR="005F5C4B" w:rsidRPr="00F15667" w:rsidRDefault="005F5C4B" w:rsidP="005F5C4B">
      <w:pPr>
        <w:pStyle w:val="Nadpis3"/>
        <w:numPr>
          <w:ilvl w:val="2"/>
          <w:numId w:val="1"/>
        </w:numPr>
        <w:rPr>
          <w:color w:val="auto"/>
        </w:rPr>
      </w:pPr>
      <w:bookmarkStart w:id="680" w:name="_Toc109801370"/>
      <w:bookmarkStart w:id="681" w:name="_Toc144104372"/>
      <w:r w:rsidRPr="00F15667">
        <w:rPr>
          <w:color w:val="auto"/>
        </w:rPr>
        <w:t>Délka řízení</w:t>
      </w:r>
      <w:bookmarkEnd w:id="680"/>
      <w:bookmarkEnd w:id="681"/>
    </w:p>
    <w:p w14:paraId="2EBC4CA3" w14:textId="7090CC46" w:rsidR="005F5C4B" w:rsidRPr="00F15667" w:rsidRDefault="005F5C4B" w:rsidP="00687F42">
      <w:pPr>
        <w:pStyle w:val="OdstavecASR"/>
      </w:pPr>
      <w:r w:rsidRPr="00F15667">
        <w:t>Jedná se o délku řízení v kalendářních dnech ode dne nápadu u odvolacího soudu do dne vyřízení věci odvolacím soudem. Délky řízení jsou výrazně nižší než délky řízení prvostupňové agendy u OS, ale díky razantnímu snižování délek řízení u OS již nejde v případě průměrné hodnoty o 3,6násobek jako v roce 2014, ale přibližně o dvojnásobek. Násobný rozdíl je dán tím, že soud, který rozhodoval v prvním stupni, se věcí zabývá obšírněji oproti soudu odvolacímu (druhého stupně). Krajský soud přezkoumává totiž rozhodnutí OS pouze v mezích podaného odvolání a až na výjimky nezjišťuje skutkový stav.</w:t>
      </w:r>
    </w:p>
    <w:p w14:paraId="08D4D173" w14:textId="72CE1715" w:rsidR="005F5C4B" w:rsidRPr="00F15667" w:rsidRDefault="005F5C4B" w:rsidP="005F5C4B">
      <w:pPr>
        <w:pStyle w:val="Podnadpis"/>
        <w:rPr>
          <w:color w:val="auto"/>
        </w:rPr>
      </w:pPr>
      <w:bookmarkStart w:id="682" w:name="_Toc43841435"/>
      <w:bookmarkStart w:id="683" w:name="_Toc75952238"/>
      <w:bookmarkStart w:id="684" w:name="_Toc106106695"/>
      <w:bookmarkStart w:id="685" w:name="_Toc109802019"/>
      <w:bookmarkStart w:id="686" w:name="_Toc144104170"/>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58</w:t>
      </w:r>
      <w:r w:rsidR="009A10E2" w:rsidRPr="00F15667">
        <w:rPr>
          <w:color w:val="auto"/>
        </w:rPr>
        <w:fldChar w:fldCharType="end"/>
      </w:r>
      <w:r w:rsidRPr="00F15667">
        <w:rPr>
          <w:color w:val="auto"/>
        </w:rPr>
        <w:t>: KS – délka odvolacího civilního řízení v letech 2010–20</w:t>
      </w:r>
      <w:bookmarkEnd w:id="682"/>
      <w:r w:rsidRPr="00F15667">
        <w:rPr>
          <w:color w:val="auto"/>
        </w:rPr>
        <w:t>2</w:t>
      </w:r>
      <w:bookmarkEnd w:id="683"/>
      <w:bookmarkEnd w:id="684"/>
      <w:bookmarkEnd w:id="685"/>
      <w:r w:rsidRPr="00F15667">
        <w:rPr>
          <w:color w:val="auto"/>
        </w:rPr>
        <w:t>2</w:t>
      </w:r>
      <w:bookmarkEnd w:id="686"/>
    </w:p>
    <w:p w14:paraId="4BC8F12E" w14:textId="6854878D" w:rsidR="005F5C4B" w:rsidRPr="00F15667" w:rsidRDefault="005F5C4B" w:rsidP="00687F42">
      <w:pPr>
        <w:pStyle w:val="OdstavecASR"/>
      </w:pPr>
      <w:r w:rsidRPr="00F15667">
        <w:rPr>
          <w:noProof/>
          <w:lang w:eastAsia="cs-CZ"/>
        </w:rPr>
        <w:drawing>
          <wp:inline distT="0" distB="0" distL="0" distR="0" wp14:anchorId="0FFE9870" wp14:editId="1637A40F">
            <wp:extent cx="5029200" cy="3657600"/>
            <wp:effectExtent l="0" t="0" r="0"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D219497" w14:textId="5163B223" w:rsidR="005F5C4B" w:rsidRPr="00F15667" w:rsidRDefault="005F5C4B" w:rsidP="005F5C4B">
      <w:pPr>
        <w:pStyle w:val="OdstavecASR"/>
      </w:pPr>
      <w:r w:rsidRPr="00F15667">
        <w:t>Od roku 2013 jsou délky řízení velmi stabilní a poměrně nízké. Odvolání proti věcem z rejstříků C okresních soudů lze tedy z hlediska délek řízení označit za stabilní a celkem bezproblémovou agendu. Nezdá se, že by délky řízení byly nějak ovlivněny pandemií COVID</w:t>
      </w:r>
      <w:r w:rsidRPr="00F15667">
        <w:noBreakHyphen/>
        <w:t>19 a ani u jednotlivých soudů nedošlo k velkým změnám. Ani v roce 2022 nedošlo k žádný</w:t>
      </w:r>
      <w:r w:rsidR="003469B1" w:rsidRPr="00F15667">
        <w:t>m</w:t>
      </w:r>
      <w:r w:rsidRPr="00F15667">
        <w:t xml:space="preserve"> změnám.</w:t>
      </w:r>
    </w:p>
    <w:p w14:paraId="11079CAC" w14:textId="24FCC118" w:rsidR="000F7140" w:rsidRPr="00F15667" w:rsidRDefault="000F7140" w:rsidP="000F7140">
      <w:pPr>
        <w:pStyle w:val="Podnadpis"/>
        <w:rPr>
          <w:color w:val="auto"/>
        </w:rPr>
      </w:pPr>
      <w:bookmarkStart w:id="687" w:name="_Toc515871475"/>
      <w:bookmarkStart w:id="688" w:name="_Toc11133243"/>
      <w:bookmarkStart w:id="689" w:name="_Toc43931221"/>
      <w:bookmarkStart w:id="690" w:name="_Toc75952354"/>
      <w:bookmarkStart w:id="691" w:name="_Toc106106810"/>
      <w:bookmarkStart w:id="692" w:name="_Toc109802133"/>
      <w:bookmarkStart w:id="693" w:name="_Toc144104291"/>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52</w:t>
      </w:r>
      <w:r w:rsidRPr="00F15667">
        <w:rPr>
          <w:color w:val="auto"/>
        </w:rPr>
        <w:fldChar w:fldCharType="end"/>
      </w:r>
      <w:r w:rsidRPr="00F15667">
        <w:rPr>
          <w:color w:val="auto"/>
        </w:rPr>
        <w:t>: KS – délky odvolacího civilního řízení dle soudů</w:t>
      </w:r>
      <w:bookmarkEnd w:id="687"/>
      <w:bookmarkEnd w:id="688"/>
      <w:bookmarkEnd w:id="689"/>
      <w:bookmarkEnd w:id="690"/>
      <w:bookmarkEnd w:id="691"/>
      <w:bookmarkEnd w:id="692"/>
      <w:bookmarkEnd w:id="693"/>
    </w:p>
    <w:tbl>
      <w:tblPr>
        <w:tblW w:w="8330" w:type="dxa"/>
        <w:tblCellMar>
          <w:left w:w="70" w:type="dxa"/>
          <w:right w:w="70" w:type="dxa"/>
        </w:tblCellMar>
        <w:tblLook w:val="04A0" w:firstRow="1" w:lastRow="0" w:firstColumn="1" w:lastColumn="0" w:noHBand="0" w:noVBand="1"/>
      </w:tblPr>
      <w:tblGrid>
        <w:gridCol w:w="2480"/>
        <w:gridCol w:w="1064"/>
        <w:gridCol w:w="851"/>
        <w:gridCol w:w="1134"/>
        <w:gridCol w:w="856"/>
        <w:gridCol w:w="1081"/>
        <w:gridCol w:w="864"/>
      </w:tblGrid>
      <w:tr w:rsidR="00F15667" w:rsidRPr="00F15667" w14:paraId="116DD779" w14:textId="77777777" w:rsidTr="00687F4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5444B84" w14:textId="459BDE2C" w:rsidR="000F7140" w:rsidRPr="00F15667" w:rsidRDefault="00687F42" w:rsidP="00687F42">
            <w:pPr>
              <w:spacing w:line="240" w:lineRule="auto"/>
              <w:jc w:val="center"/>
              <w:rPr>
                <w:rFonts w:eastAsia="Times New Roman"/>
                <w:b/>
                <w:bCs/>
                <w:szCs w:val="24"/>
                <w:lang w:eastAsia="cs-CZ"/>
              </w:rPr>
            </w:pPr>
            <w:r>
              <w:rPr>
                <w:rFonts w:eastAsia="Times New Roman"/>
                <w:b/>
                <w:bCs/>
                <w:szCs w:val="24"/>
                <w:lang w:eastAsia="cs-CZ"/>
              </w:rPr>
              <w:t>S</w:t>
            </w:r>
            <w:r w:rsidR="000F7140" w:rsidRPr="00F15667">
              <w:rPr>
                <w:rFonts w:eastAsia="Times New Roman"/>
                <w:b/>
                <w:bCs/>
                <w:szCs w:val="24"/>
                <w:lang w:eastAsia="cs-CZ"/>
              </w:rPr>
              <w:t>oud</w:t>
            </w:r>
          </w:p>
        </w:tc>
        <w:tc>
          <w:tcPr>
            <w:tcW w:w="5850" w:type="dxa"/>
            <w:gridSpan w:val="6"/>
            <w:tcBorders>
              <w:top w:val="double" w:sz="6" w:space="0" w:color="auto"/>
              <w:left w:val="nil"/>
              <w:bottom w:val="nil"/>
              <w:right w:val="nil"/>
            </w:tcBorders>
            <w:shd w:val="clear" w:color="auto" w:fill="auto"/>
            <w:noWrap/>
            <w:vAlign w:val="center"/>
            <w:hideMark/>
          </w:tcPr>
          <w:p w14:paraId="6811E43D" w14:textId="77777777" w:rsidR="000F7140" w:rsidRPr="00F15667" w:rsidRDefault="000F7140" w:rsidP="00687F42">
            <w:pPr>
              <w:spacing w:line="240" w:lineRule="auto"/>
              <w:jc w:val="center"/>
              <w:rPr>
                <w:rFonts w:eastAsia="Times New Roman"/>
                <w:b/>
                <w:bCs/>
                <w:szCs w:val="24"/>
                <w:lang w:eastAsia="cs-CZ"/>
              </w:rPr>
            </w:pPr>
            <w:r w:rsidRPr="00F15667">
              <w:rPr>
                <w:rFonts w:eastAsia="Times New Roman"/>
                <w:b/>
                <w:bCs/>
                <w:szCs w:val="24"/>
                <w:lang w:eastAsia="cs-CZ"/>
              </w:rPr>
              <w:t>Délka řízení</w:t>
            </w:r>
          </w:p>
        </w:tc>
      </w:tr>
      <w:tr w:rsidR="00F15667" w:rsidRPr="00F15667" w14:paraId="0768732E" w14:textId="77777777" w:rsidTr="00687F42">
        <w:trPr>
          <w:trHeight w:val="330"/>
        </w:trPr>
        <w:tc>
          <w:tcPr>
            <w:tcW w:w="2480" w:type="dxa"/>
            <w:vMerge/>
            <w:tcBorders>
              <w:top w:val="double" w:sz="6" w:space="0" w:color="auto"/>
              <w:left w:val="nil"/>
              <w:bottom w:val="double" w:sz="6" w:space="0" w:color="000000"/>
              <w:right w:val="nil"/>
            </w:tcBorders>
            <w:vAlign w:val="center"/>
            <w:hideMark/>
          </w:tcPr>
          <w:p w14:paraId="3DEFF23B" w14:textId="77777777" w:rsidR="000F7140" w:rsidRPr="00F15667" w:rsidRDefault="000F7140" w:rsidP="00687F42">
            <w:pPr>
              <w:spacing w:line="240" w:lineRule="auto"/>
              <w:jc w:val="center"/>
              <w:rPr>
                <w:rFonts w:eastAsia="Times New Roman"/>
                <w:b/>
                <w:bCs/>
                <w:szCs w:val="24"/>
                <w:lang w:eastAsia="cs-CZ"/>
              </w:rPr>
            </w:pPr>
          </w:p>
        </w:tc>
        <w:tc>
          <w:tcPr>
            <w:tcW w:w="1915" w:type="dxa"/>
            <w:gridSpan w:val="2"/>
            <w:tcBorders>
              <w:top w:val="nil"/>
              <w:left w:val="nil"/>
              <w:bottom w:val="double" w:sz="6" w:space="0" w:color="auto"/>
              <w:right w:val="nil"/>
            </w:tcBorders>
            <w:shd w:val="clear" w:color="auto" w:fill="auto"/>
            <w:noWrap/>
            <w:vAlign w:val="center"/>
            <w:hideMark/>
          </w:tcPr>
          <w:p w14:paraId="392CA0E5" w14:textId="77777777" w:rsidR="000F7140" w:rsidRPr="00F15667" w:rsidRDefault="000F7140" w:rsidP="00687F42">
            <w:pPr>
              <w:spacing w:line="240" w:lineRule="auto"/>
              <w:jc w:val="center"/>
              <w:rPr>
                <w:rFonts w:eastAsia="Times New Roman"/>
                <w:b/>
                <w:bCs/>
                <w:szCs w:val="24"/>
                <w:lang w:eastAsia="cs-CZ"/>
              </w:rPr>
            </w:pPr>
            <w:r w:rsidRPr="00F15667">
              <w:rPr>
                <w:rFonts w:eastAsia="Times New Roman"/>
                <w:b/>
                <w:bCs/>
                <w:szCs w:val="24"/>
                <w:lang w:eastAsia="cs-CZ"/>
              </w:rPr>
              <w:t>Průměr</w:t>
            </w:r>
          </w:p>
        </w:tc>
        <w:tc>
          <w:tcPr>
            <w:tcW w:w="199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0253468" w14:textId="77777777" w:rsidR="000F7140" w:rsidRPr="00F15667" w:rsidRDefault="000F7140" w:rsidP="00687F42">
            <w:pPr>
              <w:spacing w:line="240" w:lineRule="auto"/>
              <w:jc w:val="center"/>
              <w:rPr>
                <w:rFonts w:eastAsia="Times New Roman"/>
                <w:b/>
                <w:bCs/>
                <w:szCs w:val="24"/>
                <w:lang w:eastAsia="cs-CZ"/>
              </w:rPr>
            </w:pPr>
            <w:r w:rsidRPr="00F15667">
              <w:rPr>
                <w:rFonts w:eastAsia="Times New Roman"/>
                <w:b/>
                <w:bCs/>
                <w:szCs w:val="24"/>
                <w:lang w:eastAsia="cs-CZ"/>
              </w:rPr>
              <w:t>Medián</w:t>
            </w:r>
          </w:p>
        </w:tc>
        <w:tc>
          <w:tcPr>
            <w:tcW w:w="1944" w:type="dxa"/>
            <w:gridSpan w:val="2"/>
            <w:tcBorders>
              <w:top w:val="nil"/>
              <w:left w:val="nil"/>
              <w:bottom w:val="double" w:sz="6" w:space="0" w:color="auto"/>
              <w:right w:val="nil"/>
            </w:tcBorders>
            <w:shd w:val="clear" w:color="auto" w:fill="auto"/>
            <w:noWrap/>
            <w:vAlign w:val="center"/>
            <w:hideMark/>
          </w:tcPr>
          <w:p w14:paraId="2E582AA3" w14:textId="77777777" w:rsidR="000F7140" w:rsidRPr="00F15667" w:rsidRDefault="000F7140" w:rsidP="00687F42">
            <w:pPr>
              <w:spacing w:line="240" w:lineRule="auto"/>
              <w:jc w:val="center"/>
              <w:rPr>
                <w:rFonts w:eastAsia="Times New Roman"/>
                <w:b/>
                <w:bCs/>
                <w:szCs w:val="24"/>
                <w:lang w:eastAsia="cs-CZ"/>
              </w:rPr>
            </w:pPr>
            <w:r w:rsidRPr="00F15667">
              <w:rPr>
                <w:rFonts w:eastAsia="Times New Roman"/>
                <w:b/>
                <w:bCs/>
                <w:szCs w:val="24"/>
                <w:lang w:eastAsia="cs-CZ"/>
              </w:rPr>
              <w:t>Percentil 90</w:t>
            </w:r>
          </w:p>
        </w:tc>
      </w:tr>
      <w:tr w:rsidR="00F15667" w:rsidRPr="00F15667" w14:paraId="24165A80" w14:textId="77777777" w:rsidTr="00687F42">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4D1763E8" w14:textId="77777777" w:rsidR="000F7140" w:rsidRPr="00F15667" w:rsidRDefault="000F7140" w:rsidP="00687F42">
            <w:pPr>
              <w:spacing w:line="240" w:lineRule="auto"/>
              <w:jc w:val="left"/>
              <w:rPr>
                <w:rFonts w:eastAsia="Times New Roman"/>
                <w:szCs w:val="24"/>
                <w:lang w:eastAsia="cs-CZ"/>
              </w:rPr>
            </w:pPr>
            <w:r w:rsidRPr="00F15667">
              <w:rPr>
                <w:rFonts w:eastAsia="Times New Roman"/>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center"/>
            <w:hideMark/>
          </w:tcPr>
          <w:p w14:paraId="15609DF7"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66</w:t>
            </w:r>
          </w:p>
        </w:tc>
        <w:tc>
          <w:tcPr>
            <w:tcW w:w="851" w:type="dxa"/>
            <w:tcBorders>
              <w:top w:val="single" w:sz="4" w:space="0" w:color="auto"/>
              <w:left w:val="nil"/>
              <w:bottom w:val="single" w:sz="4" w:space="0" w:color="auto"/>
              <w:right w:val="nil"/>
            </w:tcBorders>
            <w:shd w:val="clear" w:color="auto" w:fill="auto"/>
            <w:noWrap/>
            <w:vAlign w:val="center"/>
            <w:hideMark/>
          </w:tcPr>
          <w:p w14:paraId="3698C8AD" w14:textId="07A7223E"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134" w:type="dxa"/>
            <w:tcBorders>
              <w:top w:val="nil"/>
              <w:left w:val="single" w:sz="4" w:space="0" w:color="auto"/>
              <w:bottom w:val="single" w:sz="4" w:space="0" w:color="auto"/>
              <w:right w:val="nil"/>
            </w:tcBorders>
            <w:shd w:val="clear" w:color="auto" w:fill="auto"/>
            <w:noWrap/>
            <w:vAlign w:val="center"/>
            <w:hideMark/>
          </w:tcPr>
          <w:p w14:paraId="1E575450"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55</w:t>
            </w:r>
          </w:p>
        </w:tc>
        <w:tc>
          <w:tcPr>
            <w:tcW w:w="856" w:type="dxa"/>
            <w:tcBorders>
              <w:top w:val="nil"/>
              <w:left w:val="nil"/>
              <w:bottom w:val="single" w:sz="4" w:space="0" w:color="auto"/>
              <w:right w:val="single" w:sz="4" w:space="0" w:color="auto"/>
            </w:tcBorders>
            <w:shd w:val="clear" w:color="auto" w:fill="auto"/>
            <w:noWrap/>
            <w:vAlign w:val="center"/>
            <w:hideMark/>
          </w:tcPr>
          <w:p w14:paraId="174A5523" w14:textId="31D95959"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81" w:type="dxa"/>
            <w:tcBorders>
              <w:top w:val="single" w:sz="4" w:space="0" w:color="auto"/>
              <w:left w:val="nil"/>
              <w:bottom w:val="single" w:sz="4" w:space="0" w:color="auto"/>
              <w:right w:val="nil"/>
            </w:tcBorders>
            <w:shd w:val="clear" w:color="auto" w:fill="auto"/>
            <w:noWrap/>
            <w:vAlign w:val="center"/>
            <w:hideMark/>
          </w:tcPr>
          <w:p w14:paraId="19B0CB8D"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121</w:t>
            </w:r>
          </w:p>
        </w:tc>
        <w:tc>
          <w:tcPr>
            <w:tcW w:w="863" w:type="dxa"/>
            <w:tcBorders>
              <w:top w:val="single" w:sz="4" w:space="0" w:color="auto"/>
              <w:left w:val="nil"/>
              <w:bottom w:val="single" w:sz="4" w:space="0" w:color="auto"/>
              <w:right w:val="nil"/>
            </w:tcBorders>
            <w:shd w:val="clear" w:color="auto" w:fill="auto"/>
            <w:noWrap/>
            <w:vAlign w:val="center"/>
            <w:hideMark/>
          </w:tcPr>
          <w:p w14:paraId="2E7D9DAA" w14:textId="7A458757"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-13 %</w:t>
            </w:r>
          </w:p>
        </w:tc>
      </w:tr>
      <w:tr w:rsidR="00F15667" w:rsidRPr="00F15667" w14:paraId="0C43F650" w14:textId="77777777" w:rsidTr="00687F42">
        <w:trPr>
          <w:trHeight w:val="315"/>
        </w:trPr>
        <w:tc>
          <w:tcPr>
            <w:tcW w:w="2480" w:type="dxa"/>
            <w:tcBorders>
              <w:top w:val="nil"/>
              <w:left w:val="nil"/>
              <w:bottom w:val="single" w:sz="4" w:space="0" w:color="auto"/>
              <w:right w:val="nil"/>
            </w:tcBorders>
            <w:shd w:val="clear" w:color="auto" w:fill="auto"/>
            <w:noWrap/>
            <w:vAlign w:val="center"/>
            <w:hideMark/>
          </w:tcPr>
          <w:p w14:paraId="089AAEE1" w14:textId="77777777" w:rsidR="000F7140" w:rsidRPr="00F15667" w:rsidRDefault="000F7140" w:rsidP="00687F42">
            <w:pPr>
              <w:spacing w:line="240" w:lineRule="auto"/>
              <w:jc w:val="left"/>
              <w:rPr>
                <w:rFonts w:eastAsia="Times New Roman"/>
                <w:szCs w:val="24"/>
                <w:lang w:eastAsia="cs-CZ"/>
              </w:rPr>
            </w:pPr>
            <w:r w:rsidRPr="00F15667">
              <w:rPr>
                <w:rFonts w:eastAsia="Times New Roman"/>
                <w:szCs w:val="24"/>
                <w:lang w:eastAsia="cs-CZ"/>
              </w:rPr>
              <w:t>KS Praha</w:t>
            </w:r>
          </w:p>
        </w:tc>
        <w:tc>
          <w:tcPr>
            <w:tcW w:w="1064" w:type="dxa"/>
            <w:tcBorders>
              <w:top w:val="nil"/>
              <w:left w:val="nil"/>
              <w:bottom w:val="single" w:sz="4" w:space="0" w:color="auto"/>
              <w:right w:val="nil"/>
            </w:tcBorders>
            <w:shd w:val="clear" w:color="auto" w:fill="auto"/>
            <w:noWrap/>
            <w:vAlign w:val="center"/>
            <w:hideMark/>
          </w:tcPr>
          <w:p w14:paraId="3133A111"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90</w:t>
            </w:r>
          </w:p>
        </w:tc>
        <w:tc>
          <w:tcPr>
            <w:tcW w:w="851" w:type="dxa"/>
            <w:tcBorders>
              <w:top w:val="nil"/>
              <w:left w:val="nil"/>
              <w:bottom w:val="single" w:sz="4" w:space="0" w:color="auto"/>
              <w:right w:val="nil"/>
            </w:tcBorders>
            <w:shd w:val="clear" w:color="auto" w:fill="auto"/>
            <w:noWrap/>
            <w:vAlign w:val="center"/>
            <w:hideMark/>
          </w:tcPr>
          <w:p w14:paraId="24B6CCEA" w14:textId="586616E8"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134" w:type="dxa"/>
            <w:tcBorders>
              <w:top w:val="nil"/>
              <w:left w:val="single" w:sz="4" w:space="0" w:color="auto"/>
              <w:bottom w:val="single" w:sz="4" w:space="0" w:color="auto"/>
              <w:right w:val="nil"/>
            </w:tcBorders>
            <w:shd w:val="clear" w:color="auto" w:fill="auto"/>
            <w:noWrap/>
            <w:vAlign w:val="center"/>
            <w:hideMark/>
          </w:tcPr>
          <w:p w14:paraId="13DFE847"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68</w:t>
            </w:r>
          </w:p>
        </w:tc>
        <w:tc>
          <w:tcPr>
            <w:tcW w:w="856" w:type="dxa"/>
            <w:tcBorders>
              <w:top w:val="nil"/>
              <w:left w:val="nil"/>
              <w:bottom w:val="single" w:sz="4" w:space="0" w:color="auto"/>
              <w:right w:val="single" w:sz="4" w:space="0" w:color="auto"/>
            </w:tcBorders>
            <w:shd w:val="clear" w:color="auto" w:fill="auto"/>
            <w:noWrap/>
            <w:vAlign w:val="center"/>
            <w:hideMark/>
          </w:tcPr>
          <w:p w14:paraId="0FDEB946" w14:textId="5F899753"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1081" w:type="dxa"/>
            <w:tcBorders>
              <w:top w:val="nil"/>
              <w:left w:val="nil"/>
              <w:bottom w:val="single" w:sz="4" w:space="0" w:color="auto"/>
              <w:right w:val="nil"/>
            </w:tcBorders>
            <w:shd w:val="clear" w:color="auto" w:fill="auto"/>
            <w:noWrap/>
            <w:vAlign w:val="center"/>
            <w:hideMark/>
          </w:tcPr>
          <w:p w14:paraId="6E765EDC"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170</w:t>
            </w:r>
          </w:p>
        </w:tc>
        <w:tc>
          <w:tcPr>
            <w:tcW w:w="863" w:type="dxa"/>
            <w:tcBorders>
              <w:top w:val="nil"/>
              <w:left w:val="nil"/>
              <w:bottom w:val="single" w:sz="4" w:space="0" w:color="auto"/>
              <w:right w:val="nil"/>
            </w:tcBorders>
            <w:shd w:val="clear" w:color="auto" w:fill="auto"/>
            <w:noWrap/>
            <w:vAlign w:val="center"/>
            <w:hideMark/>
          </w:tcPr>
          <w:p w14:paraId="4E22131C" w14:textId="3C7F2B36"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-2 %</w:t>
            </w:r>
          </w:p>
        </w:tc>
      </w:tr>
      <w:tr w:rsidR="00F15667" w:rsidRPr="00F15667" w14:paraId="02D6804A" w14:textId="77777777" w:rsidTr="00687F42">
        <w:trPr>
          <w:trHeight w:val="315"/>
        </w:trPr>
        <w:tc>
          <w:tcPr>
            <w:tcW w:w="2480" w:type="dxa"/>
            <w:tcBorders>
              <w:top w:val="nil"/>
              <w:left w:val="nil"/>
              <w:bottom w:val="single" w:sz="4" w:space="0" w:color="auto"/>
              <w:right w:val="nil"/>
            </w:tcBorders>
            <w:shd w:val="clear" w:color="auto" w:fill="auto"/>
            <w:noWrap/>
            <w:vAlign w:val="center"/>
            <w:hideMark/>
          </w:tcPr>
          <w:p w14:paraId="264D0613" w14:textId="77777777" w:rsidR="000F7140" w:rsidRPr="00F15667" w:rsidRDefault="000F7140" w:rsidP="00687F42">
            <w:pPr>
              <w:spacing w:line="240" w:lineRule="auto"/>
              <w:jc w:val="left"/>
              <w:rPr>
                <w:rFonts w:eastAsia="Times New Roman"/>
                <w:szCs w:val="24"/>
                <w:lang w:eastAsia="cs-CZ"/>
              </w:rPr>
            </w:pPr>
            <w:r w:rsidRPr="00F15667">
              <w:rPr>
                <w:rFonts w:eastAsia="Times New Roman"/>
                <w:szCs w:val="24"/>
                <w:lang w:eastAsia="cs-CZ"/>
              </w:rPr>
              <w:t>KS Č. Budějovice</w:t>
            </w:r>
          </w:p>
        </w:tc>
        <w:tc>
          <w:tcPr>
            <w:tcW w:w="1064" w:type="dxa"/>
            <w:tcBorders>
              <w:top w:val="nil"/>
              <w:left w:val="nil"/>
              <w:bottom w:val="single" w:sz="4" w:space="0" w:color="auto"/>
              <w:right w:val="nil"/>
            </w:tcBorders>
            <w:shd w:val="clear" w:color="auto" w:fill="auto"/>
            <w:noWrap/>
            <w:vAlign w:val="center"/>
            <w:hideMark/>
          </w:tcPr>
          <w:p w14:paraId="73EEC46A"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78</w:t>
            </w:r>
          </w:p>
        </w:tc>
        <w:tc>
          <w:tcPr>
            <w:tcW w:w="851" w:type="dxa"/>
            <w:tcBorders>
              <w:top w:val="nil"/>
              <w:left w:val="nil"/>
              <w:bottom w:val="single" w:sz="4" w:space="0" w:color="auto"/>
              <w:right w:val="nil"/>
            </w:tcBorders>
            <w:shd w:val="clear" w:color="auto" w:fill="auto"/>
            <w:noWrap/>
            <w:vAlign w:val="center"/>
            <w:hideMark/>
          </w:tcPr>
          <w:p w14:paraId="29F21B95" w14:textId="75A98B35"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1134" w:type="dxa"/>
            <w:tcBorders>
              <w:top w:val="nil"/>
              <w:left w:val="single" w:sz="4" w:space="0" w:color="auto"/>
              <w:bottom w:val="single" w:sz="4" w:space="0" w:color="auto"/>
              <w:right w:val="nil"/>
            </w:tcBorders>
            <w:shd w:val="clear" w:color="auto" w:fill="auto"/>
            <w:noWrap/>
            <w:vAlign w:val="center"/>
            <w:hideMark/>
          </w:tcPr>
          <w:p w14:paraId="4818ED62"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59</w:t>
            </w:r>
          </w:p>
        </w:tc>
        <w:tc>
          <w:tcPr>
            <w:tcW w:w="856" w:type="dxa"/>
            <w:tcBorders>
              <w:top w:val="nil"/>
              <w:left w:val="nil"/>
              <w:bottom w:val="single" w:sz="4" w:space="0" w:color="auto"/>
              <w:right w:val="single" w:sz="4" w:space="0" w:color="auto"/>
            </w:tcBorders>
            <w:shd w:val="clear" w:color="auto" w:fill="auto"/>
            <w:noWrap/>
            <w:vAlign w:val="center"/>
            <w:hideMark/>
          </w:tcPr>
          <w:p w14:paraId="7F57A2A9" w14:textId="044E733C"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081" w:type="dxa"/>
            <w:tcBorders>
              <w:top w:val="nil"/>
              <w:left w:val="nil"/>
              <w:bottom w:val="single" w:sz="4" w:space="0" w:color="auto"/>
              <w:right w:val="nil"/>
            </w:tcBorders>
            <w:shd w:val="clear" w:color="auto" w:fill="auto"/>
            <w:noWrap/>
            <w:vAlign w:val="center"/>
            <w:hideMark/>
          </w:tcPr>
          <w:p w14:paraId="60083A55"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150</w:t>
            </w:r>
          </w:p>
        </w:tc>
        <w:tc>
          <w:tcPr>
            <w:tcW w:w="863" w:type="dxa"/>
            <w:tcBorders>
              <w:top w:val="nil"/>
              <w:left w:val="nil"/>
              <w:bottom w:val="single" w:sz="4" w:space="0" w:color="auto"/>
              <w:right w:val="nil"/>
            </w:tcBorders>
            <w:shd w:val="clear" w:color="auto" w:fill="auto"/>
            <w:noWrap/>
            <w:vAlign w:val="center"/>
            <w:hideMark/>
          </w:tcPr>
          <w:p w14:paraId="36B2C258" w14:textId="50A76564"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-10 %</w:t>
            </w:r>
          </w:p>
        </w:tc>
      </w:tr>
      <w:tr w:rsidR="00F15667" w:rsidRPr="00F15667" w14:paraId="3C1BA04B" w14:textId="77777777" w:rsidTr="00687F42">
        <w:trPr>
          <w:trHeight w:val="315"/>
        </w:trPr>
        <w:tc>
          <w:tcPr>
            <w:tcW w:w="2480" w:type="dxa"/>
            <w:tcBorders>
              <w:top w:val="nil"/>
              <w:left w:val="nil"/>
              <w:bottom w:val="single" w:sz="4" w:space="0" w:color="auto"/>
              <w:right w:val="nil"/>
            </w:tcBorders>
            <w:shd w:val="clear" w:color="auto" w:fill="auto"/>
            <w:noWrap/>
            <w:vAlign w:val="center"/>
            <w:hideMark/>
          </w:tcPr>
          <w:p w14:paraId="7A0453F2" w14:textId="77777777" w:rsidR="000F7140" w:rsidRPr="00F15667" w:rsidRDefault="000F7140" w:rsidP="00687F42">
            <w:pPr>
              <w:spacing w:line="240" w:lineRule="auto"/>
              <w:jc w:val="left"/>
              <w:rPr>
                <w:rFonts w:eastAsia="Times New Roman"/>
                <w:szCs w:val="24"/>
                <w:lang w:eastAsia="cs-CZ"/>
              </w:rPr>
            </w:pPr>
            <w:r w:rsidRPr="00F15667">
              <w:rPr>
                <w:rFonts w:eastAsia="Times New Roman"/>
                <w:szCs w:val="24"/>
                <w:lang w:eastAsia="cs-CZ"/>
              </w:rPr>
              <w:t>KS Plzeň</w:t>
            </w:r>
          </w:p>
        </w:tc>
        <w:tc>
          <w:tcPr>
            <w:tcW w:w="1064" w:type="dxa"/>
            <w:tcBorders>
              <w:top w:val="nil"/>
              <w:left w:val="nil"/>
              <w:bottom w:val="single" w:sz="4" w:space="0" w:color="auto"/>
              <w:right w:val="nil"/>
            </w:tcBorders>
            <w:shd w:val="clear" w:color="auto" w:fill="auto"/>
            <w:noWrap/>
            <w:vAlign w:val="center"/>
            <w:hideMark/>
          </w:tcPr>
          <w:p w14:paraId="13156C8C"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70</w:t>
            </w:r>
          </w:p>
        </w:tc>
        <w:tc>
          <w:tcPr>
            <w:tcW w:w="851" w:type="dxa"/>
            <w:tcBorders>
              <w:top w:val="nil"/>
              <w:left w:val="nil"/>
              <w:bottom w:val="single" w:sz="4" w:space="0" w:color="auto"/>
              <w:right w:val="nil"/>
            </w:tcBorders>
            <w:shd w:val="clear" w:color="auto" w:fill="auto"/>
            <w:noWrap/>
            <w:vAlign w:val="center"/>
            <w:hideMark/>
          </w:tcPr>
          <w:p w14:paraId="37F1E431" w14:textId="40E987B1"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134" w:type="dxa"/>
            <w:tcBorders>
              <w:top w:val="nil"/>
              <w:left w:val="single" w:sz="4" w:space="0" w:color="auto"/>
              <w:bottom w:val="single" w:sz="4" w:space="0" w:color="auto"/>
              <w:right w:val="nil"/>
            </w:tcBorders>
            <w:shd w:val="clear" w:color="auto" w:fill="auto"/>
            <w:noWrap/>
            <w:vAlign w:val="center"/>
            <w:hideMark/>
          </w:tcPr>
          <w:p w14:paraId="55CC0185"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42</w:t>
            </w:r>
          </w:p>
        </w:tc>
        <w:tc>
          <w:tcPr>
            <w:tcW w:w="856" w:type="dxa"/>
            <w:tcBorders>
              <w:top w:val="nil"/>
              <w:left w:val="nil"/>
              <w:bottom w:val="single" w:sz="4" w:space="0" w:color="auto"/>
              <w:right w:val="single" w:sz="4" w:space="0" w:color="auto"/>
            </w:tcBorders>
            <w:shd w:val="clear" w:color="auto" w:fill="auto"/>
            <w:noWrap/>
            <w:vAlign w:val="center"/>
            <w:hideMark/>
          </w:tcPr>
          <w:p w14:paraId="0E631D5E" w14:textId="5A076D63"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1081" w:type="dxa"/>
            <w:tcBorders>
              <w:top w:val="nil"/>
              <w:left w:val="nil"/>
              <w:bottom w:val="single" w:sz="4" w:space="0" w:color="auto"/>
              <w:right w:val="nil"/>
            </w:tcBorders>
            <w:shd w:val="clear" w:color="auto" w:fill="auto"/>
            <w:noWrap/>
            <w:vAlign w:val="center"/>
            <w:hideMark/>
          </w:tcPr>
          <w:p w14:paraId="0B6A4EA8"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140</w:t>
            </w:r>
          </w:p>
        </w:tc>
        <w:tc>
          <w:tcPr>
            <w:tcW w:w="863" w:type="dxa"/>
            <w:tcBorders>
              <w:top w:val="nil"/>
              <w:left w:val="nil"/>
              <w:bottom w:val="single" w:sz="4" w:space="0" w:color="auto"/>
              <w:right w:val="nil"/>
            </w:tcBorders>
            <w:shd w:val="clear" w:color="auto" w:fill="auto"/>
            <w:noWrap/>
            <w:vAlign w:val="center"/>
            <w:hideMark/>
          </w:tcPr>
          <w:p w14:paraId="08583CA8" w14:textId="69FC51DE"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-6 %</w:t>
            </w:r>
          </w:p>
        </w:tc>
      </w:tr>
      <w:tr w:rsidR="00F15667" w:rsidRPr="00F15667" w14:paraId="4FAF5860" w14:textId="77777777" w:rsidTr="00687F42">
        <w:trPr>
          <w:trHeight w:val="315"/>
        </w:trPr>
        <w:tc>
          <w:tcPr>
            <w:tcW w:w="2480" w:type="dxa"/>
            <w:tcBorders>
              <w:top w:val="nil"/>
              <w:left w:val="nil"/>
              <w:bottom w:val="single" w:sz="4" w:space="0" w:color="auto"/>
              <w:right w:val="nil"/>
            </w:tcBorders>
            <w:shd w:val="clear" w:color="auto" w:fill="auto"/>
            <w:noWrap/>
            <w:vAlign w:val="center"/>
            <w:hideMark/>
          </w:tcPr>
          <w:p w14:paraId="0AE13DFB" w14:textId="77777777" w:rsidR="000F7140" w:rsidRPr="00F15667" w:rsidRDefault="000F7140" w:rsidP="00687F42">
            <w:pPr>
              <w:spacing w:line="240" w:lineRule="auto"/>
              <w:jc w:val="left"/>
              <w:rPr>
                <w:rFonts w:eastAsia="Times New Roman"/>
                <w:szCs w:val="24"/>
                <w:lang w:eastAsia="cs-CZ"/>
              </w:rPr>
            </w:pPr>
            <w:r w:rsidRPr="00F15667">
              <w:rPr>
                <w:rFonts w:eastAsia="Times New Roman"/>
                <w:szCs w:val="24"/>
                <w:lang w:eastAsia="cs-CZ"/>
              </w:rPr>
              <w:t>KS Ústí n. Labem</w:t>
            </w:r>
          </w:p>
        </w:tc>
        <w:tc>
          <w:tcPr>
            <w:tcW w:w="1064" w:type="dxa"/>
            <w:tcBorders>
              <w:top w:val="nil"/>
              <w:left w:val="nil"/>
              <w:bottom w:val="single" w:sz="4" w:space="0" w:color="auto"/>
              <w:right w:val="nil"/>
            </w:tcBorders>
            <w:shd w:val="clear" w:color="auto" w:fill="auto"/>
            <w:noWrap/>
            <w:vAlign w:val="center"/>
            <w:hideMark/>
          </w:tcPr>
          <w:p w14:paraId="7E138CC3"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179</w:t>
            </w:r>
          </w:p>
        </w:tc>
        <w:tc>
          <w:tcPr>
            <w:tcW w:w="851" w:type="dxa"/>
            <w:tcBorders>
              <w:top w:val="nil"/>
              <w:left w:val="nil"/>
              <w:bottom w:val="single" w:sz="4" w:space="0" w:color="auto"/>
              <w:right w:val="nil"/>
            </w:tcBorders>
            <w:shd w:val="clear" w:color="auto" w:fill="auto"/>
            <w:noWrap/>
            <w:vAlign w:val="center"/>
            <w:hideMark/>
          </w:tcPr>
          <w:p w14:paraId="4F0C1916" w14:textId="0FDDA8DD"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-9 %</w:t>
            </w:r>
          </w:p>
        </w:tc>
        <w:tc>
          <w:tcPr>
            <w:tcW w:w="1134" w:type="dxa"/>
            <w:tcBorders>
              <w:top w:val="nil"/>
              <w:left w:val="single" w:sz="4" w:space="0" w:color="auto"/>
              <w:bottom w:val="single" w:sz="4" w:space="0" w:color="auto"/>
              <w:right w:val="nil"/>
            </w:tcBorders>
            <w:shd w:val="clear" w:color="auto" w:fill="auto"/>
            <w:noWrap/>
            <w:vAlign w:val="center"/>
            <w:hideMark/>
          </w:tcPr>
          <w:p w14:paraId="1E2B51C3"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108</w:t>
            </w:r>
          </w:p>
        </w:tc>
        <w:tc>
          <w:tcPr>
            <w:tcW w:w="856" w:type="dxa"/>
            <w:tcBorders>
              <w:top w:val="nil"/>
              <w:left w:val="nil"/>
              <w:bottom w:val="single" w:sz="4" w:space="0" w:color="auto"/>
              <w:right w:val="single" w:sz="4" w:space="0" w:color="auto"/>
            </w:tcBorders>
            <w:shd w:val="clear" w:color="auto" w:fill="auto"/>
            <w:noWrap/>
            <w:vAlign w:val="center"/>
            <w:hideMark/>
          </w:tcPr>
          <w:p w14:paraId="7EEC6779" w14:textId="45A3D963"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081" w:type="dxa"/>
            <w:tcBorders>
              <w:top w:val="nil"/>
              <w:left w:val="nil"/>
              <w:bottom w:val="single" w:sz="4" w:space="0" w:color="auto"/>
              <w:right w:val="nil"/>
            </w:tcBorders>
            <w:shd w:val="clear" w:color="auto" w:fill="auto"/>
            <w:noWrap/>
            <w:vAlign w:val="center"/>
            <w:hideMark/>
          </w:tcPr>
          <w:p w14:paraId="4E4A91A8"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330</w:t>
            </w:r>
          </w:p>
        </w:tc>
        <w:tc>
          <w:tcPr>
            <w:tcW w:w="863" w:type="dxa"/>
            <w:tcBorders>
              <w:top w:val="nil"/>
              <w:left w:val="nil"/>
              <w:bottom w:val="single" w:sz="4" w:space="0" w:color="auto"/>
              <w:right w:val="nil"/>
            </w:tcBorders>
            <w:shd w:val="clear" w:color="auto" w:fill="auto"/>
            <w:noWrap/>
            <w:vAlign w:val="center"/>
            <w:hideMark/>
          </w:tcPr>
          <w:p w14:paraId="1DC2A7E2" w14:textId="39D78029"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-7 %</w:t>
            </w:r>
          </w:p>
        </w:tc>
      </w:tr>
      <w:tr w:rsidR="00F15667" w:rsidRPr="00F15667" w14:paraId="371024A5" w14:textId="77777777" w:rsidTr="00687F42">
        <w:trPr>
          <w:trHeight w:val="315"/>
        </w:trPr>
        <w:tc>
          <w:tcPr>
            <w:tcW w:w="2480" w:type="dxa"/>
            <w:tcBorders>
              <w:top w:val="nil"/>
              <w:left w:val="nil"/>
              <w:bottom w:val="single" w:sz="4" w:space="0" w:color="auto"/>
              <w:right w:val="nil"/>
            </w:tcBorders>
            <w:shd w:val="clear" w:color="auto" w:fill="auto"/>
            <w:noWrap/>
            <w:vAlign w:val="center"/>
            <w:hideMark/>
          </w:tcPr>
          <w:p w14:paraId="14DE3B76" w14:textId="77777777" w:rsidR="000F7140" w:rsidRPr="00F15667" w:rsidRDefault="000F7140" w:rsidP="00687F42">
            <w:pPr>
              <w:spacing w:line="240" w:lineRule="auto"/>
              <w:jc w:val="left"/>
              <w:rPr>
                <w:rFonts w:eastAsia="Times New Roman"/>
                <w:szCs w:val="24"/>
                <w:lang w:eastAsia="cs-CZ"/>
              </w:rPr>
            </w:pPr>
            <w:r w:rsidRPr="00F15667">
              <w:rPr>
                <w:rFonts w:eastAsia="Times New Roman"/>
                <w:szCs w:val="24"/>
                <w:lang w:eastAsia="cs-CZ"/>
              </w:rPr>
              <w:t>KS Hr. Králové</w:t>
            </w:r>
          </w:p>
        </w:tc>
        <w:tc>
          <w:tcPr>
            <w:tcW w:w="1064" w:type="dxa"/>
            <w:tcBorders>
              <w:top w:val="nil"/>
              <w:left w:val="nil"/>
              <w:bottom w:val="single" w:sz="4" w:space="0" w:color="auto"/>
              <w:right w:val="nil"/>
            </w:tcBorders>
            <w:shd w:val="clear" w:color="auto" w:fill="auto"/>
            <w:noWrap/>
            <w:vAlign w:val="center"/>
            <w:hideMark/>
          </w:tcPr>
          <w:p w14:paraId="2C9BD684"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98</w:t>
            </w:r>
          </w:p>
        </w:tc>
        <w:tc>
          <w:tcPr>
            <w:tcW w:w="851" w:type="dxa"/>
            <w:tcBorders>
              <w:top w:val="nil"/>
              <w:left w:val="nil"/>
              <w:bottom w:val="single" w:sz="4" w:space="0" w:color="auto"/>
              <w:right w:val="nil"/>
            </w:tcBorders>
            <w:shd w:val="clear" w:color="auto" w:fill="auto"/>
            <w:noWrap/>
            <w:vAlign w:val="center"/>
            <w:hideMark/>
          </w:tcPr>
          <w:p w14:paraId="718145B7" w14:textId="1B5C6C87"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134" w:type="dxa"/>
            <w:tcBorders>
              <w:top w:val="nil"/>
              <w:left w:val="single" w:sz="4" w:space="0" w:color="auto"/>
              <w:bottom w:val="single" w:sz="4" w:space="0" w:color="auto"/>
              <w:right w:val="nil"/>
            </w:tcBorders>
            <w:shd w:val="clear" w:color="auto" w:fill="auto"/>
            <w:noWrap/>
            <w:vAlign w:val="center"/>
            <w:hideMark/>
          </w:tcPr>
          <w:p w14:paraId="075C6D6D"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65</w:t>
            </w:r>
          </w:p>
        </w:tc>
        <w:tc>
          <w:tcPr>
            <w:tcW w:w="856" w:type="dxa"/>
            <w:tcBorders>
              <w:top w:val="nil"/>
              <w:left w:val="nil"/>
              <w:bottom w:val="single" w:sz="4" w:space="0" w:color="auto"/>
              <w:right w:val="single" w:sz="4" w:space="0" w:color="auto"/>
            </w:tcBorders>
            <w:shd w:val="clear" w:color="auto" w:fill="auto"/>
            <w:noWrap/>
            <w:vAlign w:val="center"/>
            <w:hideMark/>
          </w:tcPr>
          <w:p w14:paraId="7FDEB075" w14:textId="43BC4365"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1081" w:type="dxa"/>
            <w:tcBorders>
              <w:top w:val="nil"/>
              <w:left w:val="nil"/>
              <w:bottom w:val="single" w:sz="4" w:space="0" w:color="auto"/>
              <w:right w:val="nil"/>
            </w:tcBorders>
            <w:shd w:val="clear" w:color="auto" w:fill="auto"/>
            <w:noWrap/>
            <w:vAlign w:val="center"/>
            <w:hideMark/>
          </w:tcPr>
          <w:p w14:paraId="1D246BBF"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158</w:t>
            </w:r>
          </w:p>
        </w:tc>
        <w:tc>
          <w:tcPr>
            <w:tcW w:w="863" w:type="dxa"/>
            <w:tcBorders>
              <w:top w:val="nil"/>
              <w:left w:val="nil"/>
              <w:bottom w:val="single" w:sz="4" w:space="0" w:color="auto"/>
              <w:right w:val="nil"/>
            </w:tcBorders>
            <w:shd w:val="clear" w:color="auto" w:fill="auto"/>
            <w:noWrap/>
            <w:vAlign w:val="center"/>
            <w:hideMark/>
          </w:tcPr>
          <w:p w14:paraId="19463FF4" w14:textId="2872570E"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-1 %</w:t>
            </w:r>
          </w:p>
        </w:tc>
      </w:tr>
      <w:tr w:rsidR="00F15667" w:rsidRPr="00F15667" w14:paraId="7F740A00" w14:textId="77777777" w:rsidTr="00687F42">
        <w:trPr>
          <w:trHeight w:val="315"/>
        </w:trPr>
        <w:tc>
          <w:tcPr>
            <w:tcW w:w="2480" w:type="dxa"/>
            <w:tcBorders>
              <w:top w:val="nil"/>
              <w:left w:val="nil"/>
              <w:bottom w:val="single" w:sz="4" w:space="0" w:color="auto"/>
              <w:right w:val="nil"/>
            </w:tcBorders>
            <w:shd w:val="clear" w:color="auto" w:fill="auto"/>
            <w:noWrap/>
            <w:vAlign w:val="center"/>
            <w:hideMark/>
          </w:tcPr>
          <w:p w14:paraId="015A9FD8" w14:textId="77777777" w:rsidR="000F7140" w:rsidRPr="00F15667" w:rsidRDefault="000F7140" w:rsidP="00687F42">
            <w:pPr>
              <w:spacing w:line="240" w:lineRule="auto"/>
              <w:jc w:val="left"/>
              <w:rPr>
                <w:rFonts w:eastAsia="Times New Roman"/>
                <w:szCs w:val="24"/>
                <w:lang w:eastAsia="cs-CZ"/>
              </w:rPr>
            </w:pPr>
            <w:r w:rsidRPr="00F15667">
              <w:rPr>
                <w:rFonts w:eastAsia="Times New Roman"/>
                <w:szCs w:val="24"/>
                <w:lang w:eastAsia="cs-CZ"/>
              </w:rPr>
              <w:t>KS Brno</w:t>
            </w:r>
          </w:p>
        </w:tc>
        <w:tc>
          <w:tcPr>
            <w:tcW w:w="1064" w:type="dxa"/>
            <w:tcBorders>
              <w:top w:val="nil"/>
              <w:left w:val="nil"/>
              <w:bottom w:val="single" w:sz="4" w:space="0" w:color="auto"/>
              <w:right w:val="nil"/>
            </w:tcBorders>
            <w:shd w:val="clear" w:color="auto" w:fill="auto"/>
            <w:noWrap/>
            <w:vAlign w:val="center"/>
            <w:hideMark/>
          </w:tcPr>
          <w:p w14:paraId="0CB2C30A"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319</w:t>
            </w:r>
          </w:p>
        </w:tc>
        <w:tc>
          <w:tcPr>
            <w:tcW w:w="851" w:type="dxa"/>
            <w:tcBorders>
              <w:top w:val="nil"/>
              <w:left w:val="nil"/>
              <w:bottom w:val="single" w:sz="4" w:space="0" w:color="auto"/>
              <w:right w:val="nil"/>
            </w:tcBorders>
            <w:shd w:val="clear" w:color="auto" w:fill="auto"/>
            <w:noWrap/>
            <w:vAlign w:val="center"/>
            <w:hideMark/>
          </w:tcPr>
          <w:p w14:paraId="40F1187F" w14:textId="45827400"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134" w:type="dxa"/>
            <w:tcBorders>
              <w:top w:val="nil"/>
              <w:left w:val="single" w:sz="4" w:space="0" w:color="auto"/>
              <w:bottom w:val="single" w:sz="4" w:space="0" w:color="auto"/>
              <w:right w:val="nil"/>
            </w:tcBorders>
            <w:shd w:val="clear" w:color="auto" w:fill="auto"/>
            <w:noWrap/>
            <w:vAlign w:val="center"/>
            <w:hideMark/>
          </w:tcPr>
          <w:p w14:paraId="7C459883"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194</w:t>
            </w:r>
          </w:p>
        </w:tc>
        <w:tc>
          <w:tcPr>
            <w:tcW w:w="856" w:type="dxa"/>
            <w:tcBorders>
              <w:top w:val="nil"/>
              <w:left w:val="nil"/>
              <w:bottom w:val="single" w:sz="4" w:space="0" w:color="auto"/>
              <w:right w:val="single" w:sz="4" w:space="0" w:color="auto"/>
            </w:tcBorders>
            <w:shd w:val="clear" w:color="auto" w:fill="auto"/>
            <w:noWrap/>
            <w:vAlign w:val="center"/>
            <w:hideMark/>
          </w:tcPr>
          <w:p w14:paraId="14F8CFFB" w14:textId="38A8FB84"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+17 %</w:t>
            </w:r>
          </w:p>
        </w:tc>
        <w:tc>
          <w:tcPr>
            <w:tcW w:w="1081" w:type="dxa"/>
            <w:tcBorders>
              <w:top w:val="nil"/>
              <w:left w:val="nil"/>
              <w:bottom w:val="single" w:sz="4" w:space="0" w:color="auto"/>
              <w:right w:val="nil"/>
            </w:tcBorders>
            <w:shd w:val="clear" w:color="auto" w:fill="auto"/>
            <w:noWrap/>
            <w:vAlign w:val="center"/>
            <w:hideMark/>
          </w:tcPr>
          <w:p w14:paraId="284F835D"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663</w:t>
            </w:r>
          </w:p>
        </w:tc>
        <w:tc>
          <w:tcPr>
            <w:tcW w:w="863" w:type="dxa"/>
            <w:tcBorders>
              <w:top w:val="nil"/>
              <w:left w:val="nil"/>
              <w:bottom w:val="single" w:sz="4" w:space="0" w:color="auto"/>
              <w:right w:val="nil"/>
            </w:tcBorders>
            <w:shd w:val="clear" w:color="auto" w:fill="auto"/>
            <w:noWrap/>
            <w:vAlign w:val="center"/>
            <w:hideMark/>
          </w:tcPr>
          <w:p w14:paraId="0D6F3C96" w14:textId="45C5D6C9"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+10 %</w:t>
            </w:r>
          </w:p>
        </w:tc>
      </w:tr>
      <w:tr w:rsidR="00F15667" w:rsidRPr="00F15667" w14:paraId="3DC73200" w14:textId="77777777" w:rsidTr="00687F42">
        <w:trPr>
          <w:trHeight w:val="330"/>
        </w:trPr>
        <w:tc>
          <w:tcPr>
            <w:tcW w:w="2480" w:type="dxa"/>
            <w:tcBorders>
              <w:top w:val="nil"/>
              <w:left w:val="nil"/>
              <w:bottom w:val="double" w:sz="6" w:space="0" w:color="auto"/>
              <w:right w:val="nil"/>
            </w:tcBorders>
            <w:shd w:val="clear" w:color="auto" w:fill="auto"/>
            <w:noWrap/>
            <w:vAlign w:val="center"/>
            <w:hideMark/>
          </w:tcPr>
          <w:p w14:paraId="21B09518" w14:textId="77777777" w:rsidR="000F7140" w:rsidRPr="00F15667" w:rsidRDefault="000F7140" w:rsidP="00687F42">
            <w:pPr>
              <w:spacing w:line="240" w:lineRule="auto"/>
              <w:jc w:val="left"/>
              <w:rPr>
                <w:rFonts w:eastAsia="Times New Roman"/>
                <w:szCs w:val="24"/>
                <w:lang w:eastAsia="cs-CZ"/>
              </w:rPr>
            </w:pPr>
            <w:r w:rsidRPr="00F15667">
              <w:rPr>
                <w:rFonts w:eastAsia="Times New Roman"/>
                <w:szCs w:val="24"/>
                <w:lang w:eastAsia="cs-CZ"/>
              </w:rPr>
              <w:t>KS Ostrava</w:t>
            </w:r>
          </w:p>
        </w:tc>
        <w:tc>
          <w:tcPr>
            <w:tcW w:w="1064" w:type="dxa"/>
            <w:tcBorders>
              <w:top w:val="nil"/>
              <w:left w:val="nil"/>
              <w:bottom w:val="double" w:sz="6" w:space="0" w:color="auto"/>
              <w:right w:val="nil"/>
            </w:tcBorders>
            <w:shd w:val="clear" w:color="auto" w:fill="auto"/>
            <w:noWrap/>
            <w:vAlign w:val="center"/>
            <w:hideMark/>
          </w:tcPr>
          <w:p w14:paraId="0E546D33"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90</w:t>
            </w:r>
          </w:p>
        </w:tc>
        <w:tc>
          <w:tcPr>
            <w:tcW w:w="851" w:type="dxa"/>
            <w:tcBorders>
              <w:top w:val="nil"/>
              <w:left w:val="nil"/>
              <w:bottom w:val="double" w:sz="6" w:space="0" w:color="auto"/>
              <w:right w:val="nil"/>
            </w:tcBorders>
            <w:shd w:val="clear" w:color="auto" w:fill="auto"/>
            <w:noWrap/>
            <w:vAlign w:val="center"/>
            <w:hideMark/>
          </w:tcPr>
          <w:p w14:paraId="57EDE8D6" w14:textId="51CDC312"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134" w:type="dxa"/>
            <w:tcBorders>
              <w:top w:val="nil"/>
              <w:left w:val="single" w:sz="4" w:space="0" w:color="auto"/>
              <w:bottom w:val="double" w:sz="6" w:space="0" w:color="auto"/>
              <w:right w:val="nil"/>
            </w:tcBorders>
            <w:shd w:val="clear" w:color="auto" w:fill="auto"/>
            <w:noWrap/>
            <w:vAlign w:val="center"/>
            <w:hideMark/>
          </w:tcPr>
          <w:p w14:paraId="5D0A3321"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61</w:t>
            </w:r>
          </w:p>
        </w:tc>
        <w:tc>
          <w:tcPr>
            <w:tcW w:w="856" w:type="dxa"/>
            <w:tcBorders>
              <w:top w:val="nil"/>
              <w:left w:val="nil"/>
              <w:bottom w:val="double" w:sz="6" w:space="0" w:color="auto"/>
              <w:right w:val="single" w:sz="4" w:space="0" w:color="auto"/>
            </w:tcBorders>
            <w:shd w:val="clear" w:color="auto" w:fill="auto"/>
            <w:noWrap/>
            <w:vAlign w:val="center"/>
            <w:hideMark/>
          </w:tcPr>
          <w:p w14:paraId="6B586D93" w14:textId="5DC17283"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81" w:type="dxa"/>
            <w:tcBorders>
              <w:top w:val="nil"/>
              <w:left w:val="nil"/>
              <w:bottom w:val="double" w:sz="6" w:space="0" w:color="auto"/>
              <w:right w:val="nil"/>
            </w:tcBorders>
            <w:shd w:val="clear" w:color="auto" w:fill="auto"/>
            <w:noWrap/>
            <w:vAlign w:val="center"/>
            <w:hideMark/>
          </w:tcPr>
          <w:p w14:paraId="3A709285" w14:textId="77777777" w:rsidR="000F7140" w:rsidRPr="00F15667" w:rsidRDefault="000F7140" w:rsidP="00687F42">
            <w:pPr>
              <w:spacing w:line="240" w:lineRule="auto"/>
              <w:jc w:val="center"/>
              <w:rPr>
                <w:rFonts w:eastAsia="Times New Roman"/>
                <w:szCs w:val="24"/>
                <w:lang w:eastAsia="cs-CZ"/>
              </w:rPr>
            </w:pPr>
            <w:r w:rsidRPr="00F15667">
              <w:rPr>
                <w:rFonts w:eastAsia="Times New Roman"/>
                <w:szCs w:val="24"/>
                <w:lang w:eastAsia="cs-CZ"/>
              </w:rPr>
              <w:t>179</w:t>
            </w:r>
          </w:p>
        </w:tc>
        <w:tc>
          <w:tcPr>
            <w:tcW w:w="863" w:type="dxa"/>
            <w:tcBorders>
              <w:top w:val="nil"/>
              <w:left w:val="nil"/>
              <w:bottom w:val="double" w:sz="6" w:space="0" w:color="auto"/>
              <w:right w:val="nil"/>
            </w:tcBorders>
            <w:shd w:val="clear" w:color="auto" w:fill="auto"/>
            <w:noWrap/>
            <w:vAlign w:val="center"/>
            <w:hideMark/>
          </w:tcPr>
          <w:p w14:paraId="0BB1C45F" w14:textId="6152F7C9" w:rsidR="000F7140" w:rsidRPr="00F15667" w:rsidRDefault="000F7140" w:rsidP="00687F42">
            <w:pPr>
              <w:spacing w:line="240" w:lineRule="auto"/>
              <w:jc w:val="center"/>
              <w:rPr>
                <w:rFonts w:eastAsia="Times New Roman"/>
                <w:sz w:val="20"/>
                <w:szCs w:val="20"/>
                <w:lang w:eastAsia="cs-CZ"/>
              </w:rPr>
            </w:pPr>
            <w:r w:rsidRPr="00F15667">
              <w:rPr>
                <w:rFonts w:eastAsia="Times New Roman"/>
                <w:sz w:val="20"/>
                <w:szCs w:val="20"/>
                <w:lang w:eastAsia="cs-CZ"/>
              </w:rPr>
              <w:t>-17 %</w:t>
            </w:r>
          </w:p>
        </w:tc>
      </w:tr>
      <w:tr w:rsidR="00F15667" w:rsidRPr="00F15667" w14:paraId="4076BABB" w14:textId="77777777" w:rsidTr="00687F42">
        <w:trPr>
          <w:trHeight w:val="345"/>
        </w:trPr>
        <w:tc>
          <w:tcPr>
            <w:tcW w:w="2480" w:type="dxa"/>
            <w:tcBorders>
              <w:top w:val="nil"/>
              <w:left w:val="nil"/>
              <w:bottom w:val="double" w:sz="6" w:space="0" w:color="auto"/>
              <w:right w:val="nil"/>
            </w:tcBorders>
            <w:shd w:val="clear" w:color="auto" w:fill="auto"/>
            <w:noWrap/>
            <w:vAlign w:val="center"/>
            <w:hideMark/>
          </w:tcPr>
          <w:p w14:paraId="1DD5FA67" w14:textId="77777777" w:rsidR="000F7140" w:rsidRPr="00F15667" w:rsidRDefault="000F7140" w:rsidP="00687F42">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64" w:type="dxa"/>
            <w:tcBorders>
              <w:top w:val="nil"/>
              <w:left w:val="nil"/>
              <w:bottom w:val="double" w:sz="6" w:space="0" w:color="auto"/>
              <w:right w:val="nil"/>
            </w:tcBorders>
            <w:shd w:val="clear" w:color="auto" w:fill="auto"/>
            <w:noWrap/>
            <w:vAlign w:val="center"/>
            <w:hideMark/>
          </w:tcPr>
          <w:p w14:paraId="34F3F113" w14:textId="77777777" w:rsidR="000F7140" w:rsidRPr="00F15667" w:rsidRDefault="000F7140" w:rsidP="00687F42">
            <w:pPr>
              <w:spacing w:line="240" w:lineRule="auto"/>
              <w:jc w:val="center"/>
              <w:rPr>
                <w:rFonts w:eastAsia="Times New Roman"/>
                <w:b/>
                <w:bCs/>
                <w:szCs w:val="24"/>
                <w:lang w:eastAsia="cs-CZ"/>
              </w:rPr>
            </w:pPr>
            <w:r w:rsidRPr="00F15667">
              <w:rPr>
                <w:rFonts w:eastAsia="Times New Roman"/>
                <w:b/>
                <w:bCs/>
                <w:szCs w:val="24"/>
                <w:lang w:eastAsia="cs-CZ"/>
              </w:rPr>
              <w:t>121</w:t>
            </w:r>
          </w:p>
        </w:tc>
        <w:tc>
          <w:tcPr>
            <w:tcW w:w="851" w:type="dxa"/>
            <w:tcBorders>
              <w:top w:val="nil"/>
              <w:left w:val="nil"/>
              <w:bottom w:val="double" w:sz="6" w:space="0" w:color="auto"/>
              <w:right w:val="nil"/>
            </w:tcBorders>
            <w:shd w:val="clear" w:color="auto" w:fill="auto"/>
            <w:noWrap/>
            <w:vAlign w:val="center"/>
            <w:hideMark/>
          </w:tcPr>
          <w:p w14:paraId="0D742D76" w14:textId="46F8BEF3" w:rsidR="000F7140" w:rsidRPr="00F15667" w:rsidRDefault="000F7140" w:rsidP="00687F42">
            <w:pPr>
              <w:spacing w:line="240" w:lineRule="auto"/>
              <w:jc w:val="center"/>
              <w:rPr>
                <w:rFonts w:eastAsia="Times New Roman"/>
                <w:b/>
                <w:bCs/>
                <w:sz w:val="20"/>
                <w:szCs w:val="20"/>
                <w:lang w:eastAsia="cs-CZ"/>
              </w:rPr>
            </w:pPr>
            <w:r w:rsidRPr="00F15667">
              <w:rPr>
                <w:rFonts w:eastAsia="Times New Roman"/>
                <w:b/>
                <w:bCs/>
                <w:sz w:val="20"/>
                <w:szCs w:val="20"/>
                <w:lang w:eastAsia="cs-CZ"/>
              </w:rPr>
              <w:t>-4 %</w:t>
            </w:r>
          </w:p>
        </w:tc>
        <w:tc>
          <w:tcPr>
            <w:tcW w:w="1134" w:type="dxa"/>
            <w:tcBorders>
              <w:top w:val="nil"/>
              <w:left w:val="single" w:sz="4" w:space="0" w:color="auto"/>
              <w:bottom w:val="double" w:sz="6" w:space="0" w:color="auto"/>
              <w:right w:val="nil"/>
            </w:tcBorders>
            <w:shd w:val="clear" w:color="auto" w:fill="auto"/>
            <w:noWrap/>
            <w:vAlign w:val="center"/>
            <w:hideMark/>
          </w:tcPr>
          <w:p w14:paraId="3D00CD40" w14:textId="77777777" w:rsidR="000F7140" w:rsidRPr="00F15667" w:rsidRDefault="000F7140" w:rsidP="00687F42">
            <w:pPr>
              <w:spacing w:line="240" w:lineRule="auto"/>
              <w:jc w:val="center"/>
              <w:rPr>
                <w:rFonts w:eastAsia="Times New Roman"/>
                <w:b/>
                <w:bCs/>
                <w:szCs w:val="24"/>
                <w:lang w:eastAsia="cs-CZ"/>
              </w:rPr>
            </w:pPr>
            <w:r w:rsidRPr="00F15667">
              <w:rPr>
                <w:rFonts w:eastAsia="Times New Roman"/>
                <w:b/>
                <w:bCs/>
                <w:szCs w:val="24"/>
                <w:lang w:eastAsia="cs-CZ"/>
              </w:rPr>
              <w:t>64</w:t>
            </w:r>
          </w:p>
        </w:tc>
        <w:tc>
          <w:tcPr>
            <w:tcW w:w="856" w:type="dxa"/>
            <w:tcBorders>
              <w:top w:val="nil"/>
              <w:left w:val="nil"/>
              <w:bottom w:val="double" w:sz="6" w:space="0" w:color="auto"/>
              <w:right w:val="single" w:sz="4" w:space="0" w:color="auto"/>
            </w:tcBorders>
            <w:shd w:val="clear" w:color="auto" w:fill="auto"/>
            <w:noWrap/>
            <w:vAlign w:val="center"/>
            <w:hideMark/>
          </w:tcPr>
          <w:p w14:paraId="62CEF1BB" w14:textId="4FC23D74" w:rsidR="000F7140" w:rsidRPr="00F15667" w:rsidRDefault="000F7140" w:rsidP="00687F42">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c>
          <w:tcPr>
            <w:tcW w:w="1081" w:type="dxa"/>
            <w:tcBorders>
              <w:top w:val="nil"/>
              <w:left w:val="nil"/>
              <w:bottom w:val="double" w:sz="6" w:space="0" w:color="auto"/>
              <w:right w:val="nil"/>
            </w:tcBorders>
            <w:shd w:val="clear" w:color="auto" w:fill="auto"/>
            <w:noWrap/>
            <w:vAlign w:val="center"/>
            <w:hideMark/>
          </w:tcPr>
          <w:p w14:paraId="381C78D6" w14:textId="77777777" w:rsidR="000F7140" w:rsidRPr="00F15667" w:rsidRDefault="000F7140" w:rsidP="00687F42">
            <w:pPr>
              <w:spacing w:line="240" w:lineRule="auto"/>
              <w:jc w:val="center"/>
              <w:rPr>
                <w:rFonts w:eastAsia="Times New Roman"/>
                <w:b/>
                <w:bCs/>
                <w:szCs w:val="24"/>
                <w:lang w:eastAsia="cs-CZ"/>
              </w:rPr>
            </w:pPr>
            <w:r w:rsidRPr="00F15667">
              <w:rPr>
                <w:rFonts w:eastAsia="Times New Roman"/>
                <w:b/>
                <w:bCs/>
                <w:szCs w:val="24"/>
                <w:lang w:eastAsia="cs-CZ"/>
              </w:rPr>
              <w:t>252</w:t>
            </w:r>
          </w:p>
        </w:tc>
        <w:tc>
          <w:tcPr>
            <w:tcW w:w="863" w:type="dxa"/>
            <w:tcBorders>
              <w:top w:val="nil"/>
              <w:left w:val="nil"/>
              <w:bottom w:val="double" w:sz="6" w:space="0" w:color="auto"/>
              <w:right w:val="nil"/>
            </w:tcBorders>
            <w:shd w:val="clear" w:color="auto" w:fill="auto"/>
            <w:noWrap/>
            <w:vAlign w:val="center"/>
            <w:hideMark/>
          </w:tcPr>
          <w:p w14:paraId="375484C8" w14:textId="69BC686D" w:rsidR="000F7140" w:rsidRPr="00F15667" w:rsidRDefault="000F7140" w:rsidP="00687F42">
            <w:pPr>
              <w:spacing w:line="240" w:lineRule="auto"/>
              <w:jc w:val="center"/>
              <w:rPr>
                <w:rFonts w:eastAsia="Times New Roman"/>
                <w:b/>
                <w:bCs/>
                <w:sz w:val="20"/>
                <w:szCs w:val="20"/>
                <w:lang w:eastAsia="cs-CZ"/>
              </w:rPr>
            </w:pPr>
            <w:r w:rsidRPr="00F15667">
              <w:rPr>
                <w:rFonts w:eastAsia="Times New Roman"/>
                <w:b/>
                <w:bCs/>
                <w:sz w:val="20"/>
                <w:szCs w:val="20"/>
                <w:lang w:eastAsia="cs-CZ"/>
              </w:rPr>
              <w:t>-5 %</w:t>
            </w:r>
          </w:p>
        </w:tc>
      </w:tr>
      <w:tr w:rsidR="00F15667" w:rsidRPr="00F15667" w14:paraId="1745DE56" w14:textId="77777777" w:rsidTr="00687F42">
        <w:trPr>
          <w:trHeight w:val="330"/>
        </w:trPr>
        <w:tc>
          <w:tcPr>
            <w:tcW w:w="2480" w:type="dxa"/>
            <w:tcBorders>
              <w:top w:val="nil"/>
              <w:left w:val="nil"/>
              <w:bottom w:val="nil"/>
              <w:right w:val="nil"/>
            </w:tcBorders>
            <w:shd w:val="clear" w:color="auto" w:fill="auto"/>
            <w:noWrap/>
            <w:vAlign w:val="center"/>
            <w:hideMark/>
          </w:tcPr>
          <w:p w14:paraId="25E67C1D" w14:textId="77777777" w:rsidR="000F7140" w:rsidRPr="00F15667" w:rsidRDefault="000F7140" w:rsidP="00687F42">
            <w:pPr>
              <w:spacing w:line="240" w:lineRule="auto"/>
              <w:jc w:val="center"/>
              <w:rPr>
                <w:rFonts w:eastAsia="Times New Roman"/>
                <w:b/>
                <w:bCs/>
                <w:sz w:val="20"/>
                <w:szCs w:val="20"/>
                <w:lang w:eastAsia="cs-CZ"/>
              </w:rPr>
            </w:pPr>
          </w:p>
        </w:tc>
        <w:tc>
          <w:tcPr>
            <w:tcW w:w="1064" w:type="dxa"/>
            <w:tcBorders>
              <w:top w:val="nil"/>
              <w:left w:val="nil"/>
              <w:bottom w:val="nil"/>
              <w:right w:val="nil"/>
            </w:tcBorders>
            <w:shd w:val="clear" w:color="auto" w:fill="auto"/>
            <w:noWrap/>
            <w:vAlign w:val="center"/>
            <w:hideMark/>
          </w:tcPr>
          <w:p w14:paraId="163438C2" w14:textId="77777777" w:rsidR="000F7140" w:rsidRPr="00F15667" w:rsidRDefault="000F7140" w:rsidP="00687F42">
            <w:pPr>
              <w:spacing w:line="240" w:lineRule="auto"/>
              <w:jc w:val="center"/>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center"/>
            <w:hideMark/>
          </w:tcPr>
          <w:p w14:paraId="6C72243E" w14:textId="77777777" w:rsidR="000F7140" w:rsidRPr="00F15667" w:rsidRDefault="000F7140" w:rsidP="00687F42">
            <w:pPr>
              <w:spacing w:line="240" w:lineRule="auto"/>
              <w:jc w:val="center"/>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center"/>
            <w:hideMark/>
          </w:tcPr>
          <w:p w14:paraId="71E56072" w14:textId="77777777" w:rsidR="000F7140" w:rsidRPr="00F15667" w:rsidRDefault="000F7140" w:rsidP="00687F42">
            <w:pPr>
              <w:spacing w:line="240" w:lineRule="auto"/>
              <w:jc w:val="center"/>
              <w:rPr>
                <w:rFonts w:ascii="Times New Roman" w:eastAsia="Times New Roman" w:hAnsi="Times New Roman"/>
                <w:sz w:val="20"/>
                <w:szCs w:val="20"/>
                <w:lang w:eastAsia="cs-CZ"/>
              </w:rPr>
            </w:pPr>
          </w:p>
        </w:tc>
        <w:tc>
          <w:tcPr>
            <w:tcW w:w="856" w:type="dxa"/>
            <w:tcBorders>
              <w:top w:val="nil"/>
              <w:left w:val="nil"/>
              <w:bottom w:val="nil"/>
              <w:right w:val="nil"/>
            </w:tcBorders>
            <w:shd w:val="clear" w:color="auto" w:fill="auto"/>
            <w:noWrap/>
            <w:vAlign w:val="center"/>
            <w:hideMark/>
          </w:tcPr>
          <w:p w14:paraId="07B1F46C" w14:textId="77777777" w:rsidR="000F7140" w:rsidRPr="00F15667" w:rsidRDefault="000F7140" w:rsidP="00687F42">
            <w:pPr>
              <w:spacing w:line="240" w:lineRule="auto"/>
              <w:jc w:val="center"/>
              <w:rPr>
                <w:rFonts w:ascii="Times New Roman" w:eastAsia="Times New Roman" w:hAnsi="Times New Roman"/>
                <w:sz w:val="20"/>
                <w:szCs w:val="20"/>
                <w:lang w:eastAsia="cs-CZ"/>
              </w:rPr>
            </w:pPr>
          </w:p>
        </w:tc>
        <w:tc>
          <w:tcPr>
            <w:tcW w:w="1081" w:type="dxa"/>
            <w:tcBorders>
              <w:top w:val="nil"/>
              <w:left w:val="nil"/>
              <w:bottom w:val="nil"/>
              <w:right w:val="nil"/>
            </w:tcBorders>
            <w:shd w:val="clear" w:color="auto" w:fill="auto"/>
            <w:noWrap/>
            <w:vAlign w:val="center"/>
            <w:hideMark/>
          </w:tcPr>
          <w:p w14:paraId="50FA8237" w14:textId="77777777" w:rsidR="000F7140" w:rsidRPr="00F15667" w:rsidRDefault="000F7140" w:rsidP="00687F42">
            <w:pPr>
              <w:spacing w:line="240" w:lineRule="auto"/>
              <w:jc w:val="center"/>
              <w:rPr>
                <w:rFonts w:ascii="Times New Roman" w:eastAsia="Times New Roman" w:hAnsi="Times New Roman"/>
                <w:sz w:val="20"/>
                <w:szCs w:val="20"/>
                <w:lang w:eastAsia="cs-CZ"/>
              </w:rPr>
            </w:pPr>
          </w:p>
        </w:tc>
        <w:tc>
          <w:tcPr>
            <w:tcW w:w="863" w:type="dxa"/>
            <w:tcBorders>
              <w:top w:val="nil"/>
              <w:left w:val="nil"/>
              <w:bottom w:val="nil"/>
              <w:right w:val="nil"/>
            </w:tcBorders>
            <w:shd w:val="clear" w:color="auto" w:fill="auto"/>
            <w:noWrap/>
            <w:vAlign w:val="center"/>
            <w:hideMark/>
          </w:tcPr>
          <w:p w14:paraId="35624D8D" w14:textId="77777777" w:rsidR="000F7140" w:rsidRPr="00F15667" w:rsidRDefault="000F7140" w:rsidP="00687F42">
            <w:pPr>
              <w:spacing w:line="240" w:lineRule="auto"/>
              <w:jc w:val="center"/>
              <w:rPr>
                <w:rFonts w:ascii="Times New Roman" w:eastAsia="Times New Roman" w:hAnsi="Times New Roman"/>
                <w:sz w:val="20"/>
                <w:szCs w:val="20"/>
                <w:lang w:eastAsia="cs-CZ"/>
              </w:rPr>
            </w:pPr>
          </w:p>
        </w:tc>
      </w:tr>
    </w:tbl>
    <w:p w14:paraId="618E4100" w14:textId="77777777" w:rsidR="008508A1" w:rsidRPr="00F15667" w:rsidRDefault="008508A1" w:rsidP="008508A1">
      <w:pPr>
        <w:pStyle w:val="OdstavecASR"/>
      </w:pPr>
      <w:r w:rsidRPr="00F15667">
        <w:t>Podívejme se ještě na rozložení délek odvolacích řízení pomocí histogramu. Připomínáme, že stejně jako u okresních soudů je šířka jednoho intervalu (sloupce) 25 dnů. Pro lepší přehlednost uvádíme všechny délky řízení delší než 800 dnů v jednom sloupci (na grafu nejvíce vpravo). Z histogramu pak můžeme opět vyčíst další informace o délkách řízení. Například:</w:t>
      </w:r>
    </w:p>
    <w:p w14:paraId="29608A2C" w14:textId="6DB295F8" w:rsidR="008508A1" w:rsidRPr="00F15667" w:rsidRDefault="008508A1" w:rsidP="008508A1">
      <w:pPr>
        <w:pStyle w:val="Odstavecseseznamem"/>
        <w:numPr>
          <w:ilvl w:val="0"/>
          <w:numId w:val="24"/>
        </w:numPr>
      </w:pPr>
      <w:r w:rsidRPr="00F15667">
        <w:t>Necelých 40 % věcí je vyřízeno do 50 dnů.</w:t>
      </w:r>
    </w:p>
    <w:p w14:paraId="77A18668" w14:textId="77777777" w:rsidR="008508A1" w:rsidRPr="00F15667" w:rsidRDefault="008508A1" w:rsidP="008508A1">
      <w:pPr>
        <w:pStyle w:val="Odstavecseseznamem"/>
        <w:numPr>
          <w:ilvl w:val="0"/>
          <w:numId w:val="24"/>
        </w:numPr>
      </w:pPr>
      <w:r w:rsidRPr="00F15667">
        <w:t>Asi 3 % všech odvolání v civilním řízení u KS trvá déle než 800 kalendářních dnů.</w:t>
      </w:r>
    </w:p>
    <w:p w14:paraId="0AAE4E7A" w14:textId="77777777" w:rsidR="008508A1" w:rsidRPr="00F15667" w:rsidRDefault="008508A1" w:rsidP="008508A1">
      <w:pPr>
        <w:pStyle w:val="Odstavecseseznamem"/>
        <w:numPr>
          <w:ilvl w:val="0"/>
          <w:numId w:val="24"/>
        </w:numPr>
      </w:pPr>
      <w:r w:rsidRPr="00F15667">
        <w:t>Relativní četnost délek řízení téměř vždy klesá s přibývající délkou řízení.</w:t>
      </w:r>
    </w:p>
    <w:p w14:paraId="525C80F0" w14:textId="37392ED9" w:rsidR="008508A1" w:rsidRPr="00F15667" w:rsidRDefault="008508A1" w:rsidP="008508A1">
      <w:pPr>
        <w:pStyle w:val="Podnadpis"/>
        <w:numPr>
          <w:ilvl w:val="0"/>
          <w:numId w:val="0"/>
        </w:numPr>
        <w:rPr>
          <w:color w:val="auto"/>
        </w:rPr>
      </w:pPr>
      <w:bookmarkStart w:id="694" w:name="_Toc43841436"/>
      <w:bookmarkStart w:id="695" w:name="_Toc75952239"/>
      <w:bookmarkStart w:id="696" w:name="_Toc106106696"/>
      <w:bookmarkStart w:id="697" w:name="_Toc109802020"/>
      <w:bookmarkStart w:id="698" w:name="_Toc144104171"/>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59</w:t>
      </w:r>
      <w:r w:rsidR="009A10E2" w:rsidRPr="00F15667">
        <w:rPr>
          <w:color w:val="auto"/>
        </w:rPr>
        <w:fldChar w:fldCharType="end"/>
      </w:r>
      <w:r w:rsidRPr="00F15667">
        <w:rPr>
          <w:color w:val="auto"/>
        </w:rPr>
        <w:t>: KS – distribuce délek odvolacího civilního řízení</w:t>
      </w:r>
      <w:bookmarkEnd w:id="694"/>
      <w:bookmarkEnd w:id="695"/>
      <w:bookmarkEnd w:id="696"/>
      <w:bookmarkEnd w:id="697"/>
      <w:bookmarkEnd w:id="698"/>
    </w:p>
    <w:p w14:paraId="75B956E1" w14:textId="7A8FB5A6" w:rsidR="005F5C4B" w:rsidRDefault="008508A1" w:rsidP="00687F42">
      <w:pPr>
        <w:pStyle w:val="OdstavecASR"/>
        <w:rPr>
          <w:szCs w:val="24"/>
        </w:rPr>
      </w:pPr>
      <w:r w:rsidRPr="00F15667">
        <w:rPr>
          <w:noProof/>
          <w:lang w:eastAsia="cs-CZ"/>
        </w:rPr>
        <w:drawing>
          <wp:inline distT="0" distB="0" distL="0" distR="0" wp14:anchorId="4E5D6837" wp14:editId="08704E44">
            <wp:extent cx="5029200" cy="3657600"/>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638A4E0" w14:textId="2E08EC36" w:rsidR="00DB2160" w:rsidRDefault="00DB2160">
      <w:pPr>
        <w:spacing w:after="160" w:line="259" w:lineRule="auto"/>
        <w:jc w:val="left"/>
        <w:rPr>
          <w:szCs w:val="24"/>
        </w:rPr>
      </w:pPr>
      <w:r>
        <w:rPr>
          <w:szCs w:val="24"/>
        </w:rPr>
        <w:br w:type="page"/>
      </w:r>
    </w:p>
    <w:p w14:paraId="5646C764" w14:textId="0AC56A8F" w:rsidR="008430BD" w:rsidRPr="00F15667" w:rsidRDefault="008430BD" w:rsidP="008430BD">
      <w:pPr>
        <w:pStyle w:val="Nadpis3"/>
        <w:numPr>
          <w:ilvl w:val="2"/>
          <w:numId w:val="1"/>
        </w:numPr>
        <w:rPr>
          <w:color w:val="auto"/>
        </w:rPr>
      </w:pPr>
      <w:bookmarkStart w:id="699" w:name="_Toc106092760"/>
      <w:bookmarkStart w:id="700" w:name="_Toc144104373"/>
      <w:r w:rsidRPr="00F15667">
        <w:rPr>
          <w:color w:val="auto"/>
        </w:rPr>
        <w:lastRenderedPageBreak/>
        <w:t>Vyřizování věcí</w:t>
      </w:r>
      <w:bookmarkEnd w:id="699"/>
      <w:bookmarkEnd w:id="700"/>
    </w:p>
    <w:p w14:paraId="549C7C63" w14:textId="77777777" w:rsidR="008508A1" w:rsidRPr="00F15667" w:rsidRDefault="008508A1" w:rsidP="008508A1">
      <w:pPr>
        <w:pStyle w:val="OdstavecASR"/>
      </w:pPr>
      <w:r w:rsidRPr="00F15667">
        <w:t>Jak jsme uvedli již dříve, data o vyřizování věcí zahrnují více agend než údaje o délce řízení.</w:t>
      </w:r>
    </w:p>
    <w:p w14:paraId="125CB5D0" w14:textId="337B6600" w:rsidR="008508A1" w:rsidRPr="00F15667" w:rsidRDefault="008508A1" w:rsidP="008508A1">
      <w:pPr>
        <w:pStyle w:val="Podnadpis"/>
        <w:numPr>
          <w:ilvl w:val="0"/>
          <w:numId w:val="0"/>
        </w:numPr>
        <w:rPr>
          <w:color w:val="auto"/>
        </w:rPr>
      </w:pPr>
      <w:bookmarkStart w:id="701" w:name="_Toc515871387"/>
      <w:bookmarkStart w:id="702" w:name="_Toc11135118"/>
      <w:bookmarkStart w:id="703" w:name="_Toc43841437"/>
      <w:bookmarkStart w:id="704" w:name="_Toc75952240"/>
      <w:bookmarkStart w:id="705" w:name="_Toc106106697"/>
      <w:bookmarkStart w:id="706" w:name="_Toc109802021"/>
      <w:bookmarkStart w:id="707" w:name="_Toc144104172"/>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60</w:t>
      </w:r>
      <w:r w:rsidR="009A10E2" w:rsidRPr="00F15667">
        <w:rPr>
          <w:color w:val="auto"/>
        </w:rPr>
        <w:fldChar w:fldCharType="end"/>
      </w:r>
      <w:r w:rsidRPr="00F15667">
        <w:rPr>
          <w:color w:val="auto"/>
        </w:rPr>
        <w:t>: KS – vyřizování odvolacích civilních věcí v letech 2008–20</w:t>
      </w:r>
      <w:bookmarkEnd w:id="701"/>
      <w:bookmarkEnd w:id="702"/>
      <w:bookmarkEnd w:id="703"/>
      <w:r w:rsidRPr="00F15667">
        <w:rPr>
          <w:color w:val="auto"/>
        </w:rPr>
        <w:t>2</w:t>
      </w:r>
      <w:bookmarkEnd w:id="704"/>
      <w:bookmarkEnd w:id="705"/>
      <w:bookmarkEnd w:id="706"/>
      <w:r w:rsidRPr="00F15667">
        <w:rPr>
          <w:color w:val="auto"/>
        </w:rPr>
        <w:t>2</w:t>
      </w:r>
      <w:bookmarkEnd w:id="707"/>
    </w:p>
    <w:p w14:paraId="5295B70E" w14:textId="4094B515" w:rsidR="008508A1" w:rsidRPr="00F15667" w:rsidRDefault="008508A1" w:rsidP="00687F42">
      <w:pPr>
        <w:pStyle w:val="OdstavecASR"/>
      </w:pPr>
      <w:r w:rsidRPr="00F15667">
        <w:rPr>
          <w:noProof/>
          <w:lang w:eastAsia="cs-CZ"/>
        </w:rPr>
        <w:drawing>
          <wp:inline distT="0" distB="0" distL="0" distR="0" wp14:anchorId="0D87356D" wp14:editId="14719599">
            <wp:extent cx="5029200" cy="3657600"/>
            <wp:effectExtent l="0" t="0" r="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54A6002" w14:textId="1B46A5EA" w:rsidR="00673269" w:rsidRPr="00F15667" w:rsidRDefault="00673269" w:rsidP="00673269">
      <w:pPr>
        <w:pStyle w:val="OdstavecASR"/>
      </w:pPr>
      <w:r w:rsidRPr="00F15667">
        <w:t>V časové řadě registrujeme nárůst v počtu napadlých a vyřízených věcí v roce 2012. Následoval postupný pokles na hodnoty před rokem 2012 a ještě výrazně níže. Klesající trend se výrazně zpomalil až nakonec došlo v </w:t>
      </w:r>
      <w:r w:rsidR="00AA7623" w:rsidRPr="00F15667">
        <w:t xml:space="preserve">roce </w:t>
      </w:r>
      <w:r w:rsidRPr="00F15667">
        <w:t>202</w:t>
      </w:r>
      <w:r w:rsidR="00065AFE" w:rsidRPr="00F15667">
        <w:t>2</w:t>
      </w:r>
      <w:r w:rsidR="00AA7623" w:rsidRPr="00F15667">
        <w:t xml:space="preserve"> </w:t>
      </w:r>
      <w:r w:rsidRPr="00F15667">
        <w:t>k malému nárůstu. Logicky se nabízí hypotéza, že vývoj nápadu v agendě Co by měl za předpokladu konstantní míry odvolání do značné míry kopírovat vývoj prvostupňových vyřízených civilních věcí u okresních soudů. Tento předpoklad ale pro data v této zprávě často neplatí. Lze to vysvětlit již dříve popsanou skutečností, že do rejstříku Co nespadají jen odvolání v rejstříku C (který zkoumáme v kapitole </w:t>
      </w:r>
      <w:r w:rsidRPr="00F15667">
        <w:fldChar w:fldCharType="begin"/>
      </w:r>
      <w:r w:rsidRPr="00F15667">
        <w:instrText xml:space="preserve"> REF _Ref9425277 \r \h  \* MERGEFORMAT </w:instrText>
      </w:r>
      <w:r w:rsidRPr="00F15667">
        <w:fldChar w:fldCharType="separate"/>
      </w:r>
      <w:r w:rsidR="001E1A67">
        <w:t>2.2</w:t>
      </w:r>
      <w:r w:rsidRPr="00F15667">
        <w:fldChar w:fldCharType="end"/>
      </w:r>
      <w:r w:rsidRPr="00F15667">
        <w:t>), ale i odvolání ve všech ostatních věcech, které jsou vyřizovány na civilním úseku okresních soudů.</w:t>
      </w:r>
    </w:p>
    <w:p w14:paraId="51C23F82" w14:textId="610940D2" w:rsidR="009330E7" w:rsidRPr="00F15667" w:rsidRDefault="00673269" w:rsidP="00673269">
      <w:pPr>
        <w:pStyle w:val="OdstavecASR"/>
      </w:pPr>
      <w:r w:rsidRPr="00F15667">
        <w:t xml:space="preserve">Důležitým zjištěním je především, že počet vyřízených věcí je v posledních letech </w:t>
      </w:r>
      <w:r w:rsidR="009330E7" w:rsidRPr="00F15667">
        <w:t xml:space="preserve">téměř </w:t>
      </w:r>
      <w:r w:rsidRPr="00F15667">
        <w:t>vždy mírně vyšší než počet věcí příchozích. Počet nevyřízených věcí tedy pomalu, ale jistě klesá. Pokles v roce 2019 z 10 253 věcí na 8 694 věcí, tedy o 15 %, lze dokonce označit za výrazný. V roce 2020 došlo i přes pokles v nápadu k mírnému růstu v počtu nevyřízených věcí (poprvé od roku 2012). To teoreticky může plynout z vlivu pandemie COVID</w:t>
      </w:r>
      <w:r w:rsidRPr="00F15667">
        <w:noBreakHyphen/>
        <w:t xml:space="preserve">19 a dopadu souvisejících vládních opatření na činnost soudů. Tomuto závěru </w:t>
      </w:r>
      <w:r w:rsidRPr="00F15667">
        <w:rPr>
          <w:i/>
          <w:iCs/>
        </w:rPr>
        <w:t>a priori</w:t>
      </w:r>
      <w:r w:rsidRPr="00F15667">
        <w:t xml:space="preserve"> odporuje fakt, že 4 soudy počet nevyřízených věcí snížily a 4 zvýšily, ale dopad pandemie se mohl lišit soud od soudu. V roce 2021 došlo k dalšímu citelnému poklesu v počtu nevyřízených věcí, tentokrát o 16 %.</w:t>
      </w:r>
      <w:r w:rsidR="009330E7" w:rsidRPr="00F15667">
        <w:t xml:space="preserve"> V roce 2022 pak došlo k mírnému nárůstu nevyřízených věcí. Je třeba říct, že počet nevyřízených věcí nemůže klesat donekonečna a zřejmě se ustálí. Nabízí se otázka, zda je to již nyní kolem 8 000 nevyřízených věcí či nikoliv.</w:t>
      </w:r>
    </w:p>
    <w:p w14:paraId="71520EA8" w14:textId="70116C2C" w:rsidR="00673269" w:rsidRDefault="00673269" w:rsidP="00673269">
      <w:pPr>
        <w:pStyle w:val="OdstavecASR"/>
      </w:pPr>
      <w:r w:rsidRPr="00F15667">
        <w:t xml:space="preserve">V tabulce zaujme především </w:t>
      </w:r>
      <w:r w:rsidR="009330E7" w:rsidRPr="00F15667">
        <w:t>5</w:t>
      </w:r>
      <w:r w:rsidRPr="00F15667">
        <w:t xml:space="preserve">2% </w:t>
      </w:r>
      <w:r w:rsidR="009330E7" w:rsidRPr="00F15667">
        <w:t>nárůst</w:t>
      </w:r>
      <w:r w:rsidRPr="00F15667">
        <w:t xml:space="preserve"> u KS v Ostravě. U tohoto soudu </w:t>
      </w:r>
      <w:r w:rsidR="009330E7" w:rsidRPr="00F15667">
        <w:t xml:space="preserve">dochází k podobným výkyvům několik posledních let. Vždy se výrazně sníží </w:t>
      </w:r>
      <w:r w:rsidR="009F1FC5" w:rsidRPr="00F15667">
        <w:t>č</w:t>
      </w:r>
      <w:r w:rsidR="009330E7" w:rsidRPr="00F15667">
        <w:t>i zvýší počet příchozích věcí a tomu i</w:t>
      </w:r>
      <w:r w:rsidR="00687F42">
        <w:t> </w:t>
      </w:r>
      <w:r w:rsidR="009330E7" w:rsidRPr="00F15667">
        <w:t>odpovídá pohyb v počtu nevyřízených věcí.</w:t>
      </w:r>
    </w:p>
    <w:p w14:paraId="74092C61" w14:textId="72EDBFF8" w:rsidR="00673269" w:rsidRPr="00F15667" w:rsidRDefault="00673269" w:rsidP="00673269">
      <w:pPr>
        <w:pStyle w:val="Podnadpis"/>
        <w:rPr>
          <w:color w:val="auto"/>
        </w:rPr>
      </w:pPr>
      <w:bookmarkStart w:id="708" w:name="_Toc515871476"/>
      <w:bookmarkStart w:id="709" w:name="_Toc11133244"/>
      <w:bookmarkStart w:id="710" w:name="_Toc43931222"/>
      <w:bookmarkStart w:id="711" w:name="_Toc75952355"/>
      <w:bookmarkStart w:id="712" w:name="_Toc106106811"/>
      <w:bookmarkStart w:id="713" w:name="_Toc109802134"/>
      <w:bookmarkStart w:id="714" w:name="_Toc144104292"/>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53</w:t>
      </w:r>
      <w:r w:rsidRPr="00F15667">
        <w:rPr>
          <w:color w:val="auto"/>
        </w:rPr>
        <w:fldChar w:fldCharType="end"/>
      </w:r>
      <w:r w:rsidRPr="00F15667">
        <w:rPr>
          <w:color w:val="auto"/>
        </w:rPr>
        <w:t>: KS – vyřizování odvolacích civilních věcí dle soudů</w:t>
      </w:r>
      <w:bookmarkEnd w:id="708"/>
      <w:bookmarkEnd w:id="709"/>
      <w:bookmarkEnd w:id="710"/>
      <w:bookmarkEnd w:id="711"/>
      <w:bookmarkEnd w:id="712"/>
      <w:bookmarkEnd w:id="713"/>
      <w:bookmarkEnd w:id="714"/>
    </w:p>
    <w:tbl>
      <w:tblPr>
        <w:tblW w:w="9072" w:type="dxa"/>
        <w:tblCellMar>
          <w:left w:w="70" w:type="dxa"/>
          <w:right w:w="70" w:type="dxa"/>
        </w:tblCellMar>
        <w:tblLook w:val="04A0" w:firstRow="1" w:lastRow="0" w:firstColumn="1" w:lastColumn="0" w:noHBand="0" w:noVBand="1"/>
      </w:tblPr>
      <w:tblGrid>
        <w:gridCol w:w="2020"/>
        <w:gridCol w:w="1079"/>
        <w:gridCol w:w="870"/>
        <w:gridCol w:w="1144"/>
        <w:gridCol w:w="699"/>
        <w:gridCol w:w="973"/>
        <w:gridCol w:w="870"/>
        <w:gridCol w:w="1417"/>
      </w:tblGrid>
      <w:tr w:rsidR="00F15667" w:rsidRPr="00F15667" w14:paraId="4FF32B50" w14:textId="77777777" w:rsidTr="00687F42">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CB88AB8" w14:textId="579AB6F4" w:rsidR="009330E7" w:rsidRPr="00F15667" w:rsidRDefault="00687F42" w:rsidP="009330E7">
            <w:pPr>
              <w:spacing w:line="240" w:lineRule="auto"/>
              <w:jc w:val="center"/>
              <w:rPr>
                <w:rFonts w:eastAsia="Times New Roman"/>
                <w:b/>
                <w:bCs/>
                <w:szCs w:val="24"/>
                <w:lang w:eastAsia="cs-CZ"/>
              </w:rPr>
            </w:pPr>
            <w:r>
              <w:rPr>
                <w:rFonts w:eastAsia="Times New Roman"/>
                <w:b/>
                <w:bCs/>
                <w:szCs w:val="24"/>
                <w:lang w:eastAsia="cs-CZ"/>
              </w:rPr>
              <w:t>S</w:t>
            </w:r>
            <w:r w:rsidR="009330E7" w:rsidRPr="00F15667">
              <w:rPr>
                <w:rFonts w:eastAsia="Times New Roman"/>
                <w:b/>
                <w:bCs/>
                <w:szCs w:val="24"/>
                <w:lang w:eastAsia="cs-CZ"/>
              </w:rPr>
              <w:t>oud</w:t>
            </w:r>
          </w:p>
        </w:tc>
        <w:tc>
          <w:tcPr>
            <w:tcW w:w="5635" w:type="dxa"/>
            <w:gridSpan w:val="6"/>
            <w:tcBorders>
              <w:top w:val="double" w:sz="6" w:space="0" w:color="auto"/>
              <w:left w:val="nil"/>
              <w:bottom w:val="nil"/>
              <w:right w:val="single" w:sz="4" w:space="0" w:color="000000"/>
            </w:tcBorders>
            <w:shd w:val="clear" w:color="auto" w:fill="auto"/>
            <w:noWrap/>
            <w:vAlign w:val="center"/>
            <w:hideMark/>
          </w:tcPr>
          <w:p w14:paraId="5EAE999F" w14:textId="77777777" w:rsidR="009330E7" w:rsidRPr="00F15667" w:rsidRDefault="009330E7" w:rsidP="009330E7">
            <w:pPr>
              <w:spacing w:line="240" w:lineRule="auto"/>
              <w:jc w:val="center"/>
              <w:rPr>
                <w:rFonts w:eastAsia="Times New Roman"/>
                <w:b/>
                <w:bCs/>
                <w:szCs w:val="24"/>
                <w:lang w:eastAsia="cs-CZ"/>
              </w:rPr>
            </w:pPr>
            <w:r w:rsidRPr="00F15667">
              <w:rPr>
                <w:rFonts w:eastAsia="Times New Roman"/>
                <w:b/>
                <w:bCs/>
                <w:szCs w:val="24"/>
                <w:lang w:eastAsia="cs-CZ"/>
              </w:rPr>
              <w:t>Počet věcí</w:t>
            </w:r>
          </w:p>
        </w:tc>
        <w:tc>
          <w:tcPr>
            <w:tcW w:w="1417" w:type="dxa"/>
            <w:vMerge w:val="restart"/>
            <w:tcBorders>
              <w:top w:val="double" w:sz="6" w:space="0" w:color="auto"/>
              <w:left w:val="nil"/>
              <w:bottom w:val="double" w:sz="6" w:space="0" w:color="000000"/>
              <w:right w:val="nil"/>
            </w:tcBorders>
            <w:shd w:val="clear" w:color="auto" w:fill="auto"/>
            <w:vAlign w:val="center"/>
            <w:hideMark/>
          </w:tcPr>
          <w:p w14:paraId="6B484E5D" w14:textId="77777777" w:rsidR="009330E7" w:rsidRPr="00F15667" w:rsidRDefault="009330E7" w:rsidP="009330E7">
            <w:pPr>
              <w:spacing w:line="240" w:lineRule="auto"/>
              <w:jc w:val="center"/>
              <w:rPr>
                <w:rFonts w:eastAsia="Times New Roman"/>
                <w:b/>
                <w:bCs/>
                <w:szCs w:val="24"/>
                <w:lang w:eastAsia="cs-CZ"/>
              </w:rPr>
            </w:pPr>
            <w:r w:rsidRPr="00F15667">
              <w:rPr>
                <w:rFonts w:eastAsia="Times New Roman"/>
                <w:b/>
                <w:bCs/>
                <w:szCs w:val="24"/>
                <w:lang w:eastAsia="cs-CZ"/>
              </w:rPr>
              <w:t>Míra vyřizování</w:t>
            </w:r>
          </w:p>
        </w:tc>
      </w:tr>
      <w:tr w:rsidR="00F15667" w:rsidRPr="00F15667" w14:paraId="3B6E79DF" w14:textId="77777777" w:rsidTr="00687F42">
        <w:trPr>
          <w:trHeight w:val="330"/>
        </w:trPr>
        <w:tc>
          <w:tcPr>
            <w:tcW w:w="2020" w:type="dxa"/>
            <w:vMerge/>
            <w:tcBorders>
              <w:top w:val="double" w:sz="6" w:space="0" w:color="auto"/>
              <w:left w:val="nil"/>
              <w:bottom w:val="double" w:sz="6" w:space="0" w:color="000000"/>
              <w:right w:val="nil"/>
            </w:tcBorders>
            <w:vAlign w:val="center"/>
            <w:hideMark/>
          </w:tcPr>
          <w:p w14:paraId="3ED17AB3" w14:textId="77777777" w:rsidR="009330E7" w:rsidRPr="00F15667" w:rsidRDefault="009330E7" w:rsidP="009330E7">
            <w:pPr>
              <w:spacing w:line="240" w:lineRule="auto"/>
              <w:jc w:val="left"/>
              <w:rPr>
                <w:rFonts w:eastAsia="Times New Roman"/>
                <w:b/>
                <w:bCs/>
                <w:szCs w:val="24"/>
                <w:lang w:eastAsia="cs-CZ"/>
              </w:rPr>
            </w:pPr>
          </w:p>
        </w:tc>
        <w:tc>
          <w:tcPr>
            <w:tcW w:w="1949" w:type="dxa"/>
            <w:gridSpan w:val="2"/>
            <w:tcBorders>
              <w:top w:val="nil"/>
              <w:left w:val="nil"/>
              <w:bottom w:val="double" w:sz="6" w:space="0" w:color="auto"/>
              <w:right w:val="nil"/>
            </w:tcBorders>
            <w:shd w:val="clear" w:color="auto" w:fill="auto"/>
            <w:noWrap/>
            <w:vAlign w:val="center"/>
            <w:hideMark/>
          </w:tcPr>
          <w:p w14:paraId="055CE851" w14:textId="77777777" w:rsidR="009330E7" w:rsidRPr="00F15667" w:rsidRDefault="009330E7" w:rsidP="009330E7">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84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849233F" w14:textId="77777777" w:rsidR="009330E7" w:rsidRPr="00F15667" w:rsidRDefault="009330E7" w:rsidP="009330E7">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noWrap/>
            <w:vAlign w:val="center"/>
            <w:hideMark/>
          </w:tcPr>
          <w:p w14:paraId="08DA0E18" w14:textId="77777777" w:rsidR="009330E7" w:rsidRPr="00F15667" w:rsidRDefault="009330E7" w:rsidP="009330E7">
            <w:pPr>
              <w:spacing w:line="240" w:lineRule="auto"/>
              <w:jc w:val="center"/>
              <w:rPr>
                <w:rFonts w:eastAsia="Times New Roman"/>
                <w:b/>
                <w:bCs/>
                <w:szCs w:val="24"/>
                <w:lang w:eastAsia="cs-CZ"/>
              </w:rPr>
            </w:pPr>
            <w:r w:rsidRPr="00F15667">
              <w:rPr>
                <w:rFonts w:eastAsia="Times New Roman"/>
                <w:b/>
                <w:bCs/>
                <w:szCs w:val="24"/>
                <w:lang w:eastAsia="cs-CZ"/>
              </w:rPr>
              <w:t>Nevyřízeno</w:t>
            </w:r>
          </w:p>
        </w:tc>
        <w:tc>
          <w:tcPr>
            <w:tcW w:w="1417" w:type="dxa"/>
            <w:vMerge/>
            <w:tcBorders>
              <w:top w:val="double" w:sz="6" w:space="0" w:color="auto"/>
              <w:left w:val="nil"/>
              <w:bottom w:val="double" w:sz="6" w:space="0" w:color="000000"/>
              <w:right w:val="nil"/>
            </w:tcBorders>
            <w:vAlign w:val="center"/>
            <w:hideMark/>
          </w:tcPr>
          <w:p w14:paraId="305B58E8" w14:textId="77777777" w:rsidR="009330E7" w:rsidRPr="00F15667" w:rsidRDefault="009330E7" w:rsidP="009330E7">
            <w:pPr>
              <w:spacing w:line="240" w:lineRule="auto"/>
              <w:jc w:val="left"/>
              <w:rPr>
                <w:rFonts w:eastAsia="Times New Roman"/>
                <w:b/>
                <w:bCs/>
                <w:szCs w:val="24"/>
                <w:lang w:eastAsia="cs-CZ"/>
              </w:rPr>
            </w:pPr>
          </w:p>
        </w:tc>
      </w:tr>
      <w:tr w:rsidR="00F15667" w:rsidRPr="00F15667" w14:paraId="7F24EA94" w14:textId="77777777" w:rsidTr="00687F42">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84645B1" w14:textId="77777777" w:rsidR="009330E7" w:rsidRPr="00F15667" w:rsidRDefault="009330E7" w:rsidP="009330E7">
            <w:pPr>
              <w:spacing w:line="240" w:lineRule="auto"/>
              <w:jc w:val="left"/>
              <w:rPr>
                <w:rFonts w:eastAsia="Times New Roman"/>
                <w:szCs w:val="24"/>
                <w:lang w:eastAsia="cs-CZ"/>
              </w:rPr>
            </w:pPr>
            <w:r w:rsidRPr="00F15667">
              <w:rPr>
                <w:rFonts w:eastAsia="Times New Roman"/>
                <w:szCs w:val="24"/>
                <w:lang w:eastAsia="cs-CZ"/>
              </w:rPr>
              <w:t>MS Praha</w:t>
            </w:r>
          </w:p>
        </w:tc>
        <w:tc>
          <w:tcPr>
            <w:tcW w:w="1079" w:type="dxa"/>
            <w:tcBorders>
              <w:top w:val="single" w:sz="4" w:space="0" w:color="auto"/>
              <w:left w:val="nil"/>
              <w:bottom w:val="single" w:sz="4" w:space="0" w:color="auto"/>
              <w:right w:val="nil"/>
            </w:tcBorders>
            <w:shd w:val="clear" w:color="auto" w:fill="auto"/>
            <w:noWrap/>
            <w:vAlign w:val="bottom"/>
            <w:hideMark/>
          </w:tcPr>
          <w:p w14:paraId="5AEC5D6F" w14:textId="77777777"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13 352</w:t>
            </w:r>
          </w:p>
        </w:tc>
        <w:tc>
          <w:tcPr>
            <w:tcW w:w="870" w:type="dxa"/>
            <w:tcBorders>
              <w:top w:val="single" w:sz="4" w:space="0" w:color="auto"/>
              <w:left w:val="nil"/>
              <w:bottom w:val="single" w:sz="4" w:space="0" w:color="auto"/>
              <w:right w:val="nil"/>
            </w:tcBorders>
            <w:shd w:val="clear" w:color="auto" w:fill="auto"/>
            <w:noWrap/>
            <w:vAlign w:val="center"/>
            <w:hideMark/>
          </w:tcPr>
          <w:p w14:paraId="38C945C3"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+1 %  </w:t>
            </w:r>
          </w:p>
        </w:tc>
        <w:tc>
          <w:tcPr>
            <w:tcW w:w="1144" w:type="dxa"/>
            <w:tcBorders>
              <w:top w:val="single" w:sz="4" w:space="0" w:color="auto"/>
              <w:left w:val="single" w:sz="4" w:space="0" w:color="auto"/>
              <w:bottom w:val="single" w:sz="4" w:space="0" w:color="auto"/>
              <w:right w:val="nil"/>
            </w:tcBorders>
            <w:shd w:val="clear" w:color="auto" w:fill="auto"/>
            <w:noWrap/>
            <w:vAlign w:val="bottom"/>
            <w:hideMark/>
          </w:tcPr>
          <w:p w14:paraId="1C862CE6" w14:textId="77777777"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13 456</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14:paraId="62752BF9"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+2 %  </w:t>
            </w:r>
          </w:p>
        </w:tc>
        <w:tc>
          <w:tcPr>
            <w:tcW w:w="973" w:type="dxa"/>
            <w:tcBorders>
              <w:top w:val="single" w:sz="4" w:space="0" w:color="auto"/>
              <w:left w:val="nil"/>
              <w:bottom w:val="single" w:sz="4" w:space="0" w:color="auto"/>
              <w:right w:val="nil"/>
            </w:tcBorders>
            <w:shd w:val="clear" w:color="auto" w:fill="auto"/>
            <w:noWrap/>
            <w:vAlign w:val="bottom"/>
            <w:hideMark/>
          </w:tcPr>
          <w:p w14:paraId="4424E70B" w14:textId="77777777"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1 536</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56C066F0"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-7 %  </w:t>
            </w:r>
          </w:p>
        </w:tc>
        <w:tc>
          <w:tcPr>
            <w:tcW w:w="1417" w:type="dxa"/>
            <w:tcBorders>
              <w:top w:val="nil"/>
              <w:left w:val="nil"/>
              <w:bottom w:val="single" w:sz="4" w:space="0" w:color="auto"/>
              <w:right w:val="nil"/>
            </w:tcBorders>
            <w:shd w:val="clear" w:color="auto" w:fill="auto"/>
            <w:noWrap/>
            <w:vAlign w:val="center"/>
            <w:hideMark/>
          </w:tcPr>
          <w:p w14:paraId="2E39EC24" w14:textId="192FAF98"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100,8 %</w:t>
            </w:r>
          </w:p>
        </w:tc>
      </w:tr>
      <w:tr w:rsidR="00F15667" w:rsidRPr="00F15667" w14:paraId="7A5B0185" w14:textId="77777777" w:rsidTr="00687F42">
        <w:trPr>
          <w:trHeight w:val="315"/>
        </w:trPr>
        <w:tc>
          <w:tcPr>
            <w:tcW w:w="2020" w:type="dxa"/>
            <w:tcBorders>
              <w:top w:val="nil"/>
              <w:left w:val="nil"/>
              <w:bottom w:val="single" w:sz="4" w:space="0" w:color="auto"/>
              <w:right w:val="nil"/>
            </w:tcBorders>
            <w:shd w:val="clear" w:color="auto" w:fill="auto"/>
            <w:noWrap/>
            <w:vAlign w:val="bottom"/>
            <w:hideMark/>
          </w:tcPr>
          <w:p w14:paraId="4648373C" w14:textId="77777777" w:rsidR="009330E7" w:rsidRPr="00F15667" w:rsidRDefault="009330E7" w:rsidP="009330E7">
            <w:pPr>
              <w:spacing w:line="240" w:lineRule="auto"/>
              <w:jc w:val="left"/>
              <w:rPr>
                <w:rFonts w:eastAsia="Times New Roman"/>
                <w:szCs w:val="24"/>
                <w:lang w:eastAsia="cs-CZ"/>
              </w:rPr>
            </w:pPr>
            <w:r w:rsidRPr="00F15667">
              <w:rPr>
                <w:rFonts w:eastAsia="Times New Roman"/>
                <w:szCs w:val="24"/>
                <w:lang w:eastAsia="cs-CZ"/>
              </w:rPr>
              <w:t>KS Praha</w:t>
            </w:r>
          </w:p>
        </w:tc>
        <w:tc>
          <w:tcPr>
            <w:tcW w:w="1079" w:type="dxa"/>
            <w:tcBorders>
              <w:top w:val="nil"/>
              <w:left w:val="nil"/>
              <w:bottom w:val="single" w:sz="4" w:space="0" w:color="auto"/>
              <w:right w:val="nil"/>
            </w:tcBorders>
            <w:shd w:val="clear" w:color="auto" w:fill="auto"/>
            <w:noWrap/>
            <w:vAlign w:val="bottom"/>
            <w:hideMark/>
          </w:tcPr>
          <w:p w14:paraId="5B7BE238" w14:textId="565C6356"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5</w:t>
            </w:r>
            <w:r w:rsidR="00340529" w:rsidRPr="00F15667">
              <w:rPr>
                <w:rFonts w:eastAsia="Times New Roman"/>
                <w:szCs w:val="24"/>
                <w:lang w:eastAsia="cs-CZ"/>
              </w:rPr>
              <w:t xml:space="preserve"> </w:t>
            </w:r>
            <w:r w:rsidRPr="00F15667">
              <w:rPr>
                <w:rFonts w:eastAsia="Times New Roman"/>
                <w:szCs w:val="24"/>
                <w:lang w:eastAsia="cs-CZ"/>
              </w:rPr>
              <w:t>003</w:t>
            </w:r>
          </w:p>
        </w:tc>
        <w:tc>
          <w:tcPr>
            <w:tcW w:w="870" w:type="dxa"/>
            <w:tcBorders>
              <w:top w:val="nil"/>
              <w:left w:val="nil"/>
              <w:bottom w:val="single" w:sz="4" w:space="0" w:color="auto"/>
              <w:right w:val="nil"/>
            </w:tcBorders>
            <w:shd w:val="clear" w:color="auto" w:fill="auto"/>
            <w:noWrap/>
            <w:vAlign w:val="center"/>
            <w:hideMark/>
          </w:tcPr>
          <w:p w14:paraId="3AA26DFD"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-3 %  </w:t>
            </w:r>
          </w:p>
        </w:tc>
        <w:tc>
          <w:tcPr>
            <w:tcW w:w="1144" w:type="dxa"/>
            <w:tcBorders>
              <w:top w:val="nil"/>
              <w:left w:val="single" w:sz="4" w:space="0" w:color="auto"/>
              <w:bottom w:val="single" w:sz="4" w:space="0" w:color="auto"/>
              <w:right w:val="nil"/>
            </w:tcBorders>
            <w:shd w:val="clear" w:color="auto" w:fill="auto"/>
            <w:noWrap/>
            <w:vAlign w:val="bottom"/>
            <w:hideMark/>
          </w:tcPr>
          <w:p w14:paraId="04624F1E" w14:textId="2EDA7BFA"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4</w:t>
            </w:r>
            <w:r w:rsidR="00340529" w:rsidRPr="00F15667">
              <w:rPr>
                <w:rFonts w:eastAsia="Times New Roman"/>
                <w:szCs w:val="24"/>
                <w:lang w:eastAsia="cs-CZ"/>
              </w:rPr>
              <w:t xml:space="preserve"> </w:t>
            </w:r>
            <w:r w:rsidRPr="00F15667">
              <w:rPr>
                <w:rFonts w:eastAsia="Times New Roman"/>
                <w:szCs w:val="24"/>
                <w:lang w:eastAsia="cs-CZ"/>
              </w:rPr>
              <w:t>988</w:t>
            </w:r>
          </w:p>
        </w:tc>
        <w:tc>
          <w:tcPr>
            <w:tcW w:w="699" w:type="dxa"/>
            <w:tcBorders>
              <w:top w:val="nil"/>
              <w:left w:val="nil"/>
              <w:bottom w:val="single" w:sz="4" w:space="0" w:color="auto"/>
              <w:right w:val="single" w:sz="4" w:space="0" w:color="auto"/>
            </w:tcBorders>
            <w:shd w:val="clear" w:color="auto" w:fill="auto"/>
            <w:noWrap/>
            <w:vAlign w:val="center"/>
            <w:hideMark/>
          </w:tcPr>
          <w:p w14:paraId="4A81DAF5"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-5 %  </w:t>
            </w:r>
          </w:p>
        </w:tc>
        <w:tc>
          <w:tcPr>
            <w:tcW w:w="973" w:type="dxa"/>
            <w:tcBorders>
              <w:top w:val="nil"/>
              <w:left w:val="nil"/>
              <w:bottom w:val="single" w:sz="4" w:space="0" w:color="auto"/>
              <w:right w:val="nil"/>
            </w:tcBorders>
            <w:shd w:val="clear" w:color="auto" w:fill="auto"/>
            <w:noWrap/>
            <w:vAlign w:val="bottom"/>
            <w:hideMark/>
          </w:tcPr>
          <w:p w14:paraId="72B9D785" w14:textId="77777777"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569</w:t>
            </w:r>
          </w:p>
        </w:tc>
        <w:tc>
          <w:tcPr>
            <w:tcW w:w="870" w:type="dxa"/>
            <w:tcBorders>
              <w:top w:val="nil"/>
              <w:left w:val="nil"/>
              <w:bottom w:val="single" w:sz="4" w:space="0" w:color="auto"/>
              <w:right w:val="single" w:sz="4" w:space="0" w:color="auto"/>
            </w:tcBorders>
            <w:shd w:val="clear" w:color="auto" w:fill="auto"/>
            <w:noWrap/>
            <w:vAlign w:val="center"/>
            <w:hideMark/>
          </w:tcPr>
          <w:p w14:paraId="5E8E0672"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+1 %  </w:t>
            </w:r>
          </w:p>
        </w:tc>
        <w:tc>
          <w:tcPr>
            <w:tcW w:w="1417" w:type="dxa"/>
            <w:tcBorders>
              <w:top w:val="nil"/>
              <w:left w:val="nil"/>
              <w:bottom w:val="single" w:sz="4" w:space="0" w:color="auto"/>
              <w:right w:val="nil"/>
            </w:tcBorders>
            <w:shd w:val="clear" w:color="auto" w:fill="auto"/>
            <w:noWrap/>
            <w:vAlign w:val="center"/>
            <w:hideMark/>
          </w:tcPr>
          <w:p w14:paraId="099A2A72" w14:textId="47402909"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99,7 %</w:t>
            </w:r>
          </w:p>
        </w:tc>
      </w:tr>
      <w:tr w:rsidR="00F15667" w:rsidRPr="00F15667" w14:paraId="18D94565" w14:textId="77777777" w:rsidTr="00687F42">
        <w:trPr>
          <w:trHeight w:val="315"/>
        </w:trPr>
        <w:tc>
          <w:tcPr>
            <w:tcW w:w="2020" w:type="dxa"/>
            <w:tcBorders>
              <w:top w:val="nil"/>
              <w:left w:val="nil"/>
              <w:bottom w:val="single" w:sz="4" w:space="0" w:color="auto"/>
              <w:right w:val="nil"/>
            </w:tcBorders>
            <w:shd w:val="clear" w:color="auto" w:fill="auto"/>
            <w:noWrap/>
            <w:vAlign w:val="bottom"/>
            <w:hideMark/>
          </w:tcPr>
          <w:p w14:paraId="10564EAB" w14:textId="77777777" w:rsidR="009330E7" w:rsidRPr="00F15667" w:rsidRDefault="009330E7" w:rsidP="009330E7">
            <w:pPr>
              <w:spacing w:line="240" w:lineRule="auto"/>
              <w:jc w:val="left"/>
              <w:rPr>
                <w:rFonts w:eastAsia="Times New Roman"/>
                <w:szCs w:val="24"/>
                <w:lang w:eastAsia="cs-CZ"/>
              </w:rPr>
            </w:pPr>
            <w:r w:rsidRPr="00F15667">
              <w:rPr>
                <w:rFonts w:eastAsia="Times New Roman"/>
                <w:szCs w:val="24"/>
                <w:lang w:eastAsia="cs-CZ"/>
              </w:rPr>
              <w:t>KS Č. Budějovice</w:t>
            </w:r>
          </w:p>
        </w:tc>
        <w:tc>
          <w:tcPr>
            <w:tcW w:w="1079" w:type="dxa"/>
            <w:tcBorders>
              <w:top w:val="nil"/>
              <w:left w:val="nil"/>
              <w:bottom w:val="single" w:sz="4" w:space="0" w:color="auto"/>
              <w:right w:val="nil"/>
            </w:tcBorders>
            <w:shd w:val="clear" w:color="auto" w:fill="auto"/>
            <w:noWrap/>
            <w:vAlign w:val="bottom"/>
            <w:hideMark/>
          </w:tcPr>
          <w:p w14:paraId="5A14B9A1" w14:textId="5A4B22F6"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812</w:t>
            </w:r>
          </w:p>
        </w:tc>
        <w:tc>
          <w:tcPr>
            <w:tcW w:w="870" w:type="dxa"/>
            <w:tcBorders>
              <w:top w:val="nil"/>
              <w:left w:val="nil"/>
              <w:bottom w:val="single" w:sz="4" w:space="0" w:color="auto"/>
              <w:right w:val="nil"/>
            </w:tcBorders>
            <w:shd w:val="clear" w:color="auto" w:fill="auto"/>
            <w:noWrap/>
            <w:vAlign w:val="center"/>
            <w:hideMark/>
          </w:tcPr>
          <w:p w14:paraId="68224893"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-5 %  </w:t>
            </w:r>
          </w:p>
        </w:tc>
        <w:tc>
          <w:tcPr>
            <w:tcW w:w="1144" w:type="dxa"/>
            <w:tcBorders>
              <w:top w:val="nil"/>
              <w:left w:val="single" w:sz="4" w:space="0" w:color="auto"/>
              <w:bottom w:val="single" w:sz="4" w:space="0" w:color="auto"/>
              <w:right w:val="nil"/>
            </w:tcBorders>
            <w:shd w:val="clear" w:color="auto" w:fill="auto"/>
            <w:noWrap/>
            <w:vAlign w:val="bottom"/>
            <w:hideMark/>
          </w:tcPr>
          <w:p w14:paraId="06472F9C" w14:textId="0ED2E5F6"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888</w:t>
            </w:r>
          </w:p>
        </w:tc>
        <w:tc>
          <w:tcPr>
            <w:tcW w:w="699" w:type="dxa"/>
            <w:tcBorders>
              <w:top w:val="nil"/>
              <w:left w:val="nil"/>
              <w:bottom w:val="single" w:sz="4" w:space="0" w:color="auto"/>
              <w:right w:val="single" w:sz="4" w:space="0" w:color="auto"/>
            </w:tcBorders>
            <w:shd w:val="clear" w:color="auto" w:fill="auto"/>
            <w:noWrap/>
            <w:vAlign w:val="center"/>
            <w:hideMark/>
          </w:tcPr>
          <w:p w14:paraId="73FA1EFA"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-2 %  </w:t>
            </w:r>
          </w:p>
        </w:tc>
        <w:tc>
          <w:tcPr>
            <w:tcW w:w="973" w:type="dxa"/>
            <w:tcBorders>
              <w:top w:val="nil"/>
              <w:left w:val="nil"/>
              <w:bottom w:val="single" w:sz="4" w:space="0" w:color="auto"/>
              <w:right w:val="nil"/>
            </w:tcBorders>
            <w:shd w:val="clear" w:color="auto" w:fill="auto"/>
            <w:noWrap/>
            <w:vAlign w:val="bottom"/>
            <w:hideMark/>
          </w:tcPr>
          <w:p w14:paraId="5D835C92" w14:textId="77777777"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173</w:t>
            </w:r>
          </w:p>
        </w:tc>
        <w:tc>
          <w:tcPr>
            <w:tcW w:w="870" w:type="dxa"/>
            <w:tcBorders>
              <w:top w:val="nil"/>
              <w:left w:val="nil"/>
              <w:bottom w:val="single" w:sz="4" w:space="0" w:color="auto"/>
              <w:right w:val="single" w:sz="4" w:space="0" w:color="auto"/>
            </w:tcBorders>
            <w:shd w:val="clear" w:color="auto" w:fill="auto"/>
            <w:noWrap/>
            <w:vAlign w:val="center"/>
            <w:hideMark/>
          </w:tcPr>
          <w:p w14:paraId="138341B5"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-31 %  </w:t>
            </w:r>
          </w:p>
        </w:tc>
        <w:tc>
          <w:tcPr>
            <w:tcW w:w="1417" w:type="dxa"/>
            <w:tcBorders>
              <w:top w:val="nil"/>
              <w:left w:val="nil"/>
              <w:bottom w:val="single" w:sz="4" w:space="0" w:color="auto"/>
              <w:right w:val="nil"/>
            </w:tcBorders>
            <w:shd w:val="clear" w:color="auto" w:fill="auto"/>
            <w:noWrap/>
            <w:vAlign w:val="center"/>
            <w:hideMark/>
          </w:tcPr>
          <w:p w14:paraId="2D7C691D" w14:textId="737064D2"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104,2 %</w:t>
            </w:r>
          </w:p>
        </w:tc>
      </w:tr>
      <w:tr w:rsidR="00F15667" w:rsidRPr="00F15667" w14:paraId="672F4C73" w14:textId="77777777" w:rsidTr="00687F42">
        <w:trPr>
          <w:trHeight w:val="315"/>
        </w:trPr>
        <w:tc>
          <w:tcPr>
            <w:tcW w:w="2020" w:type="dxa"/>
            <w:tcBorders>
              <w:top w:val="nil"/>
              <w:left w:val="nil"/>
              <w:bottom w:val="single" w:sz="4" w:space="0" w:color="auto"/>
              <w:right w:val="nil"/>
            </w:tcBorders>
            <w:shd w:val="clear" w:color="auto" w:fill="auto"/>
            <w:noWrap/>
            <w:vAlign w:val="bottom"/>
            <w:hideMark/>
          </w:tcPr>
          <w:p w14:paraId="6247EE95" w14:textId="77777777" w:rsidR="009330E7" w:rsidRPr="00F15667" w:rsidRDefault="009330E7" w:rsidP="009330E7">
            <w:pPr>
              <w:spacing w:line="240" w:lineRule="auto"/>
              <w:jc w:val="left"/>
              <w:rPr>
                <w:rFonts w:eastAsia="Times New Roman"/>
                <w:szCs w:val="24"/>
                <w:lang w:eastAsia="cs-CZ"/>
              </w:rPr>
            </w:pPr>
            <w:r w:rsidRPr="00F15667">
              <w:rPr>
                <w:rFonts w:eastAsia="Times New Roman"/>
                <w:szCs w:val="24"/>
                <w:lang w:eastAsia="cs-CZ"/>
              </w:rPr>
              <w:t>KS Plzeň</w:t>
            </w:r>
          </w:p>
        </w:tc>
        <w:tc>
          <w:tcPr>
            <w:tcW w:w="1079" w:type="dxa"/>
            <w:tcBorders>
              <w:top w:val="nil"/>
              <w:left w:val="nil"/>
              <w:bottom w:val="single" w:sz="4" w:space="0" w:color="auto"/>
              <w:right w:val="nil"/>
            </w:tcBorders>
            <w:shd w:val="clear" w:color="auto" w:fill="auto"/>
            <w:noWrap/>
            <w:vAlign w:val="bottom"/>
            <w:hideMark/>
          </w:tcPr>
          <w:p w14:paraId="7C98C17C" w14:textId="0F8913AF"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2</w:t>
            </w:r>
            <w:r w:rsidR="00340529" w:rsidRPr="00F15667">
              <w:rPr>
                <w:rFonts w:eastAsia="Times New Roman"/>
                <w:szCs w:val="24"/>
                <w:lang w:eastAsia="cs-CZ"/>
              </w:rPr>
              <w:t xml:space="preserve"> </w:t>
            </w:r>
            <w:r w:rsidRPr="00F15667">
              <w:rPr>
                <w:rFonts w:eastAsia="Times New Roman"/>
                <w:szCs w:val="24"/>
                <w:lang w:eastAsia="cs-CZ"/>
              </w:rPr>
              <w:t>796</w:t>
            </w:r>
          </w:p>
        </w:tc>
        <w:tc>
          <w:tcPr>
            <w:tcW w:w="870" w:type="dxa"/>
            <w:tcBorders>
              <w:top w:val="nil"/>
              <w:left w:val="nil"/>
              <w:bottom w:val="single" w:sz="4" w:space="0" w:color="auto"/>
              <w:right w:val="nil"/>
            </w:tcBorders>
            <w:shd w:val="clear" w:color="auto" w:fill="auto"/>
            <w:noWrap/>
            <w:vAlign w:val="center"/>
            <w:hideMark/>
          </w:tcPr>
          <w:p w14:paraId="0B43BFD1"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-5 %  </w:t>
            </w:r>
          </w:p>
        </w:tc>
        <w:tc>
          <w:tcPr>
            <w:tcW w:w="1144" w:type="dxa"/>
            <w:tcBorders>
              <w:top w:val="nil"/>
              <w:left w:val="single" w:sz="4" w:space="0" w:color="auto"/>
              <w:bottom w:val="single" w:sz="4" w:space="0" w:color="auto"/>
              <w:right w:val="nil"/>
            </w:tcBorders>
            <w:shd w:val="clear" w:color="auto" w:fill="auto"/>
            <w:noWrap/>
            <w:vAlign w:val="bottom"/>
            <w:hideMark/>
          </w:tcPr>
          <w:p w14:paraId="41225B84" w14:textId="4BCCD46D"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2</w:t>
            </w:r>
            <w:r w:rsidR="00340529" w:rsidRPr="00F15667">
              <w:rPr>
                <w:rFonts w:eastAsia="Times New Roman"/>
                <w:szCs w:val="24"/>
                <w:lang w:eastAsia="cs-CZ"/>
              </w:rPr>
              <w:t xml:space="preserve"> </w:t>
            </w:r>
            <w:r w:rsidRPr="00F15667">
              <w:rPr>
                <w:rFonts w:eastAsia="Times New Roman"/>
                <w:szCs w:val="24"/>
                <w:lang w:eastAsia="cs-CZ"/>
              </w:rPr>
              <w:t>790</w:t>
            </w:r>
          </w:p>
        </w:tc>
        <w:tc>
          <w:tcPr>
            <w:tcW w:w="699" w:type="dxa"/>
            <w:tcBorders>
              <w:top w:val="nil"/>
              <w:left w:val="nil"/>
              <w:bottom w:val="single" w:sz="4" w:space="0" w:color="auto"/>
              <w:right w:val="single" w:sz="4" w:space="0" w:color="auto"/>
            </w:tcBorders>
            <w:shd w:val="clear" w:color="auto" w:fill="auto"/>
            <w:noWrap/>
            <w:vAlign w:val="center"/>
            <w:hideMark/>
          </w:tcPr>
          <w:p w14:paraId="5E1D9F55"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-5 %  </w:t>
            </w:r>
          </w:p>
        </w:tc>
        <w:tc>
          <w:tcPr>
            <w:tcW w:w="973" w:type="dxa"/>
            <w:tcBorders>
              <w:top w:val="nil"/>
              <w:left w:val="nil"/>
              <w:bottom w:val="single" w:sz="4" w:space="0" w:color="auto"/>
              <w:right w:val="nil"/>
            </w:tcBorders>
            <w:shd w:val="clear" w:color="auto" w:fill="auto"/>
            <w:noWrap/>
            <w:vAlign w:val="bottom"/>
            <w:hideMark/>
          </w:tcPr>
          <w:p w14:paraId="31766B8D" w14:textId="77777777"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352</w:t>
            </w:r>
          </w:p>
        </w:tc>
        <w:tc>
          <w:tcPr>
            <w:tcW w:w="870" w:type="dxa"/>
            <w:tcBorders>
              <w:top w:val="nil"/>
              <w:left w:val="nil"/>
              <w:bottom w:val="single" w:sz="4" w:space="0" w:color="auto"/>
              <w:right w:val="single" w:sz="4" w:space="0" w:color="auto"/>
            </w:tcBorders>
            <w:shd w:val="clear" w:color="auto" w:fill="auto"/>
            <w:noWrap/>
            <w:vAlign w:val="center"/>
            <w:hideMark/>
          </w:tcPr>
          <w:p w14:paraId="2708DABD"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+1 %  </w:t>
            </w:r>
          </w:p>
        </w:tc>
        <w:tc>
          <w:tcPr>
            <w:tcW w:w="1417" w:type="dxa"/>
            <w:tcBorders>
              <w:top w:val="nil"/>
              <w:left w:val="nil"/>
              <w:bottom w:val="single" w:sz="4" w:space="0" w:color="auto"/>
              <w:right w:val="nil"/>
            </w:tcBorders>
            <w:shd w:val="clear" w:color="auto" w:fill="auto"/>
            <w:noWrap/>
            <w:vAlign w:val="center"/>
            <w:hideMark/>
          </w:tcPr>
          <w:p w14:paraId="19BC4853" w14:textId="4C665850"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99,8 %</w:t>
            </w:r>
          </w:p>
        </w:tc>
      </w:tr>
      <w:tr w:rsidR="00F15667" w:rsidRPr="00F15667" w14:paraId="013AA386" w14:textId="77777777" w:rsidTr="00687F42">
        <w:trPr>
          <w:trHeight w:val="315"/>
        </w:trPr>
        <w:tc>
          <w:tcPr>
            <w:tcW w:w="2020" w:type="dxa"/>
            <w:tcBorders>
              <w:top w:val="nil"/>
              <w:left w:val="nil"/>
              <w:bottom w:val="single" w:sz="4" w:space="0" w:color="auto"/>
              <w:right w:val="nil"/>
            </w:tcBorders>
            <w:shd w:val="clear" w:color="auto" w:fill="auto"/>
            <w:noWrap/>
            <w:vAlign w:val="bottom"/>
            <w:hideMark/>
          </w:tcPr>
          <w:p w14:paraId="1C94CFBD" w14:textId="77777777" w:rsidR="009330E7" w:rsidRPr="00F15667" w:rsidRDefault="009330E7" w:rsidP="009330E7">
            <w:pPr>
              <w:spacing w:line="240" w:lineRule="auto"/>
              <w:jc w:val="left"/>
              <w:rPr>
                <w:rFonts w:eastAsia="Times New Roman"/>
                <w:szCs w:val="24"/>
                <w:lang w:eastAsia="cs-CZ"/>
              </w:rPr>
            </w:pPr>
            <w:r w:rsidRPr="00F15667">
              <w:rPr>
                <w:rFonts w:eastAsia="Times New Roman"/>
                <w:szCs w:val="24"/>
                <w:lang w:eastAsia="cs-CZ"/>
              </w:rPr>
              <w:t>KS Ústí n. Labem</w:t>
            </w:r>
          </w:p>
        </w:tc>
        <w:tc>
          <w:tcPr>
            <w:tcW w:w="1079" w:type="dxa"/>
            <w:tcBorders>
              <w:top w:val="nil"/>
              <w:left w:val="nil"/>
              <w:bottom w:val="single" w:sz="4" w:space="0" w:color="auto"/>
              <w:right w:val="nil"/>
            </w:tcBorders>
            <w:shd w:val="clear" w:color="auto" w:fill="auto"/>
            <w:noWrap/>
            <w:vAlign w:val="bottom"/>
            <w:hideMark/>
          </w:tcPr>
          <w:p w14:paraId="13F25816" w14:textId="3346C36A"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4</w:t>
            </w:r>
            <w:r w:rsidR="00340529" w:rsidRPr="00F15667">
              <w:rPr>
                <w:rFonts w:eastAsia="Times New Roman"/>
                <w:szCs w:val="24"/>
                <w:lang w:eastAsia="cs-CZ"/>
              </w:rPr>
              <w:t xml:space="preserve"> </w:t>
            </w:r>
            <w:r w:rsidRPr="00F15667">
              <w:rPr>
                <w:rFonts w:eastAsia="Times New Roman"/>
                <w:szCs w:val="24"/>
                <w:lang w:eastAsia="cs-CZ"/>
              </w:rPr>
              <w:t>120</w:t>
            </w:r>
          </w:p>
        </w:tc>
        <w:tc>
          <w:tcPr>
            <w:tcW w:w="870" w:type="dxa"/>
            <w:tcBorders>
              <w:top w:val="nil"/>
              <w:left w:val="nil"/>
              <w:bottom w:val="single" w:sz="4" w:space="0" w:color="auto"/>
              <w:right w:val="nil"/>
            </w:tcBorders>
            <w:shd w:val="clear" w:color="auto" w:fill="auto"/>
            <w:noWrap/>
            <w:vAlign w:val="center"/>
            <w:hideMark/>
          </w:tcPr>
          <w:p w14:paraId="5329EFF9"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+4 %  </w:t>
            </w:r>
          </w:p>
        </w:tc>
        <w:tc>
          <w:tcPr>
            <w:tcW w:w="1144" w:type="dxa"/>
            <w:tcBorders>
              <w:top w:val="nil"/>
              <w:left w:val="single" w:sz="4" w:space="0" w:color="auto"/>
              <w:bottom w:val="single" w:sz="4" w:space="0" w:color="auto"/>
              <w:right w:val="nil"/>
            </w:tcBorders>
            <w:shd w:val="clear" w:color="auto" w:fill="auto"/>
            <w:noWrap/>
            <w:vAlign w:val="bottom"/>
            <w:hideMark/>
          </w:tcPr>
          <w:p w14:paraId="0AE81534" w14:textId="1BC651B2"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4</w:t>
            </w:r>
            <w:r w:rsidR="00340529" w:rsidRPr="00F15667">
              <w:rPr>
                <w:rFonts w:eastAsia="Times New Roman"/>
                <w:szCs w:val="24"/>
                <w:lang w:eastAsia="cs-CZ"/>
              </w:rPr>
              <w:t xml:space="preserve"> </w:t>
            </w:r>
            <w:r w:rsidRPr="00F15667">
              <w:rPr>
                <w:rFonts w:eastAsia="Times New Roman"/>
                <w:szCs w:val="24"/>
                <w:lang w:eastAsia="cs-CZ"/>
              </w:rPr>
              <w:t>156</w:t>
            </w:r>
          </w:p>
        </w:tc>
        <w:tc>
          <w:tcPr>
            <w:tcW w:w="699" w:type="dxa"/>
            <w:tcBorders>
              <w:top w:val="nil"/>
              <w:left w:val="nil"/>
              <w:bottom w:val="single" w:sz="4" w:space="0" w:color="auto"/>
              <w:right w:val="single" w:sz="4" w:space="0" w:color="auto"/>
            </w:tcBorders>
            <w:shd w:val="clear" w:color="auto" w:fill="auto"/>
            <w:noWrap/>
            <w:vAlign w:val="center"/>
            <w:hideMark/>
          </w:tcPr>
          <w:p w14:paraId="04821508"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+3 %  </w:t>
            </w:r>
          </w:p>
        </w:tc>
        <w:tc>
          <w:tcPr>
            <w:tcW w:w="973" w:type="dxa"/>
            <w:tcBorders>
              <w:top w:val="nil"/>
              <w:left w:val="nil"/>
              <w:bottom w:val="single" w:sz="4" w:space="0" w:color="auto"/>
              <w:right w:val="nil"/>
            </w:tcBorders>
            <w:shd w:val="clear" w:color="auto" w:fill="auto"/>
            <w:noWrap/>
            <w:vAlign w:val="bottom"/>
            <w:hideMark/>
          </w:tcPr>
          <w:p w14:paraId="0D6D7CAC" w14:textId="77777777"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900</w:t>
            </w:r>
          </w:p>
        </w:tc>
        <w:tc>
          <w:tcPr>
            <w:tcW w:w="870" w:type="dxa"/>
            <w:tcBorders>
              <w:top w:val="nil"/>
              <w:left w:val="nil"/>
              <w:bottom w:val="single" w:sz="4" w:space="0" w:color="auto"/>
              <w:right w:val="single" w:sz="4" w:space="0" w:color="auto"/>
            </w:tcBorders>
            <w:shd w:val="clear" w:color="auto" w:fill="auto"/>
            <w:noWrap/>
            <w:vAlign w:val="center"/>
            <w:hideMark/>
          </w:tcPr>
          <w:p w14:paraId="3C547EC4"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-4 %  </w:t>
            </w:r>
          </w:p>
        </w:tc>
        <w:tc>
          <w:tcPr>
            <w:tcW w:w="1417" w:type="dxa"/>
            <w:tcBorders>
              <w:top w:val="nil"/>
              <w:left w:val="nil"/>
              <w:bottom w:val="single" w:sz="4" w:space="0" w:color="auto"/>
              <w:right w:val="nil"/>
            </w:tcBorders>
            <w:shd w:val="clear" w:color="auto" w:fill="auto"/>
            <w:noWrap/>
            <w:vAlign w:val="center"/>
            <w:hideMark/>
          </w:tcPr>
          <w:p w14:paraId="10900C75" w14:textId="5906C62A"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100,9 %</w:t>
            </w:r>
          </w:p>
        </w:tc>
      </w:tr>
      <w:tr w:rsidR="00F15667" w:rsidRPr="00F15667" w14:paraId="1AA06B15" w14:textId="77777777" w:rsidTr="00687F42">
        <w:trPr>
          <w:trHeight w:val="315"/>
        </w:trPr>
        <w:tc>
          <w:tcPr>
            <w:tcW w:w="2020" w:type="dxa"/>
            <w:tcBorders>
              <w:top w:val="nil"/>
              <w:left w:val="nil"/>
              <w:bottom w:val="single" w:sz="4" w:space="0" w:color="auto"/>
              <w:right w:val="nil"/>
            </w:tcBorders>
            <w:shd w:val="clear" w:color="auto" w:fill="auto"/>
            <w:noWrap/>
            <w:vAlign w:val="bottom"/>
            <w:hideMark/>
          </w:tcPr>
          <w:p w14:paraId="419FF5F1" w14:textId="77777777" w:rsidR="009330E7" w:rsidRPr="00F15667" w:rsidRDefault="009330E7" w:rsidP="009330E7">
            <w:pPr>
              <w:spacing w:line="240" w:lineRule="auto"/>
              <w:jc w:val="left"/>
              <w:rPr>
                <w:rFonts w:eastAsia="Times New Roman"/>
                <w:szCs w:val="24"/>
                <w:lang w:eastAsia="cs-CZ"/>
              </w:rPr>
            </w:pPr>
            <w:r w:rsidRPr="00F15667">
              <w:rPr>
                <w:rFonts w:eastAsia="Times New Roman"/>
                <w:szCs w:val="24"/>
                <w:lang w:eastAsia="cs-CZ"/>
              </w:rPr>
              <w:t>KS Hr. Králové</w:t>
            </w:r>
          </w:p>
        </w:tc>
        <w:tc>
          <w:tcPr>
            <w:tcW w:w="1079" w:type="dxa"/>
            <w:tcBorders>
              <w:top w:val="nil"/>
              <w:left w:val="nil"/>
              <w:bottom w:val="single" w:sz="4" w:space="0" w:color="auto"/>
              <w:right w:val="nil"/>
            </w:tcBorders>
            <w:shd w:val="clear" w:color="auto" w:fill="auto"/>
            <w:noWrap/>
            <w:vAlign w:val="bottom"/>
            <w:hideMark/>
          </w:tcPr>
          <w:p w14:paraId="30AAE31D" w14:textId="1E074A1B"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3</w:t>
            </w:r>
            <w:r w:rsidR="00340529" w:rsidRPr="00F15667">
              <w:rPr>
                <w:rFonts w:eastAsia="Times New Roman"/>
                <w:szCs w:val="24"/>
                <w:lang w:eastAsia="cs-CZ"/>
              </w:rPr>
              <w:t xml:space="preserve"> </w:t>
            </w:r>
            <w:r w:rsidRPr="00F15667">
              <w:rPr>
                <w:rFonts w:eastAsia="Times New Roman"/>
                <w:szCs w:val="24"/>
                <w:lang w:eastAsia="cs-CZ"/>
              </w:rPr>
              <w:t>418</w:t>
            </w:r>
          </w:p>
        </w:tc>
        <w:tc>
          <w:tcPr>
            <w:tcW w:w="870" w:type="dxa"/>
            <w:tcBorders>
              <w:top w:val="nil"/>
              <w:left w:val="nil"/>
              <w:bottom w:val="single" w:sz="4" w:space="0" w:color="auto"/>
              <w:right w:val="nil"/>
            </w:tcBorders>
            <w:shd w:val="clear" w:color="auto" w:fill="auto"/>
            <w:noWrap/>
            <w:vAlign w:val="center"/>
            <w:hideMark/>
          </w:tcPr>
          <w:p w14:paraId="26D79632"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+3 %  </w:t>
            </w:r>
          </w:p>
        </w:tc>
        <w:tc>
          <w:tcPr>
            <w:tcW w:w="1144" w:type="dxa"/>
            <w:tcBorders>
              <w:top w:val="nil"/>
              <w:left w:val="single" w:sz="4" w:space="0" w:color="auto"/>
              <w:bottom w:val="single" w:sz="4" w:space="0" w:color="auto"/>
              <w:right w:val="nil"/>
            </w:tcBorders>
            <w:shd w:val="clear" w:color="auto" w:fill="auto"/>
            <w:noWrap/>
            <w:vAlign w:val="bottom"/>
            <w:hideMark/>
          </w:tcPr>
          <w:p w14:paraId="37A9BAA8" w14:textId="2238D695"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3</w:t>
            </w:r>
            <w:r w:rsidR="00340529" w:rsidRPr="00F15667">
              <w:rPr>
                <w:rFonts w:eastAsia="Times New Roman"/>
                <w:szCs w:val="24"/>
                <w:lang w:eastAsia="cs-CZ"/>
              </w:rPr>
              <w:t xml:space="preserve"> </w:t>
            </w:r>
            <w:r w:rsidRPr="00F15667">
              <w:rPr>
                <w:rFonts w:eastAsia="Times New Roman"/>
                <w:szCs w:val="24"/>
                <w:lang w:eastAsia="cs-CZ"/>
              </w:rPr>
              <w:t>427</w:t>
            </w:r>
          </w:p>
        </w:tc>
        <w:tc>
          <w:tcPr>
            <w:tcW w:w="699" w:type="dxa"/>
            <w:tcBorders>
              <w:top w:val="nil"/>
              <w:left w:val="nil"/>
              <w:bottom w:val="single" w:sz="4" w:space="0" w:color="auto"/>
              <w:right w:val="single" w:sz="4" w:space="0" w:color="auto"/>
            </w:tcBorders>
            <w:shd w:val="clear" w:color="auto" w:fill="auto"/>
            <w:noWrap/>
            <w:vAlign w:val="center"/>
            <w:hideMark/>
          </w:tcPr>
          <w:p w14:paraId="056A853E"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+2 %  </w:t>
            </w:r>
          </w:p>
        </w:tc>
        <w:tc>
          <w:tcPr>
            <w:tcW w:w="973" w:type="dxa"/>
            <w:tcBorders>
              <w:top w:val="nil"/>
              <w:left w:val="nil"/>
              <w:bottom w:val="single" w:sz="4" w:space="0" w:color="auto"/>
              <w:right w:val="nil"/>
            </w:tcBorders>
            <w:shd w:val="clear" w:color="auto" w:fill="auto"/>
            <w:noWrap/>
            <w:vAlign w:val="bottom"/>
            <w:hideMark/>
          </w:tcPr>
          <w:p w14:paraId="62865691" w14:textId="77777777"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383</w:t>
            </w:r>
          </w:p>
        </w:tc>
        <w:tc>
          <w:tcPr>
            <w:tcW w:w="870" w:type="dxa"/>
            <w:tcBorders>
              <w:top w:val="nil"/>
              <w:left w:val="nil"/>
              <w:bottom w:val="single" w:sz="4" w:space="0" w:color="auto"/>
              <w:right w:val="single" w:sz="4" w:space="0" w:color="auto"/>
            </w:tcBorders>
            <w:shd w:val="clear" w:color="auto" w:fill="auto"/>
            <w:noWrap/>
            <w:vAlign w:val="center"/>
            <w:hideMark/>
          </w:tcPr>
          <w:p w14:paraId="56B3D79C"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-2 %  </w:t>
            </w:r>
          </w:p>
        </w:tc>
        <w:tc>
          <w:tcPr>
            <w:tcW w:w="1417" w:type="dxa"/>
            <w:tcBorders>
              <w:top w:val="nil"/>
              <w:left w:val="nil"/>
              <w:bottom w:val="single" w:sz="4" w:space="0" w:color="auto"/>
              <w:right w:val="nil"/>
            </w:tcBorders>
            <w:shd w:val="clear" w:color="auto" w:fill="auto"/>
            <w:noWrap/>
            <w:vAlign w:val="center"/>
            <w:hideMark/>
          </w:tcPr>
          <w:p w14:paraId="4C635AD5" w14:textId="6858DF62"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100,3 %</w:t>
            </w:r>
          </w:p>
        </w:tc>
      </w:tr>
      <w:tr w:rsidR="00F15667" w:rsidRPr="00F15667" w14:paraId="5CF78C38" w14:textId="77777777" w:rsidTr="00687F42">
        <w:trPr>
          <w:trHeight w:val="315"/>
        </w:trPr>
        <w:tc>
          <w:tcPr>
            <w:tcW w:w="2020" w:type="dxa"/>
            <w:tcBorders>
              <w:top w:val="nil"/>
              <w:left w:val="nil"/>
              <w:bottom w:val="single" w:sz="4" w:space="0" w:color="auto"/>
              <w:right w:val="nil"/>
            </w:tcBorders>
            <w:shd w:val="clear" w:color="auto" w:fill="auto"/>
            <w:noWrap/>
            <w:vAlign w:val="bottom"/>
            <w:hideMark/>
          </w:tcPr>
          <w:p w14:paraId="1738C5F8" w14:textId="77777777" w:rsidR="009330E7" w:rsidRPr="00F15667" w:rsidRDefault="009330E7" w:rsidP="009330E7">
            <w:pPr>
              <w:spacing w:line="240" w:lineRule="auto"/>
              <w:jc w:val="left"/>
              <w:rPr>
                <w:rFonts w:eastAsia="Times New Roman"/>
                <w:szCs w:val="24"/>
                <w:lang w:eastAsia="cs-CZ"/>
              </w:rPr>
            </w:pPr>
            <w:r w:rsidRPr="00F15667">
              <w:rPr>
                <w:rFonts w:eastAsia="Times New Roman"/>
                <w:szCs w:val="24"/>
                <w:lang w:eastAsia="cs-CZ"/>
              </w:rPr>
              <w:t>KS Brno</w:t>
            </w:r>
          </w:p>
        </w:tc>
        <w:tc>
          <w:tcPr>
            <w:tcW w:w="1079" w:type="dxa"/>
            <w:tcBorders>
              <w:top w:val="nil"/>
              <w:left w:val="nil"/>
              <w:bottom w:val="single" w:sz="4" w:space="0" w:color="auto"/>
              <w:right w:val="nil"/>
            </w:tcBorders>
            <w:shd w:val="clear" w:color="auto" w:fill="auto"/>
            <w:noWrap/>
            <w:vAlign w:val="bottom"/>
            <w:hideMark/>
          </w:tcPr>
          <w:p w14:paraId="780F7D8D" w14:textId="7DCEB830"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6</w:t>
            </w:r>
            <w:r w:rsidR="00340529" w:rsidRPr="00F15667">
              <w:rPr>
                <w:rFonts w:eastAsia="Times New Roman"/>
                <w:szCs w:val="24"/>
                <w:lang w:eastAsia="cs-CZ"/>
              </w:rPr>
              <w:t xml:space="preserve"> </w:t>
            </w:r>
            <w:r w:rsidRPr="00F15667">
              <w:rPr>
                <w:rFonts w:eastAsia="Times New Roman"/>
                <w:szCs w:val="24"/>
                <w:lang w:eastAsia="cs-CZ"/>
              </w:rPr>
              <w:t>568</w:t>
            </w:r>
          </w:p>
        </w:tc>
        <w:tc>
          <w:tcPr>
            <w:tcW w:w="870" w:type="dxa"/>
            <w:tcBorders>
              <w:top w:val="nil"/>
              <w:left w:val="nil"/>
              <w:bottom w:val="single" w:sz="4" w:space="0" w:color="auto"/>
              <w:right w:val="nil"/>
            </w:tcBorders>
            <w:shd w:val="clear" w:color="auto" w:fill="auto"/>
            <w:noWrap/>
            <w:vAlign w:val="center"/>
            <w:hideMark/>
          </w:tcPr>
          <w:p w14:paraId="05508EDA"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+5 %  </w:t>
            </w:r>
          </w:p>
        </w:tc>
        <w:tc>
          <w:tcPr>
            <w:tcW w:w="1144" w:type="dxa"/>
            <w:tcBorders>
              <w:top w:val="nil"/>
              <w:left w:val="single" w:sz="4" w:space="0" w:color="auto"/>
              <w:bottom w:val="single" w:sz="4" w:space="0" w:color="auto"/>
              <w:right w:val="nil"/>
            </w:tcBorders>
            <w:shd w:val="clear" w:color="auto" w:fill="auto"/>
            <w:noWrap/>
            <w:vAlign w:val="bottom"/>
            <w:hideMark/>
          </w:tcPr>
          <w:p w14:paraId="7E84E1C9" w14:textId="798CDF74"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6</w:t>
            </w:r>
            <w:r w:rsidR="00340529" w:rsidRPr="00F15667">
              <w:rPr>
                <w:rFonts w:eastAsia="Times New Roman"/>
                <w:szCs w:val="24"/>
                <w:lang w:eastAsia="cs-CZ"/>
              </w:rPr>
              <w:t xml:space="preserve"> </w:t>
            </w:r>
            <w:r w:rsidRPr="00F15667">
              <w:rPr>
                <w:rFonts w:eastAsia="Times New Roman"/>
                <w:szCs w:val="24"/>
                <w:lang w:eastAsia="cs-CZ"/>
              </w:rPr>
              <w:t>494</w:t>
            </w:r>
          </w:p>
        </w:tc>
        <w:tc>
          <w:tcPr>
            <w:tcW w:w="699" w:type="dxa"/>
            <w:tcBorders>
              <w:top w:val="nil"/>
              <w:left w:val="nil"/>
              <w:bottom w:val="single" w:sz="4" w:space="0" w:color="auto"/>
              <w:right w:val="single" w:sz="4" w:space="0" w:color="auto"/>
            </w:tcBorders>
            <w:shd w:val="clear" w:color="auto" w:fill="auto"/>
            <w:noWrap/>
            <w:vAlign w:val="center"/>
            <w:hideMark/>
          </w:tcPr>
          <w:p w14:paraId="4AD6DCBF"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-2 %  </w:t>
            </w:r>
          </w:p>
        </w:tc>
        <w:tc>
          <w:tcPr>
            <w:tcW w:w="973" w:type="dxa"/>
            <w:tcBorders>
              <w:top w:val="nil"/>
              <w:left w:val="nil"/>
              <w:bottom w:val="single" w:sz="4" w:space="0" w:color="auto"/>
              <w:right w:val="nil"/>
            </w:tcBorders>
            <w:shd w:val="clear" w:color="auto" w:fill="auto"/>
            <w:noWrap/>
            <w:vAlign w:val="bottom"/>
            <w:hideMark/>
          </w:tcPr>
          <w:p w14:paraId="2FDF67A0" w14:textId="2E31280E"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2</w:t>
            </w:r>
            <w:r w:rsidR="00340529" w:rsidRPr="00F15667">
              <w:rPr>
                <w:rFonts w:eastAsia="Times New Roman"/>
                <w:szCs w:val="24"/>
                <w:lang w:eastAsia="cs-CZ"/>
              </w:rPr>
              <w:t xml:space="preserve"> </w:t>
            </w:r>
            <w:r w:rsidRPr="00F15667">
              <w:rPr>
                <w:rFonts w:eastAsia="Times New Roman"/>
                <w:szCs w:val="24"/>
                <w:lang w:eastAsia="cs-CZ"/>
              </w:rPr>
              <w:t>247</w:t>
            </w:r>
          </w:p>
        </w:tc>
        <w:tc>
          <w:tcPr>
            <w:tcW w:w="870" w:type="dxa"/>
            <w:tcBorders>
              <w:top w:val="nil"/>
              <w:left w:val="nil"/>
              <w:bottom w:val="single" w:sz="4" w:space="0" w:color="auto"/>
              <w:right w:val="single" w:sz="4" w:space="0" w:color="auto"/>
            </w:tcBorders>
            <w:shd w:val="clear" w:color="auto" w:fill="auto"/>
            <w:noWrap/>
            <w:vAlign w:val="center"/>
            <w:hideMark/>
          </w:tcPr>
          <w:p w14:paraId="28972F9B"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+3 %  </w:t>
            </w:r>
          </w:p>
        </w:tc>
        <w:tc>
          <w:tcPr>
            <w:tcW w:w="1417" w:type="dxa"/>
            <w:tcBorders>
              <w:top w:val="nil"/>
              <w:left w:val="nil"/>
              <w:bottom w:val="single" w:sz="4" w:space="0" w:color="auto"/>
              <w:right w:val="nil"/>
            </w:tcBorders>
            <w:shd w:val="clear" w:color="auto" w:fill="auto"/>
            <w:noWrap/>
            <w:vAlign w:val="center"/>
            <w:hideMark/>
          </w:tcPr>
          <w:p w14:paraId="4B0A15EA" w14:textId="77C186FE"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98,9 %</w:t>
            </w:r>
          </w:p>
        </w:tc>
      </w:tr>
      <w:tr w:rsidR="00F15667" w:rsidRPr="00F15667" w14:paraId="5F79BD48" w14:textId="77777777" w:rsidTr="00687F42">
        <w:trPr>
          <w:trHeight w:val="330"/>
        </w:trPr>
        <w:tc>
          <w:tcPr>
            <w:tcW w:w="2020" w:type="dxa"/>
            <w:tcBorders>
              <w:top w:val="nil"/>
              <w:left w:val="nil"/>
              <w:bottom w:val="double" w:sz="6" w:space="0" w:color="auto"/>
              <w:right w:val="nil"/>
            </w:tcBorders>
            <w:shd w:val="clear" w:color="auto" w:fill="auto"/>
            <w:noWrap/>
            <w:vAlign w:val="bottom"/>
            <w:hideMark/>
          </w:tcPr>
          <w:p w14:paraId="1FCB34DC" w14:textId="77777777" w:rsidR="009330E7" w:rsidRPr="00F15667" w:rsidRDefault="009330E7" w:rsidP="009330E7">
            <w:pPr>
              <w:spacing w:line="240" w:lineRule="auto"/>
              <w:jc w:val="left"/>
              <w:rPr>
                <w:rFonts w:eastAsia="Times New Roman"/>
                <w:szCs w:val="24"/>
                <w:lang w:eastAsia="cs-CZ"/>
              </w:rPr>
            </w:pPr>
            <w:r w:rsidRPr="00F15667">
              <w:rPr>
                <w:rFonts w:eastAsia="Times New Roman"/>
                <w:szCs w:val="24"/>
                <w:lang w:eastAsia="cs-CZ"/>
              </w:rPr>
              <w:t>KS Ostrava</w:t>
            </w:r>
          </w:p>
        </w:tc>
        <w:tc>
          <w:tcPr>
            <w:tcW w:w="1079" w:type="dxa"/>
            <w:tcBorders>
              <w:top w:val="nil"/>
              <w:left w:val="nil"/>
              <w:bottom w:val="double" w:sz="6" w:space="0" w:color="auto"/>
              <w:right w:val="nil"/>
            </w:tcBorders>
            <w:shd w:val="clear" w:color="auto" w:fill="auto"/>
            <w:noWrap/>
            <w:vAlign w:val="bottom"/>
            <w:hideMark/>
          </w:tcPr>
          <w:p w14:paraId="51B7A0B5" w14:textId="0E36249B"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7</w:t>
            </w:r>
            <w:r w:rsidR="00340529" w:rsidRPr="00F15667">
              <w:rPr>
                <w:rFonts w:eastAsia="Times New Roman"/>
                <w:szCs w:val="24"/>
                <w:lang w:eastAsia="cs-CZ"/>
              </w:rPr>
              <w:t xml:space="preserve"> </w:t>
            </w:r>
            <w:r w:rsidRPr="00F15667">
              <w:rPr>
                <w:rFonts w:eastAsia="Times New Roman"/>
                <w:szCs w:val="24"/>
                <w:lang w:eastAsia="cs-CZ"/>
              </w:rPr>
              <w:t>544</w:t>
            </w:r>
          </w:p>
        </w:tc>
        <w:tc>
          <w:tcPr>
            <w:tcW w:w="870" w:type="dxa"/>
            <w:tcBorders>
              <w:top w:val="nil"/>
              <w:left w:val="nil"/>
              <w:bottom w:val="double" w:sz="6" w:space="0" w:color="auto"/>
              <w:right w:val="nil"/>
            </w:tcBorders>
            <w:shd w:val="clear" w:color="auto" w:fill="auto"/>
            <w:noWrap/>
            <w:vAlign w:val="center"/>
            <w:hideMark/>
          </w:tcPr>
          <w:p w14:paraId="0C9D0FDB"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+19 %  </w:t>
            </w:r>
          </w:p>
        </w:tc>
        <w:tc>
          <w:tcPr>
            <w:tcW w:w="1144" w:type="dxa"/>
            <w:tcBorders>
              <w:top w:val="nil"/>
              <w:left w:val="single" w:sz="4" w:space="0" w:color="auto"/>
              <w:bottom w:val="double" w:sz="6" w:space="0" w:color="auto"/>
              <w:right w:val="nil"/>
            </w:tcBorders>
            <w:shd w:val="clear" w:color="auto" w:fill="auto"/>
            <w:noWrap/>
            <w:vAlign w:val="bottom"/>
            <w:hideMark/>
          </w:tcPr>
          <w:p w14:paraId="0075FEB5" w14:textId="3088D4B0"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6</w:t>
            </w:r>
            <w:r w:rsidR="00340529" w:rsidRPr="00F15667">
              <w:rPr>
                <w:rFonts w:eastAsia="Times New Roman"/>
                <w:szCs w:val="24"/>
                <w:lang w:eastAsia="cs-CZ"/>
              </w:rPr>
              <w:t xml:space="preserve"> </w:t>
            </w:r>
            <w:r w:rsidRPr="00F15667">
              <w:rPr>
                <w:rFonts w:eastAsia="Times New Roman"/>
                <w:szCs w:val="24"/>
                <w:lang w:eastAsia="cs-CZ"/>
              </w:rPr>
              <w:t>907</w:t>
            </w:r>
          </w:p>
        </w:tc>
        <w:tc>
          <w:tcPr>
            <w:tcW w:w="699" w:type="dxa"/>
            <w:tcBorders>
              <w:top w:val="nil"/>
              <w:left w:val="nil"/>
              <w:bottom w:val="double" w:sz="6" w:space="0" w:color="auto"/>
              <w:right w:val="single" w:sz="4" w:space="0" w:color="auto"/>
            </w:tcBorders>
            <w:shd w:val="clear" w:color="auto" w:fill="auto"/>
            <w:noWrap/>
            <w:vAlign w:val="center"/>
            <w:hideMark/>
          </w:tcPr>
          <w:p w14:paraId="49B9176E"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-4 %  </w:t>
            </w:r>
          </w:p>
        </w:tc>
        <w:tc>
          <w:tcPr>
            <w:tcW w:w="973" w:type="dxa"/>
            <w:tcBorders>
              <w:top w:val="nil"/>
              <w:left w:val="nil"/>
              <w:bottom w:val="double" w:sz="6" w:space="0" w:color="auto"/>
              <w:right w:val="nil"/>
            </w:tcBorders>
            <w:shd w:val="clear" w:color="auto" w:fill="auto"/>
            <w:noWrap/>
            <w:vAlign w:val="bottom"/>
            <w:hideMark/>
          </w:tcPr>
          <w:p w14:paraId="5CC4C136" w14:textId="74EE2750"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856</w:t>
            </w:r>
          </w:p>
        </w:tc>
        <w:tc>
          <w:tcPr>
            <w:tcW w:w="870" w:type="dxa"/>
            <w:tcBorders>
              <w:top w:val="nil"/>
              <w:left w:val="nil"/>
              <w:bottom w:val="double" w:sz="6" w:space="0" w:color="auto"/>
              <w:right w:val="single" w:sz="4" w:space="0" w:color="auto"/>
            </w:tcBorders>
            <w:shd w:val="clear" w:color="auto" w:fill="auto"/>
            <w:noWrap/>
            <w:vAlign w:val="center"/>
            <w:hideMark/>
          </w:tcPr>
          <w:p w14:paraId="0335094A" w14:textId="77777777" w:rsidR="009330E7" w:rsidRPr="00F15667" w:rsidRDefault="009330E7" w:rsidP="009330E7">
            <w:pPr>
              <w:spacing w:line="240" w:lineRule="auto"/>
              <w:jc w:val="center"/>
              <w:rPr>
                <w:rFonts w:eastAsia="Times New Roman"/>
                <w:sz w:val="20"/>
                <w:szCs w:val="20"/>
                <w:lang w:eastAsia="cs-CZ"/>
              </w:rPr>
            </w:pPr>
            <w:r w:rsidRPr="00F15667">
              <w:rPr>
                <w:rFonts w:eastAsia="Times New Roman"/>
                <w:sz w:val="20"/>
                <w:szCs w:val="20"/>
                <w:lang w:eastAsia="cs-CZ"/>
              </w:rPr>
              <w:t xml:space="preserve">+52 %  </w:t>
            </w:r>
          </w:p>
        </w:tc>
        <w:tc>
          <w:tcPr>
            <w:tcW w:w="1417" w:type="dxa"/>
            <w:tcBorders>
              <w:top w:val="nil"/>
              <w:left w:val="nil"/>
              <w:bottom w:val="nil"/>
              <w:right w:val="nil"/>
            </w:tcBorders>
            <w:shd w:val="clear" w:color="auto" w:fill="auto"/>
            <w:noWrap/>
            <w:vAlign w:val="center"/>
            <w:hideMark/>
          </w:tcPr>
          <w:p w14:paraId="24B2191A" w14:textId="7195E3F2" w:rsidR="009330E7" w:rsidRPr="00F15667" w:rsidRDefault="009330E7" w:rsidP="009330E7">
            <w:pPr>
              <w:spacing w:line="240" w:lineRule="auto"/>
              <w:jc w:val="center"/>
              <w:rPr>
                <w:rFonts w:eastAsia="Times New Roman"/>
                <w:szCs w:val="24"/>
                <w:lang w:eastAsia="cs-CZ"/>
              </w:rPr>
            </w:pPr>
            <w:r w:rsidRPr="00F15667">
              <w:rPr>
                <w:rFonts w:eastAsia="Times New Roman"/>
                <w:szCs w:val="24"/>
                <w:lang w:eastAsia="cs-CZ"/>
              </w:rPr>
              <w:t>91,6 %</w:t>
            </w:r>
          </w:p>
        </w:tc>
      </w:tr>
      <w:tr w:rsidR="00F15667" w:rsidRPr="00F15667" w14:paraId="705AB24D" w14:textId="77777777" w:rsidTr="00687F42">
        <w:trPr>
          <w:trHeight w:val="345"/>
        </w:trPr>
        <w:tc>
          <w:tcPr>
            <w:tcW w:w="2020" w:type="dxa"/>
            <w:tcBorders>
              <w:top w:val="nil"/>
              <w:left w:val="nil"/>
              <w:bottom w:val="double" w:sz="6" w:space="0" w:color="auto"/>
              <w:right w:val="nil"/>
            </w:tcBorders>
            <w:shd w:val="clear" w:color="auto" w:fill="auto"/>
            <w:noWrap/>
            <w:vAlign w:val="bottom"/>
            <w:hideMark/>
          </w:tcPr>
          <w:p w14:paraId="5C5F64E5" w14:textId="77777777" w:rsidR="009330E7" w:rsidRPr="00F15667" w:rsidRDefault="009330E7" w:rsidP="009330E7">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79" w:type="dxa"/>
            <w:tcBorders>
              <w:top w:val="nil"/>
              <w:left w:val="nil"/>
              <w:bottom w:val="double" w:sz="6" w:space="0" w:color="auto"/>
              <w:right w:val="nil"/>
            </w:tcBorders>
            <w:shd w:val="clear" w:color="auto" w:fill="auto"/>
            <w:noWrap/>
            <w:vAlign w:val="bottom"/>
            <w:hideMark/>
          </w:tcPr>
          <w:p w14:paraId="52AE9B0E" w14:textId="0BC7F9B2" w:rsidR="009330E7" w:rsidRPr="00F15667" w:rsidRDefault="009330E7" w:rsidP="009330E7">
            <w:pPr>
              <w:spacing w:line="240" w:lineRule="auto"/>
              <w:jc w:val="center"/>
              <w:rPr>
                <w:rFonts w:eastAsia="Times New Roman"/>
                <w:b/>
                <w:bCs/>
                <w:szCs w:val="24"/>
                <w:lang w:eastAsia="cs-CZ"/>
              </w:rPr>
            </w:pPr>
            <w:r w:rsidRPr="00F15667">
              <w:rPr>
                <w:rFonts w:eastAsia="Times New Roman"/>
                <w:b/>
                <w:bCs/>
                <w:szCs w:val="24"/>
                <w:lang w:eastAsia="cs-CZ"/>
              </w:rPr>
              <w:t>44</w:t>
            </w:r>
            <w:r w:rsidR="00340529" w:rsidRPr="00F15667">
              <w:rPr>
                <w:rFonts w:eastAsia="Times New Roman"/>
                <w:b/>
                <w:bCs/>
                <w:szCs w:val="24"/>
                <w:lang w:eastAsia="cs-CZ"/>
              </w:rPr>
              <w:t xml:space="preserve"> </w:t>
            </w:r>
            <w:r w:rsidRPr="00F15667">
              <w:rPr>
                <w:rFonts w:eastAsia="Times New Roman"/>
                <w:b/>
                <w:bCs/>
                <w:szCs w:val="24"/>
                <w:lang w:eastAsia="cs-CZ"/>
              </w:rPr>
              <w:t>613</w:t>
            </w:r>
          </w:p>
        </w:tc>
        <w:tc>
          <w:tcPr>
            <w:tcW w:w="870" w:type="dxa"/>
            <w:tcBorders>
              <w:top w:val="nil"/>
              <w:left w:val="nil"/>
              <w:bottom w:val="double" w:sz="6" w:space="0" w:color="auto"/>
              <w:right w:val="nil"/>
            </w:tcBorders>
            <w:shd w:val="clear" w:color="auto" w:fill="auto"/>
            <w:noWrap/>
            <w:vAlign w:val="center"/>
            <w:hideMark/>
          </w:tcPr>
          <w:p w14:paraId="0F7F3737" w14:textId="77777777" w:rsidR="009330E7" w:rsidRPr="00F15667" w:rsidRDefault="009330E7" w:rsidP="009330E7">
            <w:pPr>
              <w:spacing w:line="240" w:lineRule="auto"/>
              <w:jc w:val="center"/>
              <w:rPr>
                <w:rFonts w:eastAsia="Times New Roman"/>
                <w:b/>
                <w:bCs/>
                <w:sz w:val="20"/>
                <w:szCs w:val="20"/>
                <w:lang w:eastAsia="cs-CZ"/>
              </w:rPr>
            </w:pPr>
            <w:r w:rsidRPr="00F15667">
              <w:rPr>
                <w:rFonts w:eastAsia="Times New Roman"/>
                <w:b/>
                <w:bCs/>
                <w:sz w:val="20"/>
                <w:szCs w:val="20"/>
                <w:lang w:eastAsia="cs-CZ"/>
              </w:rPr>
              <w:t xml:space="preserve">+4 %  </w:t>
            </w:r>
          </w:p>
        </w:tc>
        <w:tc>
          <w:tcPr>
            <w:tcW w:w="1144" w:type="dxa"/>
            <w:tcBorders>
              <w:top w:val="nil"/>
              <w:left w:val="single" w:sz="4" w:space="0" w:color="auto"/>
              <w:bottom w:val="double" w:sz="6" w:space="0" w:color="auto"/>
              <w:right w:val="nil"/>
            </w:tcBorders>
            <w:shd w:val="clear" w:color="auto" w:fill="auto"/>
            <w:noWrap/>
            <w:vAlign w:val="bottom"/>
            <w:hideMark/>
          </w:tcPr>
          <w:p w14:paraId="1E75E544" w14:textId="0C5437DC" w:rsidR="009330E7" w:rsidRPr="00F15667" w:rsidRDefault="009330E7" w:rsidP="009330E7">
            <w:pPr>
              <w:spacing w:line="240" w:lineRule="auto"/>
              <w:jc w:val="center"/>
              <w:rPr>
                <w:rFonts w:eastAsia="Times New Roman"/>
                <w:b/>
                <w:bCs/>
                <w:szCs w:val="24"/>
                <w:lang w:eastAsia="cs-CZ"/>
              </w:rPr>
            </w:pPr>
            <w:r w:rsidRPr="00F15667">
              <w:rPr>
                <w:rFonts w:eastAsia="Times New Roman"/>
                <w:b/>
                <w:bCs/>
                <w:szCs w:val="24"/>
                <w:lang w:eastAsia="cs-CZ"/>
              </w:rPr>
              <w:t>44</w:t>
            </w:r>
            <w:r w:rsidR="00340529" w:rsidRPr="00F15667">
              <w:rPr>
                <w:rFonts w:eastAsia="Times New Roman"/>
                <w:b/>
                <w:bCs/>
                <w:szCs w:val="24"/>
                <w:lang w:eastAsia="cs-CZ"/>
              </w:rPr>
              <w:t xml:space="preserve"> </w:t>
            </w:r>
            <w:r w:rsidRPr="00F15667">
              <w:rPr>
                <w:rFonts w:eastAsia="Times New Roman"/>
                <w:b/>
                <w:bCs/>
                <w:szCs w:val="24"/>
                <w:lang w:eastAsia="cs-CZ"/>
              </w:rPr>
              <w:t>106</w:t>
            </w:r>
          </w:p>
        </w:tc>
        <w:tc>
          <w:tcPr>
            <w:tcW w:w="699" w:type="dxa"/>
            <w:tcBorders>
              <w:top w:val="nil"/>
              <w:left w:val="nil"/>
              <w:bottom w:val="double" w:sz="6" w:space="0" w:color="auto"/>
              <w:right w:val="single" w:sz="4" w:space="0" w:color="auto"/>
            </w:tcBorders>
            <w:shd w:val="clear" w:color="auto" w:fill="auto"/>
            <w:noWrap/>
            <w:vAlign w:val="center"/>
            <w:hideMark/>
          </w:tcPr>
          <w:p w14:paraId="2BE92298" w14:textId="77777777" w:rsidR="009330E7" w:rsidRPr="00F15667" w:rsidRDefault="009330E7" w:rsidP="009330E7">
            <w:pPr>
              <w:spacing w:line="240" w:lineRule="auto"/>
              <w:jc w:val="center"/>
              <w:rPr>
                <w:rFonts w:eastAsia="Times New Roman"/>
                <w:b/>
                <w:bCs/>
                <w:sz w:val="20"/>
                <w:szCs w:val="20"/>
                <w:lang w:eastAsia="cs-CZ"/>
              </w:rPr>
            </w:pPr>
            <w:r w:rsidRPr="00F15667">
              <w:rPr>
                <w:rFonts w:eastAsia="Times New Roman"/>
                <w:b/>
                <w:bCs/>
                <w:sz w:val="20"/>
                <w:szCs w:val="20"/>
                <w:lang w:eastAsia="cs-CZ"/>
              </w:rPr>
              <w:t xml:space="preserve">-1 %  </w:t>
            </w:r>
          </w:p>
        </w:tc>
        <w:tc>
          <w:tcPr>
            <w:tcW w:w="973" w:type="dxa"/>
            <w:tcBorders>
              <w:top w:val="nil"/>
              <w:left w:val="nil"/>
              <w:bottom w:val="double" w:sz="6" w:space="0" w:color="auto"/>
              <w:right w:val="nil"/>
            </w:tcBorders>
            <w:shd w:val="clear" w:color="auto" w:fill="auto"/>
            <w:noWrap/>
            <w:vAlign w:val="bottom"/>
            <w:hideMark/>
          </w:tcPr>
          <w:p w14:paraId="29E0E03C" w14:textId="7DE5D375" w:rsidR="009330E7" w:rsidRPr="00F15667" w:rsidRDefault="009330E7" w:rsidP="009330E7">
            <w:pPr>
              <w:spacing w:line="240" w:lineRule="auto"/>
              <w:jc w:val="center"/>
              <w:rPr>
                <w:rFonts w:eastAsia="Times New Roman"/>
                <w:b/>
                <w:bCs/>
                <w:szCs w:val="24"/>
                <w:lang w:eastAsia="cs-CZ"/>
              </w:rPr>
            </w:pPr>
            <w:r w:rsidRPr="00F15667">
              <w:rPr>
                <w:rFonts w:eastAsia="Times New Roman"/>
                <w:b/>
                <w:bCs/>
                <w:szCs w:val="24"/>
                <w:lang w:eastAsia="cs-CZ"/>
              </w:rPr>
              <w:t>8</w:t>
            </w:r>
            <w:r w:rsidR="00340529" w:rsidRPr="00F15667">
              <w:rPr>
                <w:rFonts w:eastAsia="Times New Roman"/>
                <w:b/>
                <w:bCs/>
                <w:szCs w:val="24"/>
                <w:lang w:eastAsia="cs-CZ"/>
              </w:rPr>
              <w:t xml:space="preserve"> </w:t>
            </w:r>
            <w:r w:rsidRPr="00F15667">
              <w:rPr>
                <w:rFonts w:eastAsia="Times New Roman"/>
                <w:b/>
                <w:bCs/>
                <w:szCs w:val="24"/>
                <w:lang w:eastAsia="cs-CZ"/>
              </w:rPr>
              <w:t>016</w:t>
            </w:r>
          </w:p>
        </w:tc>
        <w:tc>
          <w:tcPr>
            <w:tcW w:w="870" w:type="dxa"/>
            <w:tcBorders>
              <w:top w:val="nil"/>
              <w:left w:val="nil"/>
              <w:bottom w:val="double" w:sz="6" w:space="0" w:color="auto"/>
              <w:right w:val="single" w:sz="4" w:space="0" w:color="auto"/>
            </w:tcBorders>
            <w:shd w:val="clear" w:color="auto" w:fill="auto"/>
            <w:noWrap/>
            <w:vAlign w:val="center"/>
            <w:hideMark/>
          </w:tcPr>
          <w:p w14:paraId="33072E6C" w14:textId="77777777" w:rsidR="009330E7" w:rsidRPr="00F15667" w:rsidRDefault="009330E7" w:rsidP="009330E7">
            <w:pPr>
              <w:spacing w:line="240" w:lineRule="auto"/>
              <w:jc w:val="center"/>
              <w:rPr>
                <w:rFonts w:eastAsia="Times New Roman"/>
                <w:b/>
                <w:bCs/>
                <w:sz w:val="20"/>
                <w:szCs w:val="20"/>
                <w:lang w:eastAsia="cs-CZ"/>
              </w:rPr>
            </w:pPr>
            <w:r w:rsidRPr="00F15667">
              <w:rPr>
                <w:rFonts w:eastAsia="Times New Roman"/>
                <w:b/>
                <w:bCs/>
                <w:sz w:val="20"/>
                <w:szCs w:val="20"/>
                <w:lang w:eastAsia="cs-CZ"/>
              </w:rPr>
              <w:t xml:space="preserve">+7 %  </w:t>
            </w:r>
          </w:p>
        </w:tc>
        <w:tc>
          <w:tcPr>
            <w:tcW w:w="1417" w:type="dxa"/>
            <w:tcBorders>
              <w:top w:val="double" w:sz="6" w:space="0" w:color="auto"/>
              <w:left w:val="nil"/>
              <w:bottom w:val="double" w:sz="6" w:space="0" w:color="auto"/>
              <w:right w:val="nil"/>
            </w:tcBorders>
            <w:shd w:val="clear" w:color="auto" w:fill="auto"/>
            <w:noWrap/>
            <w:vAlign w:val="center"/>
            <w:hideMark/>
          </w:tcPr>
          <w:p w14:paraId="358CA9CB" w14:textId="7CD747CA" w:rsidR="009330E7" w:rsidRPr="00F15667" w:rsidRDefault="009330E7" w:rsidP="009330E7">
            <w:pPr>
              <w:spacing w:line="240" w:lineRule="auto"/>
              <w:jc w:val="center"/>
              <w:rPr>
                <w:rFonts w:eastAsia="Times New Roman"/>
                <w:b/>
                <w:bCs/>
                <w:szCs w:val="24"/>
                <w:lang w:eastAsia="cs-CZ"/>
              </w:rPr>
            </w:pPr>
            <w:r w:rsidRPr="00F15667">
              <w:rPr>
                <w:rFonts w:eastAsia="Times New Roman"/>
                <w:b/>
                <w:bCs/>
                <w:szCs w:val="24"/>
                <w:lang w:eastAsia="cs-CZ"/>
              </w:rPr>
              <w:t>98,9 %</w:t>
            </w:r>
          </w:p>
        </w:tc>
      </w:tr>
      <w:tr w:rsidR="009330E7" w:rsidRPr="00F15667" w14:paraId="431DB8D0" w14:textId="77777777" w:rsidTr="00687F42">
        <w:trPr>
          <w:trHeight w:val="330"/>
        </w:trPr>
        <w:tc>
          <w:tcPr>
            <w:tcW w:w="2020" w:type="dxa"/>
            <w:tcBorders>
              <w:top w:val="nil"/>
              <w:left w:val="nil"/>
              <w:bottom w:val="nil"/>
              <w:right w:val="nil"/>
            </w:tcBorders>
            <w:shd w:val="clear" w:color="auto" w:fill="auto"/>
            <w:noWrap/>
            <w:vAlign w:val="bottom"/>
            <w:hideMark/>
          </w:tcPr>
          <w:p w14:paraId="627720D7" w14:textId="77777777" w:rsidR="009330E7" w:rsidRPr="00F15667" w:rsidRDefault="009330E7" w:rsidP="009330E7">
            <w:pPr>
              <w:spacing w:line="240" w:lineRule="auto"/>
              <w:jc w:val="center"/>
              <w:rPr>
                <w:rFonts w:eastAsia="Times New Roman"/>
                <w:b/>
                <w:bCs/>
                <w:szCs w:val="24"/>
                <w:lang w:eastAsia="cs-CZ"/>
              </w:rPr>
            </w:pPr>
          </w:p>
        </w:tc>
        <w:tc>
          <w:tcPr>
            <w:tcW w:w="1079" w:type="dxa"/>
            <w:tcBorders>
              <w:top w:val="nil"/>
              <w:left w:val="nil"/>
              <w:bottom w:val="nil"/>
              <w:right w:val="nil"/>
            </w:tcBorders>
            <w:shd w:val="clear" w:color="auto" w:fill="auto"/>
            <w:noWrap/>
            <w:vAlign w:val="bottom"/>
            <w:hideMark/>
          </w:tcPr>
          <w:p w14:paraId="0F33D577" w14:textId="77777777" w:rsidR="009330E7" w:rsidRPr="00F15667" w:rsidRDefault="009330E7" w:rsidP="009330E7">
            <w:pPr>
              <w:spacing w:line="240" w:lineRule="auto"/>
              <w:jc w:val="left"/>
              <w:rPr>
                <w:rFonts w:ascii="Times New Roman" w:eastAsia="Times New Roman" w:hAnsi="Times New Roman"/>
                <w:sz w:val="20"/>
                <w:szCs w:val="20"/>
                <w:lang w:eastAsia="cs-CZ"/>
              </w:rPr>
            </w:pPr>
          </w:p>
        </w:tc>
        <w:tc>
          <w:tcPr>
            <w:tcW w:w="870" w:type="dxa"/>
            <w:tcBorders>
              <w:top w:val="nil"/>
              <w:left w:val="nil"/>
              <w:bottom w:val="nil"/>
              <w:right w:val="nil"/>
            </w:tcBorders>
            <w:shd w:val="clear" w:color="auto" w:fill="auto"/>
            <w:noWrap/>
            <w:vAlign w:val="bottom"/>
            <w:hideMark/>
          </w:tcPr>
          <w:p w14:paraId="5290E549" w14:textId="77777777" w:rsidR="009330E7" w:rsidRPr="00F15667" w:rsidRDefault="009330E7" w:rsidP="009330E7">
            <w:pPr>
              <w:spacing w:line="240" w:lineRule="auto"/>
              <w:jc w:val="left"/>
              <w:rPr>
                <w:rFonts w:ascii="Times New Roman" w:eastAsia="Times New Roman" w:hAnsi="Times New Roman"/>
                <w:sz w:val="20"/>
                <w:szCs w:val="20"/>
                <w:lang w:eastAsia="cs-CZ"/>
              </w:rPr>
            </w:pPr>
          </w:p>
        </w:tc>
        <w:tc>
          <w:tcPr>
            <w:tcW w:w="1144" w:type="dxa"/>
            <w:tcBorders>
              <w:top w:val="nil"/>
              <w:left w:val="nil"/>
              <w:bottom w:val="nil"/>
              <w:right w:val="nil"/>
            </w:tcBorders>
            <w:shd w:val="clear" w:color="auto" w:fill="auto"/>
            <w:noWrap/>
            <w:vAlign w:val="bottom"/>
            <w:hideMark/>
          </w:tcPr>
          <w:p w14:paraId="1BB8FE0F" w14:textId="77777777" w:rsidR="009330E7" w:rsidRPr="00F15667" w:rsidRDefault="009330E7" w:rsidP="009330E7">
            <w:pPr>
              <w:spacing w:line="240" w:lineRule="auto"/>
              <w:jc w:val="left"/>
              <w:rPr>
                <w:rFonts w:ascii="Times New Roman" w:eastAsia="Times New Roman" w:hAnsi="Times New Roman"/>
                <w:sz w:val="20"/>
                <w:szCs w:val="20"/>
                <w:lang w:eastAsia="cs-CZ"/>
              </w:rPr>
            </w:pPr>
          </w:p>
        </w:tc>
        <w:tc>
          <w:tcPr>
            <w:tcW w:w="699" w:type="dxa"/>
            <w:tcBorders>
              <w:top w:val="nil"/>
              <w:left w:val="nil"/>
              <w:bottom w:val="nil"/>
              <w:right w:val="nil"/>
            </w:tcBorders>
            <w:shd w:val="clear" w:color="auto" w:fill="auto"/>
            <w:noWrap/>
            <w:vAlign w:val="bottom"/>
            <w:hideMark/>
          </w:tcPr>
          <w:p w14:paraId="22F74571" w14:textId="77777777" w:rsidR="009330E7" w:rsidRPr="00F15667" w:rsidRDefault="009330E7" w:rsidP="009330E7">
            <w:pPr>
              <w:spacing w:line="240" w:lineRule="auto"/>
              <w:jc w:val="left"/>
              <w:rPr>
                <w:rFonts w:ascii="Times New Roman" w:eastAsia="Times New Roman" w:hAnsi="Times New Roman"/>
                <w:sz w:val="20"/>
                <w:szCs w:val="20"/>
                <w:lang w:eastAsia="cs-CZ"/>
              </w:rPr>
            </w:pPr>
          </w:p>
        </w:tc>
        <w:tc>
          <w:tcPr>
            <w:tcW w:w="973" w:type="dxa"/>
            <w:tcBorders>
              <w:top w:val="nil"/>
              <w:left w:val="nil"/>
              <w:bottom w:val="nil"/>
              <w:right w:val="nil"/>
            </w:tcBorders>
            <w:shd w:val="clear" w:color="auto" w:fill="auto"/>
            <w:noWrap/>
            <w:vAlign w:val="bottom"/>
            <w:hideMark/>
          </w:tcPr>
          <w:p w14:paraId="032FB82D" w14:textId="77777777" w:rsidR="009330E7" w:rsidRPr="00F15667" w:rsidRDefault="009330E7" w:rsidP="009330E7">
            <w:pPr>
              <w:spacing w:line="240" w:lineRule="auto"/>
              <w:jc w:val="left"/>
              <w:rPr>
                <w:rFonts w:ascii="Times New Roman" w:eastAsia="Times New Roman" w:hAnsi="Times New Roman"/>
                <w:sz w:val="20"/>
                <w:szCs w:val="20"/>
                <w:lang w:eastAsia="cs-CZ"/>
              </w:rPr>
            </w:pPr>
          </w:p>
        </w:tc>
        <w:tc>
          <w:tcPr>
            <w:tcW w:w="870" w:type="dxa"/>
            <w:tcBorders>
              <w:top w:val="nil"/>
              <w:left w:val="nil"/>
              <w:bottom w:val="nil"/>
              <w:right w:val="nil"/>
            </w:tcBorders>
            <w:shd w:val="clear" w:color="auto" w:fill="auto"/>
            <w:noWrap/>
            <w:vAlign w:val="bottom"/>
            <w:hideMark/>
          </w:tcPr>
          <w:p w14:paraId="58B94BB2" w14:textId="77777777" w:rsidR="009330E7" w:rsidRPr="00F15667" w:rsidRDefault="009330E7" w:rsidP="009330E7">
            <w:pPr>
              <w:spacing w:line="240" w:lineRule="auto"/>
              <w:jc w:val="left"/>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bottom"/>
            <w:hideMark/>
          </w:tcPr>
          <w:p w14:paraId="5799D218" w14:textId="77777777" w:rsidR="009330E7" w:rsidRPr="00F15667" w:rsidRDefault="009330E7" w:rsidP="009330E7">
            <w:pPr>
              <w:spacing w:line="240" w:lineRule="auto"/>
              <w:jc w:val="left"/>
              <w:rPr>
                <w:rFonts w:ascii="Times New Roman" w:eastAsia="Times New Roman" w:hAnsi="Times New Roman"/>
                <w:sz w:val="20"/>
                <w:szCs w:val="20"/>
                <w:lang w:eastAsia="cs-CZ"/>
              </w:rPr>
            </w:pPr>
          </w:p>
        </w:tc>
      </w:tr>
    </w:tbl>
    <w:p w14:paraId="23134775" w14:textId="4C56A1F9" w:rsidR="001A527D" w:rsidRPr="00F15667" w:rsidRDefault="001A527D" w:rsidP="001A527D">
      <w:pPr>
        <w:pStyle w:val="Nadpis3"/>
        <w:numPr>
          <w:ilvl w:val="2"/>
          <w:numId w:val="1"/>
        </w:numPr>
        <w:rPr>
          <w:color w:val="auto"/>
        </w:rPr>
      </w:pPr>
      <w:bookmarkStart w:id="715" w:name="_Toc106092761"/>
      <w:bookmarkStart w:id="716" w:name="_Toc144104374"/>
      <w:r w:rsidRPr="00F15667">
        <w:rPr>
          <w:color w:val="auto"/>
        </w:rPr>
        <w:t>Vyřizování věcí v přepočtu na soudce</w:t>
      </w:r>
      <w:bookmarkEnd w:id="715"/>
      <w:bookmarkEnd w:id="716"/>
    </w:p>
    <w:p w14:paraId="747CE89D" w14:textId="77777777" w:rsidR="009F1FC5" w:rsidRPr="00F15667" w:rsidRDefault="009F1FC5" w:rsidP="009F1FC5">
      <w:r w:rsidRPr="00F15667">
        <w:t>I zde lze pomocí dat o úvazcích provést přepočet na soudce. Výsledek je uveden v tabulce níže.</w:t>
      </w:r>
    </w:p>
    <w:p w14:paraId="76F4B589" w14:textId="77777777" w:rsidR="009F1FC5" w:rsidRPr="00F15667" w:rsidRDefault="009F1FC5" w:rsidP="009F1FC5">
      <w:r w:rsidRPr="00F15667">
        <w:t>Opět si v souvislosti s tabulkou dovolíme upozornit na několik faktů.</w:t>
      </w:r>
    </w:p>
    <w:p w14:paraId="24E53531" w14:textId="77777777" w:rsidR="009F1FC5" w:rsidRPr="00F15667" w:rsidRDefault="009F1FC5" w:rsidP="009F1FC5">
      <w:pPr>
        <w:pStyle w:val="Odstavecseseznamem"/>
        <w:numPr>
          <w:ilvl w:val="0"/>
          <w:numId w:val="18"/>
        </w:numPr>
      </w:pPr>
      <w:r w:rsidRPr="00F15667">
        <w:t>Odvolací úsek soudů je výrazně větší než úsek prvostupňový. To koneckonců plyne již z množství vyřizovaných věcí. Nyní to lze demonstrovat i na počtu soudců, který je téměř pětinásobný oproti prvostupňovému úseku.</w:t>
      </w:r>
    </w:p>
    <w:p w14:paraId="08366C59" w14:textId="77777777" w:rsidR="009F1FC5" w:rsidRPr="00F15667" w:rsidRDefault="009F1FC5" w:rsidP="009F1FC5">
      <w:pPr>
        <w:pStyle w:val="Odstavecseseznamem"/>
        <w:numPr>
          <w:ilvl w:val="0"/>
          <w:numId w:val="18"/>
        </w:numPr>
      </w:pPr>
      <w:r w:rsidRPr="00F15667">
        <w:t>Počty příchozích a vyřízených věcí jsou mezi kraji mnohem vyrovnanější než u prvostupňových věcí. V tomto směru vybočuje KS Ostrava, u něhož se této agendě očividně věnuje relativně méně soudců než u ostatních soudů. Jak uvidíme níže, dotčení soudci byli přesunuti na insolvenční úsek.</w:t>
      </w:r>
    </w:p>
    <w:p w14:paraId="2AE75A1D" w14:textId="5E4EDA07" w:rsidR="009F1FC5" w:rsidRPr="00F15667" w:rsidRDefault="009F1FC5" w:rsidP="009F1FC5">
      <w:pPr>
        <w:pStyle w:val="Odstavecseseznamem"/>
        <w:numPr>
          <w:ilvl w:val="0"/>
          <w:numId w:val="18"/>
        </w:numPr>
      </w:pPr>
      <w:r w:rsidRPr="00F15667">
        <w:t>Zdaleka nejvyšší počet nevyřízených věcí na soudce v roce 2022 vykazuje KS Brno a KS Ostrava</w:t>
      </w:r>
      <w:r w:rsidR="002D342A" w:rsidRPr="00F15667">
        <w:t xml:space="preserve">, kde v roce 2022 došlo k signifikantnímu nárůstu. </w:t>
      </w:r>
      <w:r w:rsidRPr="00F15667">
        <w:t>Naopak nejméně nevyřízených věcí na soudce vykazuje</w:t>
      </w:r>
      <w:r w:rsidR="002D342A" w:rsidRPr="00F15667">
        <w:t xml:space="preserve"> KS České Budějovice.</w:t>
      </w:r>
    </w:p>
    <w:p w14:paraId="0878E4D4" w14:textId="77777777" w:rsidR="009F1FC5" w:rsidRPr="00F15667" w:rsidRDefault="009F1FC5" w:rsidP="009F1FC5">
      <w:pPr>
        <w:pStyle w:val="Odstavecseseznamem"/>
        <w:numPr>
          <w:ilvl w:val="0"/>
          <w:numId w:val="18"/>
        </w:numPr>
      </w:pPr>
      <w:r w:rsidRPr="00F15667">
        <w:t>Oproti předchozímu roku se samozřejmě mírně změnily počty soudců u jednotlivých soudů. Na republikové úrovni je však počet soudců téměř stejný jako v předchozím roce. Změny ve vyřizování na soudce tak na republikové úrovni přesně kopírují změny ve vyřizování věcí.</w:t>
      </w:r>
    </w:p>
    <w:p w14:paraId="2999178E" w14:textId="77777777" w:rsidR="009F1FC5" w:rsidRPr="00F15667" w:rsidRDefault="009F1FC5">
      <w:pPr>
        <w:spacing w:after="160" w:line="259" w:lineRule="auto"/>
        <w:jc w:val="left"/>
        <w:rPr>
          <w:rFonts w:eastAsia="Times New Roman"/>
          <w:b/>
          <w:iCs/>
          <w:spacing w:val="15"/>
          <w:szCs w:val="24"/>
        </w:rPr>
      </w:pPr>
      <w:bookmarkStart w:id="717" w:name="_Toc75952356"/>
      <w:bookmarkStart w:id="718" w:name="_Toc106106812"/>
      <w:bookmarkStart w:id="719" w:name="_Toc109802135"/>
      <w:r w:rsidRPr="00F15667">
        <w:br w:type="page"/>
      </w:r>
    </w:p>
    <w:p w14:paraId="3290B502" w14:textId="45821FD6" w:rsidR="009F1FC5" w:rsidRPr="00F15667" w:rsidRDefault="009F1FC5" w:rsidP="009F1FC5">
      <w:pPr>
        <w:pStyle w:val="Podnadpis"/>
        <w:rPr>
          <w:color w:val="auto"/>
        </w:rPr>
      </w:pPr>
      <w:bookmarkStart w:id="720" w:name="_Toc144104293"/>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54</w:t>
      </w:r>
      <w:r w:rsidRPr="00F15667">
        <w:rPr>
          <w:color w:val="auto"/>
        </w:rPr>
        <w:fldChar w:fldCharType="end"/>
      </w:r>
      <w:r w:rsidRPr="00F15667">
        <w:rPr>
          <w:color w:val="auto"/>
        </w:rPr>
        <w:t>: KS – vyřiz. odvolacích civil. věcí na skutečný úvazek dle soudů</w:t>
      </w:r>
      <w:bookmarkEnd w:id="717"/>
      <w:bookmarkEnd w:id="718"/>
      <w:bookmarkEnd w:id="719"/>
      <w:bookmarkEnd w:id="720"/>
    </w:p>
    <w:tbl>
      <w:tblPr>
        <w:tblW w:w="9072" w:type="dxa"/>
        <w:tblCellMar>
          <w:left w:w="70" w:type="dxa"/>
          <w:right w:w="70" w:type="dxa"/>
        </w:tblCellMar>
        <w:tblLook w:val="04A0" w:firstRow="1" w:lastRow="0" w:firstColumn="1" w:lastColumn="0" w:noHBand="0" w:noVBand="1"/>
      </w:tblPr>
      <w:tblGrid>
        <w:gridCol w:w="2040"/>
        <w:gridCol w:w="1221"/>
        <w:gridCol w:w="1187"/>
        <w:gridCol w:w="797"/>
        <w:gridCol w:w="1187"/>
        <w:gridCol w:w="798"/>
        <w:gridCol w:w="981"/>
        <w:gridCol w:w="861"/>
      </w:tblGrid>
      <w:tr w:rsidR="00F15667" w:rsidRPr="00F15667" w14:paraId="5FD04858" w14:textId="77777777" w:rsidTr="0070337A">
        <w:trPr>
          <w:trHeight w:val="330"/>
        </w:trPr>
        <w:tc>
          <w:tcPr>
            <w:tcW w:w="2040" w:type="dxa"/>
            <w:vMerge w:val="restart"/>
            <w:tcBorders>
              <w:top w:val="double" w:sz="6" w:space="0" w:color="auto"/>
              <w:left w:val="nil"/>
              <w:bottom w:val="double" w:sz="6" w:space="0" w:color="000000"/>
              <w:right w:val="nil"/>
            </w:tcBorders>
            <w:shd w:val="clear" w:color="auto" w:fill="auto"/>
            <w:noWrap/>
            <w:vAlign w:val="center"/>
            <w:hideMark/>
          </w:tcPr>
          <w:p w14:paraId="5C2DB46A" w14:textId="6A276D2E" w:rsidR="009F1FC5" w:rsidRPr="00F15667" w:rsidRDefault="0070337A" w:rsidP="0070337A">
            <w:pPr>
              <w:spacing w:line="240" w:lineRule="auto"/>
              <w:jc w:val="center"/>
              <w:rPr>
                <w:rFonts w:eastAsia="Times New Roman"/>
                <w:b/>
                <w:bCs/>
                <w:szCs w:val="24"/>
                <w:lang w:eastAsia="cs-CZ"/>
              </w:rPr>
            </w:pPr>
            <w:r>
              <w:rPr>
                <w:rFonts w:eastAsia="Times New Roman"/>
                <w:b/>
                <w:bCs/>
                <w:szCs w:val="24"/>
                <w:lang w:eastAsia="cs-CZ"/>
              </w:rPr>
              <w:t>S</w:t>
            </w:r>
            <w:r w:rsidR="009F1FC5" w:rsidRPr="00F15667">
              <w:rPr>
                <w:rFonts w:eastAsia="Times New Roman"/>
                <w:b/>
                <w:bCs/>
                <w:szCs w:val="24"/>
                <w:lang w:eastAsia="cs-CZ"/>
              </w:rPr>
              <w:t>oud</w:t>
            </w:r>
          </w:p>
        </w:tc>
        <w:tc>
          <w:tcPr>
            <w:tcW w:w="1221" w:type="dxa"/>
            <w:vMerge w:val="restart"/>
            <w:tcBorders>
              <w:top w:val="double" w:sz="6" w:space="0" w:color="auto"/>
              <w:left w:val="nil"/>
              <w:bottom w:val="double" w:sz="6" w:space="0" w:color="000000"/>
              <w:right w:val="nil"/>
            </w:tcBorders>
            <w:shd w:val="clear" w:color="auto" w:fill="auto"/>
            <w:noWrap/>
            <w:vAlign w:val="center"/>
            <w:hideMark/>
          </w:tcPr>
          <w:p w14:paraId="606F1D33" w14:textId="77777777" w:rsidR="009F1FC5" w:rsidRPr="00F15667" w:rsidRDefault="009F1FC5" w:rsidP="0070337A">
            <w:pPr>
              <w:spacing w:line="240" w:lineRule="auto"/>
              <w:jc w:val="center"/>
              <w:rPr>
                <w:rFonts w:eastAsia="Times New Roman"/>
                <w:b/>
                <w:bCs/>
                <w:szCs w:val="24"/>
                <w:lang w:eastAsia="cs-CZ"/>
              </w:rPr>
            </w:pPr>
            <w:r w:rsidRPr="00F15667">
              <w:rPr>
                <w:rFonts w:eastAsia="Times New Roman"/>
                <w:b/>
                <w:bCs/>
                <w:szCs w:val="24"/>
                <w:lang w:eastAsia="cs-CZ"/>
              </w:rPr>
              <w:t>Počet úvazků</w:t>
            </w:r>
          </w:p>
        </w:tc>
        <w:tc>
          <w:tcPr>
            <w:tcW w:w="5811" w:type="dxa"/>
            <w:gridSpan w:val="6"/>
            <w:tcBorders>
              <w:top w:val="double" w:sz="6" w:space="0" w:color="auto"/>
              <w:left w:val="nil"/>
              <w:bottom w:val="nil"/>
              <w:right w:val="nil"/>
            </w:tcBorders>
            <w:shd w:val="clear" w:color="auto" w:fill="auto"/>
            <w:noWrap/>
            <w:vAlign w:val="center"/>
            <w:hideMark/>
          </w:tcPr>
          <w:p w14:paraId="21C00D70" w14:textId="79088CCF" w:rsidR="009F1FC5" w:rsidRPr="00F15667" w:rsidRDefault="0046332C" w:rsidP="0070337A">
            <w:pPr>
              <w:spacing w:line="240" w:lineRule="auto"/>
              <w:jc w:val="center"/>
              <w:rPr>
                <w:rFonts w:eastAsia="Times New Roman"/>
                <w:b/>
                <w:bCs/>
                <w:szCs w:val="24"/>
                <w:lang w:eastAsia="cs-CZ"/>
              </w:rPr>
            </w:pPr>
            <w:r>
              <w:rPr>
                <w:rFonts w:eastAsia="Times New Roman"/>
                <w:b/>
                <w:bCs/>
                <w:szCs w:val="24"/>
                <w:lang w:eastAsia="cs-CZ"/>
              </w:rPr>
              <w:t>Počet věcí na úvazek</w:t>
            </w:r>
          </w:p>
        </w:tc>
      </w:tr>
      <w:tr w:rsidR="00F15667" w:rsidRPr="00F15667" w14:paraId="5DEF60C2" w14:textId="77777777" w:rsidTr="0070337A">
        <w:trPr>
          <w:trHeight w:val="330"/>
        </w:trPr>
        <w:tc>
          <w:tcPr>
            <w:tcW w:w="2040" w:type="dxa"/>
            <w:vMerge/>
            <w:tcBorders>
              <w:top w:val="double" w:sz="6" w:space="0" w:color="auto"/>
              <w:left w:val="nil"/>
              <w:bottom w:val="double" w:sz="6" w:space="0" w:color="000000"/>
              <w:right w:val="nil"/>
            </w:tcBorders>
            <w:vAlign w:val="center"/>
            <w:hideMark/>
          </w:tcPr>
          <w:p w14:paraId="54743CD2" w14:textId="77777777" w:rsidR="009F1FC5" w:rsidRPr="00F15667" w:rsidRDefault="009F1FC5" w:rsidP="0070337A">
            <w:pPr>
              <w:spacing w:line="240" w:lineRule="auto"/>
              <w:jc w:val="center"/>
              <w:rPr>
                <w:rFonts w:eastAsia="Times New Roman"/>
                <w:b/>
                <w:bCs/>
                <w:szCs w:val="24"/>
                <w:lang w:eastAsia="cs-CZ"/>
              </w:rPr>
            </w:pPr>
          </w:p>
        </w:tc>
        <w:tc>
          <w:tcPr>
            <w:tcW w:w="1221" w:type="dxa"/>
            <w:vMerge/>
            <w:tcBorders>
              <w:top w:val="double" w:sz="6" w:space="0" w:color="auto"/>
              <w:left w:val="nil"/>
              <w:bottom w:val="double" w:sz="6" w:space="0" w:color="000000"/>
              <w:right w:val="nil"/>
            </w:tcBorders>
            <w:vAlign w:val="center"/>
            <w:hideMark/>
          </w:tcPr>
          <w:p w14:paraId="0A4E30DD" w14:textId="77777777" w:rsidR="009F1FC5" w:rsidRPr="00F15667" w:rsidRDefault="009F1FC5" w:rsidP="0070337A">
            <w:pPr>
              <w:spacing w:line="240" w:lineRule="auto"/>
              <w:jc w:val="center"/>
              <w:rPr>
                <w:rFonts w:eastAsia="Times New Roman"/>
                <w:b/>
                <w:bCs/>
                <w:szCs w:val="24"/>
                <w:lang w:eastAsia="cs-CZ"/>
              </w:rPr>
            </w:pPr>
          </w:p>
        </w:tc>
        <w:tc>
          <w:tcPr>
            <w:tcW w:w="1984" w:type="dxa"/>
            <w:gridSpan w:val="2"/>
            <w:tcBorders>
              <w:top w:val="nil"/>
              <w:left w:val="nil"/>
              <w:bottom w:val="double" w:sz="6" w:space="0" w:color="auto"/>
              <w:right w:val="nil"/>
            </w:tcBorders>
            <w:shd w:val="clear" w:color="auto" w:fill="auto"/>
            <w:noWrap/>
            <w:vAlign w:val="center"/>
            <w:hideMark/>
          </w:tcPr>
          <w:p w14:paraId="74B54953" w14:textId="77777777" w:rsidR="009F1FC5" w:rsidRPr="00F15667" w:rsidRDefault="009F1FC5" w:rsidP="0070337A">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9CAFA73" w14:textId="77777777" w:rsidR="009F1FC5" w:rsidRPr="00F15667" w:rsidRDefault="009F1FC5" w:rsidP="0070337A">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842" w:type="dxa"/>
            <w:gridSpan w:val="2"/>
            <w:tcBorders>
              <w:top w:val="nil"/>
              <w:left w:val="nil"/>
              <w:bottom w:val="double" w:sz="6" w:space="0" w:color="auto"/>
              <w:right w:val="nil"/>
            </w:tcBorders>
            <w:shd w:val="clear" w:color="auto" w:fill="auto"/>
            <w:noWrap/>
            <w:vAlign w:val="center"/>
            <w:hideMark/>
          </w:tcPr>
          <w:p w14:paraId="2AF6ED03" w14:textId="77777777" w:rsidR="009F1FC5" w:rsidRPr="00F15667" w:rsidRDefault="009F1FC5" w:rsidP="0070337A">
            <w:pPr>
              <w:spacing w:line="240" w:lineRule="auto"/>
              <w:jc w:val="center"/>
              <w:rPr>
                <w:rFonts w:eastAsia="Times New Roman"/>
                <w:b/>
                <w:bCs/>
                <w:szCs w:val="24"/>
                <w:lang w:eastAsia="cs-CZ"/>
              </w:rPr>
            </w:pPr>
            <w:r w:rsidRPr="00F15667">
              <w:rPr>
                <w:rFonts w:eastAsia="Times New Roman"/>
                <w:b/>
                <w:bCs/>
                <w:szCs w:val="24"/>
                <w:lang w:eastAsia="cs-CZ"/>
              </w:rPr>
              <w:t>Nevyřízeno</w:t>
            </w:r>
          </w:p>
        </w:tc>
      </w:tr>
      <w:tr w:rsidR="00F15667" w:rsidRPr="00F15667" w14:paraId="6545FBD2" w14:textId="77777777" w:rsidTr="0070337A">
        <w:trPr>
          <w:trHeight w:val="330"/>
        </w:trPr>
        <w:tc>
          <w:tcPr>
            <w:tcW w:w="2040" w:type="dxa"/>
            <w:tcBorders>
              <w:top w:val="single" w:sz="4" w:space="0" w:color="auto"/>
              <w:left w:val="nil"/>
              <w:bottom w:val="single" w:sz="4" w:space="0" w:color="auto"/>
              <w:right w:val="nil"/>
            </w:tcBorders>
            <w:shd w:val="clear" w:color="auto" w:fill="auto"/>
            <w:noWrap/>
            <w:vAlign w:val="center"/>
            <w:hideMark/>
          </w:tcPr>
          <w:p w14:paraId="435FD60E" w14:textId="77777777" w:rsidR="009F1FC5" w:rsidRPr="00F15667" w:rsidRDefault="009F1FC5" w:rsidP="0070337A">
            <w:pPr>
              <w:spacing w:line="240" w:lineRule="auto"/>
              <w:jc w:val="left"/>
              <w:rPr>
                <w:rFonts w:eastAsia="Times New Roman"/>
                <w:szCs w:val="24"/>
                <w:lang w:eastAsia="cs-CZ"/>
              </w:rPr>
            </w:pPr>
            <w:r w:rsidRPr="00F15667">
              <w:rPr>
                <w:rFonts w:eastAsia="Times New Roman"/>
                <w:szCs w:val="24"/>
                <w:lang w:eastAsia="cs-CZ"/>
              </w:rPr>
              <w:t>MS Praha</w:t>
            </w:r>
          </w:p>
        </w:tc>
        <w:tc>
          <w:tcPr>
            <w:tcW w:w="1221" w:type="dxa"/>
            <w:tcBorders>
              <w:top w:val="single" w:sz="4" w:space="0" w:color="auto"/>
              <w:left w:val="nil"/>
              <w:bottom w:val="single" w:sz="4" w:space="0" w:color="auto"/>
              <w:right w:val="nil"/>
            </w:tcBorders>
            <w:shd w:val="clear" w:color="auto" w:fill="auto"/>
            <w:noWrap/>
            <w:vAlign w:val="center"/>
            <w:hideMark/>
          </w:tcPr>
          <w:p w14:paraId="4EA3C049" w14:textId="5D7DAB74"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95,00</w:t>
            </w:r>
          </w:p>
        </w:tc>
        <w:tc>
          <w:tcPr>
            <w:tcW w:w="1187" w:type="dxa"/>
            <w:tcBorders>
              <w:top w:val="single" w:sz="4" w:space="0" w:color="auto"/>
              <w:left w:val="nil"/>
              <w:bottom w:val="single" w:sz="4" w:space="0" w:color="auto"/>
              <w:right w:val="nil"/>
            </w:tcBorders>
            <w:shd w:val="clear" w:color="auto" w:fill="auto"/>
            <w:noWrap/>
            <w:vAlign w:val="center"/>
            <w:hideMark/>
          </w:tcPr>
          <w:p w14:paraId="7B148B41" w14:textId="364D1BAF"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140,55</w:t>
            </w:r>
          </w:p>
        </w:tc>
        <w:tc>
          <w:tcPr>
            <w:tcW w:w="797" w:type="dxa"/>
            <w:tcBorders>
              <w:top w:val="single" w:sz="4" w:space="0" w:color="auto"/>
              <w:left w:val="nil"/>
              <w:bottom w:val="single" w:sz="4" w:space="0" w:color="auto"/>
              <w:right w:val="nil"/>
            </w:tcBorders>
            <w:shd w:val="clear" w:color="auto" w:fill="auto"/>
            <w:noWrap/>
            <w:vAlign w:val="center"/>
            <w:hideMark/>
          </w:tcPr>
          <w:p w14:paraId="5E2F3B8A" w14:textId="05947706"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1187" w:type="dxa"/>
            <w:tcBorders>
              <w:top w:val="nil"/>
              <w:left w:val="single" w:sz="4" w:space="0" w:color="auto"/>
              <w:bottom w:val="single" w:sz="4" w:space="0" w:color="auto"/>
              <w:right w:val="nil"/>
            </w:tcBorders>
            <w:shd w:val="clear" w:color="auto" w:fill="auto"/>
            <w:noWrap/>
            <w:vAlign w:val="center"/>
            <w:hideMark/>
          </w:tcPr>
          <w:p w14:paraId="550C11F2" w14:textId="77D3A29C"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141,64</w:t>
            </w:r>
          </w:p>
        </w:tc>
        <w:tc>
          <w:tcPr>
            <w:tcW w:w="798" w:type="dxa"/>
            <w:tcBorders>
              <w:top w:val="nil"/>
              <w:left w:val="nil"/>
              <w:bottom w:val="single" w:sz="4" w:space="0" w:color="auto"/>
              <w:right w:val="single" w:sz="4" w:space="0" w:color="auto"/>
            </w:tcBorders>
            <w:shd w:val="clear" w:color="auto" w:fill="auto"/>
            <w:noWrap/>
            <w:vAlign w:val="center"/>
            <w:hideMark/>
          </w:tcPr>
          <w:p w14:paraId="4B195192" w14:textId="2BA6D794"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981" w:type="dxa"/>
            <w:tcBorders>
              <w:top w:val="single" w:sz="4" w:space="0" w:color="auto"/>
              <w:left w:val="nil"/>
              <w:bottom w:val="single" w:sz="4" w:space="0" w:color="auto"/>
              <w:right w:val="nil"/>
            </w:tcBorders>
            <w:shd w:val="clear" w:color="auto" w:fill="auto"/>
            <w:noWrap/>
            <w:vAlign w:val="center"/>
            <w:hideMark/>
          </w:tcPr>
          <w:p w14:paraId="255B3405" w14:textId="0F2FF7B6"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16,17</w:t>
            </w:r>
          </w:p>
        </w:tc>
        <w:tc>
          <w:tcPr>
            <w:tcW w:w="861" w:type="dxa"/>
            <w:tcBorders>
              <w:top w:val="single" w:sz="4" w:space="0" w:color="auto"/>
              <w:left w:val="nil"/>
              <w:bottom w:val="single" w:sz="4" w:space="0" w:color="auto"/>
              <w:right w:val="nil"/>
            </w:tcBorders>
            <w:shd w:val="clear" w:color="auto" w:fill="auto"/>
            <w:noWrap/>
            <w:vAlign w:val="center"/>
            <w:hideMark/>
          </w:tcPr>
          <w:p w14:paraId="36E75F76" w14:textId="3AA91DA9"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-8 %</w:t>
            </w:r>
          </w:p>
        </w:tc>
      </w:tr>
      <w:tr w:rsidR="00F15667" w:rsidRPr="00F15667" w14:paraId="0EA9758D" w14:textId="77777777" w:rsidTr="0070337A">
        <w:trPr>
          <w:trHeight w:val="315"/>
        </w:trPr>
        <w:tc>
          <w:tcPr>
            <w:tcW w:w="2040" w:type="dxa"/>
            <w:tcBorders>
              <w:top w:val="nil"/>
              <w:left w:val="nil"/>
              <w:bottom w:val="single" w:sz="4" w:space="0" w:color="auto"/>
              <w:right w:val="nil"/>
            </w:tcBorders>
            <w:shd w:val="clear" w:color="auto" w:fill="auto"/>
            <w:noWrap/>
            <w:vAlign w:val="center"/>
            <w:hideMark/>
          </w:tcPr>
          <w:p w14:paraId="48DA8BD8" w14:textId="77777777" w:rsidR="009F1FC5" w:rsidRPr="00F15667" w:rsidRDefault="009F1FC5" w:rsidP="0070337A">
            <w:pPr>
              <w:spacing w:line="240" w:lineRule="auto"/>
              <w:jc w:val="left"/>
              <w:rPr>
                <w:rFonts w:eastAsia="Times New Roman"/>
                <w:szCs w:val="24"/>
                <w:lang w:eastAsia="cs-CZ"/>
              </w:rPr>
            </w:pPr>
            <w:r w:rsidRPr="00F15667">
              <w:rPr>
                <w:rFonts w:eastAsia="Times New Roman"/>
                <w:szCs w:val="24"/>
                <w:lang w:eastAsia="cs-CZ"/>
              </w:rPr>
              <w:t>KS Praha</w:t>
            </w:r>
          </w:p>
        </w:tc>
        <w:tc>
          <w:tcPr>
            <w:tcW w:w="1221" w:type="dxa"/>
            <w:tcBorders>
              <w:top w:val="nil"/>
              <w:left w:val="nil"/>
              <w:bottom w:val="single" w:sz="4" w:space="0" w:color="auto"/>
              <w:right w:val="nil"/>
            </w:tcBorders>
            <w:shd w:val="clear" w:color="auto" w:fill="auto"/>
            <w:noWrap/>
            <w:vAlign w:val="center"/>
            <w:hideMark/>
          </w:tcPr>
          <w:p w14:paraId="0333AE2C" w14:textId="087787D0"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48,55</w:t>
            </w:r>
          </w:p>
        </w:tc>
        <w:tc>
          <w:tcPr>
            <w:tcW w:w="1187" w:type="dxa"/>
            <w:tcBorders>
              <w:top w:val="nil"/>
              <w:left w:val="nil"/>
              <w:bottom w:val="single" w:sz="4" w:space="0" w:color="auto"/>
              <w:right w:val="nil"/>
            </w:tcBorders>
            <w:shd w:val="clear" w:color="auto" w:fill="auto"/>
            <w:noWrap/>
            <w:vAlign w:val="center"/>
            <w:hideMark/>
          </w:tcPr>
          <w:p w14:paraId="70AD7325" w14:textId="1D5C939F"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103,05</w:t>
            </w:r>
          </w:p>
        </w:tc>
        <w:tc>
          <w:tcPr>
            <w:tcW w:w="797" w:type="dxa"/>
            <w:tcBorders>
              <w:top w:val="nil"/>
              <w:left w:val="nil"/>
              <w:bottom w:val="single" w:sz="4" w:space="0" w:color="auto"/>
              <w:right w:val="nil"/>
            </w:tcBorders>
            <w:shd w:val="clear" w:color="auto" w:fill="auto"/>
            <w:noWrap/>
            <w:vAlign w:val="center"/>
            <w:hideMark/>
          </w:tcPr>
          <w:p w14:paraId="4927563E" w14:textId="04E3AE85"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1187" w:type="dxa"/>
            <w:tcBorders>
              <w:top w:val="nil"/>
              <w:left w:val="single" w:sz="4" w:space="0" w:color="auto"/>
              <w:bottom w:val="single" w:sz="4" w:space="0" w:color="auto"/>
              <w:right w:val="nil"/>
            </w:tcBorders>
            <w:shd w:val="clear" w:color="auto" w:fill="auto"/>
            <w:noWrap/>
            <w:vAlign w:val="center"/>
            <w:hideMark/>
          </w:tcPr>
          <w:p w14:paraId="0524666A" w14:textId="7A783F57"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102,74</w:t>
            </w:r>
          </w:p>
        </w:tc>
        <w:tc>
          <w:tcPr>
            <w:tcW w:w="798" w:type="dxa"/>
            <w:tcBorders>
              <w:top w:val="nil"/>
              <w:left w:val="nil"/>
              <w:bottom w:val="single" w:sz="4" w:space="0" w:color="auto"/>
              <w:right w:val="single" w:sz="4" w:space="0" w:color="auto"/>
            </w:tcBorders>
            <w:shd w:val="clear" w:color="auto" w:fill="auto"/>
            <w:noWrap/>
            <w:vAlign w:val="center"/>
            <w:hideMark/>
          </w:tcPr>
          <w:p w14:paraId="60799479" w14:textId="2DAADACA"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981" w:type="dxa"/>
            <w:tcBorders>
              <w:top w:val="nil"/>
              <w:left w:val="nil"/>
              <w:bottom w:val="single" w:sz="4" w:space="0" w:color="auto"/>
              <w:right w:val="nil"/>
            </w:tcBorders>
            <w:shd w:val="clear" w:color="auto" w:fill="auto"/>
            <w:noWrap/>
            <w:vAlign w:val="center"/>
            <w:hideMark/>
          </w:tcPr>
          <w:p w14:paraId="3341C6FE" w14:textId="4117509E"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11,72</w:t>
            </w:r>
          </w:p>
        </w:tc>
        <w:tc>
          <w:tcPr>
            <w:tcW w:w="861" w:type="dxa"/>
            <w:tcBorders>
              <w:top w:val="nil"/>
              <w:left w:val="nil"/>
              <w:bottom w:val="single" w:sz="4" w:space="0" w:color="auto"/>
              <w:right w:val="nil"/>
            </w:tcBorders>
            <w:shd w:val="clear" w:color="auto" w:fill="auto"/>
            <w:noWrap/>
            <w:vAlign w:val="center"/>
            <w:hideMark/>
          </w:tcPr>
          <w:p w14:paraId="7D7BBA5D" w14:textId="0E985340"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-2 %</w:t>
            </w:r>
          </w:p>
        </w:tc>
      </w:tr>
      <w:tr w:rsidR="00F15667" w:rsidRPr="00F15667" w14:paraId="3FD2A44B" w14:textId="77777777" w:rsidTr="0070337A">
        <w:trPr>
          <w:trHeight w:val="315"/>
        </w:trPr>
        <w:tc>
          <w:tcPr>
            <w:tcW w:w="2040" w:type="dxa"/>
            <w:tcBorders>
              <w:top w:val="nil"/>
              <w:left w:val="nil"/>
              <w:bottom w:val="single" w:sz="4" w:space="0" w:color="auto"/>
              <w:right w:val="nil"/>
            </w:tcBorders>
            <w:shd w:val="clear" w:color="auto" w:fill="auto"/>
            <w:noWrap/>
            <w:vAlign w:val="center"/>
            <w:hideMark/>
          </w:tcPr>
          <w:p w14:paraId="160F6E21" w14:textId="77777777" w:rsidR="009F1FC5" w:rsidRPr="00F15667" w:rsidRDefault="009F1FC5" w:rsidP="0070337A">
            <w:pPr>
              <w:spacing w:line="240" w:lineRule="auto"/>
              <w:jc w:val="left"/>
              <w:rPr>
                <w:rFonts w:eastAsia="Times New Roman"/>
                <w:szCs w:val="24"/>
                <w:lang w:eastAsia="cs-CZ"/>
              </w:rPr>
            </w:pPr>
            <w:r w:rsidRPr="00F15667">
              <w:rPr>
                <w:rFonts w:eastAsia="Times New Roman"/>
                <w:szCs w:val="24"/>
                <w:lang w:eastAsia="cs-CZ"/>
              </w:rPr>
              <w:t>KS Č. Budějovice</w:t>
            </w:r>
          </w:p>
        </w:tc>
        <w:tc>
          <w:tcPr>
            <w:tcW w:w="1221" w:type="dxa"/>
            <w:tcBorders>
              <w:top w:val="nil"/>
              <w:left w:val="nil"/>
              <w:bottom w:val="single" w:sz="4" w:space="0" w:color="auto"/>
              <w:right w:val="nil"/>
            </w:tcBorders>
            <w:shd w:val="clear" w:color="auto" w:fill="auto"/>
            <w:noWrap/>
            <w:vAlign w:val="center"/>
            <w:hideMark/>
          </w:tcPr>
          <w:p w14:paraId="69009B89" w14:textId="6621810D"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19,75</w:t>
            </w:r>
          </w:p>
        </w:tc>
        <w:tc>
          <w:tcPr>
            <w:tcW w:w="1187" w:type="dxa"/>
            <w:tcBorders>
              <w:top w:val="nil"/>
              <w:left w:val="nil"/>
              <w:bottom w:val="single" w:sz="4" w:space="0" w:color="auto"/>
              <w:right w:val="nil"/>
            </w:tcBorders>
            <w:shd w:val="clear" w:color="auto" w:fill="auto"/>
            <w:noWrap/>
            <w:vAlign w:val="center"/>
            <w:hideMark/>
          </w:tcPr>
          <w:p w14:paraId="575BD5C6" w14:textId="52691087"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91,75</w:t>
            </w:r>
          </w:p>
        </w:tc>
        <w:tc>
          <w:tcPr>
            <w:tcW w:w="797" w:type="dxa"/>
            <w:tcBorders>
              <w:top w:val="nil"/>
              <w:left w:val="nil"/>
              <w:bottom w:val="single" w:sz="4" w:space="0" w:color="auto"/>
              <w:right w:val="nil"/>
            </w:tcBorders>
            <w:shd w:val="clear" w:color="auto" w:fill="auto"/>
            <w:noWrap/>
            <w:vAlign w:val="center"/>
            <w:hideMark/>
          </w:tcPr>
          <w:p w14:paraId="7924E232" w14:textId="04BE65E4"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1187" w:type="dxa"/>
            <w:tcBorders>
              <w:top w:val="nil"/>
              <w:left w:val="single" w:sz="4" w:space="0" w:color="auto"/>
              <w:bottom w:val="single" w:sz="4" w:space="0" w:color="auto"/>
              <w:right w:val="nil"/>
            </w:tcBorders>
            <w:shd w:val="clear" w:color="auto" w:fill="auto"/>
            <w:noWrap/>
            <w:vAlign w:val="center"/>
            <w:hideMark/>
          </w:tcPr>
          <w:p w14:paraId="17068D21" w14:textId="16F6A711"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95,59</w:t>
            </w:r>
          </w:p>
        </w:tc>
        <w:tc>
          <w:tcPr>
            <w:tcW w:w="798" w:type="dxa"/>
            <w:tcBorders>
              <w:top w:val="nil"/>
              <w:left w:val="nil"/>
              <w:bottom w:val="single" w:sz="4" w:space="0" w:color="auto"/>
              <w:right w:val="single" w:sz="4" w:space="0" w:color="auto"/>
            </w:tcBorders>
            <w:shd w:val="clear" w:color="auto" w:fill="auto"/>
            <w:noWrap/>
            <w:vAlign w:val="center"/>
            <w:hideMark/>
          </w:tcPr>
          <w:p w14:paraId="7160F34B" w14:textId="175792AE"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+17 %</w:t>
            </w:r>
          </w:p>
        </w:tc>
        <w:tc>
          <w:tcPr>
            <w:tcW w:w="981" w:type="dxa"/>
            <w:tcBorders>
              <w:top w:val="nil"/>
              <w:left w:val="nil"/>
              <w:bottom w:val="single" w:sz="4" w:space="0" w:color="auto"/>
              <w:right w:val="nil"/>
            </w:tcBorders>
            <w:shd w:val="clear" w:color="auto" w:fill="auto"/>
            <w:noWrap/>
            <w:vAlign w:val="center"/>
            <w:hideMark/>
          </w:tcPr>
          <w:p w14:paraId="2F6268F3" w14:textId="6DCCD107"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8,76</w:t>
            </w:r>
          </w:p>
        </w:tc>
        <w:tc>
          <w:tcPr>
            <w:tcW w:w="861" w:type="dxa"/>
            <w:tcBorders>
              <w:top w:val="nil"/>
              <w:left w:val="nil"/>
              <w:bottom w:val="single" w:sz="4" w:space="0" w:color="auto"/>
              <w:right w:val="nil"/>
            </w:tcBorders>
            <w:shd w:val="clear" w:color="auto" w:fill="auto"/>
            <w:noWrap/>
            <w:vAlign w:val="center"/>
            <w:hideMark/>
          </w:tcPr>
          <w:p w14:paraId="6D6110E9" w14:textId="15A2CF31"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-17 %</w:t>
            </w:r>
          </w:p>
        </w:tc>
      </w:tr>
      <w:tr w:rsidR="00F15667" w:rsidRPr="00F15667" w14:paraId="6C340F69" w14:textId="77777777" w:rsidTr="0070337A">
        <w:trPr>
          <w:trHeight w:val="315"/>
        </w:trPr>
        <w:tc>
          <w:tcPr>
            <w:tcW w:w="2040" w:type="dxa"/>
            <w:tcBorders>
              <w:top w:val="nil"/>
              <w:left w:val="nil"/>
              <w:bottom w:val="single" w:sz="4" w:space="0" w:color="auto"/>
              <w:right w:val="nil"/>
            </w:tcBorders>
            <w:shd w:val="clear" w:color="auto" w:fill="auto"/>
            <w:noWrap/>
            <w:vAlign w:val="center"/>
            <w:hideMark/>
          </w:tcPr>
          <w:p w14:paraId="0EF5AF96" w14:textId="77777777" w:rsidR="009F1FC5" w:rsidRPr="00F15667" w:rsidRDefault="009F1FC5" w:rsidP="0070337A">
            <w:pPr>
              <w:spacing w:line="240" w:lineRule="auto"/>
              <w:jc w:val="left"/>
              <w:rPr>
                <w:rFonts w:eastAsia="Times New Roman"/>
                <w:szCs w:val="24"/>
                <w:lang w:eastAsia="cs-CZ"/>
              </w:rPr>
            </w:pPr>
            <w:r w:rsidRPr="00F15667">
              <w:rPr>
                <w:rFonts w:eastAsia="Times New Roman"/>
                <w:szCs w:val="24"/>
                <w:lang w:eastAsia="cs-CZ"/>
              </w:rPr>
              <w:t>KS Plzeň</w:t>
            </w:r>
          </w:p>
        </w:tc>
        <w:tc>
          <w:tcPr>
            <w:tcW w:w="1221" w:type="dxa"/>
            <w:tcBorders>
              <w:top w:val="nil"/>
              <w:left w:val="nil"/>
              <w:bottom w:val="single" w:sz="4" w:space="0" w:color="auto"/>
              <w:right w:val="nil"/>
            </w:tcBorders>
            <w:shd w:val="clear" w:color="auto" w:fill="auto"/>
            <w:noWrap/>
            <w:vAlign w:val="center"/>
            <w:hideMark/>
          </w:tcPr>
          <w:p w14:paraId="025DB4E9" w14:textId="5BDED789"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25,50</w:t>
            </w:r>
          </w:p>
        </w:tc>
        <w:tc>
          <w:tcPr>
            <w:tcW w:w="1187" w:type="dxa"/>
            <w:tcBorders>
              <w:top w:val="nil"/>
              <w:left w:val="nil"/>
              <w:bottom w:val="single" w:sz="4" w:space="0" w:color="auto"/>
              <w:right w:val="nil"/>
            </w:tcBorders>
            <w:shd w:val="clear" w:color="auto" w:fill="auto"/>
            <w:noWrap/>
            <w:vAlign w:val="center"/>
            <w:hideMark/>
          </w:tcPr>
          <w:p w14:paraId="5FF1F096" w14:textId="7B8A10C3"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109,65</w:t>
            </w:r>
          </w:p>
        </w:tc>
        <w:tc>
          <w:tcPr>
            <w:tcW w:w="797" w:type="dxa"/>
            <w:tcBorders>
              <w:top w:val="nil"/>
              <w:left w:val="nil"/>
              <w:bottom w:val="single" w:sz="4" w:space="0" w:color="auto"/>
              <w:right w:val="nil"/>
            </w:tcBorders>
            <w:shd w:val="clear" w:color="auto" w:fill="auto"/>
            <w:noWrap/>
            <w:vAlign w:val="center"/>
            <w:hideMark/>
          </w:tcPr>
          <w:p w14:paraId="5FA78F32" w14:textId="21F34433"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187" w:type="dxa"/>
            <w:tcBorders>
              <w:top w:val="nil"/>
              <w:left w:val="single" w:sz="4" w:space="0" w:color="auto"/>
              <w:bottom w:val="single" w:sz="4" w:space="0" w:color="auto"/>
              <w:right w:val="nil"/>
            </w:tcBorders>
            <w:shd w:val="clear" w:color="auto" w:fill="auto"/>
            <w:noWrap/>
            <w:vAlign w:val="center"/>
            <w:hideMark/>
          </w:tcPr>
          <w:p w14:paraId="3A2D66CD" w14:textId="19657017"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109,41</w:t>
            </w:r>
          </w:p>
        </w:tc>
        <w:tc>
          <w:tcPr>
            <w:tcW w:w="798" w:type="dxa"/>
            <w:tcBorders>
              <w:top w:val="nil"/>
              <w:left w:val="nil"/>
              <w:bottom w:val="single" w:sz="4" w:space="0" w:color="auto"/>
              <w:right w:val="single" w:sz="4" w:space="0" w:color="auto"/>
            </w:tcBorders>
            <w:shd w:val="clear" w:color="auto" w:fill="auto"/>
            <w:noWrap/>
            <w:vAlign w:val="center"/>
            <w:hideMark/>
          </w:tcPr>
          <w:p w14:paraId="7ACDA70D" w14:textId="0C8C1140"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981" w:type="dxa"/>
            <w:tcBorders>
              <w:top w:val="nil"/>
              <w:left w:val="nil"/>
              <w:bottom w:val="single" w:sz="4" w:space="0" w:color="auto"/>
              <w:right w:val="nil"/>
            </w:tcBorders>
            <w:shd w:val="clear" w:color="auto" w:fill="auto"/>
            <w:noWrap/>
            <w:vAlign w:val="center"/>
            <w:hideMark/>
          </w:tcPr>
          <w:p w14:paraId="3E8EA318" w14:textId="3BEE0641"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13,80</w:t>
            </w:r>
          </w:p>
        </w:tc>
        <w:tc>
          <w:tcPr>
            <w:tcW w:w="861" w:type="dxa"/>
            <w:tcBorders>
              <w:top w:val="nil"/>
              <w:left w:val="nil"/>
              <w:bottom w:val="single" w:sz="4" w:space="0" w:color="auto"/>
              <w:right w:val="nil"/>
            </w:tcBorders>
            <w:shd w:val="clear" w:color="auto" w:fill="auto"/>
            <w:noWrap/>
            <w:vAlign w:val="center"/>
            <w:hideMark/>
          </w:tcPr>
          <w:p w14:paraId="0113B5DA" w14:textId="747E8AFB"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0C2859DD" w14:textId="77777777" w:rsidTr="0070337A">
        <w:trPr>
          <w:trHeight w:val="315"/>
        </w:trPr>
        <w:tc>
          <w:tcPr>
            <w:tcW w:w="2040" w:type="dxa"/>
            <w:tcBorders>
              <w:top w:val="nil"/>
              <w:left w:val="nil"/>
              <w:bottom w:val="single" w:sz="4" w:space="0" w:color="auto"/>
              <w:right w:val="nil"/>
            </w:tcBorders>
            <w:shd w:val="clear" w:color="auto" w:fill="auto"/>
            <w:noWrap/>
            <w:vAlign w:val="center"/>
            <w:hideMark/>
          </w:tcPr>
          <w:p w14:paraId="24401739" w14:textId="77777777" w:rsidR="009F1FC5" w:rsidRPr="00F15667" w:rsidRDefault="009F1FC5" w:rsidP="0070337A">
            <w:pPr>
              <w:spacing w:line="240" w:lineRule="auto"/>
              <w:jc w:val="left"/>
              <w:rPr>
                <w:rFonts w:eastAsia="Times New Roman"/>
                <w:szCs w:val="24"/>
                <w:lang w:eastAsia="cs-CZ"/>
              </w:rPr>
            </w:pPr>
            <w:r w:rsidRPr="00F15667">
              <w:rPr>
                <w:rFonts w:eastAsia="Times New Roman"/>
                <w:szCs w:val="24"/>
                <w:lang w:eastAsia="cs-CZ"/>
              </w:rPr>
              <w:t>KS Ústí n. Labem</w:t>
            </w:r>
          </w:p>
        </w:tc>
        <w:tc>
          <w:tcPr>
            <w:tcW w:w="1221" w:type="dxa"/>
            <w:tcBorders>
              <w:top w:val="nil"/>
              <w:left w:val="nil"/>
              <w:bottom w:val="single" w:sz="4" w:space="0" w:color="auto"/>
              <w:right w:val="nil"/>
            </w:tcBorders>
            <w:shd w:val="clear" w:color="auto" w:fill="auto"/>
            <w:noWrap/>
            <w:vAlign w:val="center"/>
            <w:hideMark/>
          </w:tcPr>
          <w:p w14:paraId="49C7B043" w14:textId="10557613"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45,38</w:t>
            </w:r>
          </w:p>
        </w:tc>
        <w:tc>
          <w:tcPr>
            <w:tcW w:w="1187" w:type="dxa"/>
            <w:tcBorders>
              <w:top w:val="nil"/>
              <w:left w:val="nil"/>
              <w:bottom w:val="single" w:sz="4" w:space="0" w:color="auto"/>
              <w:right w:val="nil"/>
            </w:tcBorders>
            <w:shd w:val="clear" w:color="auto" w:fill="auto"/>
            <w:noWrap/>
            <w:vAlign w:val="center"/>
            <w:hideMark/>
          </w:tcPr>
          <w:p w14:paraId="0CC1C9EB" w14:textId="32456DFB"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90,79</w:t>
            </w:r>
          </w:p>
        </w:tc>
        <w:tc>
          <w:tcPr>
            <w:tcW w:w="797" w:type="dxa"/>
            <w:tcBorders>
              <w:top w:val="nil"/>
              <w:left w:val="nil"/>
              <w:bottom w:val="single" w:sz="4" w:space="0" w:color="auto"/>
              <w:right w:val="nil"/>
            </w:tcBorders>
            <w:shd w:val="clear" w:color="auto" w:fill="auto"/>
            <w:noWrap/>
            <w:vAlign w:val="center"/>
            <w:hideMark/>
          </w:tcPr>
          <w:p w14:paraId="016BEC1B" w14:textId="35A6AB02"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187" w:type="dxa"/>
            <w:tcBorders>
              <w:top w:val="nil"/>
              <w:left w:val="single" w:sz="4" w:space="0" w:color="auto"/>
              <w:bottom w:val="single" w:sz="4" w:space="0" w:color="auto"/>
              <w:right w:val="nil"/>
            </w:tcBorders>
            <w:shd w:val="clear" w:color="auto" w:fill="auto"/>
            <w:noWrap/>
            <w:vAlign w:val="center"/>
            <w:hideMark/>
          </w:tcPr>
          <w:p w14:paraId="244D6FF9" w14:textId="07FFBCBC"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91,58</w:t>
            </w:r>
          </w:p>
        </w:tc>
        <w:tc>
          <w:tcPr>
            <w:tcW w:w="798" w:type="dxa"/>
            <w:tcBorders>
              <w:top w:val="nil"/>
              <w:left w:val="nil"/>
              <w:bottom w:val="single" w:sz="4" w:space="0" w:color="auto"/>
              <w:right w:val="single" w:sz="4" w:space="0" w:color="auto"/>
            </w:tcBorders>
            <w:shd w:val="clear" w:color="auto" w:fill="auto"/>
            <w:noWrap/>
            <w:vAlign w:val="center"/>
            <w:hideMark/>
          </w:tcPr>
          <w:p w14:paraId="49CD64B8" w14:textId="55FB2DE3"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981" w:type="dxa"/>
            <w:tcBorders>
              <w:top w:val="nil"/>
              <w:left w:val="nil"/>
              <w:bottom w:val="single" w:sz="4" w:space="0" w:color="auto"/>
              <w:right w:val="nil"/>
            </w:tcBorders>
            <w:shd w:val="clear" w:color="auto" w:fill="auto"/>
            <w:noWrap/>
            <w:vAlign w:val="center"/>
            <w:hideMark/>
          </w:tcPr>
          <w:p w14:paraId="679DD433" w14:textId="62442D27"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19,83</w:t>
            </w:r>
          </w:p>
        </w:tc>
        <w:tc>
          <w:tcPr>
            <w:tcW w:w="861" w:type="dxa"/>
            <w:tcBorders>
              <w:top w:val="nil"/>
              <w:left w:val="nil"/>
              <w:bottom w:val="single" w:sz="4" w:space="0" w:color="auto"/>
              <w:right w:val="nil"/>
            </w:tcBorders>
            <w:shd w:val="clear" w:color="auto" w:fill="auto"/>
            <w:noWrap/>
            <w:vAlign w:val="center"/>
            <w:hideMark/>
          </w:tcPr>
          <w:p w14:paraId="2CE29985" w14:textId="201C4638"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1EF4FBE0" w14:textId="77777777" w:rsidTr="0070337A">
        <w:trPr>
          <w:trHeight w:val="315"/>
        </w:trPr>
        <w:tc>
          <w:tcPr>
            <w:tcW w:w="2040" w:type="dxa"/>
            <w:tcBorders>
              <w:top w:val="nil"/>
              <w:left w:val="nil"/>
              <w:bottom w:val="single" w:sz="4" w:space="0" w:color="auto"/>
              <w:right w:val="nil"/>
            </w:tcBorders>
            <w:shd w:val="clear" w:color="auto" w:fill="auto"/>
            <w:noWrap/>
            <w:vAlign w:val="center"/>
            <w:hideMark/>
          </w:tcPr>
          <w:p w14:paraId="030C1EE6" w14:textId="77777777" w:rsidR="009F1FC5" w:rsidRPr="00F15667" w:rsidRDefault="009F1FC5" w:rsidP="0070337A">
            <w:pPr>
              <w:spacing w:line="240" w:lineRule="auto"/>
              <w:jc w:val="left"/>
              <w:rPr>
                <w:rFonts w:eastAsia="Times New Roman"/>
                <w:szCs w:val="24"/>
                <w:lang w:eastAsia="cs-CZ"/>
              </w:rPr>
            </w:pPr>
            <w:r w:rsidRPr="00F15667">
              <w:rPr>
                <w:rFonts w:eastAsia="Times New Roman"/>
                <w:szCs w:val="24"/>
                <w:lang w:eastAsia="cs-CZ"/>
              </w:rPr>
              <w:t>KS Hr. Králové</w:t>
            </w:r>
          </w:p>
        </w:tc>
        <w:tc>
          <w:tcPr>
            <w:tcW w:w="1221" w:type="dxa"/>
            <w:tcBorders>
              <w:top w:val="nil"/>
              <w:left w:val="nil"/>
              <w:bottom w:val="single" w:sz="4" w:space="0" w:color="auto"/>
              <w:right w:val="nil"/>
            </w:tcBorders>
            <w:shd w:val="clear" w:color="auto" w:fill="auto"/>
            <w:noWrap/>
            <w:vAlign w:val="center"/>
            <w:hideMark/>
          </w:tcPr>
          <w:p w14:paraId="030A0618" w14:textId="4B486C41"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29,90</w:t>
            </w:r>
          </w:p>
        </w:tc>
        <w:tc>
          <w:tcPr>
            <w:tcW w:w="1187" w:type="dxa"/>
            <w:tcBorders>
              <w:top w:val="nil"/>
              <w:left w:val="nil"/>
              <w:bottom w:val="single" w:sz="4" w:space="0" w:color="auto"/>
              <w:right w:val="nil"/>
            </w:tcBorders>
            <w:shd w:val="clear" w:color="auto" w:fill="auto"/>
            <w:noWrap/>
            <w:vAlign w:val="center"/>
            <w:hideMark/>
          </w:tcPr>
          <w:p w14:paraId="32988477" w14:textId="7552CF6E"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114,31</w:t>
            </w:r>
          </w:p>
        </w:tc>
        <w:tc>
          <w:tcPr>
            <w:tcW w:w="797" w:type="dxa"/>
            <w:tcBorders>
              <w:top w:val="nil"/>
              <w:left w:val="nil"/>
              <w:bottom w:val="single" w:sz="4" w:space="0" w:color="auto"/>
              <w:right w:val="nil"/>
            </w:tcBorders>
            <w:shd w:val="clear" w:color="auto" w:fill="auto"/>
            <w:noWrap/>
            <w:vAlign w:val="center"/>
            <w:hideMark/>
          </w:tcPr>
          <w:p w14:paraId="201E871E" w14:textId="77BE8345"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187" w:type="dxa"/>
            <w:tcBorders>
              <w:top w:val="nil"/>
              <w:left w:val="single" w:sz="4" w:space="0" w:color="auto"/>
              <w:bottom w:val="single" w:sz="4" w:space="0" w:color="auto"/>
              <w:right w:val="nil"/>
            </w:tcBorders>
            <w:shd w:val="clear" w:color="auto" w:fill="auto"/>
            <w:noWrap/>
            <w:vAlign w:val="center"/>
            <w:hideMark/>
          </w:tcPr>
          <w:p w14:paraId="4E325D71" w14:textId="045C8ECA"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114,62</w:t>
            </w:r>
          </w:p>
        </w:tc>
        <w:tc>
          <w:tcPr>
            <w:tcW w:w="798" w:type="dxa"/>
            <w:tcBorders>
              <w:top w:val="nil"/>
              <w:left w:val="nil"/>
              <w:bottom w:val="single" w:sz="4" w:space="0" w:color="auto"/>
              <w:right w:val="single" w:sz="4" w:space="0" w:color="auto"/>
            </w:tcBorders>
            <w:shd w:val="clear" w:color="auto" w:fill="auto"/>
            <w:noWrap/>
            <w:vAlign w:val="center"/>
            <w:hideMark/>
          </w:tcPr>
          <w:p w14:paraId="7D37A631" w14:textId="62BEDF5B"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981" w:type="dxa"/>
            <w:tcBorders>
              <w:top w:val="nil"/>
              <w:left w:val="nil"/>
              <w:bottom w:val="single" w:sz="4" w:space="0" w:color="auto"/>
              <w:right w:val="nil"/>
            </w:tcBorders>
            <w:shd w:val="clear" w:color="auto" w:fill="auto"/>
            <w:noWrap/>
            <w:vAlign w:val="center"/>
            <w:hideMark/>
          </w:tcPr>
          <w:p w14:paraId="5AEFA674" w14:textId="0C97510E"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12,81</w:t>
            </w:r>
          </w:p>
        </w:tc>
        <w:tc>
          <w:tcPr>
            <w:tcW w:w="861" w:type="dxa"/>
            <w:tcBorders>
              <w:top w:val="nil"/>
              <w:left w:val="nil"/>
              <w:bottom w:val="single" w:sz="4" w:space="0" w:color="auto"/>
              <w:right w:val="nil"/>
            </w:tcBorders>
            <w:shd w:val="clear" w:color="auto" w:fill="auto"/>
            <w:noWrap/>
            <w:vAlign w:val="center"/>
            <w:hideMark/>
          </w:tcPr>
          <w:p w14:paraId="36D18556" w14:textId="4F8B9879"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+8 %</w:t>
            </w:r>
          </w:p>
        </w:tc>
      </w:tr>
      <w:tr w:rsidR="00F15667" w:rsidRPr="00F15667" w14:paraId="1D72E59C" w14:textId="77777777" w:rsidTr="0070337A">
        <w:trPr>
          <w:trHeight w:val="315"/>
        </w:trPr>
        <w:tc>
          <w:tcPr>
            <w:tcW w:w="2040" w:type="dxa"/>
            <w:tcBorders>
              <w:top w:val="nil"/>
              <w:left w:val="nil"/>
              <w:bottom w:val="single" w:sz="4" w:space="0" w:color="auto"/>
              <w:right w:val="nil"/>
            </w:tcBorders>
            <w:shd w:val="clear" w:color="auto" w:fill="auto"/>
            <w:noWrap/>
            <w:vAlign w:val="center"/>
            <w:hideMark/>
          </w:tcPr>
          <w:p w14:paraId="376F8CBA" w14:textId="77777777" w:rsidR="009F1FC5" w:rsidRPr="00F15667" w:rsidRDefault="009F1FC5" w:rsidP="0070337A">
            <w:pPr>
              <w:spacing w:line="240" w:lineRule="auto"/>
              <w:jc w:val="left"/>
              <w:rPr>
                <w:rFonts w:eastAsia="Times New Roman"/>
                <w:szCs w:val="24"/>
                <w:lang w:eastAsia="cs-CZ"/>
              </w:rPr>
            </w:pPr>
            <w:r w:rsidRPr="00F15667">
              <w:rPr>
                <w:rFonts w:eastAsia="Times New Roman"/>
                <w:szCs w:val="24"/>
                <w:lang w:eastAsia="cs-CZ"/>
              </w:rPr>
              <w:t>KS Brno</w:t>
            </w:r>
          </w:p>
        </w:tc>
        <w:tc>
          <w:tcPr>
            <w:tcW w:w="1221" w:type="dxa"/>
            <w:tcBorders>
              <w:top w:val="nil"/>
              <w:left w:val="nil"/>
              <w:bottom w:val="single" w:sz="4" w:space="0" w:color="auto"/>
              <w:right w:val="nil"/>
            </w:tcBorders>
            <w:shd w:val="clear" w:color="auto" w:fill="auto"/>
            <w:noWrap/>
            <w:vAlign w:val="center"/>
            <w:hideMark/>
          </w:tcPr>
          <w:p w14:paraId="4D7698EE" w14:textId="2D3A7A65"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68,00</w:t>
            </w:r>
          </w:p>
        </w:tc>
        <w:tc>
          <w:tcPr>
            <w:tcW w:w="1187" w:type="dxa"/>
            <w:tcBorders>
              <w:top w:val="nil"/>
              <w:left w:val="nil"/>
              <w:bottom w:val="single" w:sz="4" w:space="0" w:color="auto"/>
              <w:right w:val="nil"/>
            </w:tcBorders>
            <w:shd w:val="clear" w:color="auto" w:fill="auto"/>
            <w:noWrap/>
            <w:vAlign w:val="center"/>
            <w:hideMark/>
          </w:tcPr>
          <w:p w14:paraId="59D5C8BD" w14:textId="5036CE82"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96,59</w:t>
            </w:r>
          </w:p>
        </w:tc>
        <w:tc>
          <w:tcPr>
            <w:tcW w:w="797" w:type="dxa"/>
            <w:tcBorders>
              <w:top w:val="nil"/>
              <w:left w:val="nil"/>
              <w:bottom w:val="single" w:sz="4" w:space="0" w:color="auto"/>
              <w:right w:val="nil"/>
            </w:tcBorders>
            <w:shd w:val="clear" w:color="auto" w:fill="auto"/>
            <w:noWrap/>
            <w:vAlign w:val="center"/>
            <w:hideMark/>
          </w:tcPr>
          <w:p w14:paraId="7982D22C" w14:textId="396541CF"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187" w:type="dxa"/>
            <w:tcBorders>
              <w:top w:val="nil"/>
              <w:left w:val="single" w:sz="4" w:space="0" w:color="auto"/>
              <w:bottom w:val="single" w:sz="4" w:space="0" w:color="auto"/>
              <w:right w:val="nil"/>
            </w:tcBorders>
            <w:shd w:val="clear" w:color="auto" w:fill="auto"/>
            <w:noWrap/>
            <w:vAlign w:val="center"/>
            <w:hideMark/>
          </w:tcPr>
          <w:p w14:paraId="2AC5E82F" w14:textId="6869DBBD"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95,50</w:t>
            </w:r>
          </w:p>
        </w:tc>
        <w:tc>
          <w:tcPr>
            <w:tcW w:w="798" w:type="dxa"/>
            <w:tcBorders>
              <w:top w:val="nil"/>
              <w:left w:val="nil"/>
              <w:bottom w:val="single" w:sz="4" w:space="0" w:color="auto"/>
              <w:right w:val="single" w:sz="4" w:space="0" w:color="auto"/>
            </w:tcBorders>
            <w:shd w:val="clear" w:color="auto" w:fill="auto"/>
            <w:noWrap/>
            <w:vAlign w:val="center"/>
            <w:hideMark/>
          </w:tcPr>
          <w:p w14:paraId="056912D8" w14:textId="7C9A7298"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981" w:type="dxa"/>
            <w:tcBorders>
              <w:top w:val="nil"/>
              <w:left w:val="nil"/>
              <w:bottom w:val="single" w:sz="4" w:space="0" w:color="auto"/>
              <w:right w:val="nil"/>
            </w:tcBorders>
            <w:shd w:val="clear" w:color="auto" w:fill="auto"/>
            <w:noWrap/>
            <w:vAlign w:val="center"/>
            <w:hideMark/>
          </w:tcPr>
          <w:p w14:paraId="2B048BB0" w14:textId="1F378ED8"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33,04</w:t>
            </w:r>
          </w:p>
        </w:tc>
        <w:tc>
          <w:tcPr>
            <w:tcW w:w="861" w:type="dxa"/>
            <w:tcBorders>
              <w:top w:val="nil"/>
              <w:left w:val="nil"/>
              <w:bottom w:val="single" w:sz="4" w:space="0" w:color="auto"/>
              <w:right w:val="nil"/>
            </w:tcBorders>
            <w:shd w:val="clear" w:color="auto" w:fill="auto"/>
            <w:noWrap/>
            <w:vAlign w:val="center"/>
            <w:hideMark/>
          </w:tcPr>
          <w:p w14:paraId="686FA0A6" w14:textId="4C2B2D99"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+3 %</w:t>
            </w:r>
          </w:p>
        </w:tc>
      </w:tr>
      <w:tr w:rsidR="00F15667" w:rsidRPr="00F15667" w14:paraId="676D057A" w14:textId="77777777" w:rsidTr="0070337A">
        <w:trPr>
          <w:trHeight w:val="330"/>
        </w:trPr>
        <w:tc>
          <w:tcPr>
            <w:tcW w:w="2040" w:type="dxa"/>
            <w:tcBorders>
              <w:top w:val="nil"/>
              <w:left w:val="nil"/>
              <w:bottom w:val="double" w:sz="6" w:space="0" w:color="auto"/>
              <w:right w:val="nil"/>
            </w:tcBorders>
            <w:shd w:val="clear" w:color="auto" w:fill="auto"/>
            <w:noWrap/>
            <w:vAlign w:val="center"/>
            <w:hideMark/>
          </w:tcPr>
          <w:p w14:paraId="5BDF5B53" w14:textId="77777777" w:rsidR="009F1FC5" w:rsidRPr="00F15667" w:rsidRDefault="009F1FC5" w:rsidP="0070337A">
            <w:pPr>
              <w:spacing w:line="240" w:lineRule="auto"/>
              <w:jc w:val="left"/>
              <w:rPr>
                <w:rFonts w:eastAsia="Times New Roman"/>
                <w:szCs w:val="24"/>
                <w:lang w:eastAsia="cs-CZ"/>
              </w:rPr>
            </w:pPr>
            <w:r w:rsidRPr="00F15667">
              <w:rPr>
                <w:rFonts w:eastAsia="Times New Roman"/>
                <w:szCs w:val="24"/>
                <w:lang w:eastAsia="cs-CZ"/>
              </w:rPr>
              <w:t>KS Ostrava</w:t>
            </w:r>
          </w:p>
        </w:tc>
        <w:tc>
          <w:tcPr>
            <w:tcW w:w="1221" w:type="dxa"/>
            <w:tcBorders>
              <w:top w:val="nil"/>
              <w:left w:val="nil"/>
              <w:bottom w:val="double" w:sz="6" w:space="0" w:color="auto"/>
              <w:right w:val="nil"/>
            </w:tcBorders>
            <w:shd w:val="clear" w:color="auto" w:fill="auto"/>
            <w:noWrap/>
            <w:vAlign w:val="center"/>
            <w:hideMark/>
          </w:tcPr>
          <w:p w14:paraId="22BF6E33" w14:textId="244E37CB"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45,70</w:t>
            </w:r>
          </w:p>
        </w:tc>
        <w:tc>
          <w:tcPr>
            <w:tcW w:w="1187" w:type="dxa"/>
            <w:tcBorders>
              <w:top w:val="nil"/>
              <w:left w:val="nil"/>
              <w:bottom w:val="double" w:sz="6" w:space="0" w:color="auto"/>
              <w:right w:val="nil"/>
            </w:tcBorders>
            <w:shd w:val="clear" w:color="auto" w:fill="auto"/>
            <w:noWrap/>
            <w:vAlign w:val="center"/>
            <w:hideMark/>
          </w:tcPr>
          <w:p w14:paraId="24F35559" w14:textId="2D4BE11E"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165,08</w:t>
            </w:r>
          </w:p>
        </w:tc>
        <w:tc>
          <w:tcPr>
            <w:tcW w:w="797" w:type="dxa"/>
            <w:tcBorders>
              <w:top w:val="nil"/>
              <w:left w:val="nil"/>
              <w:bottom w:val="double" w:sz="6" w:space="0" w:color="auto"/>
              <w:right w:val="nil"/>
            </w:tcBorders>
            <w:shd w:val="clear" w:color="auto" w:fill="auto"/>
            <w:noWrap/>
            <w:vAlign w:val="center"/>
            <w:hideMark/>
          </w:tcPr>
          <w:p w14:paraId="261E015D" w14:textId="2F813481"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+21 %</w:t>
            </w:r>
          </w:p>
        </w:tc>
        <w:tc>
          <w:tcPr>
            <w:tcW w:w="1187" w:type="dxa"/>
            <w:tcBorders>
              <w:top w:val="nil"/>
              <w:left w:val="single" w:sz="4" w:space="0" w:color="auto"/>
              <w:bottom w:val="double" w:sz="6" w:space="0" w:color="auto"/>
              <w:right w:val="nil"/>
            </w:tcBorders>
            <w:shd w:val="clear" w:color="auto" w:fill="auto"/>
            <w:noWrap/>
            <w:vAlign w:val="center"/>
            <w:hideMark/>
          </w:tcPr>
          <w:p w14:paraId="682711F1" w14:textId="74B5EDAE"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151,14</w:t>
            </w:r>
          </w:p>
        </w:tc>
        <w:tc>
          <w:tcPr>
            <w:tcW w:w="798" w:type="dxa"/>
            <w:tcBorders>
              <w:top w:val="nil"/>
              <w:left w:val="nil"/>
              <w:bottom w:val="double" w:sz="6" w:space="0" w:color="auto"/>
              <w:right w:val="single" w:sz="4" w:space="0" w:color="auto"/>
            </w:tcBorders>
            <w:shd w:val="clear" w:color="auto" w:fill="auto"/>
            <w:noWrap/>
            <w:vAlign w:val="center"/>
            <w:hideMark/>
          </w:tcPr>
          <w:p w14:paraId="3DE83D7E" w14:textId="0AC7FE40"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981" w:type="dxa"/>
            <w:tcBorders>
              <w:top w:val="nil"/>
              <w:left w:val="nil"/>
              <w:bottom w:val="double" w:sz="6" w:space="0" w:color="auto"/>
              <w:right w:val="nil"/>
            </w:tcBorders>
            <w:shd w:val="clear" w:color="auto" w:fill="auto"/>
            <w:noWrap/>
            <w:vAlign w:val="center"/>
            <w:hideMark/>
          </w:tcPr>
          <w:p w14:paraId="118BD6AE" w14:textId="0816911B" w:rsidR="009F1FC5" w:rsidRPr="00F15667" w:rsidRDefault="009F1FC5" w:rsidP="0070337A">
            <w:pPr>
              <w:spacing w:line="240" w:lineRule="auto"/>
              <w:jc w:val="center"/>
              <w:rPr>
                <w:rFonts w:eastAsia="Times New Roman"/>
                <w:szCs w:val="24"/>
                <w:lang w:eastAsia="cs-CZ"/>
              </w:rPr>
            </w:pPr>
            <w:r w:rsidRPr="00F15667">
              <w:rPr>
                <w:rFonts w:eastAsia="Times New Roman"/>
                <w:szCs w:val="24"/>
                <w:lang w:eastAsia="cs-CZ"/>
              </w:rPr>
              <w:t>40,61</w:t>
            </w:r>
          </w:p>
        </w:tc>
        <w:tc>
          <w:tcPr>
            <w:tcW w:w="861" w:type="dxa"/>
            <w:tcBorders>
              <w:top w:val="nil"/>
              <w:left w:val="nil"/>
              <w:bottom w:val="double" w:sz="6" w:space="0" w:color="auto"/>
              <w:right w:val="nil"/>
            </w:tcBorders>
            <w:shd w:val="clear" w:color="auto" w:fill="auto"/>
            <w:noWrap/>
            <w:vAlign w:val="center"/>
            <w:hideMark/>
          </w:tcPr>
          <w:p w14:paraId="3CB784C3" w14:textId="3571985F" w:rsidR="009F1FC5" w:rsidRPr="00F15667" w:rsidRDefault="009F1FC5" w:rsidP="0070337A">
            <w:pPr>
              <w:spacing w:line="240" w:lineRule="auto"/>
              <w:jc w:val="center"/>
              <w:rPr>
                <w:rFonts w:eastAsia="Times New Roman"/>
                <w:sz w:val="20"/>
                <w:szCs w:val="20"/>
                <w:lang w:eastAsia="cs-CZ"/>
              </w:rPr>
            </w:pPr>
            <w:r w:rsidRPr="00F15667">
              <w:rPr>
                <w:rFonts w:eastAsia="Times New Roman"/>
                <w:sz w:val="20"/>
                <w:szCs w:val="20"/>
                <w:lang w:eastAsia="cs-CZ"/>
              </w:rPr>
              <w:t>+54 %</w:t>
            </w:r>
          </w:p>
        </w:tc>
      </w:tr>
      <w:tr w:rsidR="00F15667" w:rsidRPr="00F15667" w14:paraId="254540BF" w14:textId="77777777" w:rsidTr="0070337A">
        <w:trPr>
          <w:trHeight w:val="345"/>
        </w:trPr>
        <w:tc>
          <w:tcPr>
            <w:tcW w:w="2040" w:type="dxa"/>
            <w:tcBorders>
              <w:top w:val="nil"/>
              <w:left w:val="nil"/>
              <w:bottom w:val="double" w:sz="6" w:space="0" w:color="auto"/>
              <w:right w:val="nil"/>
            </w:tcBorders>
            <w:shd w:val="clear" w:color="auto" w:fill="auto"/>
            <w:noWrap/>
            <w:vAlign w:val="center"/>
            <w:hideMark/>
          </w:tcPr>
          <w:p w14:paraId="5C7814F3" w14:textId="77777777" w:rsidR="009F1FC5" w:rsidRPr="00F15667" w:rsidRDefault="009F1FC5" w:rsidP="0070337A">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221" w:type="dxa"/>
            <w:tcBorders>
              <w:top w:val="nil"/>
              <w:left w:val="nil"/>
              <w:bottom w:val="double" w:sz="6" w:space="0" w:color="auto"/>
              <w:right w:val="nil"/>
            </w:tcBorders>
            <w:shd w:val="clear" w:color="auto" w:fill="auto"/>
            <w:noWrap/>
            <w:vAlign w:val="center"/>
            <w:hideMark/>
          </w:tcPr>
          <w:p w14:paraId="05C8A33F" w14:textId="20E9D70E" w:rsidR="009F1FC5" w:rsidRPr="00F15667" w:rsidRDefault="009F1FC5" w:rsidP="0070337A">
            <w:pPr>
              <w:spacing w:line="240" w:lineRule="auto"/>
              <w:jc w:val="center"/>
              <w:rPr>
                <w:rFonts w:eastAsia="Times New Roman"/>
                <w:b/>
                <w:bCs/>
                <w:szCs w:val="24"/>
                <w:lang w:eastAsia="cs-CZ"/>
              </w:rPr>
            </w:pPr>
            <w:r w:rsidRPr="00F15667">
              <w:rPr>
                <w:rFonts w:eastAsia="Times New Roman"/>
                <w:b/>
                <w:bCs/>
                <w:szCs w:val="24"/>
                <w:lang w:eastAsia="cs-CZ"/>
              </w:rPr>
              <w:t>377,78</w:t>
            </w:r>
          </w:p>
        </w:tc>
        <w:tc>
          <w:tcPr>
            <w:tcW w:w="1187" w:type="dxa"/>
            <w:tcBorders>
              <w:top w:val="nil"/>
              <w:left w:val="nil"/>
              <w:bottom w:val="double" w:sz="6" w:space="0" w:color="auto"/>
              <w:right w:val="nil"/>
            </w:tcBorders>
            <w:shd w:val="clear" w:color="auto" w:fill="auto"/>
            <w:noWrap/>
            <w:vAlign w:val="center"/>
            <w:hideMark/>
          </w:tcPr>
          <w:p w14:paraId="7D2B49C0" w14:textId="07FC7B85" w:rsidR="009F1FC5" w:rsidRPr="00F15667" w:rsidRDefault="009F1FC5" w:rsidP="0070337A">
            <w:pPr>
              <w:spacing w:line="240" w:lineRule="auto"/>
              <w:jc w:val="center"/>
              <w:rPr>
                <w:rFonts w:eastAsia="Times New Roman"/>
                <w:b/>
                <w:bCs/>
                <w:szCs w:val="24"/>
                <w:lang w:eastAsia="cs-CZ"/>
              </w:rPr>
            </w:pPr>
            <w:r w:rsidRPr="00F15667">
              <w:rPr>
                <w:rFonts w:eastAsia="Times New Roman"/>
                <w:b/>
                <w:bCs/>
                <w:szCs w:val="24"/>
                <w:lang w:eastAsia="cs-CZ"/>
              </w:rPr>
              <w:t>118,09</w:t>
            </w:r>
          </w:p>
        </w:tc>
        <w:tc>
          <w:tcPr>
            <w:tcW w:w="797" w:type="dxa"/>
            <w:tcBorders>
              <w:top w:val="nil"/>
              <w:left w:val="nil"/>
              <w:bottom w:val="double" w:sz="6" w:space="0" w:color="auto"/>
              <w:right w:val="nil"/>
            </w:tcBorders>
            <w:shd w:val="clear" w:color="auto" w:fill="auto"/>
            <w:noWrap/>
            <w:vAlign w:val="center"/>
            <w:hideMark/>
          </w:tcPr>
          <w:p w14:paraId="00B94EDA" w14:textId="61EF340D" w:rsidR="009F1FC5" w:rsidRPr="00F15667" w:rsidRDefault="009F1FC5" w:rsidP="0070337A">
            <w:pPr>
              <w:spacing w:line="240" w:lineRule="auto"/>
              <w:jc w:val="center"/>
              <w:rPr>
                <w:rFonts w:eastAsia="Times New Roman"/>
                <w:b/>
                <w:bCs/>
                <w:sz w:val="20"/>
                <w:szCs w:val="20"/>
                <w:lang w:eastAsia="cs-CZ"/>
              </w:rPr>
            </w:pPr>
            <w:r w:rsidRPr="00F15667">
              <w:rPr>
                <w:rFonts w:eastAsia="Times New Roman"/>
                <w:b/>
                <w:bCs/>
                <w:sz w:val="20"/>
                <w:szCs w:val="20"/>
                <w:lang w:eastAsia="cs-CZ"/>
              </w:rPr>
              <w:t>+6 %</w:t>
            </w:r>
          </w:p>
        </w:tc>
        <w:tc>
          <w:tcPr>
            <w:tcW w:w="1187" w:type="dxa"/>
            <w:tcBorders>
              <w:top w:val="nil"/>
              <w:left w:val="single" w:sz="4" w:space="0" w:color="auto"/>
              <w:bottom w:val="double" w:sz="6" w:space="0" w:color="auto"/>
              <w:right w:val="nil"/>
            </w:tcBorders>
            <w:shd w:val="clear" w:color="auto" w:fill="auto"/>
            <w:noWrap/>
            <w:vAlign w:val="center"/>
            <w:hideMark/>
          </w:tcPr>
          <w:p w14:paraId="6012BDA9" w14:textId="3FDD4312" w:rsidR="009F1FC5" w:rsidRPr="00F15667" w:rsidRDefault="009F1FC5" w:rsidP="0070337A">
            <w:pPr>
              <w:spacing w:line="240" w:lineRule="auto"/>
              <w:jc w:val="center"/>
              <w:rPr>
                <w:rFonts w:eastAsia="Times New Roman"/>
                <w:b/>
                <w:bCs/>
                <w:szCs w:val="24"/>
                <w:lang w:eastAsia="cs-CZ"/>
              </w:rPr>
            </w:pPr>
            <w:r w:rsidRPr="00F15667">
              <w:rPr>
                <w:rFonts w:eastAsia="Times New Roman"/>
                <w:b/>
                <w:bCs/>
                <w:szCs w:val="24"/>
                <w:lang w:eastAsia="cs-CZ"/>
              </w:rPr>
              <w:t>116,75</w:t>
            </w:r>
          </w:p>
        </w:tc>
        <w:tc>
          <w:tcPr>
            <w:tcW w:w="798" w:type="dxa"/>
            <w:tcBorders>
              <w:top w:val="nil"/>
              <w:left w:val="nil"/>
              <w:bottom w:val="double" w:sz="6" w:space="0" w:color="auto"/>
              <w:right w:val="single" w:sz="4" w:space="0" w:color="auto"/>
            </w:tcBorders>
            <w:shd w:val="clear" w:color="auto" w:fill="auto"/>
            <w:noWrap/>
            <w:vAlign w:val="center"/>
            <w:hideMark/>
          </w:tcPr>
          <w:p w14:paraId="4A02ECA3" w14:textId="30ACB1C3" w:rsidR="009F1FC5" w:rsidRPr="00F15667" w:rsidRDefault="009F1FC5" w:rsidP="0070337A">
            <w:pPr>
              <w:spacing w:line="240" w:lineRule="auto"/>
              <w:jc w:val="center"/>
              <w:rPr>
                <w:rFonts w:eastAsia="Times New Roman"/>
                <w:b/>
                <w:bCs/>
                <w:sz w:val="20"/>
                <w:szCs w:val="20"/>
                <w:lang w:eastAsia="cs-CZ"/>
              </w:rPr>
            </w:pPr>
            <w:r w:rsidRPr="00F15667">
              <w:rPr>
                <w:rFonts w:eastAsia="Times New Roman"/>
                <w:b/>
                <w:bCs/>
                <w:sz w:val="20"/>
                <w:szCs w:val="20"/>
                <w:lang w:eastAsia="cs-CZ"/>
              </w:rPr>
              <w:t>+2 %</w:t>
            </w:r>
          </w:p>
        </w:tc>
        <w:tc>
          <w:tcPr>
            <w:tcW w:w="981" w:type="dxa"/>
            <w:tcBorders>
              <w:top w:val="nil"/>
              <w:left w:val="nil"/>
              <w:bottom w:val="double" w:sz="6" w:space="0" w:color="auto"/>
              <w:right w:val="nil"/>
            </w:tcBorders>
            <w:shd w:val="clear" w:color="auto" w:fill="auto"/>
            <w:noWrap/>
            <w:vAlign w:val="center"/>
            <w:hideMark/>
          </w:tcPr>
          <w:p w14:paraId="6D3D1243" w14:textId="3D043787" w:rsidR="009F1FC5" w:rsidRPr="00F15667" w:rsidRDefault="009F1FC5" w:rsidP="0070337A">
            <w:pPr>
              <w:spacing w:line="240" w:lineRule="auto"/>
              <w:jc w:val="center"/>
              <w:rPr>
                <w:rFonts w:eastAsia="Times New Roman"/>
                <w:b/>
                <w:bCs/>
                <w:szCs w:val="24"/>
                <w:lang w:eastAsia="cs-CZ"/>
              </w:rPr>
            </w:pPr>
            <w:r w:rsidRPr="00F15667">
              <w:rPr>
                <w:rFonts w:eastAsia="Times New Roman"/>
                <w:b/>
                <w:bCs/>
                <w:szCs w:val="24"/>
                <w:lang w:eastAsia="cs-CZ"/>
              </w:rPr>
              <w:t>21,22</w:t>
            </w:r>
          </w:p>
        </w:tc>
        <w:tc>
          <w:tcPr>
            <w:tcW w:w="861" w:type="dxa"/>
            <w:tcBorders>
              <w:top w:val="nil"/>
              <w:left w:val="nil"/>
              <w:bottom w:val="double" w:sz="6" w:space="0" w:color="auto"/>
              <w:right w:val="nil"/>
            </w:tcBorders>
            <w:shd w:val="clear" w:color="auto" w:fill="auto"/>
            <w:noWrap/>
            <w:vAlign w:val="center"/>
            <w:hideMark/>
          </w:tcPr>
          <w:p w14:paraId="5AF28781" w14:textId="6C2C53EA" w:rsidR="009F1FC5" w:rsidRPr="00F15667" w:rsidRDefault="009F1FC5" w:rsidP="0070337A">
            <w:pPr>
              <w:spacing w:line="240" w:lineRule="auto"/>
              <w:jc w:val="center"/>
              <w:rPr>
                <w:rFonts w:eastAsia="Times New Roman"/>
                <w:b/>
                <w:bCs/>
                <w:sz w:val="20"/>
                <w:szCs w:val="20"/>
                <w:lang w:eastAsia="cs-CZ"/>
              </w:rPr>
            </w:pPr>
            <w:r w:rsidRPr="00F15667">
              <w:rPr>
                <w:rFonts w:eastAsia="Times New Roman"/>
                <w:b/>
                <w:bCs/>
                <w:sz w:val="20"/>
                <w:szCs w:val="20"/>
                <w:lang w:eastAsia="cs-CZ"/>
              </w:rPr>
              <w:t>+9 %</w:t>
            </w:r>
          </w:p>
        </w:tc>
      </w:tr>
      <w:tr w:rsidR="00F15667" w:rsidRPr="00F15667" w14:paraId="76B43668" w14:textId="77777777" w:rsidTr="0070337A">
        <w:trPr>
          <w:trHeight w:val="330"/>
        </w:trPr>
        <w:tc>
          <w:tcPr>
            <w:tcW w:w="2040" w:type="dxa"/>
            <w:tcBorders>
              <w:top w:val="nil"/>
              <w:left w:val="nil"/>
              <w:bottom w:val="nil"/>
              <w:right w:val="nil"/>
            </w:tcBorders>
            <w:shd w:val="clear" w:color="auto" w:fill="auto"/>
            <w:noWrap/>
            <w:vAlign w:val="center"/>
            <w:hideMark/>
          </w:tcPr>
          <w:p w14:paraId="6CD1B3E7" w14:textId="77777777" w:rsidR="009F1FC5" w:rsidRPr="00F15667" w:rsidRDefault="009F1FC5" w:rsidP="0070337A">
            <w:pPr>
              <w:spacing w:line="240" w:lineRule="auto"/>
              <w:jc w:val="center"/>
              <w:rPr>
                <w:rFonts w:eastAsia="Times New Roman"/>
                <w:b/>
                <w:bCs/>
                <w:sz w:val="20"/>
                <w:szCs w:val="20"/>
                <w:lang w:eastAsia="cs-CZ"/>
              </w:rPr>
            </w:pPr>
          </w:p>
        </w:tc>
        <w:tc>
          <w:tcPr>
            <w:tcW w:w="1221" w:type="dxa"/>
            <w:tcBorders>
              <w:top w:val="nil"/>
              <w:left w:val="nil"/>
              <w:bottom w:val="nil"/>
              <w:right w:val="nil"/>
            </w:tcBorders>
            <w:shd w:val="clear" w:color="auto" w:fill="auto"/>
            <w:noWrap/>
            <w:vAlign w:val="center"/>
            <w:hideMark/>
          </w:tcPr>
          <w:p w14:paraId="43EFA0ED" w14:textId="77777777" w:rsidR="009F1FC5" w:rsidRPr="00F15667" w:rsidRDefault="009F1FC5" w:rsidP="0070337A">
            <w:pPr>
              <w:spacing w:line="240" w:lineRule="auto"/>
              <w:jc w:val="center"/>
              <w:rPr>
                <w:rFonts w:ascii="Times New Roman" w:eastAsia="Times New Roman" w:hAnsi="Times New Roman"/>
                <w:sz w:val="20"/>
                <w:szCs w:val="20"/>
                <w:lang w:eastAsia="cs-CZ"/>
              </w:rPr>
            </w:pPr>
          </w:p>
        </w:tc>
        <w:tc>
          <w:tcPr>
            <w:tcW w:w="1187" w:type="dxa"/>
            <w:tcBorders>
              <w:top w:val="nil"/>
              <w:left w:val="nil"/>
              <w:bottom w:val="nil"/>
              <w:right w:val="nil"/>
            </w:tcBorders>
            <w:shd w:val="clear" w:color="auto" w:fill="auto"/>
            <w:noWrap/>
            <w:vAlign w:val="center"/>
            <w:hideMark/>
          </w:tcPr>
          <w:p w14:paraId="5AFD6F40" w14:textId="77777777" w:rsidR="009F1FC5" w:rsidRPr="00F15667" w:rsidRDefault="009F1FC5" w:rsidP="0070337A">
            <w:pPr>
              <w:spacing w:line="240" w:lineRule="auto"/>
              <w:jc w:val="center"/>
              <w:rPr>
                <w:rFonts w:ascii="Times New Roman" w:eastAsia="Times New Roman" w:hAnsi="Times New Roman"/>
                <w:sz w:val="20"/>
                <w:szCs w:val="20"/>
                <w:lang w:eastAsia="cs-CZ"/>
              </w:rPr>
            </w:pPr>
          </w:p>
        </w:tc>
        <w:tc>
          <w:tcPr>
            <w:tcW w:w="797" w:type="dxa"/>
            <w:tcBorders>
              <w:top w:val="nil"/>
              <w:left w:val="nil"/>
              <w:bottom w:val="nil"/>
              <w:right w:val="nil"/>
            </w:tcBorders>
            <w:shd w:val="clear" w:color="auto" w:fill="auto"/>
            <w:noWrap/>
            <w:vAlign w:val="center"/>
            <w:hideMark/>
          </w:tcPr>
          <w:p w14:paraId="47A1CB35" w14:textId="77777777" w:rsidR="009F1FC5" w:rsidRPr="00F15667" w:rsidRDefault="009F1FC5" w:rsidP="0070337A">
            <w:pPr>
              <w:spacing w:line="240" w:lineRule="auto"/>
              <w:jc w:val="center"/>
              <w:rPr>
                <w:rFonts w:ascii="Times New Roman" w:eastAsia="Times New Roman" w:hAnsi="Times New Roman"/>
                <w:sz w:val="20"/>
                <w:szCs w:val="20"/>
                <w:lang w:eastAsia="cs-CZ"/>
              </w:rPr>
            </w:pPr>
          </w:p>
        </w:tc>
        <w:tc>
          <w:tcPr>
            <w:tcW w:w="1187" w:type="dxa"/>
            <w:tcBorders>
              <w:top w:val="nil"/>
              <w:left w:val="nil"/>
              <w:bottom w:val="nil"/>
              <w:right w:val="nil"/>
            </w:tcBorders>
            <w:shd w:val="clear" w:color="auto" w:fill="auto"/>
            <w:noWrap/>
            <w:vAlign w:val="center"/>
            <w:hideMark/>
          </w:tcPr>
          <w:p w14:paraId="24FD8BBE" w14:textId="77777777" w:rsidR="009F1FC5" w:rsidRPr="00F15667" w:rsidRDefault="009F1FC5" w:rsidP="0070337A">
            <w:pPr>
              <w:spacing w:line="240" w:lineRule="auto"/>
              <w:jc w:val="center"/>
              <w:rPr>
                <w:rFonts w:ascii="Times New Roman" w:eastAsia="Times New Roman" w:hAnsi="Times New Roman"/>
                <w:sz w:val="20"/>
                <w:szCs w:val="20"/>
                <w:lang w:eastAsia="cs-CZ"/>
              </w:rPr>
            </w:pPr>
          </w:p>
        </w:tc>
        <w:tc>
          <w:tcPr>
            <w:tcW w:w="798" w:type="dxa"/>
            <w:tcBorders>
              <w:top w:val="nil"/>
              <w:left w:val="nil"/>
              <w:bottom w:val="nil"/>
              <w:right w:val="nil"/>
            </w:tcBorders>
            <w:shd w:val="clear" w:color="auto" w:fill="auto"/>
            <w:noWrap/>
            <w:vAlign w:val="center"/>
            <w:hideMark/>
          </w:tcPr>
          <w:p w14:paraId="2DE6C98C" w14:textId="77777777" w:rsidR="009F1FC5" w:rsidRPr="00F15667" w:rsidRDefault="009F1FC5" w:rsidP="0070337A">
            <w:pPr>
              <w:spacing w:line="240" w:lineRule="auto"/>
              <w:jc w:val="center"/>
              <w:rPr>
                <w:rFonts w:ascii="Times New Roman" w:eastAsia="Times New Roman" w:hAnsi="Times New Roman"/>
                <w:sz w:val="20"/>
                <w:szCs w:val="20"/>
                <w:lang w:eastAsia="cs-CZ"/>
              </w:rPr>
            </w:pPr>
          </w:p>
        </w:tc>
        <w:tc>
          <w:tcPr>
            <w:tcW w:w="981" w:type="dxa"/>
            <w:tcBorders>
              <w:top w:val="nil"/>
              <w:left w:val="nil"/>
              <w:bottom w:val="nil"/>
              <w:right w:val="nil"/>
            </w:tcBorders>
            <w:shd w:val="clear" w:color="auto" w:fill="auto"/>
            <w:noWrap/>
            <w:vAlign w:val="center"/>
            <w:hideMark/>
          </w:tcPr>
          <w:p w14:paraId="09CECB51" w14:textId="77777777" w:rsidR="009F1FC5" w:rsidRPr="00F15667" w:rsidRDefault="009F1FC5" w:rsidP="0070337A">
            <w:pPr>
              <w:spacing w:line="240" w:lineRule="auto"/>
              <w:jc w:val="center"/>
              <w:rPr>
                <w:rFonts w:ascii="Times New Roman" w:eastAsia="Times New Roman" w:hAnsi="Times New Roman"/>
                <w:sz w:val="20"/>
                <w:szCs w:val="20"/>
                <w:lang w:eastAsia="cs-CZ"/>
              </w:rPr>
            </w:pPr>
          </w:p>
        </w:tc>
        <w:tc>
          <w:tcPr>
            <w:tcW w:w="861" w:type="dxa"/>
            <w:tcBorders>
              <w:top w:val="nil"/>
              <w:left w:val="nil"/>
              <w:bottom w:val="nil"/>
              <w:right w:val="nil"/>
            </w:tcBorders>
            <w:shd w:val="clear" w:color="auto" w:fill="auto"/>
            <w:noWrap/>
            <w:vAlign w:val="center"/>
            <w:hideMark/>
          </w:tcPr>
          <w:p w14:paraId="5D5A9287" w14:textId="77777777" w:rsidR="009F1FC5" w:rsidRPr="00F15667" w:rsidRDefault="009F1FC5" w:rsidP="0070337A">
            <w:pPr>
              <w:spacing w:line="240" w:lineRule="auto"/>
              <w:jc w:val="center"/>
              <w:rPr>
                <w:rFonts w:ascii="Times New Roman" w:eastAsia="Times New Roman" w:hAnsi="Times New Roman"/>
                <w:sz w:val="20"/>
                <w:szCs w:val="20"/>
                <w:lang w:eastAsia="cs-CZ"/>
              </w:rPr>
            </w:pPr>
          </w:p>
        </w:tc>
      </w:tr>
    </w:tbl>
    <w:p w14:paraId="3C419E60" w14:textId="77777777" w:rsidR="00ED5CE9" w:rsidRPr="00F15667" w:rsidRDefault="00ED5CE9" w:rsidP="00ED5CE9">
      <w:pPr>
        <w:pStyle w:val="Nadpis3"/>
        <w:numPr>
          <w:ilvl w:val="2"/>
          <w:numId w:val="1"/>
        </w:numPr>
        <w:rPr>
          <w:color w:val="auto"/>
        </w:rPr>
      </w:pPr>
      <w:bookmarkStart w:id="721" w:name="_Toc515871256"/>
      <w:bookmarkStart w:id="722" w:name="_Toc106092762"/>
      <w:bookmarkStart w:id="723" w:name="_Toc144104375"/>
      <w:r w:rsidRPr="00F15667">
        <w:rPr>
          <w:color w:val="auto"/>
        </w:rPr>
        <w:t>Disposition time</w:t>
      </w:r>
      <w:bookmarkEnd w:id="721"/>
      <w:r w:rsidRPr="00F15667">
        <w:rPr>
          <w:color w:val="auto"/>
        </w:rPr>
        <w:t xml:space="preserve"> (dispoziční čas)</w:t>
      </w:r>
      <w:bookmarkEnd w:id="722"/>
      <w:bookmarkEnd w:id="723"/>
    </w:p>
    <w:p w14:paraId="663F3063" w14:textId="7CF3A7FE" w:rsidR="00ED5CE9" w:rsidRPr="00F15667" w:rsidRDefault="002D342A" w:rsidP="002D342A">
      <w:pPr>
        <w:pStyle w:val="OdstavecASR"/>
      </w:pPr>
      <w:r w:rsidRPr="00F15667">
        <w:t>Připomeňme, že se jedná o ukazatel efektivnosti vyřizování věcí a vyjadřuje, za kolik dní by daný soud vyřídil nevyřízené věci již „ležící“ na soudu, pokud by neměl žádný nový nápad a pracoval stejným tempem.</w:t>
      </w:r>
    </w:p>
    <w:p w14:paraId="5CA7687A" w14:textId="1063F874" w:rsidR="002D342A" w:rsidRPr="00F15667" w:rsidRDefault="002D342A" w:rsidP="002D342A">
      <w:pPr>
        <w:pStyle w:val="OdstavecASR"/>
      </w:pPr>
      <w:r w:rsidRPr="00F15667">
        <w:t>DT se v letech 2017–2018 mírně prodlužoval, což bylo způsobeno tím, že rychlé vyřizování věcí se neodráží ve stejně rychlém ubývání nevyřízených věcí v daném roce. V roce 2019 se DT díky signifikantnímu poklesu v počtu nevyřízených věcí snížil na úroveň roku 2016, tj. na nejnižší úroveň za celé sledované období. V roce 2020 pak DT narostl, což plyne především z poklesu nápadu, a tedy poklesu v počtu vyřízených věcí. V roce 2021 DT opět poklesl z důvodu poklesu v počtu nevyřízených věcí a v roce 2022 opět došlo k nárůstu. Je zajímavé, že změny v DT v posledních letech plynou zejména ze změn u jednoho ze soudů – KS v Ostravě.</w:t>
      </w:r>
    </w:p>
    <w:p w14:paraId="6767D33B" w14:textId="1982DEEE" w:rsidR="002D342A" w:rsidRPr="00F15667" w:rsidRDefault="002D342A" w:rsidP="002D342A">
      <w:pPr>
        <w:pStyle w:val="Podnadpis"/>
        <w:rPr>
          <w:color w:val="auto"/>
        </w:rPr>
      </w:pPr>
      <w:bookmarkStart w:id="724" w:name="_Toc515871388"/>
      <w:bookmarkStart w:id="725" w:name="_Toc11135119"/>
      <w:bookmarkStart w:id="726" w:name="_Toc43841438"/>
      <w:bookmarkStart w:id="727" w:name="_Toc75952241"/>
      <w:bookmarkStart w:id="728" w:name="_Toc106106698"/>
      <w:bookmarkStart w:id="729" w:name="_Toc109802022"/>
      <w:bookmarkStart w:id="730" w:name="_Toc144104173"/>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61</w:t>
      </w:r>
      <w:r w:rsidR="009A10E2" w:rsidRPr="00F15667">
        <w:rPr>
          <w:color w:val="auto"/>
        </w:rPr>
        <w:fldChar w:fldCharType="end"/>
      </w:r>
      <w:r w:rsidRPr="00F15667">
        <w:rPr>
          <w:color w:val="auto"/>
        </w:rPr>
        <w:t>: KS – DT odvolacího civilního řízení v letech 2008–20</w:t>
      </w:r>
      <w:bookmarkEnd w:id="724"/>
      <w:bookmarkEnd w:id="725"/>
      <w:bookmarkEnd w:id="726"/>
      <w:r w:rsidRPr="00F15667">
        <w:rPr>
          <w:color w:val="auto"/>
        </w:rPr>
        <w:t>2</w:t>
      </w:r>
      <w:bookmarkEnd w:id="727"/>
      <w:r w:rsidRPr="00F15667">
        <w:rPr>
          <w:color w:val="auto"/>
        </w:rPr>
        <w:t>1</w:t>
      </w:r>
      <w:bookmarkEnd w:id="728"/>
      <w:bookmarkEnd w:id="729"/>
      <w:bookmarkEnd w:id="730"/>
    </w:p>
    <w:p w14:paraId="17672508" w14:textId="7F26CF4F" w:rsidR="002D342A" w:rsidRPr="00F15667" w:rsidRDefault="002D342A" w:rsidP="002D342A">
      <w:pPr>
        <w:pStyle w:val="OdstavecASR"/>
      </w:pPr>
      <w:r w:rsidRPr="00F15667">
        <w:rPr>
          <w:noProof/>
          <w:lang w:eastAsia="cs-CZ"/>
        </w:rPr>
        <w:drawing>
          <wp:inline distT="0" distB="0" distL="0" distR="0" wp14:anchorId="464BB54E" wp14:editId="3822B141">
            <wp:extent cx="5029200" cy="3657600"/>
            <wp:effectExtent l="0" t="0" r="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A803FE1" w14:textId="2A899C8E" w:rsidR="002D342A" w:rsidRPr="00F15667" w:rsidRDefault="002D342A" w:rsidP="002D342A">
      <w:pPr>
        <w:pStyle w:val="Podnadpis"/>
        <w:rPr>
          <w:color w:val="auto"/>
        </w:rPr>
      </w:pPr>
      <w:bookmarkStart w:id="731" w:name="_Toc43931224"/>
      <w:bookmarkStart w:id="732" w:name="_Toc75952357"/>
      <w:bookmarkStart w:id="733" w:name="_Toc106106813"/>
      <w:bookmarkStart w:id="734" w:name="_Toc109802136"/>
      <w:bookmarkStart w:id="735" w:name="_Toc144104294"/>
      <w:r w:rsidRPr="00F15667">
        <w:rPr>
          <w:color w:val="auto"/>
        </w:rPr>
        <w:t xml:space="preserve">Tabulka </w:t>
      </w:r>
      <w:r w:rsidRPr="00F15667">
        <w:rPr>
          <w:noProof/>
          <w:color w:val="auto"/>
        </w:rPr>
        <w:fldChar w:fldCharType="begin"/>
      </w:r>
      <w:r w:rsidRPr="00F15667">
        <w:rPr>
          <w:noProof/>
          <w:color w:val="auto"/>
        </w:rPr>
        <w:instrText xml:space="preserve"> SEQ Tabulka \* ARABIC </w:instrText>
      </w:r>
      <w:r w:rsidRPr="00F15667">
        <w:rPr>
          <w:noProof/>
          <w:color w:val="auto"/>
        </w:rPr>
        <w:fldChar w:fldCharType="separate"/>
      </w:r>
      <w:r w:rsidR="001E1A67">
        <w:rPr>
          <w:noProof/>
          <w:color w:val="auto"/>
        </w:rPr>
        <w:t>55</w:t>
      </w:r>
      <w:r w:rsidRPr="00F15667">
        <w:rPr>
          <w:noProof/>
          <w:color w:val="auto"/>
        </w:rPr>
        <w:fldChar w:fldCharType="end"/>
      </w:r>
      <w:r w:rsidRPr="00F15667">
        <w:rPr>
          <w:color w:val="auto"/>
        </w:rPr>
        <w:t>: KS – DT v civilním odvolacím řízení dle soudů</w:t>
      </w:r>
      <w:bookmarkEnd w:id="731"/>
      <w:bookmarkEnd w:id="732"/>
      <w:bookmarkEnd w:id="733"/>
      <w:bookmarkEnd w:id="734"/>
      <w:bookmarkEnd w:id="735"/>
    </w:p>
    <w:tbl>
      <w:tblPr>
        <w:tblW w:w="5954" w:type="dxa"/>
        <w:tblCellMar>
          <w:left w:w="70" w:type="dxa"/>
          <w:right w:w="70" w:type="dxa"/>
        </w:tblCellMar>
        <w:tblLook w:val="04A0" w:firstRow="1" w:lastRow="0" w:firstColumn="1" w:lastColumn="0" w:noHBand="0" w:noVBand="1"/>
      </w:tblPr>
      <w:tblGrid>
        <w:gridCol w:w="2780"/>
        <w:gridCol w:w="1756"/>
        <w:gridCol w:w="1418"/>
      </w:tblGrid>
      <w:tr w:rsidR="00F15667" w:rsidRPr="00F15667" w14:paraId="19B9004C" w14:textId="77777777" w:rsidTr="0070337A">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6E84634" w14:textId="77777777" w:rsidR="002D342A" w:rsidRPr="00F15667" w:rsidRDefault="002D342A" w:rsidP="0070337A">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3172" w:type="dxa"/>
            <w:gridSpan w:val="2"/>
            <w:tcBorders>
              <w:top w:val="double" w:sz="6" w:space="0" w:color="auto"/>
              <w:left w:val="nil"/>
              <w:bottom w:val="double" w:sz="6" w:space="0" w:color="auto"/>
              <w:right w:val="nil"/>
            </w:tcBorders>
            <w:shd w:val="clear" w:color="auto" w:fill="auto"/>
            <w:noWrap/>
            <w:vAlign w:val="center"/>
            <w:hideMark/>
          </w:tcPr>
          <w:p w14:paraId="47DA3891" w14:textId="77777777" w:rsidR="002D342A" w:rsidRPr="00F15667" w:rsidRDefault="002D342A" w:rsidP="0070337A">
            <w:pPr>
              <w:spacing w:line="240" w:lineRule="auto"/>
              <w:jc w:val="center"/>
              <w:rPr>
                <w:rFonts w:eastAsia="Times New Roman"/>
                <w:b/>
                <w:bCs/>
                <w:szCs w:val="24"/>
                <w:lang w:eastAsia="cs-CZ"/>
              </w:rPr>
            </w:pPr>
            <w:r w:rsidRPr="00F15667">
              <w:rPr>
                <w:rFonts w:eastAsia="Times New Roman"/>
                <w:b/>
                <w:bCs/>
                <w:szCs w:val="24"/>
                <w:lang w:eastAsia="cs-CZ"/>
              </w:rPr>
              <w:t>Disposition time</w:t>
            </w:r>
          </w:p>
        </w:tc>
      </w:tr>
      <w:tr w:rsidR="00F15667" w:rsidRPr="00F15667" w14:paraId="0FD49BE2" w14:textId="77777777" w:rsidTr="0070337A">
        <w:trPr>
          <w:trHeight w:val="330"/>
        </w:trPr>
        <w:tc>
          <w:tcPr>
            <w:tcW w:w="2780" w:type="dxa"/>
            <w:tcBorders>
              <w:top w:val="nil"/>
              <w:left w:val="nil"/>
              <w:bottom w:val="single" w:sz="4" w:space="0" w:color="auto"/>
              <w:right w:val="nil"/>
            </w:tcBorders>
            <w:shd w:val="clear" w:color="auto" w:fill="auto"/>
            <w:noWrap/>
            <w:vAlign w:val="center"/>
            <w:hideMark/>
          </w:tcPr>
          <w:p w14:paraId="694D337B" w14:textId="77777777" w:rsidR="002D342A" w:rsidRPr="00F15667" w:rsidRDefault="002D342A" w:rsidP="0070337A">
            <w:pPr>
              <w:spacing w:line="240" w:lineRule="auto"/>
              <w:jc w:val="left"/>
              <w:rPr>
                <w:rFonts w:eastAsia="Times New Roman"/>
                <w:szCs w:val="24"/>
                <w:lang w:eastAsia="cs-CZ"/>
              </w:rPr>
            </w:pPr>
            <w:r w:rsidRPr="00F15667">
              <w:rPr>
                <w:rFonts w:eastAsia="Times New Roman"/>
                <w:szCs w:val="24"/>
                <w:lang w:eastAsia="cs-CZ"/>
              </w:rPr>
              <w:t>MS Praha</w:t>
            </w:r>
          </w:p>
        </w:tc>
        <w:tc>
          <w:tcPr>
            <w:tcW w:w="1756" w:type="dxa"/>
            <w:tcBorders>
              <w:top w:val="nil"/>
              <w:left w:val="nil"/>
              <w:bottom w:val="single" w:sz="4" w:space="0" w:color="auto"/>
              <w:right w:val="nil"/>
            </w:tcBorders>
            <w:shd w:val="clear" w:color="auto" w:fill="auto"/>
            <w:noWrap/>
            <w:vAlign w:val="center"/>
            <w:hideMark/>
          </w:tcPr>
          <w:p w14:paraId="51BCE7A6" w14:textId="77777777" w:rsidR="002D342A" w:rsidRPr="00F15667" w:rsidRDefault="002D342A" w:rsidP="0070337A">
            <w:pPr>
              <w:spacing w:line="240" w:lineRule="auto"/>
              <w:jc w:val="center"/>
              <w:rPr>
                <w:rFonts w:eastAsia="Times New Roman"/>
                <w:szCs w:val="24"/>
                <w:lang w:eastAsia="cs-CZ"/>
              </w:rPr>
            </w:pPr>
            <w:r w:rsidRPr="00F15667">
              <w:rPr>
                <w:rFonts w:eastAsia="Times New Roman"/>
                <w:szCs w:val="24"/>
                <w:lang w:eastAsia="cs-CZ"/>
              </w:rPr>
              <w:t>42</w:t>
            </w:r>
          </w:p>
        </w:tc>
        <w:tc>
          <w:tcPr>
            <w:tcW w:w="1418" w:type="dxa"/>
            <w:tcBorders>
              <w:top w:val="nil"/>
              <w:left w:val="nil"/>
              <w:bottom w:val="single" w:sz="4" w:space="0" w:color="auto"/>
              <w:right w:val="nil"/>
            </w:tcBorders>
            <w:shd w:val="clear" w:color="auto" w:fill="auto"/>
            <w:noWrap/>
            <w:vAlign w:val="center"/>
            <w:hideMark/>
          </w:tcPr>
          <w:p w14:paraId="570FAFB5" w14:textId="11EE1901" w:rsidR="002D342A" w:rsidRPr="00F15667" w:rsidRDefault="002D342A" w:rsidP="0070337A">
            <w:pPr>
              <w:spacing w:line="240" w:lineRule="auto"/>
              <w:jc w:val="center"/>
              <w:rPr>
                <w:rFonts w:eastAsia="Times New Roman"/>
                <w:sz w:val="20"/>
                <w:szCs w:val="20"/>
                <w:lang w:eastAsia="cs-CZ"/>
              </w:rPr>
            </w:pPr>
            <w:r w:rsidRPr="00F15667">
              <w:rPr>
                <w:rFonts w:eastAsia="Times New Roman"/>
                <w:sz w:val="20"/>
                <w:szCs w:val="20"/>
                <w:lang w:eastAsia="cs-CZ"/>
              </w:rPr>
              <w:t>-8 %</w:t>
            </w:r>
          </w:p>
        </w:tc>
      </w:tr>
      <w:tr w:rsidR="00F15667" w:rsidRPr="00F15667" w14:paraId="7897DE10" w14:textId="77777777" w:rsidTr="0070337A">
        <w:trPr>
          <w:trHeight w:val="315"/>
        </w:trPr>
        <w:tc>
          <w:tcPr>
            <w:tcW w:w="2780" w:type="dxa"/>
            <w:tcBorders>
              <w:top w:val="nil"/>
              <w:left w:val="nil"/>
              <w:bottom w:val="single" w:sz="4" w:space="0" w:color="auto"/>
              <w:right w:val="nil"/>
            </w:tcBorders>
            <w:shd w:val="clear" w:color="auto" w:fill="auto"/>
            <w:noWrap/>
            <w:vAlign w:val="center"/>
            <w:hideMark/>
          </w:tcPr>
          <w:p w14:paraId="6A6CDA81" w14:textId="77777777" w:rsidR="002D342A" w:rsidRPr="00F15667" w:rsidRDefault="002D342A" w:rsidP="0070337A">
            <w:pPr>
              <w:spacing w:line="240" w:lineRule="auto"/>
              <w:jc w:val="left"/>
              <w:rPr>
                <w:rFonts w:eastAsia="Times New Roman"/>
                <w:szCs w:val="24"/>
                <w:lang w:eastAsia="cs-CZ"/>
              </w:rPr>
            </w:pPr>
            <w:r w:rsidRPr="00F15667">
              <w:rPr>
                <w:rFonts w:eastAsia="Times New Roman"/>
                <w:szCs w:val="24"/>
                <w:lang w:eastAsia="cs-CZ"/>
              </w:rPr>
              <w:t>KS Praha</w:t>
            </w:r>
          </w:p>
        </w:tc>
        <w:tc>
          <w:tcPr>
            <w:tcW w:w="1756" w:type="dxa"/>
            <w:tcBorders>
              <w:top w:val="nil"/>
              <w:left w:val="nil"/>
              <w:bottom w:val="single" w:sz="4" w:space="0" w:color="auto"/>
              <w:right w:val="nil"/>
            </w:tcBorders>
            <w:shd w:val="clear" w:color="auto" w:fill="auto"/>
            <w:noWrap/>
            <w:vAlign w:val="center"/>
            <w:hideMark/>
          </w:tcPr>
          <w:p w14:paraId="6D0789E9" w14:textId="77777777" w:rsidR="002D342A" w:rsidRPr="00F15667" w:rsidRDefault="002D342A" w:rsidP="0070337A">
            <w:pPr>
              <w:spacing w:line="240" w:lineRule="auto"/>
              <w:jc w:val="center"/>
              <w:rPr>
                <w:rFonts w:eastAsia="Times New Roman"/>
                <w:szCs w:val="24"/>
                <w:lang w:eastAsia="cs-CZ"/>
              </w:rPr>
            </w:pPr>
            <w:r w:rsidRPr="00F15667">
              <w:rPr>
                <w:rFonts w:eastAsia="Times New Roman"/>
                <w:szCs w:val="24"/>
                <w:lang w:eastAsia="cs-CZ"/>
              </w:rPr>
              <w:t>42</w:t>
            </w:r>
          </w:p>
        </w:tc>
        <w:tc>
          <w:tcPr>
            <w:tcW w:w="1418" w:type="dxa"/>
            <w:tcBorders>
              <w:top w:val="nil"/>
              <w:left w:val="nil"/>
              <w:bottom w:val="single" w:sz="4" w:space="0" w:color="auto"/>
              <w:right w:val="nil"/>
            </w:tcBorders>
            <w:shd w:val="clear" w:color="auto" w:fill="auto"/>
            <w:noWrap/>
            <w:vAlign w:val="center"/>
            <w:hideMark/>
          </w:tcPr>
          <w:p w14:paraId="5542A3EF" w14:textId="7641E818" w:rsidR="002D342A" w:rsidRPr="00F15667" w:rsidRDefault="002D342A" w:rsidP="0070337A">
            <w:pPr>
              <w:spacing w:line="240" w:lineRule="auto"/>
              <w:jc w:val="center"/>
              <w:rPr>
                <w:rFonts w:eastAsia="Times New Roman"/>
                <w:sz w:val="20"/>
                <w:szCs w:val="20"/>
                <w:lang w:eastAsia="cs-CZ"/>
              </w:rPr>
            </w:pPr>
            <w:r w:rsidRPr="00F15667">
              <w:rPr>
                <w:rFonts w:eastAsia="Times New Roman"/>
                <w:sz w:val="20"/>
                <w:szCs w:val="20"/>
                <w:lang w:eastAsia="cs-CZ"/>
              </w:rPr>
              <w:t>+7 %</w:t>
            </w:r>
          </w:p>
        </w:tc>
      </w:tr>
      <w:tr w:rsidR="00F15667" w:rsidRPr="00F15667" w14:paraId="48C6426D" w14:textId="77777777" w:rsidTr="0070337A">
        <w:trPr>
          <w:trHeight w:val="315"/>
        </w:trPr>
        <w:tc>
          <w:tcPr>
            <w:tcW w:w="2780" w:type="dxa"/>
            <w:tcBorders>
              <w:top w:val="nil"/>
              <w:left w:val="nil"/>
              <w:bottom w:val="single" w:sz="4" w:space="0" w:color="auto"/>
              <w:right w:val="nil"/>
            </w:tcBorders>
            <w:shd w:val="clear" w:color="auto" w:fill="auto"/>
            <w:noWrap/>
            <w:vAlign w:val="center"/>
            <w:hideMark/>
          </w:tcPr>
          <w:p w14:paraId="752F0EA2" w14:textId="77777777" w:rsidR="002D342A" w:rsidRPr="00F15667" w:rsidRDefault="002D342A" w:rsidP="0070337A">
            <w:pPr>
              <w:spacing w:line="240" w:lineRule="auto"/>
              <w:jc w:val="left"/>
              <w:rPr>
                <w:rFonts w:eastAsia="Times New Roman"/>
                <w:szCs w:val="24"/>
                <w:lang w:eastAsia="cs-CZ"/>
              </w:rPr>
            </w:pPr>
            <w:r w:rsidRPr="00F15667">
              <w:rPr>
                <w:rFonts w:eastAsia="Times New Roman"/>
                <w:szCs w:val="24"/>
                <w:lang w:eastAsia="cs-CZ"/>
              </w:rPr>
              <w:t>KS Č. Budějovice</w:t>
            </w:r>
          </w:p>
        </w:tc>
        <w:tc>
          <w:tcPr>
            <w:tcW w:w="1756" w:type="dxa"/>
            <w:tcBorders>
              <w:top w:val="nil"/>
              <w:left w:val="nil"/>
              <w:bottom w:val="single" w:sz="4" w:space="0" w:color="auto"/>
              <w:right w:val="nil"/>
            </w:tcBorders>
            <w:shd w:val="clear" w:color="auto" w:fill="auto"/>
            <w:noWrap/>
            <w:vAlign w:val="center"/>
            <w:hideMark/>
          </w:tcPr>
          <w:p w14:paraId="295162C0" w14:textId="77777777" w:rsidR="002D342A" w:rsidRPr="00F15667" w:rsidRDefault="002D342A" w:rsidP="0070337A">
            <w:pPr>
              <w:spacing w:line="240" w:lineRule="auto"/>
              <w:jc w:val="center"/>
              <w:rPr>
                <w:rFonts w:eastAsia="Times New Roman"/>
                <w:szCs w:val="24"/>
                <w:lang w:eastAsia="cs-CZ"/>
              </w:rPr>
            </w:pPr>
            <w:r w:rsidRPr="00F15667">
              <w:rPr>
                <w:rFonts w:eastAsia="Times New Roman"/>
                <w:szCs w:val="24"/>
                <w:lang w:eastAsia="cs-CZ"/>
              </w:rPr>
              <w:t>33</w:t>
            </w:r>
          </w:p>
        </w:tc>
        <w:tc>
          <w:tcPr>
            <w:tcW w:w="1418" w:type="dxa"/>
            <w:tcBorders>
              <w:top w:val="nil"/>
              <w:left w:val="nil"/>
              <w:bottom w:val="single" w:sz="4" w:space="0" w:color="auto"/>
              <w:right w:val="nil"/>
            </w:tcBorders>
            <w:shd w:val="clear" w:color="auto" w:fill="auto"/>
            <w:noWrap/>
            <w:vAlign w:val="center"/>
            <w:hideMark/>
          </w:tcPr>
          <w:p w14:paraId="32462A01" w14:textId="5971CB6A" w:rsidR="002D342A" w:rsidRPr="00F15667" w:rsidRDefault="002D342A" w:rsidP="0070337A">
            <w:pPr>
              <w:spacing w:line="240" w:lineRule="auto"/>
              <w:jc w:val="center"/>
              <w:rPr>
                <w:rFonts w:eastAsia="Times New Roman"/>
                <w:sz w:val="20"/>
                <w:szCs w:val="20"/>
                <w:lang w:eastAsia="cs-CZ"/>
              </w:rPr>
            </w:pPr>
            <w:r w:rsidRPr="00F15667">
              <w:rPr>
                <w:rFonts w:eastAsia="Times New Roman"/>
                <w:sz w:val="20"/>
                <w:szCs w:val="20"/>
                <w:lang w:eastAsia="cs-CZ"/>
              </w:rPr>
              <w:t>-29 %</w:t>
            </w:r>
          </w:p>
        </w:tc>
      </w:tr>
      <w:tr w:rsidR="00F15667" w:rsidRPr="00F15667" w14:paraId="2335CD43" w14:textId="77777777" w:rsidTr="0070337A">
        <w:trPr>
          <w:trHeight w:val="315"/>
        </w:trPr>
        <w:tc>
          <w:tcPr>
            <w:tcW w:w="2780" w:type="dxa"/>
            <w:tcBorders>
              <w:top w:val="nil"/>
              <w:left w:val="nil"/>
              <w:bottom w:val="single" w:sz="4" w:space="0" w:color="auto"/>
              <w:right w:val="nil"/>
            </w:tcBorders>
            <w:shd w:val="clear" w:color="auto" w:fill="auto"/>
            <w:noWrap/>
            <w:vAlign w:val="center"/>
            <w:hideMark/>
          </w:tcPr>
          <w:p w14:paraId="78EF362C" w14:textId="77777777" w:rsidR="002D342A" w:rsidRPr="00F15667" w:rsidRDefault="002D342A" w:rsidP="0070337A">
            <w:pPr>
              <w:spacing w:line="240" w:lineRule="auto"/>
              <w:jc w:val="left"/>
              <w:rPr>
                <w:rFonts w:eastAsia="Times New Roman"/>
                <w:szCs w:val="24"/>
                <w:lang w:eastAsia="cs-CZ"/>
              </w:rPr>
            </w:pPr>
            <w:r w:rsidRPr="00F15667">
              <w:rPr>
                <w:rFonts w:eastAsia="Times New Roman"/>
                <w:szCs w:val="24"/>
                <w:lang w:eastAsia="cs-CZ"/>
              </w:rPr>
              <w:t>KS Plzeň</w:t>
            </w:r>
          </w:p>
        </w:tc>
        <w:tc>
          <w:tcPr>
            <w:tcW w:w="1756" w:type="dxa"/>
            <w:tcBorders>
              <w:top w:val="nil"/>
              <w:left w:val="nil"/>
              <w:bottom w:val="single" w:sz="4" w:space="0" w:color="auto"/>
              <w:right w:val="nil"/>
            </w:tcBorders>
            <w:shd w:val="clear" w:color="auto" w:fill="auto"/>
            <w:noWrap/>
            <w:vAlign w:val="center"/>
            <w:hideMark/>
          </w:tcPr>
          <w:p w14:paraId="0BFE2961" w14:textId="77777777" w:rsidR="002D342A" w:rsidRPr="00F15667" w:rsidRDefault="002D342A" w:rsidP="0070337A">
            <w:pPr>
              <w:spacing w:line="240" w:lineRule="auto"/>
              <w:jc w:val="center"/>
              <w:rPr>
                <w:rFonts w:eastAsia="Times New Roman"/>
                <w:szCs w:val="24"/>
                <w:lang w:eastAsia="cs-CZ"/>
              </w:rPr>
            </w:pPr>
            <w:r w:rsidRPr="00F15667">
              <w:rPr>
                <w:rFonts w:eastAsia="Times New Roman"/>
                <w:szCs w:val="24"/>
                <w:lang w:eastAsia="cs-CZ"/>
              </w:rPr>
              <w:t>46</w:t>
            </w:r>
          </w:p>
        </w:tc>
        <w:tc>
          <w:tcPr>
            <w:tcW w:w="1418" w:type="dxa"/>
            <w:tcBorders>
              <w:top w:val="nil"/>
              <w:left w:val="nil"/>
              <w:bottom w:val="single" w:sz="4" w:space="0" w:color="auto"/>
              <w:right w:val="nil"/>
            </w:tcBorders>
            <w:shd w:val="clear" w:color="auto" w:fill="auto"/>
            <w:noWrap/>
            <w:vAlign w:val="center"/>
            <w:hideMark/>
          </w:tcPr>
          <w:p w14:paraId="3086173A" w14:textId="7D959485" w:rsidR="002D342A" w:rsidRPr="00F15667" w:rsidRDefault="002D342A" w:rsidP="0070337A">
            <w:pPr>
              <w:spacing w:line="240" w:lineRule="auto"/>
              <w:jc w:val="center"/>
              <w:rPr>
                <w:rFonts w:eastAsia="Times New Roman"/>
                <w:sz w:val="20"/>
                <w:szCs w:val="20"/>
                <w:lang w:eastAsia="cs-CZ"/>
              </w:rPr>
            </w:pPr>
            <w:r w:rsidRPr="00F15667">
              <w:rPr>
                <w:rFonts w:eastAsia="Times New Roman"/>
                <w:sz w:val="20"/>
                <w:szCs w:val="20"/>
                <w:lang w:eastAsia="cs-CZ"/>
              </w:rPr>
              <w:t>+7 %</w:t>
            </w:r>
          </w:p>
        </w:tc>
      </w:tr>
      <w:tr w:rsidR="00F15667" w:rsidRPr="00F15667" w14:paraId="13C0F886" w14:textId="77777777" w:rsidTr="0070337A">
        <w:trPr>
          <w:trHeight w:val="315"/>
        </w:trPr>
        <w:tc>
          <w:tcPr>
            <w:tcW w:w="2780" w:type="dxa"/>
            <w:tcBorders>
              <w:top w:val="nil"/>
              <w:left w:val="nil"/>
              <w:bottom w:val="single" w:sz="4" w:space="0" w:color="auto"/>
              <w:right w:val="nil"/>
            </w:tcBorders>
            <w:shd w:val="clear" w:color="auto" w:fill="auto"/>
            <w:noWrap/>
            <w:vAlign w:val="center"/>
            <w:hideMark/>
          </w:tcPr>
          <w:p w14:paraId="621037DD" w14:textId="77777777" w:rsidR="002D342A" w:rsidRPr="00F15667" w:rsidRDefault="002D342A" w:rsidP="0070337A">
            <w:pPr>
              <w:spacing w:line="240" w:lineRule="auto"/>
              <w:jc w:val="left"/>
              <w:rPr>
                <w:rFonts w:eastAsia="Times New Roman"/>
                <w:szCs w:val="24"/>
                <w:lang w:eastAsia="cs-CZ"/>
              </w:rPr>
            </w:pPr>
            <w:r w:rsidRPr="00F15667">
              <w:rPr>
                <w:rFonts w:eastAsia="Times New Roman"/>
                <w:szCs w:val="24"/>
                <w:lang w:eastAsia="cs-CZ"/>
              </w:rPr>
              <w:t>KS Ústí n. Labem</w:t>
            </w:r>
          </w:p>
        </w:tc>
        <w:tc>
          <w:tcPr>
            <w:tcW w:w="1756" w:type="dxa"/>
            <w:tcBorders>
              <w:top w:val="nil"/>
              <w:left w:val="nil"/>
              <w:bottom w:val="single" w:sz="4" w:space="0" w:color="auto"/>
              <w:right w:val="nil"/>
            </w:tcBorders>
            <w:shd w:val="clear" w:color="auto" w:fill="auto"/>
            <w:noWrap/>
            <w:vAlign w:val="center"/>
            <w:hideMark/>
          </w:tcPr>
          <w:p w14:paraId="233BFFCA" w14:textId="77777777" w:rsidR="002D342A" w:rsidRPr="00F15667" w:rsidRDefault="002D342A" w:rsidP="0070337A">
            <w:pPr>
              <w:spacing w:line="240" w:lineRule="auto"/>
              <w:jc w:val="center"/>
              <w:rPr>
                <w:rFonts w:eastAsia="Times New Roman"/>
                <w:szCs w:val="24"/>
                <w:lang w:eastAsia="cs-CZ"/>
              </w:rPr>
            </w:pPr>
            <w:r w:rsidRPr="00F15667">
              <w:rPr>
                <w:rFonts w:eastAsia="Times New Roman"/>
                <w:szCs w:val="24"/>
                <w:lang w:eastAsia="cs-CZ"/>
              </w:rPr>
              <w:t>79</w:t>
            </w:r>
          </w:p>
        </w:tc>
        <w:tc>
          <w:tcPr>
            <w:tcW w:w="1418" w:type="dxa"/>
            <w:tcBorders>
              <w:top w:val="nil"/>
              <w:left w:val="nil"/>
              <w:bottom w:val="single" w:sz="4" w:space="0" w:color="auto"/>
              <w:right w:val="nil"/>
            </w:tcBorders>
            <w:shd w:val="clear" w:color="auto" w:fill="auto"/>
            <w:noWrap/>
            <w:vAlign w:val="center"/>
            <w:hideMark/>
          </w:tcPr>
          <w:p w14:paraId="4FD0AE71" w14:textId="6E6FAB8C" w:rsidR="002D342A" w:rsidRPr="00F15667" w:rsidRDefault="002D342A" w:rsidP="0070337A">
            <w:pPr>
              <w:spacing w:line="240" w:lineRule="auto"/>
              <w:jc w:val="center"/>
              <w:rPr>
                <w:rFonts w:eastAsia="Times New Roman"/>
                <w:sz w:val="20"/>
                <w:szCs w:val="20"/>
                <w:lang w:eastAsia="cs-CZ"/>
              </w:rPr>
            </w:pPr>
            <w:r w:rsidRPr="00F15667">
              <w:rPr>
                <w:rFonts w:eastAsia="Times New Roman"/>
                <w:sz w:val="20"/>
                <w:szCs w:val="20"/>
                <w:lang w:eastAsia="cs-CZ"/>
              </w:rPr>
              <w:t>-7 %</w:t>
            </w:r>
          </w:p>
        </w:tc>
      </w:tr>
      <w:tr w:rsidR="00F15667" w:rsidRPr="00F15667" w14:paraId="628AA079" w14:textId="77777777" w:rsidTr="0070337A">
        <w:trPr>
          <w:trHeight w:val="315"/>
        </w:trPr>
        <w:tc>
          <w:tcPr>
            <w:tcW w:w="2780" w:type="dxa"/>
            <w:tcBorders>
              <w:top w:val="nil"/>
              <w:left w:val="nil"/>
              <w:bottom w:val="single" w:sz="4" w:space="0" w:color="auto"/>
              <w:right w:val="nil"/>
            </w:tcBorders>
            <w:shd w:val="clear" w:color="auto" w:fill="auto"/>
            <w:noWrap/>
            <w:vAlign w:val="center"/>
            <w:hideMark/>
          </w:tcPr>
          <w:p w14:paraId="6D0AED7E" w14:textId="77777777" w:rsidR="002D342A" w:rsidRPr="00F15667" w:rsidRDefault="002D342A" w:rsidP="0070337A">
            <w:pPr>
              <w:spacing w:line="240" w:lineRule="auto"/>
              <w:jc w:val="left"/>
              <w:rPr>
                <w:rFonts w:eastAsia="Times New Roman"/>
                <w:szCs w:val="24"/>
                <w:lang w:eastAsia="cs-CZ"/>
              </w:rPr>
            </w:pPr>
            <w:r w:rsidRPr="00F15667">
              <w:rPr>
                <w:rFonts w:eastAsia="Times New Roman"/>
                <w:szCs w:val="24"/>
                <w:lang w:eastAsia="cs-CZ"/>
              </w:rPr>
              <w:t>KS Hr. Králové</w:t>
            </w:r>
          </w:p>
        </w:tc>
        <w:tc>
          <w:tcPr>
            <w:tcW w:w="1756" w:type="dxa"/>
            <w:tcBorders>
              <w:top w:val="nil"/>
              <w:left w:val="nil"/>
              <w:bottom w:val="single" w:sz="4" w:space="0" w:color="auto"/>
              <w:right w:val="nil"/>
            </w:tcBorders>
            <w:shd w:val="clear" w:color="auto" w:fill="auto"/>
            <w:noWrap/>
            <w:vAlign w:val="center"/>
            <w:hideMark/>
          </w:tcPr>
          <w:p w14:paraId="5745D92F" w14:textId="77777777" w:rsidR="002D342A" w:rsidRPr="00F15667" w:rsidRDefault="002D342A" w:rsidP="0070337A">
            <w:pPr>
              <w:spacing w:line="240" w:lineRule="auto"/>
              <w:jc w:val="center"/>
              <w:rPr>
                <w:rFonts w:eastAsia="Times New Roman"/>
                <w:szCs w:val="24"/>
                <w:lang w:eastAsia="cs-CZ"/>
              </w:rPr>
            </w:pPr>
            <w:r w:rsidRPr="00F15667">
              <w:rPr>
                <w:rFonts w:eastAsia="Times New Roman"/>
                <w:szCs w:val="24"/>
                <w:lang w:eastAsia="cs-CZ"/>
              </w:rPr>
              <w:t>41</w:t>
            </w:r>
          </w:p>
        </w:tc>
        <w:tc>
          <w:tcPr>
            <w:tcW w:w="1418" w:type="dxa"/>
            <w:tcBorders>
              <w:top w:val="nil"/>
              <w:left w:val="nil"/>
              <w:bottom w:val="single" w:sz="4" w:space="0" w:color="auto"/>
              <w:right w:val="nil"/>
            </w:tcBorders>
            <w:shd w:val="clear" w:color="auto" w:fill="auto"/>
            <w:noWrap/>
            <w:vAlign w:val="center"/>
            <w:hideMark/>
          </w:tcPr>
          <w:p w14:paraId="2DA9B4D2" w14:textId="4D15162A" w:rsidR="002D342A" w:rsidRPr="00F15667" w:rsidRDefault="002D342A" w:rsidP="0070337A">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53E72500" w14:textId="77777777" w:rsidTr="0070337A">
        <w:trPr>
          <w:trHeight w:val="315"/>
        </w:trPr>
        <w:tc>
          <w:tcPr>
            <w:tcW w:w="2780" w:type="dxa"/>
            <w:tcBorders>
              <w:top w:val="nil"/>
              <w:left w:val="nil"/>
              <w:bottom w:val="single" w:sz="4" w:space="0" w:color="auto"/>
              <w:right w:val="nil"/>
            </w:tcBorders>
            <w:shd w:val="clear" w:color="auto" w:fill="auto"/>
            <w:noWrap/>
            <w:vAlign w:val="center"/>
            <w:hideMark/>
          </w:tcPr>
          <w:p w14:paraId="7B3B2708" w14:textId="77777777" w:rsidR="002D342A" w:rsidRPr="00F15667" w:rsidRDefault="002D342A" w:rsidP="0070337A">
            <w:pPr>
              <w:spacing w:line="240" w:lineRule="auto"/>
              <w:jc w:val="left"/>
              <w:rPr>
                <w:rFonts w:eastAsia="Times New Roman"/>
                <w:szCs w:val="24"/>
                <w:lang w:eastAsia="cs-CZ"/>
              </w:rPr>
            </w:pPr>
            <w:r w:rsidRPr="00F15667">
              <w:rPr>
                <w:rFonts w:eastAsia="Times New Roman"/>
                <w:szCs w:val="24"/>
                <w:lang w:eastAsia="cs-CZ"/>
              </w:rPr>
              <w:t>KS Brno</w:t>
            </w:r>
          </w:p>
        </w:tc>
        <w:tc>
          <w:tcPr>
            <w:tcW w:w="1756" w:type="dxa"/>
            <w:tcBorders>
              <w:top w:val="nil"/>
              <w:left w:val="nil"/>
              <w:bottom w:val="single" w:sz="4" w:space="0" w:color="auto"/>
              <w:right w:val="nil"/>
            </w:tcBorders>
            <w:shd w:val="clear" w:color="auto" w:fill="auto"/>
            <w:noWrap/>
            <w:vAlign w:val="center"/>
            <w:hideMark/>
          </w:tcPr>
          <w:p w14:paraId="27555F62" w14:textId="77777777" w:rsidR="002D342A" w:rsidRPr="00F15667" w:rsidRDefault="002D342A" w:rsidP="0070337A">
            <w:pPr>
              <w:spacing w:line="240" w:lineRule="auto"/>
              <w:jc w:val="center"/>
              <w:rPr>
                <w:rFonts w:eastAsia="Times New Roman"/>
                <w:szCs w:val="24"/>
                <w:lang w:eastAsia="cs-CZ"/>
              </w:rPr>
            </w:pPr>
            <w:r w:rsidRPr="00F15667">
              <w:rPr>
                <w:rFonts w:eastAsia="Times New Roman"/>
                <w:szCs w:val="24"/>
                <w:lang w:eastAsia="cs-CZ"/>
              </w:rPr>
              <w:t>126</w:t>
            </w:r>
          </w:p>
        </w:tc>
        <w:tc>
          <w:tcPr>
            <w:tcW w:w="1418" w:type="dxa"/>
            <w:tcBorders>
              <w:top w:val="nil"/>
              <w:left w:val="nil"/>
              <w:bottom w:val="single" w:sz="4" w:space="0" w:color="auto"/>
              <w:right w:val="nil"/>
            </w:tcBorders>
            <w:shd w:val="clear" w:color="auto" w:fill="auto"/>
            <w:noWrap/>
            <w:vAlign w:val="center"/>
            <w:hideMark/>
          </w:tcPr>
          <w:p w14:paraId="113907A6" w14:textId="3D003049" w:rsidR="002D342A" w:rsidRPr="00F15667" w:rsidRDefault="002D342A" w:rsidP="0070337A">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408CBBAE" w14:textId="77777777" w:rsidTr="0070337A">
        <w:trPr>
          <w:trHeight w:val="330"/>
        </w:trPr>
        <w:tc>
          <w:tcPr>
            <w:tcW w:w="2780" w:type="dxa"/>
            <w:tcBorders>
              <w:top w:val="nil"/>
              <w:left w:val="nil"/>
              <w:bottom w:val="double" w:sz="6" w:space="0" w:color="auto"/>
              <w:right w:val="nil"/>
            </w:tcBorders>
            <w:shd w:val="clear" w:color="auto" w:fill="auto"/>
            <w:noWrap/>
            <w:vAlign w:val="center"/>
            <w:hideMark/>
          </w:tcPr>
          <w:p w14:paraId="65834598" w14:textId="77777777" w:rsidR="002D342A" w:rsidRPr="00F15667" w:rsidRDefault="002D342A" w:rsidP="0070337A">
            <w:pPr>
              <w:spacing w:line="240" w:lineRule="auto"/>
              <w:jc w:val="left"/>
              <w:rPr>
                <w:rFonts w:eastAsia="Times New Roman"/>
                <w:szCs w:val="24"/>
                <w:lang w:eastAsia="cs-CZ"/>
              </w:rPr>
            </w:pPr>
            <w:r w:rsidRPr="00F15667">
              <w:rPr>
                <w:rFonts w:eastAsia="Times New Roman"/>
                <w:szCs w:val="24"/>
                <w:lang w:eastAsia="cs-CZ"/>
              </w:rPr>
              <w:t>KS Ostrava</w:t>
            </w:r>
          </w:p>
        </w:tc>
        <w:tc>
          <w:tcPr>
            <w:tcW w:w="1756" w:type="dxa"/>
            <w:tcBorders>
              <w:top w:val="nil"/>
              <w:left w:val="nil"/>
              <w:bottom w:val="double" w:sz="6" w:space="0" w:color="auto"/>
              <w:right w:val="nil"/>
            </w:tcBorders>
            <w:shd w:val="clear" w:color="auto" w:fill="auto"/>
            <w:noWrap/>
            <w:vAlign w:val="center"/>
            <w:hideMark/>
          </w:tcPr>
          <w:p w14:paraId="7811B4D4" w14:textId="77777777" w:rsidR="002D342A" w:rsidRPr="00F15667" w:rsidRDefault="002D342A" w:rsidP="0070337A">
            <w:pPr>
              <w:spacing w:line="240" w:lineRule="auto"/>
              <w:jc w:val="center"/>
              <w:rPr>
                <w:rFonts w:eastAsia="Times New Roman"/>
                <w:szCs w:val="24"/>
                <w:lang w:eastAsia="cs-CZ"/>
              </w:rPr>
            </w:pPr>
            <w:r w:rsidRPr="00F15667">
              <w:rPr>
                <w:rFonts w:eastAsia="Times New Roman"/>
                <w:szCs w:val="24"/>
                <w:lang w:eastAsia="cs-CZ"/>
              </w:rPr>
              <w:t>98</w:t>
            </w:r>
          </w:p>
        </w:tc>
        <w:tc>
          <w:tcPr>
            <w:tcW w:w="1418" w:type="dxa"/>
            <w:tcBorders>
              <w:top w:val="nil"/>
              <w:left w:val="nil"/>
              <w:bottom w:val="double" w:sz="6" w:space="0" w:color="auto"/>
              <w:right w:val="nil"/>
            </w:tcBorders>
            <w:shd w:val="clear" w:color="auto" w:fill="auto"/>
            <w:noWrap/>
            <w:vAlign w:val="center"/>
            <w:hideMark/>
          </w:tcPr>
          <w:p w14:paraId="5A531656" w14:textId="4B4930FE" w:rsidR="002D342A" w:rsidRPr="00F15667" w:rsidRDefault="002D342A" w:rsidP="0070337A">
            <w:pPr>
              <w:spacing w:line="240" w:lineRule="auto"/>
              <w:jc w:val="center"/>
              <w:rPr>
                <w:rFonts w:eastAsia="Times New Roman"/>
                <w:sz w:val="20"/>
                <w:szCs w:val="20"/>
                <w:lang w:eastAsia="cs-CZ"/>
              </w:rPr>
            </w:pPr>
            <w:r w:rsidRPr="00F15667">
              <w:rPr>
                <w:rFonts w:eastAsia="Times New Roman"/>
                <w:sz w:val="20"/>
                <w:szCs w:val="20"/>
                <w:lang w:eastAsia="cs-CZ"/>
              </w:rPr>
              <w:t>+59 %</w:t>
            </w:r>
          </w:p>
        </w:tc>
      </w:tr>
      <w:tr w:rsidR="00F15667" w:rsidRPr="00F15667" w14:paraId="0CA818AB" w14:textId="77777777" w:rsidTr="0070337A">
        <w:trPr>
          <w:trHeight w:val="345"/>
        </w:trPr>
        <w:tc>
          <w:tcPr>
            <w:tcW w:w="2780" w:type="dxa"/>
            <w:tcBorders>
              <w:top w:val="nil"/>
              <w:left w:val="nil"/>
              <w:bottom w:val="double" w:sz="6" w:space="0" w:color="auto"/>
              <w:right w:val="nil"/>
            </w:tcBorders>
            <w:shd w:val="clear" w:color="auto" w:fill="auto"/>
            <w:noWrap/>
            <w:vAlign w:val="center"/>
            <w:hideMark/>
          </w:tcPr>
          <w:p w14:paraId="7208E543" w14:textId="77777777" w:rsidR="002D342A" w:rsidRPr="00F15667" w:rsidRDefault="002D342A" w:rsidP="0070337A">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756" w:type="dxa"/>
            <w:tcBorders>
              <w:top w:val="nil"/>
              <w:left w:val="nil"/>
              <w:bottom w:val="double" w:sz="6" w:space="0" w:color="auto"/>
              <w:right w:val="nil"/>
            </w:tcBorders>
            <w:shd w:val="clear" w:color="auto" w:fill="auto"/>
            <w:noWrap/>
            <w:vAlign w:val="center"/>
            <w:hideMark/>
          </w:tcPr>
          <w:p w14:paraId="5A50407C" w14:textId="77777777" w:rsidR="002D342A" w:rsidRPr="00F15667" w:rsidRDefault="002D342A" w:rsidP="0070337A">
            <w:pPr>
              <w:spacing w:line="240" w:lineRule="auto"/>
              <w:jc w:val="center"/>
              <w:rPr>
                <w:rFonts w:eastAsia="Times New Roman"/>
                <w:b/>
                <w:bCs/>
                <w:szCs w:val="24"/>
                <w:lang w:eastAsia="cs-CZ"/>
              </w:rPr>
            </w:pPr>
            <w:r w:rsidRPr="00F15667">
              <w:rPr>
                <w:rFonts w:eastAsia="Times New Roman"/>
                <w:b/>
                <w:bCs/>
                <w:szCs w:val="24"/>
                <w:lang w:eastAsia="cs-CZ"/>
              </w:rPr>
              <w:t>66</w:t>
            </w:r>
          </w:p>
        </w:tc>
        <w:tc>
          <w:tcPr>
            <w:tcW w:w="1418" w:type="dxa"/>
            <w:tcBorders>
              <w:top w:val="nil"/>
              <w:left w:val="nil"/>
              <w:bottom w:val="double" w:sz="6" w:space="0" w:color="auto"/>
              <w:right w:val="nil"/>
            </w:tcBorders>
            <w:shd w:val="clear" w:color="auto" w:fill="auto"/>
            <w:noWrap/>
            <w:vAlign w:val="center"/>
            <w:hideMark/>
          </w:tcPr>
          <w:p w14:paraId="53C6CCB5" w14:textId="51E95D42" w:rsidR="002D342A" w:rsidRPr="00F15667" w:rsidRDefault="002D342A" w:rsidP="0070337A">
            <w:pPr>
              <w:spacing w:line="240" w:lineRule="auto"/>
              <w:jc w:val="center"/>
              <w:rPr>
                <w:rFonts w:eastAsia="Times New Roman"/>
                <w:b/>
                <w:bCs/>
                <w:sz w:val="20"/>
                <w:szCs w:val="20"/>
                <w:lang w:eastAsia="cs-CZ"/>
              </w:rPr>
            </w:pPr>
            <w:r w:rsidRPr="00F15667">
              <w:rPr>
                <w:rFonts w:eastAsia="Times New Roman"/>
                <w:b/>
                <w:bCs/>
                <w:sz w:val="20"/>
                <w:szCs w:val="20"/>
                <w:lang w:eastAsia="cs-CZ"/>
              </w:rPr>
              <w:t>+7 %</w:t>
            </w:r>
          </w:p>
        </w:tc>
      </w:tr>
      <w:tr w:rsidR="00F15667" w:rsidRPr="00F15667" w14:paraId="650095EB" w14:textId="77777777" w:rsidTr="0070337A">
        <w:trPr>
          <w:trHeight w:val="330"/>
        </w:trPr>
        <w:tc>
          <w:tcPr>
            <w:tcW w:w="2780" w:type="dxa"/>
            <w:tcBorders>
              <w:top w:val="nil"/>
              <w:left w:val="nil"/>
              <w:bottom w:val="nil"/>
              <w:right w:val="nil"/>
            </w:tcBorders>
            <w:shd w:val="clear" w:color="auto" w:fill="auto"/>
            <w:noWrap/>
            <w:vAlign w:val="center"/>
            <w:hideMark/>
          </w:tcPr>
          <w:p w14:paraId="27C71497" w14:textId="77777777" w:rsidR="002D342A" w:rsidRPr="00F15667" w:rsidRDefault="002D342A" w:rsidP="0070337A">
            <w:pPr>
              <w:spacing w:line="240" w:lineRule="auto"/>
              <w:jc w:val="center"/>
              <w:rPr>
                <w:rFonts w:eastAsia="Times New Roman"/>
                <w:b/>
                <w:bCs/>
                <w:sz w:val="20"/>
                <w:szCs w:val="20"/>
                <w:lang w:eastAsia="cs-CZ"/>
              </w:rPr>
            </w:pPr>
          </w:p>
        </w:tc>
        <w:tc>
          <w:tcPr>
            <w:tcW w:w="1756" w:type="dxa"/>
            <w:tcBorders>
              <w:top w:val="nil"/>
              <w:left w:val="nil"/>
              <w:bottom w:val="nil"/>
              <w:right w:val="nil"/>
            </w:tcBorders>
            <w:shd w:val="clear" w:color="auto" w:fill="auto"/>
            <w:noWrap/>
            <w:vAlign w:val="center"/>
            <w:hideMark/>
          </w:tcPr>
          <w:p w14:paraId="1B6DAEBD" w14:textId="77777777" w:rsidR="002D342A" w:rsidRPr="00F15667" w:rsidRDefault="002D342A" w:rsidP="0070337A">
            <w:pPr>
              <w:spacing w:line="240" w:lineRule="auto"/>
              <w:jc w:val="center"/>
              <w:rPr>
                <w:rFonts w:ascii="Times New Roman" w:eastAsia="Times New Roman" w:hAnsi="Times New Roman"/>
                <w:sz w:val="20"/>
                <w:szCs w:val="20"/>
                <w:lang w:eastAsia="cs-CZ"/>
              </w:rPr>
            </w:pPr>
          </w:p>
        </w:tc>
        <w:tc>
          <w:tcPr>
            <w:tcW w:w="1418" w:type="dxa"/>
            <w:tcBorders>
              <w:top w:val="nil"/>
              <w:left w:val="nil"/>
              <w:bottom w:val="nil"/>
              <w:right w:val="nil"/>
            </w:tcBorders>
            <w:shd w:val="clear" w:color="auto" w:fill="auto"/>
            <w:noWrap/>
            <w:vAlign w:val="center"/>
            <w:hideMark/>
          </w:tcPr>
          <w:p w14:paraId="59D53FE2" w14:textId="77777777" w:rsidR="002D342A" w:rsidRPr="00F15667" w:rsidRDefault="002D342A" w:rsidP="0070337A">
            <w:pPr>
              <w:spacing w:line="240" w:lineRule="auto"/>
              <w:jc w:val="center"/>
              <w:rPr>
                <w:rFonts w:ascii="Times New Roman" w:eastAsia="Times New Roman" w:hAnsi="Times New Roman"/>
                <w:sz w:val="20"/>
                <w:szCs w:val="20"/>
                <w:lang w:eastAsia="cs-CZ"/>
              </w:rPr>
            </w:pPr>
          </w:p>
        </w:tc>
      </w:tr>
    </w:tbl>
    <w:p w14:paraId="08360410" w14:textId="4371FD28" w:rsidR="002D342A" w:rsidRPr="00F15667" w:rsidRDefault="002D342A" w:rsidP="002D342A">
      <w:pPr>
        <w:pStyle w:val="OdstavecASR"/>
      </w:pPr>
      <w:r w:rsidRPr="00F15667">
        <w:t>Závěrem lze konstatovat, že délky řízení i DT u odvolací civilní agendy u krajských soudů jsou v průměru nízké a agenda je z tohoto hlediska poměrně bezproblémová. Určité problémy má dlouhodobě především KS Brno, kde je úroveň DT násobně vyšší než u některých krajských soudů, a částečně KS Ústí nad Labem. Problémy někdy vykazuje i KS Ostrava. Situace se nicméně z dlouhodobého hlediska zlepšuje a tuto agendu nelze označit jako problematickou.</w:t>
      </w:r>
    </w:p>
    <w:p w14:paraId="7ED42D04" w14:textId="2C4E2731" w:rsidR="00ED5CE9" w:rsidRPr="00F15667" w:rsidRDefault="00ED5CE9">
      <w:pPr>
        <w:spacing w:after="160" w:line="259" w:lineRule="auto"/>
        <w:jc w:val="left"/>
      </w:pPr>
      <w:r w:rsidRPr="00F15667">
        <w:br w:type="page"/>
      </w:r>
    </w:p>
    <w:p w14:paraId="7DA6ED9E" w14:textId="0081D09D" w:rsidR="008430BD" w:rsidRPr="00F15667" w:rsidRDefault="008430BD" w:rsidP="008430BD">
      <w:pPr>
        <w:pStyle w:val="Nadpis2"/>
        <w:numPr>
          <w:ilvl w:val="1"/>
          <w:numId w:val="1"/>
        </w:numPr>
        <w:spacing w:before="120"/>
        <w:rPr>
          <w:color w:val="auto"/>
        </w:rPr>
      </w:pPr>
      <w:bookmarkStart w:id="736" w:name="_Toc41058973"/>
      <w:bookmarkStart w:id="737" w:name="_Toc515871257"/>
      <w:bookmarkStart w:id="738" w:name="_Toc106092763"/>
      <w:bookmarkStart w:id="739" w:name="_Toc144104376"/>
      <w:bookmarkEnd w:id="736"/>
      <w:r w:rsidRPr="00F15667">
        <w:rPr>
          <w:color w:val="auto"/>
        </w:rPr>
        <w:lastRenderedPageBreak/>
        <w:t>Trestní prvostupňová agenda</w:t>
      </w:r>
      <w:bookmarkEnd w:id="737"/>
      <w:bookmarkEnd w:id="738"/>
      <w:bookmarkEnd w:id="739"/>
    </w:p>
    <w:p w14:paraId="63A5906F" w14:textId="7B8DF624" w:rsidR="00ED5CE9" w:rsidRPr="00F15667" w:rsidRDefault="00ED5CE9" w:rsidP="00ED5CE9">
      <w:pPr>
        <w:pStyle w:val="OdstavecASR"/>
      </w:pPr>
      <w:r w:rsidRPr="00F15667">
        <w:t>Situace v prvostupňové trestní agendě je z hlediska statistického sledování jednoduchá. Zkoumáme hlavní trestní agendu – rejstříky T a Tm. K žádným významným změnám ve vedení statistik v trestní agendě nedošlo a nemusíme se tedy obávat zkreslení v časových řadách. Na rozdíl od OS také není nutné očišťovat data o věci vyřízené trestním příkazem. KS totiž vyřizují výrazně složitější agendu a věci trestním příkazem proto téměř nerozhodují. Podle trestního řádu koná krajský soud v prvním stupni řízení o trestných činech, pokud za ně zákon stanoví trest odnětí svobody, jehož dolní hranice činí nejméně pět let, nebo pokud za ně lze uložit výjimečný trest, a dále o </w:t>
      </w:r>
      <w:r w:rsidR="006A504B" w:rsidRPr="00F15667">
        <w:t xml:space="preserve">explicitně vyjmenovaných </w:t>
      </w:r>
      <w:r w:rsidRPr="00F15667">
        <w:t>trestných činech.</w:t>
      </w:r>
    </w:p>
    <w:p w14:paraId="512C51E2" w14:textId="0184E3D2" w:rsidR="00ED5CE9" w:rsidRPr="00F15667" w:rsidRDefault="00ED5CE9" w:rsidP="00ED5CE9">
      <w:pPr>
        <w:pStyle w:val="Nadpis3"/>
        <w:numPr>
          <w:ilvl w:val="2"/>
          <w:numId w:val="1"/>
        </w:numPr>
        <w:rPr>
          <w:color w:val="auto"/>
        </w:rPr>
      </w:pPr>
      <w:bookmarkStart w:id="740" w:name="_Toc75952098"/>
      <w:bookmarkStart w:id="741" w:name="_Toc106092764"/>
      <w:bookmarkStart w:id="742" w:name="_Toc144104377"/>
      <w:r w:rsidRPr="00F15667">
        <w:rPr>
          <w:color w:val="auto"/>
        </w:rPr>
        <w:t>Délka řízení</w:t>
      </w:r>
      <w:bookmarkEnd w:id="740"/>
      <w:bookmarkEnd w:id="741"/>
      <w:bookmarkEnd w:id="742"/>
    </w:p>
    <w:p w14:paraId="0D9F06C7" w14:textId="66046718" w:rsidR="00ED5CE9" w:rsidRPr="00F15667" w:rsidRDefault="00ED5CE9" w:rsidP="00ED5CE9">
      <w:pPr>
        <w:pStyle w:val="Podnadpis"/>
        <w:numPr>
          <w:ilvl w:val="0"/>
          <w:numId w:val="0"/>
        </w:numPr>
        <w:rPr>
          <w:color w:val="auto"/>
        </w:rPr>
      </w:pPr>
      <w:bookmarkStart w:id="743" w:name="_Toc144104174"/>
      <w:bookmarkStart w:id="744" w:name="_Hlk132101569"/>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62</w:t>
      </w:r>
      <w:r w:rsidR="009A10E2" w:rsidRPr="00F15667">
        <w:rPr>
          <w:color w:val="auto"/>
        </w:rPr>
        <w:fldChar w:fldCharType="end"/>
      </w:r>
      <w:r w:rsidRPr="00F15667">
        <w:rPr>
          <w:color w:val="auto"/>
        </w:rPr>
        <w:t>: KS – délka prvostupňového trestního řízení v letech 2008–2022</w:t>
      </w:r>
      <w:bookmarkEnd w:id="743"/>
    </w:p>
    <w:bookmarkEnd w:id="744"/>
    <w:p w14:paraId="6224A263" w14:textId="29979203" w:rsidR="00ED5CE9" w:rsidRPr="00F15667" w:rsidRDefault="00ED5CE9" w:rsidP="0070337A">
      <w:pPr>
        <w:pStyle w:val="OdstavecASR"/>
      </w:pPr>
      <w:r w:rsidRPr="00F15667">
        <w:rPr>
          <w:noProof/>
          <w:lang w:eastAsia="cs-CZ"/>
        </w:rPr>
        <w:drawing>
          <wp:inline distT="0" distB="0" distL="0" distR="0" wp14:anchorId="7FF5DE48" wp14:editId="3186696A">
            <wp:extent cx="5029200" cy="3657600"/>
            <wp:effectExtent l="0" t="0" r="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C32FCF5" w14:textId="5AB16D12" w:rsidR="00ED5CE9" w:rsidRPr="00F15667" w:rsidRDefault="00ED5CE9" w:rsidP="00ED5CE9">
      <w:pPr>
        <w:pStyle w:val="OdstavecASR"/>
      </w:pPr>
      <w:r w:rsidRPr="00F15667">
        <w:t>V letech 2017 až 2019 poměrně výrazně vzrostl průměr a velmi dramaticky také devadesátý percentil, který po několika letech přestal klesat. V roce 2019 narostl rovněž medián. V roce 2020 mírně narostl medián, ale průměr a percentil 90 výrazně klesly. V roce 2021 klesl medián, ale průměr a percentil 90 narostly, v zásadě na úroveň roku 2019. V roce 2022 zůstal medián téměř stejný a klesl průměr a percentil 90.</w:t>
      </w:r>
    </w:p>
    <w:p w14:paraId="5731EA0F" w14:textId="77777777" w:rsidR="00ED5CE9" w:rsidRPr="00F15667" w:rsidRDefault="00ED5CE9" w:rsidP="00ED5CE9">
      <w:r w:rsidRPr="00F15667">
        <w:t>Délky řízení jsou u krajských soudů výrazně vyšší než u soudů okresních. Vzhledem ke složitosti vyřizované agendy je to zcela logický výsledek. Délky řízení v tomto roce více či méně narostly ve všech krajích alespoň u jednoho z ukazatelů.</w:t>
      </w:r>
    </w:p>
    <w:p w14:paraId="30ED3750" w14:textId="17C6D6F3" w:rsidR="00ED5CE9" w:rsidRPr="00F15667" w:rsidRDefault="00ED5CE9" w:rsidP="00ED5CE9">
      <w:pPr>
        <w:pStyle w:val="OdstavecASR"/>
      </w:pPr>
      <w:r w:rsidRPr="00F15667">
        <w:t xml:space="preserve">Prudké změny délek řízení u jednotlivých soudů (a vlastně i rozdíly mezi soudy) jsou dány velmi malým počtem pozorování. Vliv má také to, že všechny kauzy jsou náročné na vyřízení (ve srovnání s OS), ale v náročnosti jednotlivých případů existují významné rozdíly. </w:t>
      </w:r>
      <w:r w:rsidR="00C32030" w:rsidRPr="00F15667">
        <w:t xml:space="preserve">Změny se vzájemně obvykle vykompenzují, takže změny v celorepublikové délce řízení nejsou tak významné. </w:t>
      </w:r>
      <w:r w:rsidRPr="00F15667">
        <w:t>I na úrovni ČR nicméně vidíme, že se délky řízení mění rychleji než u jiných agend.</w:t>
      </w:r>
    </w:p>
    <w:p w14:paraId="7D7B5B34" w14:textId="24928605" w:rsidR="00ED5CE9" w:rsidRPr="00F15667" w:rsidRDefault="00ED5CE9" w:rsidP="00ED5CE9">
      <w:pPr>
        <w:pStyle w:val="Podnadpis"/>
        <w:rPr>
          <w:color w:val="auto"/>
        </w:rPr>
      </w:pPr>
      <w:bookmarkStart w:id="745" w:name="_Toc515871478"/>
      <w:bookmarkStart w:id="746" w:name="_Toc11133246"/>
      <w:bookmarkStart w:id="747" w:name="_Toc43931225"/>
      <w:bookmarkStart w:id="748" w:name="_Toc75952358"/>
      <w:bookmarkStart w:id="749" w:name="_Toc106106814"/>
      <w:bookmarkStart w:id="750" w:name="_Toc109802137"/>
      <w:bookmarkStart w:id="751" w:name="_Toc144104295"/>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56</w:t>
      </w:r>
      <w:r w:rsidRPr="00F15667">
        <w:rPr>
          <w:noProof/>
          <w:color w:val="auto"/>
        </w:rPr>
        <w:fldChar w:fldCharType="end"/>
      </w:r>
      <w:r w:rsidRPr="00F15667">
        <w:rPr>
          <w:color w:val="auto"/>
        </w:rPr>
        <w:t>: KS – délky prvostupňového trestního řízení dle soudů</w:t>
      </w:r>
      <w:bookmarkEnd w:id="745"/>
      <w:bookmarkEnd w:id="746"/>
      <w:bookmarkEnd w:id="747"/>
      <w:bookmarkEnd w:id="748"/>
      <w:bookmarkEnd w:id="749"/>
      <w:bookmarkEnd w:id="750"/>
      <w:bookmarkEnd w:id="751"/>
    </w:p>
    <w:tbl>
      <w:tblPr>
        <w:tblW w:w="8633" w:type="dxa"/>
        <w:tblCellMar>
          <w:left w:w="70" w:type="dxa"/>
          <w:right w:w="70" w:type="dxa"/>
        </w:tblCellMar>
        <w:tblLook w:val="04A0" w:firstRow="1" w:lastRow="0" w:firstColumn="1" w:lastColumn="0" w:noHBand="0" w:noVBand="1"/>
      </w:tblPr>
      <w:tblGrid>
        <w:gridCol w:w="2480"/>
        <w:gridCol w:w="1064"/>
        <w:gridCol w:w="948"/>
        <w:gridCol w:w="6"/>
        <w:gridCol w:w="1031"/>
        <w:gridCol w:w="948"/>
        <w:gridCol w:w="8"/>
        <w:gridCol w:w="1028"/>
        <w:gridCol w:w="1106"/>
        <w:gridCol w:w="14"/>
      </w:tblGrid>
      <w:tr w:rsidR="00F15667" w:rsidRPr="00020CA3" w14:paraId="24316B71" w14:textId="77777777" w:rsidTr="00020CA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122816D" w14:textId="48DCF788" w:rsidR="00C32030" w:rsidRPr="00020CA3" w:rsidRDefault="0070337A" w:rsidP="00020CA3">
            <w:pPr>
              <w:spacing w:line="240" w:lineRule="auto"/>
              <w:jc w:val="center"/>
              <w:rPr>
                <w:rFonts w:eastAsia="Times New Roman"/>
                <w:b/>
                <w:bCs/>
                <w:szCs w:val="24"/>
                <w:lang w:eastAsia="cs-CZ"/>
              </w:rPr>
            </w:pPr>
            <w:r w:rsidRPr="00020CA3">
              <w:rPr>
                <w:rFonts w:eastAsia="Times New Roman"/>
                <w:b/>
                <w:bCs/>
                <w:szCs w:val="24"/>
                <w:lang w:eastAsia="cs-CZ"/>
              </w:rPr>
              <w:t>S</w:t>
            </w:r>
            <w:r w:rsidR="00C32030" w:rsidRPr="00020CA3">
              <w:rPr>
                <w:rFonts w:eastAsia="Times New Roman"/>
                <w:b/>
                <w:bCs/>
                <w:szCs w:val="24"/>
                <w:lang w:eastAsia="cs-CZ"/>
              </w:rPr>
              <w:t>oud</w:t>
            </w:r>
          </w:p>
        </w:tc>
        <w:tc>
          <w:tcPr>
            <w:tcW w:w="6153" w:type="dxa"/>
            <w:gridSpan w:val="9"/>
            <w:tcBorders>
              <w:top w:val="double" w:sz="6" w:space="0" w:color="auto"/>
              <w:left w:val="nil"/>
              <w:bottom w:val="nil"/>
              <w:right w:val="nil"/>
            </w:tcBorders>
            <w:shd w:val="clear" w:color="auto" w:fill="auto"/>
            <w:noWrap/>
            <w:vAlign w:val="center"/>
            <w:hideMark/>
          </w:tcPr>
          <w:p w14:paraId="63CC0039" w14:textId="77777777" w:rsidR="00C32030" w:rsidRPr="00020CA3" w:rsidRDefault="00C32030" w:rsidP="00020CA3">
            <w:pPr>
              <w:spacing w:line="240" w:lineRule="auto"/>
              <w:jc w:val="center"/>
              <w:rPr>
                <w:rFonts w:eastAsia="Times New Roman"/>
                <w:b/>
                <w:bCs/>
                <w:szCs w:val="24"/>
                <w:lang w:eastAsia="cs-CZ"/>
              </w:rPr>
            </w:pPr>
            <w:r w:rsidRPr="00020CA3">
              <w:rPr>
                <w:rFonts w:eastAsia="Times New Roman"/>
                <w:b/>
                <w:bCs/>
                <w:szCs w:val="24"/>
                <w:lang w:eastAsia="cs-CZ"/>
              </w:rPr>
              <w:t>Délka řízení</w:t>
            </w:r>
          </w:p>
        </w:tc>
      </w:tr>
      <w:tr w:rsidR="00F15667" w:rsidRPr="00020CA3" w14:paraId="0CD4E603" w14:textId="77777777" w:rsidTr="00020CA3">
        <w:trPr>
          <w:trHeight w:val="330"/>
        </w:trPr>
        <w:tc>
          <w:tcPr>
            <w:tcW w:w="2480" w:type="dxa"/>
            <w:vMerge/>
            <w:tcBorders>
              <w:top w:val="double" w:sz="6" w:space="0" w:color="auto"/>
              <w:left w:val="nil"/>
              <w:bottom w:val="double" w:sz="6" w:space="0" w:color="000000"/>
              <w:right w:val="nil"/>
            </w:tcBorders>
            <w:vAlign w:val="center"/>
            <w:hideMark/>
          </w:tcPr>
          <w:p w14:paraId="16F394A3" w14:textId="77777777" w:rsidR="00C32030" w:rsidRPr="00020CA3" w:rsidRDefault="00C32030" w:rsidP="00020CA3">
            <w:pPr>
              <w:spacing w:line="240" w:lineRule="auto"/>
              <w:jc w:val="center"/>
              <w:rPr>
                <w:rFonts w:eastAsia="Times New Roman"/>
                <w:b/>
                <w:bCs/>
                <w:szCs w:val="24"/>
                <w:lang w:eastAsia="cs-CZ"/>
              </w:rPr>
            </w:pPr>
          </w:p>
        </w:tc>
        <w:tc>
          <w:tcPr>
            <w:tcW w:w="2018" w:type="dxa"/>
            <w:gridSpan w:val="3"/>
            <w:tcBorders>
              <w:top w:val="nil"/>
              <w:left w:val="nil"/>
              <w:bottom w:val="double" w:sz="6" w:space="0" w:color="auto"/>
              <w:right w:val="nil"/>
            </w:tcBorders>
            <w:shd w:val="clear" w:color="auto" w:fill="auto"/>
            <w:noWrap/>
            <w:vAlign w:val="center"/>
            <w:hideMark/>
          </w:tcPr>
          <w:p w14:paraId="1999E8BD" w14:textId="77777777" w:rsidR="00C32030" w:rsidRPr="00020CA3" w:rsidRDefault="00C32030" w:rsidP="00020CA3">
            <w:pPr>
              <w:spacing w:line="240" w:lineRule="auto"/>
              <w:jc w:val="center"/>
              <w:rPr>
                <w:rFonts w:eastAsia="Times New Roman"/>
                <w:b/>
                <w:bCs/>
                <w:szCs w:val="24"/>
                <w:lang w:eastAsia="cs-CZ"/>
              </w:rPr>
            </w:pPr>
            <w:r w:rsidRPr="00020CA3">
              <w:rPr>
                <w:rFonts w:eastAsia="Times New Roman"/>
                <w:b/>
                <w:bCs/>
                <w:szCs w:val="24"/>
                <w:lang w:eastAsia="cs-CZ"/>
              </w:rPr>
              <w:t>Průměr</w:t>
            </w:r>
          </w:p>
        </w:tc>
        <w:tc>
          <w:tcPr>
            <w:tcW w:w="1987"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408264FD" w14:textId="77777777" w:rsidR="00C32030" w:rsidRPr="00020CA3" w:rsidRDefault="00C32030" w:rsidP="00020CA3">
            <w:pPr>
              <w:spacing w:line="240" w:lineRule="auto"/>
              <w:jc w:val="center"/>
              <w:rPr>
                <w:rFonts w:eastAsia="Times New Roman"/>
                <w:b/>
                <w:bCs/>
                <w:szCs w:val="24"/>
                <w:lang w:eastAsia="cs-CZ"/>
              </w:rPr>
            </w:pPr>
            <w:r w:rsidRPr="00020CA3">
              <w:rPr>
                <w:rFonts w:eastAsia="Times New Roman"/>
                <w:b/>
                <w:bCs/>
                <w:szCs w:val="24"/>
                <w:lang w:eastAsia="cs-CZ"/>
              </w:rPr>
              <w:t>Medián</w:t>
            </w:r>
          </w:p>
        </w:tc>
        <w:tc>
          <w:tcPr>
            <w:tcW w:w="2148" w:type="dxa"/>
            <w:gridSpan w:val="3"/>
            <w:tcBorders>
              <w:top w:val="nil"/>
              <w:left w:val="nil"/>
              <w:bottom w:val="double" w:sz="6" w:space="0" w:color="auto"/>
              <w:right w:val="nil"/>
            </w:tcBorders>
            <w:shd w:val="clear" w:color="auto" w:fill="auto"/>
            <w:noWrap/>
            <w:vAlign w:val="center"/>
            <w:hideMark/>
          </w:tcPr>
          <w:p w14:paraId="65691EF1" w14:textId="77777777" w:rsidR="00C32030" w:rsidRPr="00020CA3" w:rsidRDefault="00C32030" w:rsidP="00020CA3">
            <w:pPr>
              <w:spacing w:line="240" w:lineRule="auto"/>
              <w:jc w:val="center"/>
              <w:rPr>
                <w:rFonts w:eastAsia="Times New Roman"/>
                <w:b/>
                <w:bCs/>
                <w:szCs w:val="24"/>
                <w:lang w:eastAsia="cs-CZ"/>
              </w:rPr>
            </w:pPr>
            <w:r w:rsidRPr="00020CA3">
              <w:rPr>
                <w:rFonts w:eastAsia="Times New Roman"/>
                <w:b/>
                <w:bCs/>
                <w:szCs w:val="24"/>
                <w:lang w:eastAsia="cs-CZ"/>
              </w:rPr>
              <w:t>Percentil 90</w:t>
            </w:r>
          </w:p>
        </w:tc>
      </w:tr>
      <w:tr w:rsidR="00F15667" w:rsidRPr="00020CA3" w14:paraId="0E7EE4D4" w14:textId="77777777" w:rsidTr="00020CA3">
        <w:trPr>
          <w:gridAfter w:val="1"/>
          <w:wAfter w:w="14" w:type="dxa"/>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5E88A820" w14:textId="77777777" w:rsidR="00C32030" w:rsidRPr="00020CA3" w:rsidRDefault="00C32030" w:rsidP="00020CA3">
            <w:pPr>
              <w:spacing w:line="240" w:lineRule="auto"/>
              <w:jc w:val="left"/>
              <w:rPr>
                <w:rFonts w:eastAsia="Times New Roman"/>
                <w:szCs w:val="24"/>
                <w:lang w:eastAsia="cs-CZ"/>
              </w:rPr>
            </w:pPr>
            <w:r w:rsidRPr="00020CA3">
              <w:rPr>
                <w:rFonts w:eastAsia="Times New Roman"/>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center"/>
            <w:hideMark/>
          </w:tcPr>
          <w:p w14:paraId="3BA6C5D1"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566</w:t>
            </w:r>
          </w:p>
        </w:tc>
        <w:tc>
          <w:tcPr>
            <w:tcW w:w="948" w:type="dxa"/>
            <w:tcBorders>
              <w:top w:val="single" w:sz="4" w:space="0" w:color="auto"/>
              <w:left w:val="nil"/>
              <w:bottom w:val="single" w:sz="4" w:space="0" w:color="auto"/>
              <w:right w:val="nil"/>
            </w:tcBorders>
            <w:shd w:val="clear" w:color="auto" w:fill="auto"/>
            <w:noWrap/>
            <w:vAlign w:val="center"/>
            <w:hideMark/>
          </w:tcPr>
          <w:p w14:paraId="07FFB5E0" w14:textId="6E48F831"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+7 %</w:t>
            </w:r>
          </w:p>
        </w:tc>
        <w:tc>
          <w:tcPr>
            <w:tcW w:w="1037" w:type="dxa"/>
            <w:gridSpan w:val="2"/>
            <w:tcBorders>
              <w:top w:val="nil"/>
              <w:left w:val="single" w:sz="4" w:space="0" w:color="auto"/>
              <w:bottom w:val="single" w:sz="4" w:space="0" w:color="auto"/>
              <w:right w:val="nil"/>
            </w:tcBorders>
            <w:shd w:val="clear" w:color="auto" w:fill="auto"/>
            <w:noWrap/>
            <w:vAlign w:val="center"/>
            <w:hideMark/>
          </w:tcPr>
          <w:p w14:paraId="77F108C5"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308</w:t>
            </w:r>
          </w:p>
        </w:tc>
        <w:tc>
          <w:tcPr>
            <w:tcW w:w="948" w:type="dxa"/>
            <w:tcBorders>
              <w:top w:val="nil"/>
              <w:left w:val="nil"/>
              <w:bottom w:val="single" w:sz="4" w:space="0" w:color="auto"/>
              <w:right w:val="single" w:sz="4" w:space="0" w:color="auto"/>
            </w:tcBorders>
            <w:shd w:val="clear" w:color="auto" w:fill="auto"/>
            <w:noWrap/>
            <w:vAlign w:val="center"/>
            <w:hideMark/>
          </w:tcPr>
          <w:p w14:paraId="74EA68D2" w14:textId="00665CD3"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-1 %</w:t>
            </w:r>
          </w:p>
        </w:tc>
        <w:tc>
          <w:tcPr>
            <w:tcW w:w="1036" w:type="dxa"/>
            <w:gridSpan w:val="2"/>
            <w:tcBorders>
              <w:top w:val="single" w:sz="4" w:space="0" w:color="auto"/>
              <w:left w:val="nil"/>
              <w:bottom w:val="single" w:sz="4" w:space="0" w:color="auto"/>
              <w:right w:val="nil"/>
            </w:tcBorders>
            <w:shd w:val="clear" w:color="auto" w:fill="auto"/>
            <w:noWrap/>
            <w:vAlign w:val="center"/>
            <w:hideMark/>
          </w:tcPr>
          <w:p w14:paraId="5FC438D9" w14:textId="37A6C7BD"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w:t>
            </w:r>
            <w:r w:rsidR="00340529" w:rsidRPr="00020CA3">
              <w:rPr>
                <w:rFonts w:eastAsia="Times New Roman"/>
                <w:szCs w:val="24"/>
                <w:lang w:eastAsia="cs-CZ"/>
              </w:rPr>
              <w:t xml:space="preserve"> </w:t>
            </w:r>
            <w:r w:rsidRPr="00020CA3">
              <w:rPr>
                <w:rFonts w:eastAsia="Times New Roman"/>
                <w:szCs w:val="24"/>
                <w:lang w:eastAsia="cs-CZ"/>
              </w:rPr>
              <w:t>401</w:t>
            </w:r>
          </w:p>
        </w:tc>
        <w:tc>
          <w:tcPr>
            <w:tcW w:w="1106" w:type="dxa"/>
            <w:tcBorders>
              <w:top w:val="single" w:sz="4" w:space="0" w:color="auto"/>
              <w:left w:val="nil"/>
              <w:bottom w:val="single" w:sz="4" w:space="0" w:color="auto"/>
              <w:right w:val="nil"/>
            </w:tcBorders>
            <w:shd w:val="clear" w:color="auto" w:fill="auto"/>
            <w:noWrap/>
            <w:vAlign w:val="center"/>
            <w:hideMark/>
          </w:tcPr>
          <w:p w14:paraId="05C5C0B7" w14:textId="7203C937"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+25 %</w:t>
            </w:r>
          </w:p>
        </w:tc>
      </w:tr>
      <w:tr w:rsidR="00F15667" w:rsidRPr="00020CA3" w14:paraId="4F8FAE5E" w14:textId="77777777" w:rsidTr="00020CA3">
        <w:trPr>
          <w:gridAfter w:val="1"/>
          <w:wAfter w:w="14" w:type="dxa"/>
          <w:trHeight w:val="315"/>
        </w:trPr>
        <w:tc>
          <w:tcPr>
            <w:tcW w:w="2480" w:type="dxa"/>
            <w:tcBorders>
              <w:top w:val="nil"/>
              <w:left w:val="nil"/>
              <w:bottom w:val="single" w:sz="4" w:space="0" w:color="auto"/>
              <w:right w:val="nil"/>
            </w:tcBorders>
            <w:shd w:val="clear" w:color="auto" w:fill="auto"/>
            <w:noWrap/>
            <w:vAlign w:val="center"/>
            <w:hideMark/>
          </w:tcPr>
          <w:p w14:paraId="351D6345" w14:textId="77777777" w:rsidR="00C32030" w:rsidRPr="00020CA3" w:rsidRDefault="00C32030" w:rsidP="00020CA3">
            <w:pPr>
              <w:spacing w:line="240" w:lineRule="auto"/>
              <w:jc w:val="left"/>
              <w:rPr>
                <w:rFonts w:eastAsia="Times New Roman"/>
                <w:szCs w:val="24"/>
                <w:lang w:eastAsia="cs-CZ"/>
              </w:rPr>
            </w:pPr>
            <w:r w:rsidRPr="00020CA3">
              <w:rPr>
                <w:rFonts w:eastAsia="Times New Roman"/>
                <w:szCs w:val="24"/>
                <w:lang w:eastAsia="cs-CZ"/>
              </w:rPr>
              <w:t>KS Praha</w:t>
            </w:r>
          </w:p>
        </w:tc>
        <w:tc>
          <w:tcPr>
            <w:tcW w:w="1064" w:type="dxa"/>
            <w:tcBorders>
              <w:top w:val="nil"/>
              <w:left w:val="nil"/>
              <w:bottom w:val="single" w:sz="4" w:space="0" w:color="auto"/>
              <w:right w:val="nil"/>
            </w:tcBorders>
            <w:shd w:val="clear" w:color="auto" w:fill="auto"/>
            <w:noWrap/>
            <w:vAlign w:val="center"/>
            <w:hideMark/>
          </w:tcPr>
          <w:p w14:paraId="43762821"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597</w:t>
            </w:r>
          </w:p>
        </w:tc>
        <w:tc>
          <w:tcPr>
            <w:tcW w:w="948" w:type="dxa"/>
            <w:tcBorders>
              <w:top w:val="nil"/>
              <w:left w:val="nil"/>
              <w:bottom w:val="single" w:sz="4" w:space="0" w:color="auto"/>
              <w:right w:val="nil"/>
            </w:tcBorders>
            <w:shd w:val="clear" w:color="auto" w:fill="auto"/>
            <w:noWrap/>
            <w:vAlign w:val="center"/>
            <w:hideMark/>
          </w:tcPr>
          <w:p w14:paraId="26EE6091" w14:textId="164B3686"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+89 %</w:t>
            </w:r>
          </w:p>
        </w:tc>
        <w:tc>
          <w:tcPr>
            <w:tcW w:w="1037" w:type="dxa"/>
            <w:gridSpan w:val="2"/>
            <w:tcBorders>
              <w:top w:val="nil"/>
              <w:left w:val="single" w:sz="4" w:space="0" w:color="auto"/>
              <w:bottom w:val="single" w:sz="4" w:space="0" w:color="auto"/>
              <w:right w:val="nil"/>
            </w:tcBorders>
            <w:shd w:val="clear" w:color="auto" w:fill="auto"/>
            <w:noWrap/>
            <w:vAlign w:val="center"/>
            <w:hideMark/>
          </w:tcPr>
          <w:p w14:paraId="21FB67B4"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213</w:t>
            </w:r>
          </w:p>
        </w:tc>
        <w:tc>
          <w:tcPr>
            <w:tcW w:w="948" w:type="dxa"/>
            <w:tcBorders>
              <w:top w:val="nil"/>
              <w:left w:val="nil"/>
              <w:bottom w:val="single" w:sz="4" w:space="0" w:color="auto"/>
              <w:right w:val="single" w:sz="4" w:space="0" w:color="auto"/>
            </w:tcBorders>
            <w:shd w:val="clear" w:color="auto" w:fill="auto"/>
            <w:noWrap/>
            <w:vAlign w:val="center"/>
            <w:hideMark/>
          </w:tcPr>
          <w:p w14:paraId="44C633BD" w14:textId="5E7777FD"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+92 %</w:t>
            </w:r>
          </w:p>
        </w:tc>
        <w:tc>
          <w:tcPr>
            <w:tcW w:w="1036" w:type="dxa"/>
            <w:gridSpan w:val="2"/>
            <w:tcBorders>
              <w:top w:val="nil"/>
              <w:left w:val="nil"/>
              <w:bottom w:val="single" w:sz="4" w:space="0" w:color="auto"/>
              <w:right w:val="nil"/>
            </w:tcBorders>
            <w:shd w:val="clear" w:color="auto" w:fill="auto"/>
            <w:noWrap/>
            <w:vAlign w:val="center"/>
            <w:hideMark/>
          </w:tcPr>
          <w:p w14:paraId="02BBC137" w14:textId="3BEDBDBA"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w:t>
            </w:r>
            <w:r w:rsidR="00340529" w:rsidRPr="00020CA3">
              <w:rPr>
                <w:rFonts w:eastAsia="Times New Roman"/>
                <w:szCs w:val="24"/>
                <w:lang w:eastAsia="cs-CZ"/>
              </w:rPr>
              <w:t xml:space="preserve"> </w:t>
            </w:r>
            <w:r w:rsidRPr="00020CA3">
              <w:rPr>
                <w:rFonts w:eastAsia="Times New Roman"/>
                <w:szCs w:val="24"/>
                <w:lang w:eastAsia="cs-CZ"/>
              </w:rPr>
              <w:t>281</w:t>
            </w:r>
          </w:p>
        </w:tc>
        <w:tc>
          <w:tcPr>
            <w:tcW w:w="1106" w:type="dxa"/>
            <w:tcBorders>
              <w:top w:val="nil"/>
              <w:left w:val="nil"/>
              <w:bottom w:val="single" w:sz="4" w:space="0" w:color="auto"/>
              <w:right w:val="nil"/>
            </w:tcBorders>
            <w:shd w:val="clear" w:color="auto" w:fill="auto"/>
            <w:noWrap/>
            <w:vAlign w:val="center"/>
            <w:hideMark/>
          </w:tcPr>
          <w:p w14:paraId="77F00F81" w14:textId="2842FF6D"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+120 %</w:t>
            </w:r>
          </w:p>
        </w:tc>
      </w:tr>
      <w:tr w:rsidR="00F15667" w:rsidRPr="00020CA3" w14:paraId="0F9316DB" w14:textId="77777777" w:rsidTr="00020CA3">
        <w:trPr>
          <w:gridAfter w:val="1"/>
          <w:wAfter w:w="14" w:type="dxa"/>
          <w:trHeight w:val="315"/>
        </w:trPr>
        <w:tc>
          <w:tcPr>
            <w:tcW w:w="2480" w:type="dxa"/>
            <w:tcBorders>
              <w:top w:val="nil"/>
              <w:left w:val="nil"/>
              <w:bottom w:val="single" w:sz="4" w:space="0" w:color="auto"/>
              <w:right w:val="nil"/>
            </w:tcBorders>
            <w:shd w:val="clear" w:color="auto" w:fill="auto"/>
            <w:noWrap/>
            <w:vAlign w:val="center"/>
            <w:hideMark/>
          </w:tcPr>
          <w:p w14:paraId="56212949" w14:textId="77777777" w:rsidR="00C32030" w:rsidRPr="00020CA3" w:rsidRDefault="00C32030" w:rsidP="00020CA3">
            <w:pPr>
              <w:spacing w:line="240" w:lineRule="auto"/>
              <w:jc w:val="left"/>
              <w:rPr>
                <w:rFonts w:eastAsia="Times New Roman"/>
                <w:szCs w:val="24"/>
                <w:lang w:eastAsia="cs-CZ"/>
              </w:rPr>
            </w:pPr>
            <w:r w:rsidRPr="00020CA3">
              <w:rPr>
                <w:rFonts w:eastAsia="Times New Roman"/>
                <w:szCs w:val="24"/>
                <w:lang w:eastAsia="cs-CZ"/>
              </w:rPr>
              <w:t>KS Č. Budějovice</w:t>
            </w:r>
          </w:p>
        </w:tc>
        <w:tc>
          <w:tcPr>
            <w:tcW w:w="1064" w:type="dxa"/>
            <w:tcBorders>
              <w:top w:val="nil"/>
              <w:left w:val="nil"/>
              <w:bottom w:val="single" w:sz="4" w:space="0" w:color="auto"/>
              <w:right w:val="nil"/>
            </w:tcBorders>
            <w:shd w:val="clear" w:color="auto" w:fill="auto"/>
            <w:noWrap/>
            <w:vAlign w:val="center"/>
            <w:hideMark/>
          </w:tcPr>
          <w:p w14:paraId="5139A6E4"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439</w:t>
            </w:r>
          </w:p>
        </w:tc>
        <w:tc>
          <w:tcPr>
            <w:tcW w:w="948" w:type="dxa"/>
            <w:tcBorders>
              <w:top w:val="nil"/>
              <w:left w:val="nil"/>
              <w:bottom w:val="single" w:sz="4" w:space="0" w:color="auto"/>
              <w:right w:val="nil"/>
            </w:tcBorders>
            <w:shd w:val="clear" w:color="auto" w:fill="auto"/>
            <w:noWrap/>
            <w:vAlign w:val="center"/>
            <w:hideMark/>
          </w:tcPr>
          <w:p w14:paraId="2BC45CB6" w14:textId="2D4DBC42"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-19 %</w:t>
            </w:r>
          </w:p>
        </w:tc>
        <w:tc>
          <w:tcPr>
            <w:tcW w:w="1037" w:type="dxa"/>
            <w:gridSpan w:val="2"/>
            <w:tcBorders>
              <w:top w:val="nil"/>
              <w:left w:val="single" w:sz="4" w:space="0" w:color="auto"/>
              <w:bottom w:val="single" w:sz="4" w:space="0" w:color="auto"/>
              <w:right w:val="nil"/>
            </w:tcBorders>
            <w:shd w:val="clear" w:color="auto" w:fill="auto"/>
            <w:noWrap/>
            <w:vAlign w:val="center"/>
            <w:hideMark/>
          </w:tcPr>
          <w:p w14:paraId="27256A77"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176</w:t>
            </w:r>
          </w:p>
        </w:tc>
        <w:tc>
          <w:tcPr>
            <w:tcW w:w="948" w:type="dxa"/>
            <w:tcBorders>
              <w:top w:val="nil"/>
              <w:left w:val="nil"/>
              <w:bottom w:val="single" w:sz="4" w:space="0" w:color="auto"/>
              <w:right w:val="single" w:sz="4" w:space="0" w:color="auto"/>
            </w:tcBorders>
            <w:shd w:val="clear" w:color="auto" w:fill="auto"/>
            <w:noWrap/>
            <w:vAlign w:val="center"/>
            <w:hideMark/>
          </w:tcPr>
          <w:p w14:paraId="6172217C" w14:textId="1A3C0AA4"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-63 %</w:t>
            </w:r>
          </w:p>
        </w:tc>
        <w:tc>
          <w:tcPr>
            <w:tcW w:w="1036" w:type="dxa"/>
            <w:gridSpan w:val="2"/>
            <w:tcBorders>
              <w:top w:val="nil"/>
              <w:left w:val="nil"/>
              <w:bottom w:val="single" w:sz="4" w:space="0" w:color="auto"/>
              <w:right w:val="nil"/>
            </w:tcBorders>
            <w:shd w:val="clear" w:color="auto" w:fill="auto"/>
            <w:noWrap/>
            <w:vAlign w:val="center"/>
            <w:hideMark/>
          </w:tcPr>
          <w:p w14:paraId="727B6C1C" w14:textId="5130104A"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w:t>
            </w:r>
            <w:r w:rsidR="00340529" w:rsidRPr="00020CA3">
              <w:rPr>
                <w:rFonts w:eastAsia="Times New Roman"/>
                <w:szCs w:val="24"/>
                <w:lang w:eastAsia="cs-CZ"/>
              </w:rPr>
              <w:t xml:space="preserve"> </w:t>
            </w:r>
            <w:r w:rsidRPr="00020CA3">
              <w:rPr>
                <w:rFonts w:eastAsia="Times New Roman"/>
                <w:szCs w:val="24"/>
                <w:lang w:eastAsia="cs-CZ"/>
              </w:rPr>
              <w:t>324</w:t>
            </w:r>
          </w:p>
        </w:tc>
        <w:tc>
          <w:tcPr>
            <w:tcW w:w="1106" w:type="dxa"/>
            <w:tcBorders>
              <w:top w:val="nil"/>
              <w:left w:val="nil"/>
              <w:bottom w:val="single" w:sz="4" w:space="0" w:color="auto"/>
              <w:right w:val="nil"/>
            </w:tcBorders>
            <w:shd w:val="clear" w:color="auto" w:fill="auto"/>
            <w:noWrap/>
            <w:vAlign w:val="center"/>
            <w:hideMark/>
          </w:tcPr>
          <w:p w14:paraId="03EF54C1" w14:textId="0C71072E"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+22 %</w:t>
            </w:r>
          </w:p>
        </w:tc>
      </w:tr>
      <w:tr w:rsidR="00F15667" w:rsidRPr="00020CA3" w14:paraId="67ABA37F" w14:textId="77777777" w:rsidTr="00020CA3">
        <w:trPr>
          <w:gridAfter w:val="1"/>
          <w:wAfter w:w="14" w:type="dxa"/>
          <w:trHeight w:val="315"/>
        </w:trPr>
        <w:tc>
          <w:tcPr>
            <w:tcW w:w="2480" w:type="dxa"/>
            <w:tcBorders>
              <w:top w:val="nil"/>
              <w:left w:val="nil"/>
              <w:bottom w:val="single" w:sz="4" w:space="0" w:color="auto"/>
              <w:right w:val="nil"/>
            </w:tcBorders>
            <w:shd w:val="clear" w:color="auto" w:fill="auto"/>
            <w:noWrap/>
            <w:vAlign w:val="center"/>
            <w:hideMark/>
          </w:tcPr>
          <w:p w14:paraId="18E07F84" w14:textId="77777777" w:rsidR="00C32030" w:rsidRPr="00020CA3" w:rsidRDefault="00C32030" w:rsidP="00020CA3">
            <w:pPr>
              <w:spacing w:line="240" w:lineRule="auto"/>
              <w:jc w:val="left"/>
              <w:rPr>
                <w:rFonts w:eastAsia="Times New Roman"/>
                <w:szCs w:val="24"/>
                <w:lang w:eastAsia="cs-CZ"/>
              </w:rPr>
            </w:pPr>
            <w:r w:rsidRPr="00020CA3">
              <w:rPr>
                <w:rFonts w:eastAsia="Times New Roman"/>
                <w:szCs w:val="24"/>
                <w:lang w:eastAsia="cs-CZ"/>
              </w:rPr>
              <w:t>KS Plzeň</w:t>
            </w:r>
          </w:p>
        </w:tc>
        <w:tc>
          <w:tcPr>
            <w:tcW w:w="1064" w:type="dxa"/>
            <w:tcBorders>
              <w:top w:val="nil"/>
              <w:left w:val="nil"/>
              <w:bottom w:val="single" w:sz="4" w:space="0" w:color="auto"/>
              <w:right w:val="nil"/>
            </w:tcBorders>
            <w:shd w:val="clear" w:color="auto" w:fill="auto"/>
            <w:noWrap/>
            <w:vAlign w:val="center"/>
            <w:hideMark/>
          </w:tcPr>
          <w:p w14:paraId="7788A804"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520</w:t>
            </w:r>
          </w:p>
        </w:tc>
        <w:tc>
          <w:tcPr>
            <w:tcW w:w="948" w:type="dxa"/>
            <w:tcBorders>
              <w:top w:val="nil"/>
              <w:left w:val="nil"/>
              <w:bottom w:val="single" w:sz="4" w:space="0" w:color="auto"/>
              <w:right w:val="nil"/>
            </w:tcBorders>
            <w:shd w:val="clear" w:color="auto" w:fill="auto"/>
            <w:noWrap/>
            <w:vAlign w:val="center"/>
            <w:hideMark/>
          </w:tcPr>
          <w:p w14:paraId="50A2A314" w14:textId="672D1BC4"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+40 %</w:t>
            </w:r>
          </w:p>
        </w:tc>
        <w:tc>
          <w:tcPr>
            <w:tcW w:w="1037" w:type="dxa"/>
            <w:gridSpan w:val="2"/>
            <w:tcBorders>
              <w:top w:val="nil"/>
              <w:left w:val="single" w:sz="4" w:space="0" w:color="auto"/>
              <w:bottom w:val="single" w:sz="4" w:space="0" w:color="auto"/>
              <w:right w:val="nil"/>
            </w:tcBorders>
            <w:shd w:val="clear" w:color="auto" w:fill="auto"/>
            <w:noWrap/>
            <w:vAlign w:val="center"/>
            <w:hideMark/>
          </w:tcPr>
          <w:p w14:paraId="0A571966"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231</w:t>
            </w:r>
          </w:p>
        </w:tc>
        <w:tc>
          <w:tcPr>
            <w:tcW w:w="948" w:type="dxa"/>
            <w:tcBorders>
              <w:top w:val="nil"/>
              <w:left w:val="nil"/>
              <w:bottom w:val="single" w:sz="4" w:space="0" w:color="auto"/>
              <w:right w:val="single" w:sz="4" w:space="0" w:color="auto"/>
            </w:tcBorders>
            <w:shd w:val="clear" w:color="auto" w:fill="auto"/>
            <w:noWrap/>
            <w:vAlign w:val="center"/>
            <w:hideMark/>
          </w:tcPr>
          <w:p w14:paraId="4A761D72" w14:textId="488F26EA"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+3 %</w:t>
            </w:r>
          </w:p>
        </w:tc>
        <w:tc>
          <w:tcPr>
            <w:tcW w:w="1036" w:type="dxa"/>
            <w:gridSpan w:val="2"/>
            <w:tcBorders>
              <w:top w:val="nil"/>
              <w:left w:val="nil"/>
              <w:bottom w:val="single" w:sz="4" w:space="0" w:color="auto"/>
              <w:right w:val="nil"/>
            </w:tcBorders>
            <w:shd w:val="clear" w:color="auto" w:fill="auto"/>
            <w:noWrap/>
            <w:vAlign w:val="center"/>
            <w:hideMark/>
          </w:tcPr>
          <w:p w14:paraId="30546B84" w14:textId="68759A30"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w:t>
            </w:r>
            <w:r w:rsidR="00340529" w:rsidRPr="00020CA3">
              <w:rPr>
                <w:rFonts w:eastAsia="Times New Roman"/>
                <w:szCs w:val="24"/>
                <w:lang w:eastAsia="cs-CZ"/>
              </w:rPr>
              <w:t xml:space="preserve"> </w:t>
            </w:r>
            <w:r w:rsidRPr="00020CA3">
              <w:rPr>
                <w:rFonts w:eastAsia="Times New Roman"/>
                <w:szCs w:val="24"/>
                <w:lang w:eastAsia="cs-CZ"/>
              </w:rPr>
              <w:t>679</w:t>
            </w:r>
          </w:p>
        </w:tc>
        <w:tc>
          <w:tcPr>
            <w:tcW w:w="1106" w:type="dxa"/>
            <w:tcBorders>
              <w:top w:val="nil"/>
              <w:left w:val="nil"/>
              <w:bottom w:val="single" w:sz="4" w:space="0" w:color="auto"/>
              <w:right w:val="nil"/>
            </w:tcBorders>
            <w:shd w:val="clear" w:color="auto" w:fill="auto"/>
            <w:noWrap/>
            <w:vAlign w:val="center"/>
            <w:hideMark/>
          </w:tcPr>
          <w:p w14:paraId="31AD7D46" w14:textId="36D4AA63"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+112 %</w:t>
            </w:r>
          </w:p>
        </w:tc>
      </w:tr>
      <w:tr w:rsidR="00F15667" w:rsidRPr="00020CA3" w14:paraId="32ED3574" w14:textId="77777777" w:rsidTr="00020CA3">
        <w:trPr>
          <w:gridAfter w:val="1"/>
          <w:wAfter w:w="14" w:type="dxa"/>
          <w:trHeight w:val="315"/>
        </w:trPr>
        <w:tc>
          <w:tcPr>
            <w:tcW w:w="2480" w:type="dxa"/>
            <w:tcBorders>
              <w:top w:val="nil"/>
              <w:left w:val="nil"/>
              <w:bottom w:val="single" w:sz="4" w:space="0" w:color="auto"/>
              <w:right w:val="nil"/>
            </w:tcBorders>
            <w:shd w:val="clear" w:color="auto" w:fill="auto"/>
            <w:noWrap/>
            <w:vAlign w:val="center"/>
            <w:hideMark/>
          </w:tcPr>
          <w:p w14:paraId="3EAC1A66" w14:textId="77777777" w:rsidR="00C32030" w:rsidRPr="00020CA3" w:rsidRDefault="00C32030" w:rsidP="00020CA3">
            <w:pPr>
              <w:spacing w:line="240" w:lineRule="auto"/>
              <w:jc w:val="left"/>
              <w:rPr>
                <w:rFonts w:eastAsia="Times New Roman"/>
                <w:szCs w:val="24"/>
                <w:lang w:eastAsia="cs-CZ"/>
              </w:rPr>
            </w:pPr>
            <w:r w:rsidRPr="00020CA3">
              <w:rPr>
                <w:rFonts w:eastAsia="Times New Roman"/>
                <w:szCs w:val="24"/>
                <w:lang w:eastAsia="cs-CZ"/>
              </w:rPr>
              <w:t>KS Ústí n. Labem</w:t>
            </w:r>
          </w:p>
        </w:tc>
        <w:tc>
          <w:tcPr>
            <w:tcW w:w="1064" w:type="dxa"/>
            <w:tcBorders>
              <w:top w:val="nil"/>
              <w:left w:val="nil"/>
              <w:bottom w:val="single" w:sz="4" w:space="0" w:color="auto"/>
              <w:right w:val="nil"/>
            </w:tcBorders>
            <w:shd w:val="clear" w:color="auto" w:fill="auto"/>
            <w:noWrap/>
            <w:vAlign w:val="center"/>
            <w:hideMark/>
          </w:tcPr>
          <w:p w14:paraId="6B7D9E08"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599</w:t>
            </w:r>
          </w:p>
        </w:tc>
        <w:tc>
          <w:tcPr>
            <w:tcW w:w="948" w:type="dxa"/>
            <w:tcBorders>
              <w:top w:val="nil"/>
              <w:left w:val="nil"/>
              <w:bottom w:val="single" w:sz="4" w:space="0" w:color="auto"/>
              <w:right w:val="nil"/>
            </w:tcBorders>
            <w:shd w:val="clear" w:color="auto" w:fill="auto"/>
            <w:noWrap/>
            <w:vAlign w:val="center"/>
            <w:hideMark/>
          </w:tcPr>
          <w:p w14:paraId="4D249716" w14:textId="17996777"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-14 %</w:t>
            </w:r>
          </w:p>
        </w:tc>
        <w:tc>
          <w:tcPr>
            <w:tcW w:w="1037" w:type="dxa"/>
            <w:gridSpan w:val="2"/>
            <w:tcBorders>
              <w:top w:val="nil"/>
              <w:left w:val="single" w:sz="4" w:space="0" w:color="auto"/>
              <w:bottom w:val="single" w:sz="4" w:space="0" w:color="auto"/>
              <w:right w:val="nil"/>
            </w:tcBorders>
            <w:shd w:val="clear" w:color="auto" w:fill="auto"/>
            <w:noWrap/>
            <w:vAlign w:val="center"/>
            <w:hideMark/>
          </w:tcPr>
          <w:p w14:paraId="0FC4FC57"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401</w:t>
            </w:r>
          </w:p>
        </w:tc>
        <w:tc>
          <w:tcPr>
            <w:tcW w:w="948" w:type="dxa"/>
            <w:tcBorders>
              <w:top w:val="nil"/>
              <w:left w:val="nil"/>
              <w:bottom w:val="single" w:sz="4" w:space="0" w:color="auto"/>
              <w:right w:val="single" w:sz="4" w:space="0" w:color="auto"/>
            </w:tcBorders>
            <w:shd w:val="clear" w:color="auto" w:fill="auto"/>
            <w:noWrap/>
            <w:vAlign w:val="center"/>
            <w:hideMark/>
          </w:tcPr>
          <w:p w14:paraId="131144D0" w14:textId="73230F5A"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+80 %</w:t>
            </w:r>
          </w:p>
        </w:tc>
        <w:tc>
          <w:tcPr>
            <w:tcW w:w="1036" w:type="dxa"/>
            <w:gridSpan w:val="2"/>
            <w:tcBorders>
              <w:top w:val="nil"/>
              <w:left w:val="nil"/>
              <w:bottom w:val="single" w:sz="4" w:space="0" w:color="auto"/>
              <w:right w:val="nil"/>
            </w:tcBorders>
            <w:shd w:val="clear" w:color="auto" w:fill="auto"/>
            <w:noWrap/>
            <w:vAlign w:val="center"/>
            <w:hideMark/>
          </w:tcPr>
          <w:p w14:paraId="1889A3AD" w14:textId="6236B975"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w:t>
            </w:r>
            <w:r w:rsidR="00340529" w:rsidRPr="00020CA3">
              <w:rPr>
                <w:rFonts w:eastAsia="Times New Roman"/>
                <w:szCs w:val="24"/>
                <w:lang w:eastAsia="cs-CZ"/>
              </w:rPr>
              <w:t xml:space="preserve"> </w:t>
            </w:r>
            <w:r w:rsidRPr="00020CA3">
              <w:rPr>
                <w:rFonts w:eastAsia="Times New Roman"/>
                <w:szCs w:val="24"/>
                <w:lang w:eastAsia="cs-CZ"/>
              </w:rPr>
              <w:t>355</w:t>
            </w:r>
          </w:p>
        </w:tc>
        <w:tc>
          <w:tcPr>
            <w:tcW w:w="1106" w:type="dxa"/>
            <w:tcBorders>
              <w:top w:val="nil"/>
              <w:left w:val="nil"/>
              <w:bottom w:val="single" w:sz="4" w:space="0" w:color="auto"/>
              <w:right w:val="nil"/>
            </w:tcBorders>
            <w:shd w:val="clear" w:color="auto" w:fill="auto"/>
            <w:noWrap/>
            <w:vAlign w:val="center"/>
            <w:hideMark/>
          </w:tcPr>
          <w:p w14:paraId="7358DB97" w14:textId="2310E8B5"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-25 %</w:t>
            </w:r>
          </w:p>
        </w:tc>
      </w:tr>
      <w:tr w:rsidR="00F15667" w:rsidRPr="00020CA3" w14:paraId="2F705E1E" w14:textId="77777777" w:rsidTr="00020CA3">
        <w:trPr>
          <w:gridAfter w:val="1"/>
          <w:wAfter w:w="14" w:type="dxa"/>
          <w:trHeight w:val="315"/>
        </w:trPr>
        <w:tc>
          <w:tcPr>
            <w:tcW w:w="2480" w:type="dxa"/>
            <w:tcBorders>
              <w:top w:val="nil"/>
              <w:left w:val="nil"/>
              <w:bottom w:val="single" w:sz="4" w:space="0" w:color="auto"/>
              <w:right w:val="nil"/>
            </w:tcBorders>
            <w:shd w:val="clear" w:color="auto" w:fill="auto"/>
            <w:noWrap/>
            <w:vAlign w:val="center"/>
            <w:hideMark/>
          </w:tcPr>
          <w:p w14:paraId="512877E2" w14:textId="77777777" w:rsidR="00C32030" w:rsidRPr="00020CA3" w:rsidRDefault="00C32030" w:rsidP="00020CA3">
            <w:pPr>
              <w:spacing w:line="240" w:lineRule="auto"/>
              <w:jc w:val="left"/>
              <w:rPr>
                <w:rFonts w:eastAsia="Times New Roman"/>
                <w:szCs w:val="24"/>
                <w:lang w:eastAsia="cs-CZ"/>
              </w:rPr>
            </w:pPr>
            <w:r w:rsidRPr="00020CA3">
              <w:rPr>
                <w:rFonts w:eastAsia="Times New Roman"/>
                <w:szCs w:val="24"/>
                <w:lang w:eastAsia="cs-CZ"/>
              </w:rPr>
              <w:t>KS Hr. Králové</w:t>
            </w:r>
          </w:p>
        </w:tc>
        <w:tc>
          <w:tcPr>
            <w:tcW w:w="1064" w:type="dxa"/>
            <w:tcBorders>
              <w:top w:val="nil"/>
              <w:left w:val="nil"/>
              <w:bottom w:val="single" w:sz="4" w:space="0" w:color="auto"/>
              <w:right w:val="nil"/>
            </w:tcBorders>
            <w:shd w:val="clear" w:color="auto" w:fill="auto"/>
            <w:noWrap/>
            <w:vAlign w:val="center"/>
            <w:hideMark/>
          </w:tcPr>
          <w:p w14:paraId="188C03A7"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342</w:t>
            </w:r>
          </w:p>
        </w:tc>
        <w:tc>
          <w:tcPr>
            <w:tcW w:w="948" w:type="dxa"/>
            <w:tcBorders>
              <w:top w:val="nil"/>
              <w:left w:val="nil"/>
              <w:bottom w:val="single" w:sz="4" w:space="0" w:color="auto"/>
              <w:right w:val="nil"/>
            </w:tcBorders>
            <w:shd w:val="clear" w:color="auto" w:fill="auto"/>
            <w:noWrap/>
            <w:vAlign w:val="center"/>
            <w:hideMark/>
          </w:tcPr>
          <w:p w14:paraId="4E74DC62" w14:textId="5ABC28B7"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-30 %</w:t>
            </w:r>
          </w:p>
        </w:tc>
        <w:tc>
          <w:tcPr>
            <w:tcW w:w="1037" w:type="dxa"/>
            <w:gridSpan w:val="2"/>
            <w:tcBorders>
              <w:top w:val="nil"/>
              <w:left w:val="single" w:sz="4" w:space="0" w:color="auto"/>
              <w:bottom w:val="single" w:sz="4" w:space="0" w:color="auto"/>
              <w:right w:val="nil"/>
            </w:tcBorders>
            <w:shd w:val="clear" w:color="auto" w:fill="auto"/>
            <w:noWrap/>
            <w:vAlign w:val="center"/>
            <w:hideMark/>
          </w:tcPr>
          <w:p w14:paraId="743776B6"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181</w:t>
            </w:r>
          </w:p>
        </w:tc>
        <w:tc>
          <w:tcPr>
            <w:tcW w:w="948" w:type="dxa"/>
            <w:tcBorders>
              <w:top w:val="nil"/>
              <w:left w:val="nil"/>
              <w:bottom w:val="single" w:sz="4" w:space="0" w:color="auto"/>
              <w:right w:val="single" w:sz="4" w:space="0" w:color="auto"/>
            </w:tcBorders>
            <w:shd w:val="clear" w:color="auto" w:fill="auto"/>
            <w:noWrap/>
            <w:vAlign w:val="center"/>
            <w:hideMark/>
          </w:tcPr>
          <w:p w14:paraId="0ED21F87" w14:textId="7F72E0D3"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-9 %</w:t>
            </w:r>
          </w:p>
        </w:tc>
        <w:tc>
          <w:tcPr>
            <w:tcW w:w="1036" w:type="dxa"/>
            <w:gridSpan w:val="2"/>
            <w:tcBorders>
              <w:top w:val="nil"/>
              <w:left w:val="nil"/>
              <w:bottom w:val="single" w:sz="4" w:space="0" w:color="auto"/>
              <w:right w:val="nil"/>
            </w:tcBorders>
            <w:shd w:val="clear" w:color="auto" w:fill="auto"/>
            <w:noWrap/>
            <w:vAlign w:val="center"/>
            <w:hideMark/>
          </w:tcPr>
          <w:p w14:paraId="2E1037D0"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671</w:t>
            </w:r>
          </w:p>
        </w:tc>
        <w:tc>
          <w:tcPr>
            <w:tcW w:w="1106" w:type="dxa"/>
            <w:tcBorders>
              <w:top w:val="nil"/>
              <w:left w:val="nil"/>
              <w:bottom w:val="single" w:sz="4" w:space="0" w:color="auto"/>
              <w:right w:val="nil"/>
            </w:tcBorders>
            <w:shd w:val="clear" w:color="auto" w:fill="auto"/>
            <w:noWrap/>
            <w:vAlign w:val="center"/>
            <w:hideMark/>
          </w:tcPr>
          <w:p w14:paraId="3F3A0220" w14:textId="7527F184"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-51 %</w:t>
            </w:r>
          </w:p>
        </w:tc>
      </w:tr>
      <w:tr w:rsidR="00F15667" w:rsidRPr="00020CA3" w14:paraId="771A0DE6" w14:textId="77777777" w:rsidTr="00020CA3">
        <w:trPr>
          <w:gridAfter w:val="1"/>
          <w:wAfter w:w="14" w:type="dxa"/>
          <w:trHeight w:val="315"/>
        </w:trPr>
        <w:tc>
          <w:tcPr>
            <w:tcW w:w="2480" w:type="dxa"/>
            <w:tcBorders>
              <w:top w:val="nil"/>
              <w:left w:val="nil"/>
              <w:bottom w:val="single" w:sz="4" w:space="0" w:color="auto"/>
              <w:right w:val="nil"/>
            </w:tcBorders>
            <w:shd w:val="clear" w:color="auto" w:fill="auto"/>
            <w:noWrap/>
            <w:vAlign w:val="center"/>
            <w:hideMark/>
          </w:tcPr>
          <w:p w14:paraId="04D76C3C" w14:textId="77777777" w:rsidR="00C32030" w:rsidRPr="00020CA3" w:rsidRDefault="00C32030" w:rsidP="00020CA3">
            <w:pPr>
              <w:spacing w:line="240" w:lineRule="auto"/>
              <w:jc w:val="left"/>
              <w:rPr>
                <w:rFonts w:eastAsia="Times New Roman"/>
                <w:szCs w:val="24"/>
                <w:lang w:eastAsia="cs-CZ"/>
              </w:rPr>
            </w:pPr>
            <w:r w:rsidRPr="00020CA3">
              <w:rPr>
                <w:rFonts w:eastAsia="Times New Roman"/>
                <w:szCs w:val="24"/>
                <w:lang w:eastAsia="cs-CZ"/>
              </w:rPr>
              <w:t>KS Brno</w:t>
            </w:r>
          </w:p>
        </w:tc>
        <w:tc>
          <w:tcPr>
            <w:tcW w:w="1064" w:type="dxa"/>
            <w:tcBorders>
              <w:top w:val="nil"/>
              <w:left w:val="nil"/>
              <w:bottom w:val="single" w:sz="4" w:space="0" w:color="auto"/>
              <w:right w:val="nil"/>
            </w:tcBorders>
            <w:shd w:val="clear" w:color="auto" w:fill="auto"/>
            <w:noWrap/>
            <w:vAlign w:val="center"/>
            <w:hideMark/>
          </w:tcPr>
          <w:p w14:paraId="575FEA46"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535</w:t>
            </w:r>
          </w:p>
        </w:tc>
        <w:tc>
          <w:tcPr>
            <w:tcW w:w="948" w:type="dxa"/>
            <w:tcBorders>
              <w:top w:val="nil"/>
              <w:left w:val="nil"/>
              <w:bottom w:val="single" w:sz="4" w:space="0" w:color="auto"/>
              <w:right w:val="nil"/>
            </w:tcBorders>
            <w:shd w:val="clear" w:color="auto" w:fill="auto"/>
            <w:noWrap/>
            <w:vAlign w:val="center"/>
            <w:hideMark/>
          </w:tcPr>
          <w:p w14:paraId="15AB6D47" w14:textId="18694054"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-11 %</w:t>
            </w:r>
          </w:p>
        </w:tc>
        <w:tc>
          <w:tcPr>
            <w:tcW w:w="1037" w:type="dxa"/>
            <w:gridSpan w:val="2"/>
            <w:tcBorders>
              <w:top w:val="nil"/>
              <w:left w:val="single" w:sz="4" w:space="0" w:color="auto"/>
              <w:bottom w:val="single" w:sz="4" w:space="0" w:color="auto"/>
              <w:right w:val="nil"/>
            </w:tcBorders>
            <w:shd w:val="clear" w:color="auto" w:fill="auto"/>
            <w:noWrap/>
            <w:vAlign w:val="center"/>
            <w:hideMark/>
          </w:tcPr>
          <w:p w14:paraId="6C8BFB35"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397</w:t>
            </w:r>
          </w:p>
        </w:tc>
        <w:tc>
          <w:tcPr>
            <w:tcW w:w="948" w:type="dxa"/>
            <w:tcBorders>
              <w:top w:val="nil"/>
              <w:left w:val="nil"/>
              <w:bottom w:val="single" w:sz="4" w:space="0" w:color="auto"/>
              <w:right w:val="single" w:sz="4" w:space="0" w:color="auto"/>
            </w:tcBorders>
            <w:shd w:val="clear" w:color="auto" w:fill="auto"/>
            <w:noWrap/>
            <w:vAlign w:val="center"/>
            <w:hideMark/>
          </w:tcPr>
          <w:p w14:paraId="513105DB" w14:textId="18D5953C"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+53 %</w:t>
            </w:r>
          </w:p>
        </w:tc>
        <w:tc>
          <w:tcPr>
            <w:tcW w:w="1036" w:type="dxa"/>
            <w:gridSpan w:val="2"/>
            <w:tcBorders>
              <w:top w:val="nil"/>
              <w:left w:val="nil"/>
              <w:bottom w:val="single" w:sz="4" w:space="0" w:color="auto"/>
              <w:right w:val="nil"/>
            </w:tcBorders>
            <w:shd w:val="clear" w:color="auto" w:fill="auto"/>
            <w:noWrap/>
            <w:vAlign w:val="center"/>
            <w:hideMark/>
          </w:tcPr>
          <w:p w14:paraId="60BA8816" w14:textId="3611C170"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w:t>
            </w:r>
            <w:r w:rsidR="00340529" w:rsidRPr="00020CA3">
              <w:rPr>
                <w:rFonts w:eastAsia="Times New Roman"/>
                <w:szCs w:val="24"/>
                <w:lang w:eastAsia="cs-CZ"/>
              </w:rPr>
              <w:t xml:space="preserve"> </w:t>
            </w:r>
            <w:r w:rsidRPr="00020CA3">
              <w:rPr>
                <w:rFonts w:eastAsia="Times New Roman"/>
                <w:szCs w:val="24"/>
                <w:lang w:eastAsia="cs-CZ"/>
              </w:rPr>
              <w:t>358</w:t>
            </w:r>
          </w:p>
        </w:tc>
        <w:tc>
          <w:tcPr>
            <w:tcW w:w="1106" w:type="dxa"/>
            <w:tcBorders>
              <w:top w:val="nil"/>
              <w:left w:val="nil"/>
              <w:bottom w:val="single" w:sz="4" w:space="0" w:color="auto"/>
              <w:right w:val="nil"/>
            </w:tcBorders>
            <w:shd w:val="clear" w:color="auto" w:fill="auto"/>
            <w:noWrap/>
            <w:vAlign w:val="center"/>
            <w:hideMark/>
          </w:tcPr>
          <w:p w14:paraId="6F03928D" w14:textId="54CAD38C"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+8 %</w:t>
            </w:r>
          </w:p>
        </w:tc>
      </w:tr>
      <w:tr w:rsidR="00F15667" w:rsidRPr="00020CA3" w14:paraId="59C0A07D" w14:textId="77777777" w:rsidTr="00020CA3">
        <w:trPr>
          <w:gridAfter w:val="1"/>
          <w:wAfter w:w="14" w:type="dxa"/>
          <w:trHeight w:val="330"/>
        </w:trPr>
        <w:tc>
          <w:tcPr>
            <w:tcW w:w="2480" w:type="dxa"/>
            <w:tcBorders>
              <w:top w:val="nil"/>
              <w:left w:val="nil"/>
              <w:bottom w:val="double" w:sz="6" w:space="0" w:color="auto"/>
              <w:right w:val="nil"/>
            </w:tcBorders>
            <w:shd w:val="clear" w:color="auto" w:fill="auto"/>
            <w:noWrap/>
            <w:vAlign w:val="center"/>
            <w:hideMark/>
          </w:tcPr>
          <w:p w14:paraId="3D94394D" w14:textId="77777777" w:rsidR="00C32030" w:rsidRPr="00020CA3" w:rsidRDefault="00C32030" w:rsidP="00020CA3">
            <w:pPr>
              <w:spacing w:line="240" w:lineRule="auto"/>
              <w:jc w:val="left"/>
              <w:rPr>
                <w:rFonts w:eastAsia="Times New Roman"/>
                <w:szCs w:val="24"/>
                <w:lang w:eastAsia="cs-CZ"/>
              </w:rPr>
            </w:pPr>
            <w:r w:rsidRPr="00020CA3">
              <w:rPr>
                <w:rFonts w:eastAsia="Times New Roman"/>
                <w:szCs w:val="24"/>
                <w:lang w:eastAsia="cs-CZ"/>
              </w:rPr>
              <w:t>KS Ostrava</w:t>
            </w:r>
          </w:p>
        </w:tc>
        <w:tc>
          <w:tcPr>
            <w:tcW w:w="1064" w:type="dxa"/>
            <w:tcBorders>
              <w:top w:val="nil"/>
              <w:left w:val="nil"/>
              <w:bottom w:val="double" w:sz="6" w:space="0" w:color="auto"/>
              <w:right w:val="nil"/>
            </w:tcBorders>
            <w:shd w:val="clear" w:color="auto" w:fill="auto"/>
            <w:noWrap/>
            <w:vAlign w:val="center"/>
            <w:hideMark/>
          </w:tcPr>
          <w:p w14:paraId="7A67057A"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411</w:t>
            </w:r>
          </w:p>
        </w:tc>
        <w:tc>
          <w:tcPr>
            <w:tcW w:w="948" w:type="dxa"/>
            <w:tcBorders>
              <w:top w:val="nil"/>
              <w:left w:val="nil"/>
              <w:bottom w:val="double" w:sz="6" w:space="0" w:color="auto"/>
              <w:right w:val="nil"/>
            </w:tcBorders>
            <w:shd w:val="clear" w:color="auto" w:fill="auto"/>
            <w:noWrap/>
            <w:vAlign w:val="center"/>
            <w:hideMark/>
          </w:tcPr>
          <w:p w14:paraId="5D4A1699" w14:textId="042276E8"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-39 %</w:t>
            </w:r>
          </w:p>
        </w:tc>
        <w:tc>
          <w:tcPr>
            <w:tcW w:w="1037" w:type="dxa"/>
            <w:gridSpan w:val="2"/>
            <w:tcBorders>
              <w:top w:val="nil"/>
              <w:left w:val="single" w:sz="4" w:space="0" w:color="auto"/>
              <w:bottom w:val="double" w:sz="6" w:space="0" w:color="auto"/>
              <w:right w:val="nil"/>
            </w:tcBorders>
            <w:shd w:val="clear" w:color="auto" w:fill="auto"/>
            <w:noWrap/>
            <w:vAlign w:val="center"/>
            <w:hideMark/>
          </w:tcPr>
          <w:p w14:paraId="7E51E064" w14:textId="77777777"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178</w:t>
            </w:r>
          </w:p>
        </w:tc>
        <w:tc>
          <w:tcPr>
            <w:tcW w:w="948" w:type="dxa"/>
            <w:tcBorders>
              <w:top w:val="nil"/>
              <w:left w:val="nil"/>
              <w:bottom w:val="double" w:sz="6" w:space="0" w:color="auto"/>
              <w:right w:val="single" w:sz="4" w:space="0" w:color="auto"/>
            </w:tcBorders>
            <w:shd w:val="clear" w:color="auto" w:fill="auto"/>
            <w:noWrap/>
            <w:vAlign w:val="center"/>
            <w:hideMark/>
          </w:tcPr>
          <w:p w14:paraId="261A635A" w14:textId="39385BFA"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-45 %</w:t>
            </w:r>
          </w:p>
        </w:tc>
        <w:tc>
          <w:tcPr>
            <w:tcW w:w="1036" w:type="dxa"/>
            <w:gridSpan w:val="2"/>
            <w:tcBorders>
              <w:top w:val="nil"/>
              <w:left w:val="nil"/>
              <w:bottom w:val="double" w:sz="6" w:space="0" w:color="auto"/>
              <w:right w:val="nil"/>
            </w:tcBorders>
            <w:shd w:val="clear" w:color="auto" w:fill="auto"/>
            <w:noWrap/>
            <w:vAlign w:val="center"/>
            <w:hideMark/>
          </w:tcPr>
          <w:p w14:paraId="5D623375" w14:textId="04E8F9EC" w:rsidR="00C32030" w:rsidRPr="00020CA3" w:rsidRDefault="00C32030" w:rsidP="00020CA3">
            <w:pPr>
              <w:spacing w:line="240" w:lineRule="auto"/>
              <w:jc w:val="center"/>
              <w:rPr>
                <w:rFonts w:eastAsia="Times New Roman"/>
                <w:szCs w:val="24"/>
                <w:lang w:eastAsia="cs-CZ"/>
              </w:rPr>
            </w:pPr>
            <w:r w:rsidRPr="00020CA3">
              <w:rPr>
                <w:rFonts w:eastAsia="Times New Roman"/>
                <w:szCs w:val="24"/>
                <w:lang w:eastAsia="cs-CZ"/>
              </w:rPr>
              <w:t>1</w:t>
            </w:r>
            <w:r w:rsidR="00340529" w:rsidRPr="00020CA3">
              <w:rPr>
                <w:rFonts w:eastAsia="Times New Roman"/>
                <w:szCs w:val="24"/>
                <w:lang w:eastAsia="cs-CZ"/>
              </w:rPr>
              <w:t xml:space="preserve"> </w:t>
            </w:r>
            <w:r w:rsidRPr="00020CA3">
              <w:rPr>
                <w:rFonts w:eastAsia="Times New Roman"/>
                <w:szCs w:val="24"/>
                <w:lang w:eastAsia="cs-CZ"/>
              </w:rPr>
              <w:t>258</w:t>
            </w:r>
          </w:p>
        </w:tc>
        <w:tc>
          <w:tcPr>
            <w:tcW w:w="1106" w:type="dxa"/>
            <w:tcBorders>
              <w:top w:val="nil"/>
              <w:left w:val="nil"/>
              <w:bottom w:val="double" w:sz="6" w:space="0" w:color="auto"/>
              <w:right w:val="nil"/>
            </w:tcBorders>
            <w:shd w:val="clear" w:color="auto" w:fill="auto"/>
            <w:noWrap/>
            <w:vAlign w:val="center"/>
            <w:hideMark/>
          </w:tcPr>
          <w:p w14:paraId="1B5CFF73" w14:textId="422D5A6A" w:rsidR="00C32030" w:rsidRPr="00020CA3" w:rsidRDefault="00C32030" w:rsidP="00020CA3">
            <w:pPr>
              <w:spacing w:line="240" w:lineRule="auto"/>
              <w:jc w:val="center"/>
              <w:rPr>
                <w:rFonts w:eastAsia="Times New Roman"/>
                <w:sz w:val="20"/>
                <w:szCs w:val="20"/>
                <w:lang w:eastAsia="cs-CZ"/>
              </w:rPr>
            </w:pPr>
            <w:r w:rsidRPr="00020CA3">
              <w:rPr>
                <w:rFonts w:eastAsia="Times New Roman"/>
                <w:sz w:val="20"/>
                <w:szCs w:val="20"/>
                <w:lang w:eastAsia="cs-CZ"/>
              </w:rPr>
              <w:t>-21 %</w:t>
            </w:r>
          </w:p>
        </w:tc>
      </w:tr>
      <w:tr w:rsidR="00F15667" w:rsidRPr="00020CA3" w14:paraId="281924E4" w14:textId="77777777" w:rsidTr="00020CA3">
        <w:trPr>
          <w:gridAfter w:val="1"/>
          <w:wAfter w:w="14" w:type="dxa"/>
          <w:trHeight w:val="345"/>
        </w:trPr>
        <w:tc>
          <w:tcPr>
            <w:tcW w:w="2480" w:type="dxa"/>
            <w:tcBorders>
              <w:top w:val="nil"/>
              <w:left w:val="nil"/>
              <w:bottom w:val="double" w:sz="6" w:space="0" w:color="auto"/>
              <w:right w:val="nil"/>
            </w:tcBorders>
            <w:shd w:val="clear" w:color="auto" w:fill="auto"/>
            <w:noWrap/>
            <w:vAlign w:val="center"/>
            <w:hideMark/>
          </w:tcPr>
          <w:p w14:paraId="4DD9C0B6" w14:textId="77777777" w:rsidR="00C32030" w:rsidRPr="00020CA3" w:rsidRDefault="00C32030" w:rsidP="00020CA3">
            <w:pPr>
              <w:spacing w:line="240" w:lineRule="auto"/>
              <w:jc w:val="left"/>
              <w:rPr>
                <w:rFonts w:eastAsia="Times New Roman"/>
                <w:b/>
                <w:bCs/>
                <w:szCs w:val="24"/>
                <w:lang w:eastAsia="cs-CZ"/>
              </w:rPr>
            </w:pPr>
            <w:r w:rsidRPr="00020CA3">
              <w:rPr>
                <w:rFonts w:eastAsia="Times New Roman"/>
                <w:b/>
                <w:bCs/>
                <w:szCs w:val="24"/>
                <w:lang w:eastAsia="cs-CZ"/>
              </w:rPr>
              <w:t>Celkem ČR</w:t>
            </w:r>
          </w:p>
        </w:tc>
        <w:tc>
          <w:tcPr>
            <w:tcW w:w="1064" w:type="dxa"/>
            <w:tcBorders>
              <w:top w:val="nil"/>
              <w:left w:val="nil"/>
              <w:bottom w:val="double" w:sz="6" w:space="0" w:color="auto"/>
              <w:right w:val="nil"/>
            </w:tcBorders>
            <w:shd w:val="clear" w:color="auto" w:fill="auto"/>
            <w:noWrap/>
            <w:vAlign w:val="center"/>
            <w:hideMark/>
          </w:tcPr>
          <w:p w14:paraId="35C2F623" w14:textId="77777777" w:rsidR="00C32030" w:rsidRPr="00020CA3" w:rsidRDefault="00C32030" w:rsidP="00020CA3">
            <w:pPr>
              <w:spacing w:line="240" w:lineRule="auto"/>
              <w:jc w:val="center"/>
              <w:rPr>
                <w:rFonts w:eastAsia="Times New Roman"/>
                <w:b/>
                <w:bCs/>
                <w:szCs w:val="24"/>
                <w:lang w:eastAsia="cs-CZ"/>
              </w:rPr>
            </w:pPr>
            <w:r w:rsidRPr="00020CA3">
              <w:rPr>
                <w:rFonts w:eastAsia="Times New Roman"/>
                <w:b/>
                <w:bCs/>
                <w:szCs w:val="24"/>
                <w:lang w:eastAsia="cs-CZ"/>
              </w:rPr>
              <w:t>517</w:t>
            </w:r>
          </w:p>
        </w:tc>
        <w:tc>
          <w:tcPr>
            <w:tcW w:w="948" w:type="dxa"/>
            <w:tcBorders>
              <w:top w:val="nil"/>
              <w:left w:val="nil"/>
              <w:bottom w:val="double" w:sz="6" w:space="0" w:color="auto"/>
              <w:right w:val="nil"/>
            </w:tcBorders>
            <w:shd w:val="clear" w:color="auto" w:fill="auto"/>
            <w:noWrap/>
            <w:vAlign w:val="center"/>
            <w:hideMark/>
          </w:tcPr>
          <w:p w14:paraId="13696566" w14:textId="60F2711E" w:rsidR="00C32030" w:rsidRPr="00020CA3" w:rsidRDefault="00C32030"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-8 %</w:t>
            </w:r>
          </w:p>
        </w:tc>
        <w:tc>
          <w:tcPr>
            <w:tcW w:w="1037" w:type="dxa"/>
            <w:gridSpan w:val="2"/>
            <w:tcBorders>
              <w:top w:val="nil"/>
              <w:left w:val="single" w:sz="4" w:space="0" w:color="auto"/>
              <w:bottom w:val="double" w:sz="6" w:space="0" w:color="auto"/>
              <w:right w:val="nil"/>
            </w:tcBorders>
            <w:shd w:val="clear" w:color="auto" w:fill="auto"/>
            <w:noWrap/>
            <w:vAlign w:val="center"/>
            <w:hideMark/>
          </w:tcPr>
          <w:p w14:paraId="4D63B4DF" w14:textId="77777777" w:rsidR="00C32030" w:rsidRPr="00020CA3" w:rsidRDefault="00C32030" w:rsidP="00020CA3">
            <w:pPr>
              <w:spacing w:line="240" w:lineRule="auto"/>
              <w:jc w:val="center"/>
              <w:rPr>
                <w:rFonts w:eastAsia="Times New Roman"/>
                <w:b/>
                <w:bCs/>
                <w:szCs w:val="24"/>
                <w:lang w:eastAsia="cs-CZ"/>
              </w:rPr>
            </w:pPr>
            <w:r w:rsidRPr="00020CA3">
              <w:rPr>
                <w:rFonts w:eastAsia="Times New Roman"/>
                <w:b/>
                <w:bCs/>
                <w:szCs w:val="24"/>
                <w:lang w:eastAsia="cs-CZ"/>
              </w:rPr>
              <w:t>254</w:t>
            </w:r>
          </w:p>
        </w:tc>
        <w:tc>
          <w:tcPr>
            <w:tcW w:w="948" w:type="dxa"/>
            <w:tcBorders>
              <w:top w:val="nil"/>
              <w:left w:val="nil"/>
              <w:bottom w:val="double" w:sz="6" w:space="0" w:color="auto"/>
              <w:right w:val="single" w:sz="4" w:space="0" w:color="auto"/>
            </w:tcBorders>
            <w:shd w:val="clear" w:color="auto" w:fill="auto"/>
            <w:noWrap/>
            <w:vAlign w:val="center"/>
            <w:hideMark/>
          </w:tcPr>
          <w:p w14:paraId="051EBF68" w14:textId="4FEA7938" w:rsidR="00C32030" w:rsidRPr="00020CA3" w:rsidRDefault="00C32030"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+2 %</w:t>
            </w:r>
          </w:p>
        </w:tc>
        <w:tc>
          <w:tcPr>
            <w:tcW w:w="1036" w:type="dxa"/>
            <w:gridSpan w:val="2"/>
            <w:tcBorders>
              <w:top w:val="nil"/>
              <w:left w:val="nil"/>
              <w:bottom w:val="double" w:sz="6" w:space="0" w:color="auto"/>
              <w:right w:val="nil"/>
            </w:tcBorders>
            <w:shd w:val="clear" w:color="auto" w:fill="auto"/>
            <w:noWrap/>
            <w:vAlign w:val="center"/>
            <w:hideMark/>
          </w:tcPr>
          <w:p w14:paraId="07A1BDF2" w14:textId="31C59B71" w:rsidR="00C32030" w:rsidRPr="00020CA3" w:rsidRDefault="00C32030" w:rsidP="00020CA3">
            <w:pPr>
              <w:spacing w:line="240" w:lineRule="auto"/>
              <w:jc w:val="center"/>
              <w:rPr>
                <w:rFonts w:eastAsia="Times New Roman"/>
                <w:b/>
                <w:bCs/>
                <w:szCs w:val="24"/>
                <w:lang w:eastAsia="cs-CZ"/>
              </w:rPr>
            </w:pPr>
            <w:r w:rsidRPr="00020CA3">
              <w:rPr>
                <w:rFonts w:eastAsia="Times New Roman"/>
                <w:b/>
                <w:bCs/>
                <w:szCs w:val="24"/>
                <w:lang w:eastAsia="cs-CZ"/>
              </w:rPr>
              <w:t>1</w:t>
            </w:r>
            <w:r w:rsidR="00340529" w:rsidRPr="00020CA3">
              <w:rPr>
                <w:rFonts w:eastAsia="Times New Roman"/>
                <w:b/>
                <w:bCs/>
                <w:szCs w:val="24"/>
                <w:lang w:eastAsia="cs-CZ"/>
              </w:rPr>
              <w:t xml:space="preserve"> </w:t>
            </w:r>
            <w:r w:rsidRPr="00020CA3">
              <w:rPr>
                <w:rFonts w:eastAsia="Times New Roman"/>
                <w:b/>
                <w:bCs/>
                <w:szCs w:val="24"/>
                <w:lang w:eastAsia="cs-CZ"/>
              </w:rPr>
              <w:t>355</w:t>
            </w:r>
          </w:p>
        </w:tc>
        <w:tc>
          <w:tcPr>
            <w:tcW w:w="1106" w:type="dxa"/>
            <w:tcBorders>
              <w:top w:val="nil"/>
              <w:left w:val="nil"/>
              <w:bottom w:val="double" w:sz="6" w:space="0" w:color="auto"/>
              <w:right w:val="nil"/>
            </w:tcBorders>
            <w:shd w:val="clear" w:color="auto" w:fill="auto"/>
            <w:noWrap/>
            <w:vAlign w:val="center"/>
            <w:hideMark/>
          </w:tcPr>
          <w:p w14:paraId="63009320" w14:textId="713933B4" w:rsidR="00C32030" w:rsidRPr="00020CA3" w:rsidRDefault="00C32030"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-6 %</w:t>
            </w:r>
          </w:p>
        </w:tc>
      </w:tr>
      <w:tr w:rsidR="00F15667" w:rsidRPr="00020CA3" w14:paraId="0CFBA582" w14:textId="77777777" w:rsidTr="00020CA3">
        <w:trPr>
          <w:gridAfter w:val="1"/>
          <w:wAfter w:w="14" w:type="dxa"/>
          <w:trHeight w:val="330"/>
        </w:trPr>
        <w:tc>
          <w:tcPr>
            <w:tcW w:w="2480" w:type="dxa"/>
            <w:tcBorders>
              <w:top w:val="nil"/>
              <w:left w:val="nil"/>
              <w:bottom w:val="nil"/>
              <w:right w:val="nil"/>
            </w:tcBorders>
            <w:shd w:val="clear" w:color="auto" w:fill="auto"/>
            <w:noWrap/>
            <w:vAlign w:val="center"/>
            <w:hideMark/>
          </w:tcPr>
          <w:p w14:paraId="67A918BD" w14:textId="77777777" w:rsidR="00C32030" w:rsidRPr="00020CA3" w:rsidRDefault="00C32030" w:rsidP="00020CA3">
            <w:pPr>
              <w:spacing w:line="240" w:lineRule="auto"/>
              <w:jc w:val="center"/>
              <w:rPr>
                <w:rFonts w:eastAsia="Times New Roman"/>
                <w:b/>
                <w:bCs/>
                <w:sz w:val="20"/>
                <w:szCs w:val="20"/>
                <w:lang w:eastAsia="cs-CZ"/>
              </w:rPr>
            </w:pPr>
          </w:p>
        </w:tc>
        <w:tc>
          <w:tcPr>
            <w:tcW w:w="1064" w:type="dxa"/>
            <w:tcBorders>
              <w:top w:val="nil"/>
              <w:left w:val="nil"/>
              <w:bottom w:val="nil"/>
              <w:right w:val="nil"/>
            </w:tcBorders>
            <w:shd w:val="clear" w:color="auto" w:fill="auto"/>
            <w:noWrap/>
            <w:vAlign w:val="center"/>
            <w:hideMark/>
          </w:tcPr>
          <w:p w14:paraId="5D2709AA" w14:textId="77777777" w:rsidR="00C32030" w:rsidRPr="00020CA3" w:rsidRDefault="00C32030" w:rsidP="00020CA3">
            <w:pPr>
              <w:spacing w:line="240" w:lineRule="auto"/>
              <w:jc w:val="center"/>
              <w:rPr>
                <w:rFonts w:eastAsia="Times New Roman"/>
                <w:sz w:val="20"/>
                <w:szCs w:val="20"/>
                <w:lang w:eastAsia="cs-CZ"/>
              </w:rPr>
            </w:pPr>
          </w:p>
        </w:tc>
        <w:tc>
          <w:tcPr>
            <w:tcW w:w="948" w:type="dxa"/>
            <w:tcBorders>
              <w:top w:val="nil"/>
              <w:left w:val="nil"/>
              <w:bottom w:val="nil"/>
              <w:right w:val="nil"/>
            </w:tcBorders>
            <w:shd w:val="clear" w:color="auto" w:fill="auto"/>
            <w:noWrap/>
            <w:vAlign w:val="center"/>
            <w:hideMark/>
          </w:tcPr>
          <w:p w14:paraId="3DAA9407" w14:textId="77777777" w:rsidR="00C32030" w:rsidRPr="00020CA3" w:rsidRDefault="00C32030" w:rsidP="00020CA3">
            <w:pPr>
              <w:spacing w:line="240" w:lineRule="auto"/>
              <w:jc w:val="center"/>
              <w:rPr>
                <w:rFonts w:eastAsia="Times New Roman"/>
                <w:sz w:val="20"/>
                <w:szCs w:val="20"/>
                <w:lang w:eastAsia="cs-CZ"/>
              </w:rPr>
            </w:pPr>
          </w:p>
        </w:tc>
        <w:tc>
          <w:tcPr>
            <w:tcW w:w="1037" w:type="dxa"/>
            <w:gridSpan w:val="2"/>
            <w:tcBorders>
              <w:top w:val="nil"/>
              <w:left w:val="nil"/>
              <w:bottom w:val="nil"/>
              <w:right w:val="nil"/>
            </w:tcBorders>
            <w:shd w:val="clear" w:color="auto" w:fill="auto"/>
            <w:noWrap/>
            <w:vAlign w:val="center"/>
            <w:hideMark/>
          </w:tcPr>
          <w:p w14:paraId="53FD9F24" w14:textId="77777777" w:rsidR="00C32030" w:rsidRPr="00020CA3" w:rsidRDefault="00C32030" w:rsidP="00020CA3">
            <w:pPr>
              <w:spacing w:line="240" w:lineRule="auto"/>
              <w:jc w:val="center"/>
              <w:rPr>
                <w:rFonts w:eastAsia="Times New Roman"/>
                <w:sz w:val="20"/>
                <w:szCs w:val="20"/>
                <w:lang w:eastAsia="cs-CZ"/>
              </w:rPr>
            </w:pPr>
          </w:p>
        </w:tc>
        <w:tc>
          <w:tcPr>
            <w:tcW w:w="948" w:type="dxa"/>
            <w:tcBorders>
              <w:top w:val="nil"/>
              <w:left w:val="nil"/>
              <w:bottom w:val="nil"/>
              <w:right w:val="nil"/>
            </w:tcBorders>
            <w:shd w:val="clear" w:color="auto" w:fill="auto"/>
            <w:noWrap/>
            <w:vAlign w:val="center"/>
            <w:hideMark/>
          </w:tcPr>
          <w:p w14:paraId="43CF16AC" w14:textId="77777777" w:rsidR="00C32030" w:rsidRPr="00020CA3" w:rsidRDefault="00C32030" w:rsidP="00020CA3">
            <w:pPr>
              <w:spacing w:line="240" w:lineRule="auto"/>
              <w:jc w:val="center"/>
              <w:rPr>
                <w:rFonts w:eastAsia="Times New Roman"/>
                <w:sz w:val="20"/>
                <w:szCs w:val="20"/>
                <w:lang w:eastAsia="cs-CZ"/>
              </w:rPr>
            </w:pPr>
          </w:p>
        </w:tc>
        <w:tc>
          <w:tcPr>
            <w:tcW w:w="1036" w:type="dxa"/>
            <w:gridSpan w:val="2"/>
            <w:tcBorders>
              <w:top w:val="nil"/>
              <w:left w:val="nil"/>
              <w:bottom w:val="nil"/>
              <w:right w:val="nil"/>
            </w:tcBorders>
            <w:shd w:val="clear" w:color="auto" w:fill="auto"/>
            <w:noWrap/>
            <w:vAlign w:val="center"/>
            <w:hideMark/>
          </w:tcPr>
          <w:p w14:paraId="7AA5A237" w14:textId="77777777" w:rsidR="00C32030" w:rsidRPr="00020CA3" w:rsidRDefault="00C32030" w:rsidP="00020CA3">
            <w:pPr>
              <w:spacing w:line="240" w:lineRule="auto"/>
              <w:jc w:val="center"/>
              <w:rPr>
                <w:rFonts w:eastAsia="Times New Roman"/>
                <w:sz w:val="20"/>
                <w:szCs w:val="20"/>
                <w:lang w:eastAsia="cs-CZ"/>
              </w:rPr>
            </w:pPr>
          </w:p>
        </w:tc>
        <w:tc>
          <w:tcPr>
            <w:tcW w:w="1106" w:type="dxa"/>
            <w:tcBorders>
              <w:top w:val="nil"/>
              <w:left w:val="nil"/>
              <w:bottom w:val="nil"/>
              <w:right w:val="nil"/>
            </w:tcBorders>
            <w:shd w:val="clear" w:color="auto" w:fill="auto"/>
            <w:noWrap/>
            <w:vAlign w:val="center"/>
            <w:hideMark/>
          </w:tcPr>
          <w:p w14:paraId="3F4D211A" w14:textId="77777777" w:rsidR="00C32030" w:rsidRPr="00020CA3" w:rsidRDefault="00C32030" w:rsidP="00020CA3">
            <w:pPr>
              <w:spacing w:line="240" w:lineRule="auto"/>
              <w:jc w:val="center"/>
              <w:rPr>
                <w:rFonts w:eastAsia="Times New Roman"/>
                <w:sz w:val="20"/>
                <w:szCs w:val="20"/>
                <w:lang w:eastAsia="cs-CZ"/>
              </w:rPr>
            </w:pPr>
          </w:p>
        </w:tc>
      </w:tr>
    </w:tbl>
    <w:p w14:paraId="630533CE" w14:textId="4F4245F9" w:rsidR="00952546" w:rsidRPr="00020CA3" w:rsidRDefault="00952546" w:rsidP="00952546">
      <w:pPr>
        <w:pStyle w:val="OdstavecASR"/>
      </w:pPr>
      <w:r w:rsidRPr="00020CA3">
        <w:t xml:space="preserve">V této souvislosti je namístě zdůraznit, že krajské soudy vyřizují velmi složitou prvostupňovou trestní agendu. Z podstaty složitosti a rozsahu trestních věcí projednávaných v prvním stupni u krajských soudů vyplývá, že jsou mnohdy časově náročnější, ať už na samotné studium spisu soudcem, či na následný vyšší počet hlavních líčení. Výjimkou nejsou ani sofistikované obstrukční procesní postupy obhájců. </w:t>
      </w:r>
      <w:r w:rsidR="006A504B" w:rsidRPr="00020CA3">
        <w:t xml:space="preserve">Identifikování </w:t>
      </w:r>
      <w:r w:rsidRPr="00020CA3">
        <w:t xml:space="preserve">důvodů dlouhých řízení by ovšem </w:t>
      </w:r>
      <w:r w:rsidR="006A504B" w:rsidRPr="00020CA3">
        <w:t xml:space="preserve">vyžadovalo </w:t>
      </w:r>
      <w:r w:rsidRPr="00020CA3">
        <w:t>samostatnou analýzu.</w:t>
      </w:r>
      <w:r w:rsidR="00C32030" w:rsidRPr="00020CA3">
        <w:t xml:space="preserve"> </w:t>
      </w:r>
    </w:p>
    <w:p w14:paraId="59A149DD" w14:textId="16912772" w:rsidR="00952546" w:rsidRPr="00020CA3" w:rsidRDefault="00952546" w:rsidP="00952546">
      <w:pPr>
        <w:pStyle w:val="Podnadpis"/>
        <w:rPr>
          <w:color w:val="auto"/>
        </w:rPr>
      </w:pPr>
      <w:bookmarkStart w:id="752" w:name="_Toc144104175"/>
      <w:r w:rsidRPr="00020CA3">
        <w:rPr>
          <w:color w:val="auto"/>
        </w:rPr>
        <w:t xml:space="preserve">Graf </w:t>
      </w:r>
      <w:r w:rsidR="006E2BBC" w:rsidRPr="00020CA3">
        <w:rPr>
          <w:color w:val="auto"/>
        </w:rPr>
        <w:fldChar w:fldCharType="begin"/>
      </w:r>
      <w:r w:rsidR="006E2BBC" w:rsidRPr="00020CA3">
        <w:rPr>
          <w:color w:val="auto"/>
        </w:rPr>
        <w:instrText xml:space="preserve"> SEQ Graf \* ARABIC </w:instrText>
      </w:r>
      <w:r w:rsidR="006E2BBC" w:rsidRPr="00020CA3">
        <w:rPr>
          <w:color w:val="auto"/>
        </w:rPr>
        <w:fldChar w:fldCharType="separate"/>
      </w:r>
      <w:r w:rsidR="001E1A67">
        <w:rPr>
          <w:noProof/>
          <w:color w:val="auto"/>
        </w:rPr>
        <w:t>63</w:t>
      </w:r>
      <w:r w:rsidR="006E2BBC" w:rsidRPr="00020CA3">
        <w:rPr>
          <w:color w:val="auto"/>
        </w:rPr>
        <w:fldChar w:fldCharType="end"/>
      </w:r>
      <w:r w:rsidRPr="00020CA3">
        <w:rPr>
          <w:color w:val="auto"/>
        </w:rPr>
        <w:t>: KS – distribuce délek prvostupňového trestního řízení</w:t>
      </w:r>
      <w:bookmarkEnd w:id="752"/>
    </w:p>
    <w:p w14:paraId="36C93ECE" w14:textId="089B19DF" w:rsidR="00ED5CE9" w:rsidRPr="00020CA3" w:rsidRDefault="00952546" w:rsidP="00020CA3">
      <w:pPr>
        <w:pStyle w:val="OdstavecASR"/>
      </w:pPr>
      <w:r w:rsidRPr="00020CA3">
        <w:rPr>
          <w:noProof/>
          <w:lang w:eastAsia="cs-CZ"/>
        </w:rPr>
        <w:drawing>
          <wp:inline distT="0" distB="0" distL="0" distR="0" wp14:anchorId="49C4F2A7" wp14:editId="3CDD15D3">
            <wp:extent cx="5029200" cy="3657600"/>
            <wp:effectExtent l="0" t="0" r="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410E782" w14:textId="634B12F1" w:rsidR="00C32030" w:rsidRPr="00020CA3" w:rsidRDefault="00C32030" w:rsidP="00C32030">
      <w:pPr>
        <w:pStyle w:val="OdstavecASR"/>
      </w:pPr>
      <w:r w:rsidRPr="00020CA3">
        <w:t>Nakonec jsou délky řízení, stejně jako u jiných agend, zobrazeny v histogramu. Šířka intervalu je 50 dnů. Na rozdíl od jiných histogramů jsou zde vidět „zuby“. Tím jsou myšleny velké rozdíly mezi četností u intervalů, které leží vedle sebe. Ty plynou z malého množství pozorování a zvolené šířky intervalu.</w:t>
      </w:r>
    </w:p>
    <w:p w14:paraId="078E2B9D" w14:textId="59E7361B" w:rsidR="00C32030" w:rsidRPr="00020CA3" w:rsidRDefault="00C32030" w:rsidP="00C32030">
      <w:pPr>
        <w:pStyle w:val="OdstavecASR"/>
      </w:pPr>
      <w:r w:rsidRPr="00020CA3">
        <w:lastRenderedPageBreak/>
        <w:t>Graf také velmi dobře dokládá rozdílnost agendy: mnoho věcí (asi 24 %) je vyřízeno velmi rychle, do 100 dnů. Na druhou stranu cca 36 % věcí je vyřízeno za více než 500 dnů a cca 3 % mají délku řízení delší než 2 000 dnů (cca 5,5 roku).</w:t>
      </w:r>
    </w:p>
    <w:p w14:paraId="742BE127" w14:textId="77777777" w:rsidR="00C32030" w:rsidRPr="00020CA3" w:rsidRDefault="00C32030" w:rsidP="00C32030">
      <w:pPr>
        <w:pStyle w:val="Nadpis3"/>
        <w:numPr>
          <w:ilvl w:val="2"/>
          <w:numId w:val="1"/>
        </w:numPr>
        <w:rPr>
          <w:color w:val="auto"/>
        </w:rPr>
      </w:pPr>
      <w:bookmarkStart w:id="753" w:name="_Toc109801376"/>
      <w:bookmarkStart w:id="754" w:name="_Toc144104378"/>
      <w:r w:rsidRPr="00020CA3">
        <w:rPr>
          <w:color w:val="auto"/>
        </w:rPr>
        <w:t>Vyřizování věcí</w:t>
      </w:r>
      <w:bookmarkEnd w:id="753"/>
      <w:bookmarkEnd w:id="754"/>
    </w:p>
    <w:p w14:paraId="05103018" w14:textId="3C7E267B" w:rsidR="00C32030" w:rsidRPr="00020CA3" w:rsidRDefault="00C32030" w:rsidP="00C32030">
      <w:pPr>
        <w:pStyle w:val="OdstavecASR"/>
      </w:pPr>
      <w:r w:rsidRPr="00020CA3">
        <w:t>Na následujícím grafu vidíme vývoj v počtu napadlých + obživlých, vyřízených a nevyřízených věcí.</w:t>
      </w:r>
    </w:p>
    <w:p w14:paraId="4E97182C" w14:textId="174ECFBA" w:rsidR="00565731" w:rsidRPr="00020CA3" w:rsidRDefault="00565731" w:rsidP="00565731">
      <w:pPr>
        <w:pStyle w:val="OdstavecASR"/>
      </w:pPr>
      <w:r w:rsidRPr="00020CA3">
        <w:t>Zatímco u okresních soudů je zřejmý jednoznačný dlouhodobý klesající trend (který se ovšem v posledních letech zastavil), u závažnějších trestných činů vyřizovaných krajskými soudy tomu tak není. Počet napadlých a vyřízených věcí se dlouhodobě pohybuje mezi 1 200 a 1 300 věcmi. V roce 2019 došlo k citelnému poklesu a počet příchozích věcí byl nejnižší od roku 2008. V roce 2020 se počet příchozích věcí meziročně víceméně nezměnil. Mohlo by se tedy zdát, že na závažnou kriminalitu neměla pandemie COVID</w:t>
      </w:r>
      <w:r w:rsidRPr="00020CA3">
        <w:noBreakHyphen/>
        <w:t>19 vliv (na rozdíl od agendy okresních soudů, která zahrnuje méně závažnou kriminalitu). Nicméně v roce 2021 ke značnému poklesu v počtu příchozích věcí došlo. U mnohých ze závažných trestných činů totiž platí, že od spáchání trestného činu do podání obžaloby uplyne (na rozdíl od méně významné trestné činnosti řešené typicky ve zkráceném přípravném řízení) delší doba, a to i několik let. Je tedy možné, že v důsledku pandemie reálně došlo i k propadu závažné kriminality, který se ale u soudů projevil až o rok později. Této teorii nasvědčuje i fakt, že počet nových případů u krajských státních zastupitelství se snížil asi o 10 % právě v roce 2020. V roce 2022 opět došlo k nárůstu příchozích věcí a z minima v roce 2021 se počet věcí opět přehoupl přes 1100. Počet vyřízených věcí se příliš neměnil a byl stále o něco větší než počet věcí příchozích. Z toho pak plyne mírný pokles v počtu nevyřízených věcí.</w:t>
      </w:r>
    </w:p>
    <w:p w14:paraId="31D56C39" w14:textId="79CE15C8" w:rsidR="00ED5CE9" w:rsidRPr="00020CA3" w:rsidRDefault="00565731" w:rsidP="00020CA3">
      <w:pPr>
        <w:pStyle w:val="Podnadpis"/>
        <w:rPr>
          <w:color w:val="auto"/>
        </w:rPr>
      </w:pPr>
      <w:bookmarkStart w:id="755" w:name="_Toc75952243"/>
      <w:bookmarkStart w:id="756" w:name="_Toc106106700"/>
      <w:bookmarkStart w:id="757" w:name="_Toc109802024"/>
      <w:bookmarkStart w:id="758" w:name="_Toc144104176"/>
      <w:r w:rsidRPr="00020CA3">
        <w:rPr>
          <w:color w:val="auto"/>
        </w:rPr>
        <w:t xml:space="preserve">Graf </w:t>
      </w:r>
      <w:r w:rsidR="009A10E2" w:rsidRPr="00020CA3">
        <w:rPr>
          <w:color w:val="auto"/>
        </w:rPr>
        <w:fldChar w:fldCharType="begin"/>
      </w:r>
      <w:r w:rsidR="009A10E2" w:rsidRPr="00020CA3">
        <w:rPr>
          <w:color w:val="auto"/>
        </w:rPr>
        <w:instrText xml:space="preserve"> SEQ Graf \* ARABIC </w:instrText>
      </w:r>
      <w:r w:rsidR="009A10E2" w:rsidRPr="00020CA3">
        <w:rPr>
          <w:color w:val="auto"/>
        </w:rPr>
        <w:fldChar w:fldCharType="separate"/>
      </w:r>
      <w:r w:rsidR="001E1A67">
        <w:rPr>
          <w:noProof/>
          <w:color w:val="auto"/>
        </w:rPr>
        <w:t>64</w:t>
      </w:r>
      <w:r w:rsidR="009A10E2" w:rsidRPr="00020CA3">
        <w:rPr>
          <w:color w:val="auto"/>
        </w:rPr>
        <w:fldChar w:fldCharType="end"/>
      </w:r>
      <w:r w:rsidRPr="00020CA3">
        <w:rPr>
          <w:color w:val="auto"/>
        </w:rPr>
        <w:t>: KS – vyřizování prvostupňových trestních věcí v letech 2008–202</w:t>
      </w:r>
      <w:bookmarkEnd w:id="755"/>
      <w:bookmarkEnd w:id="756"/>
      <w:bookmarkEnd w:id="757"/>
      <w:r w:rsidRPr="00020CA3">
        <w:rPr>
          <w:color w:val="auto"/>
        </w:rPr>
        <w:t>2</w:t>
      </w:r>
      <w:bookmarkEnd w:id="758"/>
    </w:p>
    <w:p w14:paraId="533A20AB" w14:textId="27F5498E" w:rsidR="00565731" w:rsidRDefault="00565731" w:rsidP="00020CA3">
      <w:pPr>
        <w:pStyle w:val="OdstavecASR"/>
      </w:pPr>
      <w:r w:rsidRPr="00020CA3">
        <w:rPr>
          <w:noProof/>
          <w:lang w:eastAsia="cs-CZ"/>
        </w:rPr>
        <w:drawing>
          <wp:inline distT="0" distB="0" distL="0" distR="0" wp14:anchorId="2C071A36" wp14:editId="6FB5631D">
            <wp:extent cx="5029200" cy="3657600"/>
            <wp:effectExtent l="0" t="0" r="0"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813841D" w14:textId="6FBFF080" w:rsidR="00DB2160" w:rsidRDefault="00DB2160">
      <w:pPr>
        <w:spacing w:after="160" w:line="259" w:lineRule="auto"/>
        <w:jc w:val="left"/>
      </w:pPr>
      <w:r>
        <w:br w:type="page"/>
      </w:r>
    </w:p>
    <w:p w14:paraId="432D1DF1" w14:textId="447F4515" w:rsidR="00565731" w:rsidRPr="00020CA3" w:rsidRDefault="00565731" w:rsidP="00565731">
      <w:pPr>
        <w:pStyle w:val="Podnadpis"/>
        <w:rPr>
          <w:color w:val="auto"/>
        </w:rPr>
      </w:pPr>
      <w:bookmarkStart w:id="759" w:name="_Toc75952359"/>
      <w:bookmarkStart w:id="760" w:name="_Toc106106815"/>
      <w:bookmarkStart w:id="761" w:name="_Toc109802138"/>
      <w:bookmarkStart w:id="762" w:name="_Toc144104296"/>
      <w:r w:rsidRPr="00020CA3">
        <w:rPr>
          <w:color w:val="auto"/>
        </w:rPr>
        <w:lastRenderedPageBreak/>
        <w:t xml:space="preserve">Tabulka </w:t>
      </w:r>
      <w:r w:rsidRPr="00020CA3">
        <w:rPr>
          <w:color w:val="auto"/>
        </w:rPr>
        <w:fldChar w:fldCharType="begin"/>
      </w:r>
      <w:r w:rsidRPr="00020CA3">
        <w:rPr>
          <w:color w:val="auto"/>
        </w:rPr>
        <w:instrText xml:space="preserve"> SEQ Tabulka \* ARABIC </w:instrText>
      </w:r>
      <w:r w:rsidRPr="00020CA3">
        <w:rPr>
          <w:color w:val="auto"/>
        </w:rPr>
        <w:fldChar w:fldCharType="separate"/>
      </w:r>
      <w:r w:rsidR="001E1A67">
        <w:rPr>
          <w:noProof/>
          <w:color w:val="auto"/>
        </w:rPr>
        <w:t>57</w:t>
      </w:r>
      <w:r w:rsidRPr="00020CA3">
        <w:rPr>
          <w:noProof/>
          <w:color w:val="auto"/>
        </w:rPr>
        <w:fldChar w:fldCharType="end"/>
      </w:r>
      <w:r w:rsidRPr="00020CA3">
        <w:rPr>
          <w:color w:val="auto"/>
        </w:rPr>
        <w:t>: KS – vyřizování prvostupňových trestních věcí dle soudů</w:t>
      </w:r>
      <w:bookmarkEnd w:id="759"/>
      <w:bookmarkEnd w:id="760"/>
      <w:bookmarkEnd w:id="761"/>
      <w:bookmarkEnd w:id="762"/>
    </w:p>
    <w:tbl>
      <w:tblPr>
        <w:tblW w:w="9199" w:type="dxa"/>
        <w:tblCellMar>
          <w:left w:w="70" w:type="dxa"/>
          <w:right w:w="70" w:type="dxa"/>
        </w:tblCellMar>
        <w:tblLook w:val="04A0" w:firstRow="1" w:lastRow="0" w:firstColumn="1" w:lastColumn="0" w:noHBand="0" w:noVBand="1"/>
      </w:tblPr>
      <w:tblGrid>
        <w:gridCol w:w="2020"/>
        <w:gridCol w:w="1099"/>
        <w:gridCol w:w="850"/>
        <w:gridCol w:w="993"/>
        <w:gridCol w:w="854"/>
        <w:gridCol w:w="992"/>
        <w:gridCol w:w="851"/>
        <w:gridCol w:w="1540"/>
      </w:tblGrid>
      <w:tr w:rsidR="00020CA3" w:rsidRPr="00020CA3" w14:paraId="735BDED0" w14:textId="77777777" w:rsidTr="00B5297A">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666B172" w14:textId="0F6D2333" w:rsidR="00020CA3" w:rsidRPr="00020CA3" w:rsidRDefault="00020CA3" w:rsidP="00020CA3">
            <w:pPr>
              <w:spacing w:line="240" w:lineRule="auto"/>
              <w:jc w:val="center"/>
              <w:rPr>
                <w:rFonts w:eastAsia="Times New Roman"/>
                <w:b/>
                <w:bCs/>
                <w:szCs w:val="24"/>
                <w:lang w:eastAsia="cs-CZ"/>
              </w:rPr>
            </w:pPr>
            <w:r w:rsidRPr="00020CA3">
              <w:rPr>
                <w:rFonts w:eastAsia="Times New Roman"/>
                <w:b/>
                <w:bCs/>
                <w:szCs w:val="24"/>
                <w:lang w:eastAsia="cs-CZ"/>
              </w:rPr>
              <w:t>Soud</w:t>
            </w:r>
          </w:p>
        </w:tc>
        <w:tc>
          <w:tcPr>
            <w:tcW w:w="5639" w:type="dxa"/>
            <w:gridSpan w:val="6"/>
            <w:tcBorders>
              <w:top w:val="double" w:sz="6" w:space="0" w:color="auto"/>
              <w:left w:val="nil"/>
              <w:bottom w:val="nil"/>
              <w:right w:val="single" w:sz="4" w:space="0" w:color="000000"/>
            </w:tcBorders>
            <w:shd w:val="clear" w:color="auto" w:fill="auto"/>
            <w:noWrap/>
            <w:vAlign w:val="center"/>
            <w:hideMark/>
          </w:tcPr>
          <w:p w14:paraId="1CB220E8" w14:textId="77777777" w:rsidR="00020CA3" w:rsidRPr="00020CA3" w:rsidRDefault="00020CA3" w:rsidP="00020CA3">
            <w:pPr>
              <w:spacing w:line="240" w:lineRule="auto"/>
              <w:jc w:val="center"/>
              <w:rPr>
                <w:rFonts w:eastAsia="Times New Roman"/>
                <w:b/>
                <w:bCs/>
                <w:szCs w:val="24"/>
                <w:lang w:eastAsia="cs-CZ"/>
              </w:rPr>
            </w:pPr>
            <w:r w:rsidRPr="00020CA3">
              <w:rPr>
                <w:rFonts w:eastAsia="Times New Roman"/>
                <w:b/>
                <w:bCs/>
                <w:szCs w:val="24"/>
                <w:lang w:eastAsia="cs-CZ"/>
              </w:rPr>
              <w:t>Počet věcí</w:t>
            </w:r>
          </w:p>
        </w:tc>
        <w:tc>
          <w:tcPr>
            <w:tcW w:w="1540" w:type="dxa"/>
            <w:vMerge w:val="restart"/>
            <w:tcBorders>
              <w:top w:val="double" w:sz="6" w:space="0" w:color="auto"/>
              <w:left w:val="nil"/>
              <w:right w:val="nil"/>
            </w:tcBorders>
            <w:shd w:val="clear" w:color="auto" w:fill="auto"/>
            <w:vAlign w:val="center"/>
            <w:hideMark/>
          </w:tcPr>
          <w:p w14:paraId="78A52A7C" w14:textId="77777777" w:rsidR="00020CA3" w:rsidRPr="00020CA3" w:rsidRDefault="00020CA3" w:rsidP="00020CA3">
            <w:pPr>
              <w:spacing w:line="240" w:lineRule="auto"/>
              <w:jc w:val="center"/>
              <w:rPr>
                <w:rFonts w:eastAsia="Times New Roman"/>
                <w:b/>
                <w:bCs/>
                <w:szCs w:val="24"/>
                <w:lang w:eastAsia="cs-CZ"/>
              </w:rPr>
            </w:pPr>
            <w:r w:rsidRPr="00020CA3">
              <w:rPr>
                <w:rFonts w:eastAsia="Times New Roman"/>
                <w:b/>
                <w:bCs/>
                <w:szCs w:val="24"/>
                <w:lang w:eastAsia="cs-CZ"/>
              </w:rPr>
              <w:t>Míra vyřizování</w:t>
            </w:r>
          </w:p>
        </w:tc>
      </w:tr>
      <w:tr w:rsidR="00020CA3" w:rsidRPr="00020CA3" w14:paraId="78BFB476" w14:textId="77777777" w:rsidTr="00B5297A">
        <w:trPr>
          <w:trHeight w:val="330"/>
        </w:trPr>
        <w:tc>
          <w:tcPr>
            <w:tcW w:w="2020" w:type="dxa"/>
            <w:vMerge/>
            <w:tcBorders>
              <w:top w:val="double" w:sz="6" w:space="0" w:color="auto"/>
              <w:left w:val="nil"/>
              <w:bottom w:val="double" w:sz="6" w:space="0" w:color="000000"/>
              <w:right w:val="nil"/>
            </w:tcBorders>
            <w:vAlign w:val="center"/>
            <w:hideMark/>
          </w:tcPr>
          <w:p w14:paraId="267FD6DD" w14:textId="77777777" w:rsidR="00020CA3" w:rsidRPr="00020CA3" w:rsidRDefault="00020CA3" w:rsidP="00020CA3">
            <w:pPr>
              <w:spacing w:line="240" w:lineRule="auto"/>
              <w:jc w:val="center"/>
              <w:rPr>
                <w:rFonts w:eastAsia="Times New Roman"/>
                <w:b/>
                <w:bCs/>
                <w:szCs w:val="24"/>
                <w:lang w:eastAsia="cs-CZ"/>
              </w:rPr>
            </w:pPr>
          </w:p>
        </w:tc>
        <w:tc>
          <w:tcPr>
            <w:tcW w:w="1949" w:type="dxa"/>
            <w:gridSpan w:val="2"/>
            <w:tcBorders>
              <w:top w:val="nil"/>
              <w:left w:val="nil"/>
              <w:bottom w:val="double" w:sz="6" w:space="0" w:color="auto"/>
              <w:right w:val="nil"/>
            </w:tcBorders>
            <w:shd w:val="clear" w:color="auto" w:fill="auto"/>
            <w:noWrap/>
            <w:vAlign w:val="center"/>
            <w:hideMark/>
          </w:tcPr>
          <w:p w14:paraId="11629529" w14:textId="77777777" w:rsidR="00020CA3" w:rsidRPr="00020CA3" w:rsidRDefault="00020CA3" w:rsidP="00020CA3">
            <w:pPr>
              <w:spacing w:line="240" w:lineRule="auto"/>
              <w:jc w:val="center"/>
              <w:rPr>
                <w:rFonts w:eastAsia="Times New Roman"/>
                <w:b/>
                <w:bCs/>
                <w:szCs w:val="24"/>
                <w:lang w:eastAsia="cs-CZ"/>
              </w:rPr>
            </w:pPr>
            <w:r w:rsidRPr="00020CA3">
              <w:rPr>
                <w:rFonts w:eastAsia="Times New Roman"/>
                <w:b/>
                <w:bCs/>
                <w:szCs w:val="24"/>
                <w:lang w:eastAsia="cs-CZ"/>
              </w:rPr>
              <w:t>Nápad + obživa</w:t>
            </w:r>
          </w:p>
        </w:tc>
        <w:tc>
          <w:tcPr>
            <w:tcW w:w="184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E00F434" w14:textId="77777777" w:rsidR="00020CA3" w:rsidRPr="00020CA3" w:rsidRDefault="00020CA3" w:rsidP="00020CA3">
            <w:pPr>
              <w:spacing w:line="240" w:lineRule="auto"/>
              <w:jc w:val="center"/>
              <w:rPr>
                <w:rFonts w:eastAsia="Times New Roman"/>
                <w:b/>
                <w:bCs/>
                <w:szCs w:val="24"/>
                <w:lang w:eastAsia="cs-CZ"/>
              </w:rPr>
            </w:pPr>
            <w:r w:rsidRPr="00020CA3">
              <w:rPr>
                <w:rFonts w:eastAsia="Times New Roman"/>
                <w:b/>
                <w:bCs/>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noWrap/>
            <w:vAlign w:val="center"/>
            <w:hideMark/>
          </w:tcPr>
          <w:p w14:paraId="55A52C1B" w14:textId="77777777" w:rsidR="00020CA3" w:rsidRPr="00020CA3" w:rsidRDefault="00020CA3" w:rsidP="00020CA3">
            <w:pPr>
              <w:spacing w:line="240" w:lineRule="auto"/>
              <w:jc w:val="center"/>
              <w:rPr>
                <w:rFonts w:eastAsia="Times New Roman"/>
                <w:b/>
                <w:bCs/>
                <w:szCs w:val="24"/>
                <w:lang w:eastAsia="cs-CZ"/>
              </w:rPr>
            </w:pPr>
            <w:r w:rsidRPr="00020CA3">
              <w:rPr>
                <w:rFonts w:eastAsia="Times New Roman"/>
                <w:b/>
                <w:bCs/>
                <w:szCs w:val="24"/>
                <w:lang w:eastAsia="cs-CZ"/>
              </w:rPr>
              <w:t>Nevyřízeno</w:t>
            </w:r>
          </w:p>
        </w:tc>
        <w:tc>
          <w:tcPr>
            <w:tcW w:w="1540" w:type="dxa"/>
            <w:vMerge/>
            <w:tcBorders>
              <w:left w:val="nil"/>
              <w:bottom w:val="double" w:sz="6" w:space="0" w:color="000000"/>
              <w:right w:val="nil"/>
            </w:tcBorders>
            <w:vAlign w:val="center"/>
            <w:hideMark/>
          </w:tcPr>
          <w:p w14:paraId="3C99F102" w14:textId="77777777" w:rsidR="00020CA3" w:rsidRPr="00020CA3" w:rsidRDefault="00020CA3" w:rsidP="00020CA3">
            <w:pPr>
              <w:spacing w:line="240" w:lineRule="auto"/>
              <w:jc w:val="center"/>
              <w:rPr>
                <w:rFonts w:eastAsia="Times New Roman"/>
                <w:b/>
                <w:bCs/>
                <w:szCs w:val="24"/>
                <w:lang w:eastAsia="cs-CZ"/>
              </w:rPr>
            </w:pPr>
          </w:p>
        </w:tc>
      </w:tr>
      <w:tr w:rsidR="00F15667" w:rsidRPr="00020CA3" w14:paraId="62D3CA2E" w14:textId="77777777" w:rsidTr="00020CA3">
        <w:trPr>
          <w:trHeight w:val="330"/>
        </w:trPr>
        <w:tc>
          <w:tcPr>
            <w:tcW w:w="2020" w:type="dxa"/>
            <w:tcBorders>
              <w:top w:val="single" w:sz="4" w:space="0" w:color="auto"/>
              <w:left w:val="nil"/>
              <w:bottom w:val="single" w:sz="4" w:space="0" w:color="auto"/>
              <w:right w:val="nil"/>
            </w:tcBorders>
            <w:shd w:val="clear" w:color="auto" w:fill="auto"/>
            <w:noWrap/>
            <w:vAlign w:val="center"/>
            <w:hideMark/>
          </w:tcPr>
          <w:p w14:paraId="6D7B11CB" w14:textId="77777777" w:rsidR="00565731" w:rsidRPr="00020CA3" w:rsidRDefault="00565731" w:rsidP="00020CA3">
            <w:pPr>
              <w:spacing w:line="240" w:lineRule="auto"/>
              <w:jc w:val="left"/>
              <w:rPr>
                <w:rFonts w:eastAsia="Times New Roman"/>
                <w:szCs w:val="24"/>
                <w:lang w:eastAsia="cs-CZ"/>
              </w:rPr>
            </w:pPr>
            <w:r w:rsidRPr="00020CA3">
              <w:rPr>
                <w:rFonts w:eastAsia="Times New Roman"/>
                <w:szCs w:val="24"/>
                <w:lang w:eastAsia="cs-CZ"/>
              </w:rPr>
              <w:t>MS Praha</w:t>
            </w:r>
          </w:p>
        </w:tc>
        <w:tc>
          <w:tcPr>
            <w:tcW w:w="1099" w:type="dxa"/>
            <w:tcBorders>
              <w:top w:val="single" w:sz="4" w:space="0" w:color="auto"/>
              <w:left w:val="nil"/>
              <w:bottom w:val="single" w:sz="4" w:space="0" w:color="auto"/>
              <w:right w:val="nil"/>
            </w:tcBorders>
            <w:shd w:val="clear" w:color="auto" w:fill="auto"/>
            <w:noWrap/>
            <w:vAlign w:val="center"/>
            <w:hideMark/>
          </w:tcPr>
          <w:p w14:paraId="25668D90"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298</w:t>
            </w:r>
          </w:p>
        </w:tc>
        <w:tc>
          <w:tcPr>
            <w:tcW w:w="850" w:type="dxa"/>
            <w:tcBorders>
              <w:top w:val="single" w:sz="4" w:space="0" w:color="auto"/>
              <w:left w:val="nil"/>
              <w:bottom w:val="single" w:sz="4" w:space="0" w:color="auto"/>
              <w:right w:val="nil"/>
            </w:tcBorders>
            <w:shd w:val="clear" w:color="auto" w:fill="auto"/>
            <w:noWrap/>
            <w:vAlign w:val="center"/>
            <w:hideMark/>
          </w:tcPr>
          <w:p w14:paraId="6A5187AE" w14:textId="68EC26E7"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+14 %</w:t>
            </w:r>
          </w:p>
        </w:tc>
        <w:tc>
          <w:tcPr>
            <w:tcW w:w="993" w:type="dxa"/>
            <w:tcBorders>
              <w:top w:val="single" w:sz="4" w:space="0" w:color="auto"/>
              <w:left w:val="single" w:sz="4" w:space="0" w:color="auto"/>
              <w:bottom w:val="single" w:sz="4" w:space="0" w:color="auto"/>
              <w:right w:val="nil"/>
            </w:tcBorders>
            <w:shd w:val="clear" w:color="auto" w:fill="auto"/>
            <w:noWrap/>
            <w:vAlign w:val="center"/>
            <w:hideMark/>
          </w:tcPr>
          <w:p w14:paraId="54CF0B28"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284</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25EBDB6B" w14:textId="469D61C8"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+3 %</w:t>
            </w:r>
          </w:p>
        </w:tc>
        <w:tc>
          <w:tcPr>
            <w:tcW w:w="992" w:type="dxa"/>
            <w:tcBorders>
              <w:top w:val="single" w:sz="4" w:space="0" w:color="auto"/>
              <w:left w:val="nil"/>
              <w:bottom w:val="single" w:sz="4" w:space="0" w:color="auto"/>
              <w:right w:val="nil"/>
            </w:tcBorders>
            <w:shd w:val="clear" w:color="auto" w:fill="auto"/>
            <w:noWrap/>
            <w:vAlign w:val="center"/>
            <w:hideMark/>
          </w:tcPr>
          <w:p w14:paraId="644D6233"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178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BD1F90" w14:textId="1EBD04C8"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+8 %</w:t>
            </w:r>
          </w:p>
        </w:tc>
        <w:tc>
          <w:tcPr>
            <w:tcW w:w="1540" w:type="dxa"/>
            <w:tcBorders>
              <w:top w:val="nil"/>
              <w:left w:val="nil"/>
              <w:bottom w:val="single" w:sz="4" w:space="0" w:color="auto"/>
              <w:right w:val="nil"/>
            </w:tcBorders>
            <w:shd w:val="clear" w:color="auto" w:fill="auto"/>
            <w:noWrap/>
            <w:vAlign w:val="center"/>
            <w:hideMark/>
          </w:tcPr>
          <w:p w14:paraId="7D709367" w14:textId="0F4AA29E"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95,3 %</w:t>
            </w:r>
          </w:p>
        </w:tc>
      </w:tr>
      <w:tr w:rsidR="00F15667" w:rsidRPr="00020CA3" w14:paraId="25E7D732" w14:textId="77777777" w:rsidTr="00020CA3">
        <w:trPr>
          <w:trHeight w:val="315"/>
        </w:trPr>
        <w:tc>
          <w:tcPr>
            <w:tcW w:w="2020" w:type="dxa"/>
            <w:tcBorders>
              <w:top w:val="nil"/>
              <w:left w:val="nil"/>
              <w:bottom w:val="single" w:sz="4" w:space="0" w:color="auto"/>
              <w:right w:val="nil"/>
            </w:tcBorders>
            <w:shd w:val="clear" w:color="auto" w:fill="auto"/>
            <w:noWrap/>
            <w:vAlign w:val="center"/>
            <w:hideMark/>
          </w:tcPr>
          <w:p w14:paraId="720038F9" w14:textId="77777777" w:rsidR="00565731" w:rsidRPr="00020CA3" w:rsidRDefault="00565731" w:rsidP="00020CA3">
            <w:pPr>
              <w:spacing w:line="240" w:lineRule="auto"/>
              <w:jc w:val="left"/>
              <w:rPr>
                <w:rFonts w:eastAsia="Times New Roman"/>
                <w:szCs w:val="24"/>
                <w:lang w:eastAsia="cs-CZ"/>
              </w:rPr>
            </w:pPr>
            <w:r w:rsidRPr="00020CA3">
              <w:rPr>
                <w:rFonts w:eastAsia="Times New Roman"/>
                <w:szCs w:val="24"/>
                <w:lang w:eastAsia="cs-CZ"/>
              </w:rPr>
              <w:t>KS Praha</w:t>
            </w:r>
          </w:p>
        </w:tc>
        <w:tc>
          <w:tcPr>
            <w:tcW w:w="1099" w:type="dxa"/>
            <w:tcBorders>
              <w:top w:val="nil"/>
              <w:left w:val="nil"/>
              <w:bottom w:val="single" w:sz="4" w:space="0" w:color="auto"/>
              <w:right w:val="nil"/>
            </w:tcBorders>
            <w:shd w:val="clear" w:color="auto" w:fill="auto"/>
            <w:noWrap/>
            <w:vAlign w:val="center"/>
            <w:hideMark/>
          </w:tcPr>
          <w:p w14:paraId="0D96A8BD"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77</w:t>
            </w:r>
          </w:p>
        </w:tc>
        <w:tc>
          <w:tcPr>
            <w:tcW w:w="850" w:type="dxa"/>
            <w:tcBorders>
              <w:top w:val="nil"/>
              <w:left w:val="nil"/>
              <w:bottom w:val="single" w:sz="4" w:space="0" w:color="auto"/>
              <w:right w:val="nil"/>
            </w:tcBorders>
            <w:shd w:val="clear" w:color="auto" w:fill="auto"/>
            <w:noWrap/>
            <w:vAlign w:val="center"/>
            <w:hideMark/>
          </w:tcPr>
          <w:p w14:paraId="67D40CEF" w14:textId="546D3F4D"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-6 %</w:t>
            </w:r>
          </w:p>
        </w:tc>
        <w:tc>
          <w:tcPr>
            <w:tcW w:w="993" w:type="dxa"/>
            <w:tcBorders>
              <w:top w:val="nil"/>
              <w:left w:val="single" w:sz="4" w:space="0" w:color="auto"/>
              <w:bottom w:val="single" w:sz="4" w:space="0" w:color="auto"/>
              <w:right w:val="nil"/>
            </w:tcBorders>
            <w:shd w:val="clear" w:color="auto" w:fill="auto"/>
            <w:noWrap/>
            <w:vAlign w:val="center"/>
            <w:hideMark/>
          </w:tcPr>
          <w:p w14:paraId="4D012875"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77</w:t>
            </w:r>
          </w:p>
        </w:tc>
        <w:tc>
          <w:tcPr>
            <w:tcW w:w="854" w:type="dxa"/>
            <w:tcBorders>
              <w:top w:val="nil"/>
              <w:left w:val="nil"/>
              <w:bottom w:val="single" w:sz="4" w:space="0" w:color="auto"/>
              <w:right w:val="single" w:sz="4" w:space="0" w:color="auto"/>
            </w:tcBorders>
            <w:shd w:val="clear" w:color="auto" w:fill="auto"/>
            <w:noWrap/>
            <w:vAlign w:val="center"/>
            <w:hideMark/>
          </w:tcPr>
          <w:p w14:paraId="4079DF1B" w14:textId="7E225438"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-1 %</w:t>
            </w:r>
          </w:p>
        </w:tc>
        <w:tc>
          <w:tcPr>
            <w:tcW w:w="992" w:type="dxa"/>
            <w:tcBorders>
              <w:top w:val="nil"/>
              <w:left w:val="nil"/>
              <w:bottom w:val="single" w:sz="4" w:space="0" w:color="auto"/>
              <w:right w:val="nil"/>
            </w:tcBorders>
            <w:shd w:val="clear" w:color="auto" w:fill="auto"/>
            <w:noWrap/>
            <w:vAlign w:val="center"/>
            <w:hideMark/>
          </w:tcPr>
          <w:p w14:paraId="1E70D70B"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30</w:t>
            </w:r>
          </w:p>
        </w:tc>
        <w:tc>
          <w:tcPr>
            <w:tcW w:w="851" w:type="dxa"/>
            <w:tcBorders>
              <w:top w:val="nil"/>
              <w:left w:val="nil"/>
              <w:bottom w:val="single" w:sz="4" w:space="0" w:color="auto"/>
              <w:right w:val="single" w:sz="4" w:space="0" w:color="auto"/>
            </w:tcBorders>
            <w:shd w:val="clear" w:color="auto" w:fill="auto"/>
            <w:noWrap/>
            <w:vAlign w:val="center"/>
            <w:hideMark/>
          </w:tcPr>
          <w:p w14:paraId="69F6785E" w14:textId="0605F417"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2F7490E8" w14:textId="5593A3A9"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100,0 %</w:t>
            </w:r>
          </w:p>
        </w:tc>
      </w:tr>
      <w:tr w:rsidR="00F15667" w:rsidRPr="00020CA3" w14:paraId="30E1023B" w14:textId="77777777" w:rsidTr="00020CA3">
        <w:trPr>
          <w:trHeight w:val="315"/>
        </w:trPr>
        <w:tc>
          <w:tcPr>
            <w:tcW w:w="2020" w:type="dxa"/>
            <w:tcBorders>
              <w:top w:val="nil"/>
              <w:left w:val="nil"/>
              <w:bottom w:val="single" w:sz="4" w:space="0" w:color="auto"/>
              <w:right w:val="nil"/>
            </w:tcBorders>
            <w:shd w:val="clear" w:color="auto" w:fill="auto"/>
            <w:noWrap/>
            <w:vAlign w:val="center"/>
            <w:hideMark/>
          </w:tcPr>
          <w:p w14:paraId="4A375482" w14:textId="77777777" w:rsidR="00565731" w:rsidRPr="00020CA3" w:rsidRDefault="00565731" w:rsidP="00020CA3">
            <w:pPr>
              <w:spacing w:line="240" w:lineRule="auto"/>
              <w:jc w:val="left"/>
              <w:rPr>
                <w:rFonts w:eastAsia="Times New Roman"/>
                <w:szCs w:val="24"/>
                <w:lang w:eastAsia="cs-CZ"/>
              </w:rPr>
            </w:pPr>
            <w:r w:rsidRPr="00020CA3">
              <w:rPr>
                <w:rFonts w:eastAsia="Times New Roman"/>
                <w:szCs w:val="24"/>
                <w:lang w:eastAsia="cs-CZ"/>
              </w:rPr>
              <w:t>KS Č. Budějovice</w:t>
            </w:r>
          </w:p>
        </w:tc>
        <w:tc>
          <w:tcPr>
            <w:tcW w:w="1099" w:type="dxa"/>
            <w:tcBorders>
              <w:top w:val="nil"/>
              <w:left w:val="nil"/>
              <w:bottom w:val="single" w:sz="4" w:space="0" w:color="auto"/>
              <w:right w:val="nil"/>
            </w:tcBorders>
            <w:shd w:val="clear" w:color="auto" w:fill="auto"/>
            <w:noWrap/>
            <w:vAlign w:val="center"/>
            <w:hideMark/>
          </w:tcPr>
          <w:p w14:paraId="47B1D3AC"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59</w:t>
            </w:r>
          </w:p>
        </w:tc>
        <w:tc>
          <w:tcPr>
            <w:tcW w:w="850" w:type="dxa"/>
            <w:tcBorders>
              <w:top w:val="nil"/>
              <w:left w:val="nil"/>
              <w:bottom w:val="single" w:sz="4" w:space="0" w:color="auto"/>
              <w:right w:val="nil"/>
            </w:tcBorders>
            <w:shd w:val="clear" w:color="auto" w:fill="auto"/>
            <w:noWrap/>
            <w:vAlign w:val="center"/>
            <w:hideMark/>
          </w:tcPr>
          <w:p w14:paraId="0C123C2A" w14:textId="2D71C0B1"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+16 %</w:t>
            </w:r>
          </w:p>
        </w:tc>
        <w:tc>
          <w:tcPr>
            <w:tcW w:w="993" w:type="dxa"/>
            <w:tcBorders>
              <w:top w:val="nil"/>
              <w:left w:val="single" w:sz="4" w:space="0" w:color="auto"/>
              <w:bottom w:val="single" w:sz="4" w:space="0" w:color="auto"/>
              <w:right w:val="nil"/>
            </w:tcBorders>
            <w:shd w:val="clear" w:color="auto" w:fill="auto"/>
            <w:noWrap/>
            <w:vAlign w:val="center"/>
            <w:hideMark/>
          </w:tcPr>
          <w:p w14:paraId="329AC018"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54</w:t>
            </w:r>
          </w:p>
        </w:tc>
        <w:tc>
          <w:tcPr>
            <w:tcW w:w="854" w:type="dxa"/>
            <w:tcBorders>
              <w:top w:val="nil"/>
              <w:left w:val="nil"/>
              <w:bottom w:val="single" w:sz="4" w:space="0" w:color="auto"/>
              <w:right w:val="single" w:sz="4" w:space="0" w:color="auto"/>
            </w:tcBorders>
            <w:shd w:val="clear" w:color="auto" w:fill="auto"/>
            <w:noWrap/>
            <w:vAlign w:val="center"/>
            <w:hideMark/>
          </w:tcPr>
          <w:p w14:paraId="75C83254" w14:textId="7FFA11D3"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-14 %</w:t>
            </w:r>
          </w:p>
        </w:tc>
        <w:tc>
          <w:tcPr>
            <w:tcW w:w="992" w:type="dxa"/>
            <w:tcBorders>
              <w:top w:val="nil"/>
              <w:left w:val="nil"/>
              <w:bottom w:val="single" w:sz="4" w:space="0" w:color="auto"/>
              <w:right w:val="nil"/>
            </w:tcBorders>
            <w:shd w:val="clear" w:color="auto" w:fill="auto"/>
            <w:noWrap/>
            <w:vAlign w:val="center"/>
            <w:hideMark/>
          </w:tcPr>
          <w:p w14:paraId="1C3FCA03"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38</w:t>
            </w:r>
          </w:p>
        </w:tc>
        <w:tc>
          <w:tcPr>
            <w:tcW w:w="851" w:type="dxa"/>
            <w:tcBorders>
              <w:top w:val="nil"/>
              <w:left w:val="nil"/>
              <w:bottom w:val="single" w:sz="4" w:space="0" w:color="auto"/>
              <w:right w:val="single" w:sz="4" w:space="0" w:color="auto"/>
            </w:tcBorders>
            <w:shd w:val="clear" w:color="auto" w:fill="auto"/>
            <w:noWrap/>
            <w:vAlign w:val="center"/>
            <w:hideMark/>
          </w:tcPr>
          <w:p w14:paraId="5635948E" w14:textId="378ACF74"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+15 %</w:t>
            </w:r>
          </w:p>
        </w:tc>
        <w:tc>
          <w:tcPr>
            <w:tcW w:w="1540" w:type="dxa"/>
            <w:tcBorders>
              <w:top w:val="nil"/>
              <w:left w:val="nil"/>
              <w:bottom w:val="single" w:sz="4" w:space="0" w:color="auto"/>
              <w:right w:val="nil"/>
            </w:tcBorders>
            <w:shd w:val="clear" w:color="auto" w:fill="auto"/>
            <w:noWrap/>
            <w:vAlign w:val="center"/>
            <w:hideMark/>
          </w:tcPr>
          <w:p w14:paraId="6090DFA7" w14:textId="709EFB0F"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91,5 %</w:t>
            </w:r>
          </w:p>
        </w:tc>
      </w:tr>
      <w:tr w:rsidR="00F15667" w:rsidRPr="00020CA3" w14:paraId="198F1282" w14:textId="77777777" w:rsidTr="00020CA3">
        <w:trPr>
          <w:trHeight w:val="315"/>
        </w:trPr>
        <w:tc>
          <w:tcPr>
            <w:tcW w:w="2020" w:type="dxa"/>
            <w:tcBorders>
              <w:top w:val="nil"/>
              <w:left w:val="nil"/>
              <w:bottom w:val="single" w:sz="4" w:space="0" w:color="auto"/>
              <w:right w:val="nil"/>
            </w:tcBorders>
            <w:shd w:val="clear" w:color="auto" w:fill="auto"/>
            <w:noWrap/>
            <w:vAlign w:val="center"/>
            <w:hideMark/>
          </w:tcPr>
          <w:p w14:paraId="431F4EE0" w14:textId="77777777" w:rsidR="00565731" w:rsidRPr="00020CA3" w:rsidRDefault="00565731" w:rsidP="00020CA3">
            <w:pPr>
              <w:spacing w:line="240" w:lineRule="auto"/>
              <w:jc w:val="left"/>
              <w:rPr>
                <w:rFonts w:eastAsia="Times New Roman"/>
                <w:szCs w:val="24"/>
                <w:lang w:eastAsia="cs-CZ"/>
              </w:rPr>
            </w:pPr>
            <w:r w:rsidRPr="00020CA3">
              <w:rPr>
                <w:rFonts w:eastAsia="Times New Roman"/>
                <w:szCs w:val="24"/>
                <w:lang w:eastAsia="cs-CZ"/>
              </w:rPr>
              <w:t>KS Plzeň</w:t>
            </w:r>
          </w:p>
        </w:tc>
        <w:tc>
          <w:tcPr>
            <w:tcW w:w="1099" w:type="dxa"/>
            <w:tcBorders>
              <w:top w:val="nil"/>
              <w:left w:val="nil"/>
              <w:bottom w:val="single" w:sz="4" w:space="0" w:color="auto"/>
              <w:right w:val="nil"/>
            </w:tcBorders>
            <w:shd w:val="clear" w:color="auto" w:fill="auto"/>
            <w:noWrap/>
            <w:vAlign w:val="center"/>
            <w:hideMark/>
          </w:tcPr>
          <w:p w14:paraId="2321BF1E"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97</w:t>
            </w:r>
          </w:p>
        </w:tc>
        <w:tc>
          <w:tcPr>
            <w:tcW w:w="850" w:type="dxa"/>
            <w:tcBorders>
              <w:top w:val="nil"/>
              <w:left w:val="nil"/>
              <w:bottom w:val="single" w:sz="4" w:space="0" w:color="auto"/>
              <w:right w:val="nil"/>
            </w:tcBorders>
            <w:shd w:val="clear" w:color="auto" w:fill="auto"/>
            <w:noWrap/>
            <w:vAlign w:val="center"/>
            <w:hideMark/>
          </w:tcPr>
          <w:p w14:paraId="60ADB046" w14:textId="63455C19"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-2 %</w:t>
            </w:r>
          </w:p>
        </w:tc>
        <w:tc>
          <w:tcPr>
            <w:tcW w:w="993" w:type="dxa"/>
            <w:tcBorders>
              <w:top w:val="nil"/>
              <w:left w:val="single" w:sz="4" w:space="0" w:color="auto"/>
              <w:bottom w:val="single" w:sz="4" w:space="0" w:color="auto"/>
              <w:right w:val="nil"/>
            </w:tcBorders>
            <w:shd w:val="clear" w:color="auto" w:fill="auto"/>
            <w:noWrap/>
            <w:vAlign w:val="center"/>
            <w:hideMark/>
          </w:tcPr>
          <w:p w14:paraId="0250471F"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105</w:t>
            </w:r>
          </w:p>
        </w:tc>
        <w:tc>
          <w:tcPr>
            <w:tcW w:w="854" w:type="dxa"/>
            <w:tcBorders>
              <w:top w:val="nil"/>
              <w:left w:val="nil"/>
              <w:bottom w:val="single" w:sz="4" w:space="0" w:color="auto"/>
              <w:right w:val="single" w:sz="4" w:space="0" w:color="auto"/>
            </w:tcBorders>
            <w:shd w:val="clear" w:color="auto" w:fill="auto"/>
            <w:noWrap/>
            <w:vAlign w:val="center"/>
            <w:hideMark/>
          </w:tcPr>
          <w:p w14:paraId="5CC533FF" w14:textId="76EB0571"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+4 %</w:t>
            </w:r>
          </w:p>
        </w:tc>
        <w:tc>
          <w:tcPr>
            <w:tcW w:w="992" w:type="dxa"/>
            <w:tcBorders>
              <w:top w:val="nil"/>
              <w:left w:val="nil"/>
              <w:bottom w:val="single" w:sz="4" w:space="0" w:color="auto"/>
              <w:right w:val="nil"/>
            </w:tcBorders>
            <w:shd w:val="clear" w:color="auto" w:fill="auto"/>
            <w:noWrap/>
            <w:vAlign w:val="center"/>
            <w:hideMark/>
          </w:tcPr>
          <w:p w14:paraId="14689F46"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56</w:t>
            </w:r>
          </w:p>
        </w:tc>
        <w:tc>
          <w:tcPr>
            <w:tcW w:w="851" w:type="dxa"/>
            <w:tcBorders>
              <w:top w:val="nil"/>
              <w:left w:val="nil"/>
              <w:bottom w:val="single" w:sz="4" w:space="0" w:color="auto"/>
              <w:right w:val="single" w:sz="4" w:space="0" w:color="auto"/>
            </w:tcBorders>
            <w:shd w:val="clear" w:color="auto" w:fill="auto"/>
            <w:noWrap/>
            <w:vAlign w:val="center"/>
            <w:hideMark/>
          </w:tcPr>
          <w:p w14:paraId="0CB2FE8C" w14:textId="313CC281"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-13 %</w:t>
            </w:r>
          </w:p>
        </w:tc>
        <w:tc>
          <w:tcPr>
            <w:tcW w:w="1540" w:type="dxa"/>
            <w:tcBorders>
              <w:top w:val="nil"/>
              <w:left w:val="nil"/>
              <w:bottom w:val="single" w:sz="4" w:space="0" w:color="auto"/>
              <w:right w:val="nil"/>
            </w:tcBorders>
            <w:shd w:val="clear" w:color="auto" w:fill="auto"/>
            <w:noWrap/>
            <w:vAlign w:val="center"/>
            <w:hideMark/>
          </w:tcPr>
          <w:p w14:paraId="49DC0A97" w14:textId="44346E1A"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108,2 %</w:t>
            </w:r>
          </w:p>
        </w:tc>
      </w:tr>
      <w:tr w:rsidR="00F15667" w:rsidRPr="00020CA3" w14:paraId="786A66EE" w14:textId="77777777" w:rsidTr="00020CA3">
        <w:trPr>
          <w:trHeight w:val="315"/>
        </w:trPr>
        <w:tc>
          <w:tcPr>
            <w:tcW w:w="2020" w:type="dxa"/>
            <w:tcBorders>
              <w:top w:val="nil"/>
              <w:left w:val="nil"/>
              <w:bottom w:val="single" w:sz="4" w:space="0" w:color="auto"/>
              <w:right w:val="nil"/>
            </w:tcBorders>
            <w:shd w:val="clear" w:color="auto" w:fill="auto"/>
            <w:noWrap/>
            <w:vAlign w:val="center"/>
            <w:hideMark/>
          </w:tcPr>
          <w:p w14:paraId="20C5BBED" w14:textId="77777777" w:rsidR="00565731" w:rsidRPr="00020CA3" w:rsidRDefault="00565731" w:rsidP="00020CA3">
            <w:pPr>
              <w:spacing w:line="240" w:lineRule="auto"/>
              <w:jc w:val="left"/>
              <w:rPr>
                <w:rFonts w:eastAsia="Times New Roman"/>
                <w:szCs w:val="24"/>
                <w:lang w:eastAsia="cs-CZ"/>
              </w:rPr>
            </w:pPr>
            <w:r w:rsidRPr="00020CA3">
              <w:rPr>
                <w:rFonts w:eastAsia="Times New Roman"/>
                <w:szCs w:val="24"/>
                <w:lang w:eastAsia="cs-CZ"/>
              </w:rPr>
              <w:t>KS Ústí n. Labem</w:t>
            </w:r>
          </w:p>
        </w:tc>
        <w:tc>
          <w:tcPr>
            <w:tcW w:w="1099" w:type="dxa"/>
            <w:tcBorders>
              <w:top w:val="nil"/>
              <w:left w:val="nil"/>
              <w:bottom w:val="single" w:sz="4" w:space="0" w:color="auto"/>
              <w:right w:val="nil"/>
            </w:tcBorders>
            <w:shd w:val="clear" w:color="auto" w:fill="auto"/>
            <w:noWrap/>
            <w:vAlign w:val="center"/>
            <w:hideMark/>
          </w:tcPr>
          <w:p w14:paraId="5CC73D80"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157</w:t>
            </w:r>
          </w:p>
        </w:tc>
        <w:tc>
          <w:tcPr>
            <w:tcW w:w="850" w:type="dxa"/>
            <w:tcBorders>
              <w:top w:val="nil"/>
              <w:left w:val="nil"/>
              <w:bottom w:val="single" w:sz="4" w:space="0" w:color="auto"/>
              <w:right w:val="nil"/>
            </w:tcBorders>
            <w:shd w:val="clear" w:color="auto" w:fill="auto"/>
            <w:noWrap/>
            <w:vAlign w:val="center"/>
            <w:hideMark/>
          </w:tcPr>
          <w:p w14:paraId="628F3F80" w14:textId="02FE8B7C"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+15 %</w:t>
            </w:r>
          </w:p>
        </w:tc>
        <w:tc>
          <w:tcPr>
            <w:tcW w:w="993" w:type="dxa"/>
            <w:tcBorders>
              <w:top w:val="nil"/>
              <w:left w:val="single" w:sz="4" w:space="0" w:color="auto"/>
              <w:bottom w:val="single" w:sz="4" w:space="0" w:color="auto"/>
              <w:right w:val="nil"/>
            </w:tcBorders>
            <w:shd w:val="clear" w:color="auto" w:fill="auto"/>
            <w:noWrap/>
            <w:vAlign w:val="center"/>
            <w:hideMark/>
          </w:tcPr>
          <w:p w14:paraId="2C83EFD6"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160</w:t>
            </w:r>
          </w:p>
        </w:tc>
        <w:tc>
          <w:tcPr>
            <w:tcW w:w="854" w:type="dxa"/>
            <w:tcBorders>
              <w:top w:val="nil"/>
              <w:left w:val="nil"/>
              <w:bottom w:val="single" w:sz="4" w:space="0" w:color="auto"/>
              <w:right w:val="single" w:sz="4" w:space="0" w:color="auto"/>
            </w:tcBorders>
            <w:shd w:val="clear" w:color="auto" w:fill="auto"/>
            <w:noWrap/>
            <w:vAlign w:val="center"/>
            <w:hideMark/>
          </w:tcPr>
          <w:p w14:paraId="5C94B284" w14:textId="7A39C57F"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-4 %</w:t>
            </w:r>
          </w:p>
        </w:tc>
        <w:tc>
          <w:tcPr>
            <w:tcW w:w="992" w:type="dxa"/>
            <w:tcBorders>
              <w:top w:val="nil"/>
              <w:left w:val="nil"/>
              <w:bottom w:val="single" w:sz="4" w:space="0" w:color="auto"/>
              <w:right w:val="nil"/>
            </w:tcBorders>
            <w:shd w:val="clear" w:color="auto" w:fill="auto"/>
            <w:noWrap/>
            <w:vAlign w:val="center"/>
            <w:hideMark/>
          </w:tcPr>
          <w:p w14:paraId="4F91609F"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105</w:t>
            </w:r>
          </w:p>
        </w:tc>
        <w:tc>
          <w:tcPr>
            <w:tcW w:w="851" w:type="dxa"/>
            <w:tcBorders>
              <w:top w:val="nil"/>
              <w:left w:val="nil"/>
              <w:bottom w:val="single" w:sz="4" w:space="0" w:color="auto"/>
              <w:right w:val="single" w:sz="4" w:space="0" w:color="auto"/>
            </w:tcBorders>
            <w:shd w:val="clear" w:color="auto" w:fill="auto"/>
            <w:noWrap/>
            <w:vAlign w:val="center"/>
            <w:hideMark/>
          </w:tcPr>
          <w:p w14:paraId="17349878" w14:textId="155A94D9"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-1 %</w:t>
            </w:r>
          </w:p>
        </w:tc>
        <w:tc>
          <w:tcPr>
            <w:tcW w:w="1540" w:type="dxa"/>
            <w:tcBorders>
              <w:top w:val="nil"/>
              <w:left w:val="nil"/>
              <w:bottom w:val="single" w:sz="4" w:space="0" w:color="auto"/>
              <w:right w:val="nil"/>
            </w:tcBorders>
            <w:shd w:val="clear" w:color="auto" w:fill="auto"/>
            <w:noWrap/>
            <w:vAlign w:val="center"/>
            <w:hideMark/>
          </w:tcPr>
          <w:p w14:paraId="57C9EBDD" w14:textId="4112A140"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101,9 %</w:t>
            </w:r>
          </w:p>
        </w:tc>
      </w:tr>
      <w:tr w:rsidR="00F15667" w:rsidRPr="00020CA3" w14:paraId="1BA57E6E" w14:textId="77777777" w:rsidTr="00020CA3">
        <w:trPr>
          <w:trHeight w:val="315"/>
        </w:trPr>
        <w:tc>
          <w:tcPr>
            <w:tcW w:w="2020" w:type="dxa"/>
            <w:tcBorders>
              <w:top w:val="nil"/>
              <w:left w:val="nil"/>
              <w:bottom w:val="single" w:sz="4" w:space="0" w:color="auto"/>
              <w:right w:val="nil"/>
            </w:tcBorders>
            <w:shd w:val="clear" w:color="auto" w:fill="auto"/>
            <w:noWrap/>
            <w:vAlign w:val="center"/>
            <w:hideMark/>
          </w:tcPr>
          <w:p w14:paraId="24FBBD03" w14:textId="77777777" w:rsidR="00565731" w:rsidRPr="00020CA3" w:rsidRDefault="00565731" w:rsidP="00020CA3">
            <w:pPr>
              <w:spacing w:line="240" w:lineRule="auto"/>
              <w:jc w:val="left"/>
              <w:rPr>
                <w:rFonts w:eastAsia="Times New Roman"/>
                <w:szCs w:val="24"/>
                <w:lang w:eastAsia="cs-CZ"/>
              </w:rPr>
            </w:pPr>
            <w:r w:rsidRPr="00020CA3">
              <w:rPr>
                <w:rFonts w:eastAsia="Times New Roman"/>
                <w:szCs w:val="24"/>
                <w:lang w:eastAsia="cs-CZ"/>
              </w:rPr>
              <w:t>KS Hr. Králové</w:t>
            </w:r>
          </w:p>
        </w:tc>
        <w:tc>
          <w:tcPr>
            <w:tcW w:w="1099" w:type="dxa"/>
            <w:tcBorders>
              <w:top w:val="nil"/>
              <w:left w:val="nil"/>
              <w:bottom w:val="single" w:sz="4" w:space="0" w:color="auto"/>
              <w:right w:val="nil"/>
            </w:tcBorders>
            <w:shd w:val="clear" w:color="auto" w:fill="auto"/>
            <w:noWrap/>
            <w:vAlign w:val="center"/>
            <w:hideMark/>
          </w:tcPr>
          <w:p w14:paraId="688EDC00"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81</w:t>
            </w:r>
          </w:p>
        </w:tc>
        <w:tc>
          <w:tcPr>
            <w:tcW w:w="850" w:type="dxa"/>
            <w:tcBorders>
              <w:top w:val="nil"/>
              <w:left w:val="nil"/>
              <w:bottom w:val="single" w:sz="4" w:space="0" w:color="auto"/>
              <w:right w:val="nil"/>
            </w:tcBorders>
            <w:shd w:val="clear" w:color="auto" w:fill="auto"/>
            <w:noWrap/>
            <w:vAlign w:val="center"/>
            <w:hideMark/>
          </w:tcPr>
          <w:p w14:paraId="4B9AE9E1" w14:textId="4F0D0F0A"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-6 %</w:t>
            </w:r>
          </w:p>
        </w:tc>
        <w:tc>
          <w:tcPr>
            <w:tcW w:w="993" w:type="dxa"/>
            <w:tcBorders>
              <w:top w:val="nil"/>
              <w:left w:val="single" w:sz="4" w:space="0" w:color="auto"/>
              <w:bottom w:val="single" w:sz="4" w:space="0" w:color="auto"/>
              <w:right w:val="nil"/>
            </w:tcBorders>
            <w:shd w:val="clear" w:color="auto" w:fill="auto"/>
            <w:noWrap/>
            <w:vAlign w:val="center"/>
            <w:hideMark/>
          </w:tcPr>
          <w:p w14:paraId="110B3C93"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85</w:t>
            </w:r>
          </w:p>
        </w:tc>
        <w:tc>
          <w:tcPr>
            <w:tcW w:w="854" w:type="dxa"/>
            <w:tcBorders>
              <w:top w:val="nil"/>
              <w:left w:val="nil"/>
              <w:bottom w:val="single" w:sz="4" w:space="0" w:color="auto"/>
              <w:right w:val="single" w:sz="4" w:space="0" w:color="auto"/>
            </w:tcBorders>
            <w:shd w:val="clear" w:color="auto" w:fill="auto"/>
            <w:noWrap/>
            <w:vAlign w:val="center"/>
            <w:hideMark/>
          </w:tcPr>
          <w:p w14:paraId="771F9317" w14:textId="4306D40A"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-8 %</w:t>
            </w:r>
          </w:p>
        </w:tc>
        <w:tc>
          <w:tcPr>
            <w:tcW w:w="992" w:type="dxa"/>
            <w:tcBorders>
              <w:top w:val="nil"/>
              <w:left w:val="nil"/>
              <w:bottom w:val="single" w:sz="4" w:space="0" w:color="auto"/>
              <w:right w:val="nil"/>
            </w:tcBorders>
            <w:shd w:val="clear" w:color="auto" w:fill="auto"/>
            <w:noWrap/>
            <w:vAlign w:val="center"/>
            <w:hideMark/>
          </w:tcPr>
          <w:p w14:paraId="115AC255"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25</w:t>
            </w:r>
          </w:p>
        </w:tc>
        <w:tc>
          <w:tcPr>
            <w:tcW w:w="851" w:type="dxa"/>
            <w:tcBorders>
              <w:top w:val="nil"/>
              <w:left w:val="nil"/>
              <w:bottom w:val="single" w:sz="4" w:space="0" w:color="auto"/>
              <w:right w:val="single" w:sz="4" w:space="0" w:color="auto"/>
            </w:tcBorders>
            <w:shd w:val="clear" w:color="auto" w:fill="auto"/>
            <w:noWrap/>
            <w:vAlign w:val="center"/>
            <w:hideMark/>
          </w:tcPr>
          <w:p w14:paraId="61DDFCC9" w14:textId="78016290"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-17 %</w:t>
            </w:r>
          </w:p>
        </w:tc>
        <w:tc>
          <w:tcPr>
            <w:tcW w:w="1540" w:type="dxa"/>
            <w:tcBorders>
              <w:top w:val="nil"/>
              <w:left w:val="nil"/>
              <w:bottom w:val="single" w:sz="4" w:space="0" w:color="auto"/>
              <w:right w:val="nil"/>
            </w:tcBorders>
            <w:shd w:val="clear" w:color="auto" w:fill="auto"/>
            <w:noWrap/>
            <w:vAlign w:val="center"/>
            <w:hideMark/>
          </w:tcPr>
          <w:p w14:paraId="1C3796EB" w14:textId="40A58111"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104,9 %</w:t>
            </w:r>
          </w:p>
        </w:tc>
      </w:tr>
      <w:tr w:rsidR="00F15667" w:rsidRPr="00020CA3" w14:paraId="307C678D" w14:textId="77777777" w:rsidTr="00020CA3">
        <w:trPr>
          <w:trHeight w:val="315"/>
        </w:trPr>
        <w:tc>
          <w:tcPr>
            <w:tcW w:w="2020" w:type="dxa"/>
            <w:tcBorders>
              <w:top w:val="nil"/>
              <w:left w:val="nil"/>
              <w:bottom w:val="single" w:sz="4" w:space="0" w:color="auto"/>
              <w:right w:val="nil"/>
            </w:tcBorders>
            <w:shd w:val="clear" w:color="auto" w:fill="auto"/>
            <w:noWrap/>
            <w:vAlign w:val="center"/>
            <w:hideMark/>
          </w:tcPr>
          <w:p w14:paraId="36EFF942" w14:textId="77777777" w:rsidR="00565731" w:rsidRPr="00020CA3" w:rsidRDefault="00565731" w:rsidP="00020CA3">
            <w:pPr>
              <w:spacing w:line="240" w:lineRule="auto"/>
              <w:jc w:val="left"/>
              <w:rPr>
                <w:rFonts w:eastAsia="Times New Roman"/>
                <w:szCs w:val="24"/>
                <w:lang w:eastAsia="cs-CZ"/>
              </w:rPr>
            </w:pPr>
            <w:r w:rsidRPr="00020CA3">
              <w:rPr>
                <w:rFonts w:eastAsia="Times New Roman"/>
                <w:szCs w:val="24"/>
                <w:lang w:eastAsia="cs-CZ"/>
              </w:rPr>
              <w:t>KS Brno</w:t>
            </w:r>
          </w:p>
        </w:tc>
        <w:tc>
          <w:tcPr>
            <w:tcW w:w="1099" w:type="dxa"/>
            <w:tcBorders>
              <w:top w:val="nil"/>
              <w:left w:val="nil"/>
              <w:bottom w:val="single" w:sz="4" w:space="0" w:color="auto"/>
              <w:right w:val="nil"/>
            </w:tcBorders>
            <w:shd w:val="clear" w:color="auto" w:fill="auto"/>
            <w:noWrap/>
            <w:vAlign w:val="center"/>
            <w:hideMark/>
          </w:tcPr>
          <w:p w14:paraId="2F3A34C4"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204</w:t>
            </w:r>
          </w:p>
        </w:tc>
        <w:tc>
          <w:tcPr>
            <w:tcW w:w="850" w:type="dxa"/>
            <w:tcBorders>
              <w:top w:val="nil"/>
              <w:left w:val="nil"/>
              <w:bottom w:val="single" w:sz="4" w:space="0" w:color="auto"/>
              <w:right w:val="nil"/>
            </w:tcBorders>
            <w:shd w:val="clear" w:color="auto" w:fill="auto"/>
            <w:noWrap/>
            <w:vAlign w:val="center"/>
            <w:hideMark/>
          </w:tcPr>
          <w:p w14:paraId="67070A3C" w14:textId="682F33D5"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+7 %</w:t>
            </w:r>
          </w:p>
        </w:tc>
        <w:tc>
          <w:tcPr>
            <w:tcW w:w="993" w:type="dxa"/>
            <w:tcBorders>
              <w:top w:val="nil"/>
              <w:left w:val="single" w:sz="4" w:space="0" w:color="auto"/>
              <w:bottom w:val="single" w:sz="4" w:space="0" w:color="auto"/>
              <w:right w:val="nil"/>
            </w:tcBorders>
            <w:shd w:val="clear" w:color="auto" w:fill="auto"/>
            <w:noWrap/>
            <w:vAlign w:val="center"/>
            <w:hideMark/>
          </w:tcPr>
          <w:p w14:paraId="14208122"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202</w:t>
            </w:r>
          </w:p>
        </w:tc>
        <w:tc>
          <w:tcPr>
            <w:tcW w:w="854" w:type="dxa"/>
            <w:tcBorders>
              <w:top w:val="nil"/>
              <w:left w:val="nil"/>
              <w:bottom w:val="single" w:sz="4" w:space="0" w:color="auto"/>
              <w:right w:val="single" w:sz="4" w:space="0" w:color="auto"/>
            </w:tcBorders>
            <w:shd w:val="clear" w:color="auto" w:fill="auto"/>
            <w:noWrap/>
            <w:vAlign w:val="center"/>
            <w:hideMark/>
          </w:tcPr>
          <w:p w14:paraId="3E06A6F4" w14:textId="75E46697"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-15 %</w:t>
            </w:r>
          </w:p>
        </w:tc>
        <w:tc>
          <w:tcPr>
            <w:tcW w:w="992" w:type="dxa"/>
            <w:tcBorders>
              <w:top w:val="nil"/>
              <w:left w:val="nil"/>
              <w:bottom w:val="single" w:sz="4" w:space="0" w:color="auto"/>
              <w:right w:val="nil"/>
            </w:tcBorders>
            <w:shd w:val="clear" w:color="auto" w:fill="auto"/>
            <w:noWrap/>
            <w:vAlign w:val="center"/>
            <w:hideMark/>
          </w:tcPr>
          <w:p w14:paraId="203FC1EC"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107</w:t>
            </w:r>
          </w:p>
        </w:tc>
        <w:tc>
          <w:tcPr>
            <w:tcW w:w="851" w:type="dxa"/>
            <w:tcBorders>
              <w:top w:val="nil"/>
              <w:left w:val="nil"/>
              <w:bottom w:val="single" w:sz="4" w:space="0" w:color="auto"/>
              <w:right w:val="single" w:sz="4" w:space="0" w:color="auto"/>
            </w:tcBorders>
            <w:shd w:val="clear" w:color="auto" w:fill="auto"/>
            <w:noWrap/>
            <w:vAlign w:val="center"/>
            <w:hideMark/>
          </w:tcPr>
          <w:p w14:paraId="48FF480F" w14:textId="5640A47E"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047C52AD" w14:textId="6B71682F"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99,0 %</w:t>
            </w:r>
          </w:p>
        </w:tc>
      </w:tr>
      <w:tr w:rsidR="00F15667" w:rsidRPr="00020CA3" w14:paraId="560BF99D" w14:textId="77777777" w:rsidTr="00020CA3">
        <w:trPr>
          <w:trHeight w:val="330"/>
        </w:trPr>
        <w:tc>
          <w:tcPr>
            <w:tcW w:w="2020" w:type="dxa"/>
            <w:tcBorders>
              <w:top w:val="nil"/>
              <w:left w:val="nil"/>
              <w:bottom w:val="double" w:sz="6" w:space="0" w:color="auto"/>
              <w:right w:val="nil"/>
            </w:tcBorders>
            <w:shd w:val="clear" w:color="auto" w:fill="auto"/>
            <w:noWrap/>
            <w:vAlign w:val="center"/>
            <w:hideMark/>
          </w:tcPr>
          <w:p w14:paraId="2F9D689C" w14:textId="77777777" w:rsidR="00565731" w:rsidRPr="00020CA3" w:rsidRDefault="00565731" w:rsidP="00020CA3">
            <w:pPr>
              <w:spacing w:line="240" w:lineRule="auto"/>
              <w:jc w:val="left"/>
              <w:rPr>
                <w:rFonts w:eastAsia="Times New Roman"/>
                <w:szCs w:val="24"/>
                <w:lang w:eastAsia="cs-CZ"/>
              </w:rPr>
            </w:pPr>
            <w:r w:rsidRPr="00020CA3">
              <w:rPr>
                <w:rFonts w:eastAsia="Times New Roman"/>
                <w:szCs w:val="24"/>
                <w:lang w:eastAsia="cs-CZ"/>
              </w:rPr>
              <w:t>KS Ostrava</w:t>
            </w:r>
          </w:p>
        </w:tc>
        <w:tc>
          <w:tcPr>
            <w:tcW w:w="1099" w:type="dxa"/>
            <w:tcBorders>
              <w:top w:val="nil"/>
              <w:left w:val="nil"/>
              <w:bottom w:val="double" w:sz="6" w:space="0" w:color="auto"/>
              <w:right w:val="nil"/>
            </w:tcBorders>
            <w:shd w:val="clear" w:color="auto" w:fill="auto"/>
            <w:noWrap/>
            <w:vAlign w:val="center"/>
            <w:hideMark/>
          </w:tcPr>
          <w:p w14:paraId="44C30116"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168</w:t>
            </w:r>
          </w:p>
        </w:tc>
        <w:tc>
          <w:tcPr>
            <w:tcW w:w="850" w:type="dxa"/>
            <w:tcBorders>
              <w:top w:val="nil"/>
              <w:left w:val="nil"/>
              <w:bottom w:val="double" w:sz="6" w:space="0" w:color="auto"/>
              <w:right w:val="nil"/>
            </w:tcBorders>
            <w:shd w:val="clear" w:color="auto" w:fill="auto"/>
            <w:noWrap/>
            <w:vAlign w:val="center"/>
            <w:hideMark/>
          </w:tcPr>
          <w:p w14:paraId="080D8FB9" w14:textId="08F35682"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+3 %</w:t>
            </w:r>
          </w:p>
        </w:tc>
        <w:tc>
          <w:tcPr>
            <w:tcW w:w="993" w:type="dxa"/>
            <w:tcBorders>
              <w:top w:val="nil"/>
              <w:left w:val="single" w:sz="4" w:space="0" w:color="auto"/>
              <w:bottom w:val="double" w:sz="6" w:space="0" w:color="auto"/>
              <w:right w:val="nil"/>
            </w:tcBorders>
            <w:shd w:val="clear" w:color="auto" w:fill="auto"/>
            <w:noWrap/>
            <w:vAlign w:val="center"/>
            <w:hideMark/>
          </w:tcPr>
          <w:p w14:paraId="0B4F60CF"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195</w:t>
            </w:r>
          </w:p>
        </w:tc>
        <w:tc>
          <w:tcPr>
            <w:tcW w:w="854" w:type="dxa"/>
            <w:tcBorders>
              <w:top w:val="nil"/>
              <w:left w:val="nil"/>
              <w:bottom w:val="double" w:sz="6" w:space="0" w:color="auto"/>
              <w:right w:val="single" w:sz="4" w:space="0" w:color="auto"/>
            </w:tcBorders>
            <w:shd w:val="clear" w:color="auto" w:fill="auto"/>
            <w:noWrap/>
            <w:vAlign w:val="center"/>
            <w:hideMark/>
          </w:tcPr>
          <w:p w14:paraId="7F41AC4D" w14:textId="7A4A7FCE"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+14 %</w:t>
            </w:r>
          </w:p>
        </w:tc>
        <w:tc>
          <w:tcPr>
            <w:tcW w:w="992" w:type="dxa"/>
            <w:tcBorders>
              <w:top w:val="nil"/>
              <w:left w:val="nil"/>
              <w:bottom w:val="double" w:sz="6" w:space="0" w:color="auto"/>
              <w:right w:val="nil"/>
            </w:tcBorders>
            <w:shd w:val="clear" w:color="auto" w:fill="auto"/>
            <w:noWrap/>
            <w:vAlign w:val="center"/>
            <w:hideMark/>
          </w:tcPr>
          <w:p w14:paraId="157C14A4" w14:textId="77777777"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82</w:t>
            </w:r>
          </w:p>
        </w:tc>
        <w:tc>
          <w:tcPr>
            <w:tcW w:w="851" w:type="dxa"/>
            <w:tcBorders>
              <w:top w:val="nil"/>
              <w:left w:val="nil"/>
              <w:bottom w:val="double" w:sz="6" w:space="0" w:color="auto"/>
              <w:right w:val="single" w:sz="4" w:space="0" w:color="auto"/>
            </w:tcBorders>
            <w:shd w:val="clear" w:color="auto" w:fill="auto"/>
            <w:noWrap/>
            <w:vAlign w:val="center"/>
            <w:hideMark/>
          </w:tcPr>
          <w:p w14:paraId="5430850F" w14:textId="17160616" w:rsidR="00565731" w:rsidRPr="00020CA3" w:rsidRDefault="00565731" w:rsidP="00020CA3">
            <w:pPr>
              <w:spacing w:line="240" w:lineRule="auto"/>
              <w:jc w:val="center"/>
              <w:rPr>
                <w:rFonts w:eastAsia="Times New Roman"/>
                <w:sz w:val="20"/>
                <w:szCs w:val="20"/>
                <w:lang w:eastAsia="cs-CZ"/>
              </w:rPr>
            </w:pPr>
            <w:r w:rsidRPr="00020CA3">
              <w:rPr>
                <w:rFonts w:eastAsia="Times New Roman"/>
                <w:sz w:val="20"/>
                <w:szCs w:val="20"/>
                <w:lang w:eastAsia="cs-CZ"/>
              </w:rPr>
              <w:t>-25 %</w:t>
            </w:r>
          </w:p>
        </w:tc>
        <w:tc>
          <w:tcPr>
            <w:tcW w:w="1540" w:type="dxa"/>
            <w:tcBorders>
              <w:top w:val="nil"/>
              <w:left w:val="nil"/>
              <w:bottom w:val="nil"/>
              <w:right w:val="nil"/>
            </w:tcBorders>
            <w:shd w:val="clear" w:color="auto" w:fill="auto"/>
            <w:noWrap/>
            <w:vAlign w:val="center"/>
            <w:hideMark/>
          </w:tcPr>
          <w:p w14:paraId="646D741A" w14:textId="16FCB1C1" w:rsidR="00565731" w:rsidRPr="00020CA3" w:rsidRDefault="00565731" w:rsidP="00020CA3">
            <w:pPr>
              <w:spacing w:line="240" w:lineRule="auto"/>
              <w:jc w:val="center"/>
              <w:rPr>
                <w:rFonts w:eastAsia="Times New Roman"/>
                <w:szCs w:val="24"/>
                <w:lang w:eastAsia="cs-CZ"/>
              </w:rPr>
            </w:pPr>
            <w:r w:rsidRPr="00020CA3">
              <w:rPr>
                <w:rFonts w:eastAsia="Times New Roman"/>
                <w:szCs w:val="24"/>
                <w:lang w:eastAsia="cs-CZ"/>
              </w:rPr>
              <w:t>116,1 %</w:t>
            </w:r>
          </w:p>
        </w:tc>
      </w:tr>
      <w:tr w:rsidR="00F15667" w:rsidRPr="00020CA3" w14:paraId="7A9EACFD" w14:textId="77777777" w:rsidTr="00020CA3">
        <w:trPr>
          <w:trHeight w:val="345"/>
        </w:trPr>
        <w:tc>
          <w:tcPr>
            <w:tcW w:w="2020" w:type="dxa"/>
            <w:tcBorders>
              <w:top w:val="nil"/>
              <w:left w:val="nil"/>
              <w:bottom w:val="double" w:sz="6" w:space="0" w:color="auto"/>
              <w:right w:val="nil"/>
            </w:tcBorders>
            <w:shd w:val="clear" w:color="auto" w:fill="auto"/>
            <w:noWrap/>
            <w:vAlign w:val="center"/>
            <w:hideMark/>
          </w:tcPr>
          <w:p w14:paraId="2473D2A7" w14:textId="77777777" w:rsidR="00565731" w:rsidRPr="00020CA3" w:rsidRDefault="00565731" w:rsidP="00020CA3">
            <w:pPr>
              <w:spacing w:line="240" w:lineRule="auto"/>
              <w:jc w:val="left"/>
              <w:rPr>
                <w:rFonts w:eastAsia="Times New Roman"/>
                <w:b/>
                <w:bCs/>
                <w:szCs w:val="24"/>
                <w:lang w:eastAsia="cs-CZ"/>
              </w:rPr>
            </w:pPr>
            <w:r w:rsidRPr="00020CA3">
              <w:rPr>
                <w:rFonts w:eastAsia="Times New Roman"/>
                <w:b/>
                <w:bCs/>
                <w:szCs w:val="24"/>
                <w:lang w:eastAsia="cs-CZ"/>
              </w:rPr>
              <w:t>Celkem ČR</w:t>
            </w:r>
          </w:p>
        </w:tc>
        <w:tc>
          <w:tcPr>
            <w:tcW w:w="1099" w:type="dxa"/>
            <w:tcBorders>
              <w:top w:val="nil"/>
              <w:left w:val="nil"/>
              <w:bottom w:val="double" w:sz="6" w:space="0" w:color="auto"/>
              <w:right w:val="nil"/>
            </w:tcBorders>
            <w:shd w:val="clear" w:color="auto" w:fill="auto"/>
            <w:noWrap/>
            <w:vAlign w:val="center"/>
            <w:hideMark/>
          </w:tcPr>
          <w:p w14:paraId="0A65299D" w14:textId="4ED4219F" w:rsidR="00565731" w:rsidRPr="00020CA3" w:rsidRDefault="00565731" w:rsidP="00020CA3">
            <w:pPr>
              <w:spacing w:line="240" w:lineRule="auto"/>
              <w:jc w:val="center"/>
              <w:rPr>
                <w:rFonts w:eastAsia="Times New Roman"/>
                <w:b/>
                <w:bCs/>
                <w:szCs w:val="24"/>
                <w:lang w:eastAsia="cs-CZ"/>
              </w:rPr>
            </w:pPr>
            <w:r w:rsidRPr="00020CA3">
              <w:rPr>
                <w:rFonts w:eastAsia="Times New Roman"/>
                <w:b/>
                <w:bCs/>
                <w:szCs w:val="24"/>
                <w:lang w:eastAsia="cs-CZ"/>
              </w:rPr>
              <w:t>1</w:t>
            </w:r>
            <w:r w:rsidR="00340529" w:rsidRPr="00020CA3">
              <w:rPr>
                <w:rFonts w:eastAsia="Times New Roman"/>
                <w:b/>
                <w:bCs/>
                <w:szCs w:val="24"/>
                <w:lang w:eastAsia="cs-CZ"/>
              </w:rPr>
              <w:t xml:space="preserve"> </w:t>
            </w:r>
            <w:r w:rsidRPr="00020CA3">
              <w:rPr>
                <w:rFonts w:eastAsia="Times New Roman"/>
                <w:b/>
                <w:bCs/>
                <w:szCs w:val="24"/>
                <w:lang w:eastAsia="cs-CZ"/>
              </w:rPr>
              <w:t>141</w:t>
            </w:r>
          </w:p>
        </w:tc>
        <w:tc>
          <w:tcPr>
            <w:tcW w:w="850" w:type="dxa"/>
            <w:tcBorders>
              <w:top w:val="nil"/>
              <w:left w:val="nil"/>
              <w:bottom w:val="double" w:sz="6" w:space="0" w:color="auto"/>
              <w:right w:val="nil"/>
            </w:tcBorders>
            <w:shd w:val="clear" w:color="auto" w:fill="auto"/>
            <w:noWrap/>
            <w:vAlign w:val="center"/>
            <w:hideMark/>
          </w:tcPr>
          <w:p w14:paraId="65FA1073" w14:textId="42F44465" w:rsidR="00565731" w:rsidRPr="00020CA3" w:rsidRDefault="00565731"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+7 %</w:t>
            </w:r>
          </w:p>
        </w:tc>
        <w:tc>
          <w:tcPr>
            <w:tcW w:w="993" w:type="dxa"/>
            <w:tcBorders>
              <w:top w:val="nil"/>
              <w:left w:val="single" w:sz="4" w:space="0" w:color="auto"/>
              <w:bottom w:val="double" w:sz="6" w:space="0" w:color="auto"/>
              <w:right w:val="nil"/>
            </w:tcBorders>
            <w:shd w:val="clear" w:color="auto" w:fill="auto"/>
            <w:noWrap/>
            <w:vAlign w:val="center"/>
            <w:hideMark/>
          </w:tcPr>
          <w:p w14:paraId="4555F042" w14:textId="29FA76C9" w:rsidR="00565731" w:rsidRPr="00020CA3" w:rsidRDefault="00565731" w:rsidP="00020CA3">
            <w:pPr>
              <w:spacing w:line="240" w:lineRule="auto"/>
              <w:jc w:val="center"/>
              <w:rPr>
                <w:rFonts w:eastAsia="Times New Roman"/>
                <w:b/>
                <w:bCs/>
                <w:szCs w:val="24"/>
                <w:lang w:eastAsia="cs-CZ"/>
              </w:rPr>
            </w:pPr>
            <w:r w:rsidRPr="00020CA3">
              <w:rPr>
                <w:rFonts w:eastAsia="Times New Roman"/>
                <w:b/>
                <w:bCs/>
                <w:szCs w:val="24"/>
                <w:lang w:eastAsia="cs-CZ"/>
              </w:rPr>
              <w:t>1</w:t>
            </w:r>
            <w:r w:rsidR="00340529" w:rsidRPr="00020CA3">
              <w:rPr>
                <w:rFonts w:eastAsia="Times New Roman"/>
                <w:b/>
                <w:bCs/>
                <w:szCs w:val="24"/>
                <w:lang w:eastAsia="cs-CZ"/>
              </w:rPr>
              <w:t xml:space="preserve"> </w:t>
            </w:r>
            <w:r w:rsidRPr="00020CA3">
              <w:rPr>
                <w:rFonts w:eastAsia="Times New Roman"/>
                <w:b/>
                <w:bCs/>
                <w:szCs w:val="24"/>
                <w:lang w:eastAsia="cs-CZ"/>
              </w:rPr>
              <w:t>162</w:t>
            </w:r>
          </w:p>
        </w:tc>
        <w:tc>
          <w:tcPr>
            <w:tcW w:w="854" w:type="dxa"/>
            <w:tcBorders>
              <w:top w:val="nil"/>
              <w:left w:val="nil"/>
              <w:bottom w:val="double" w:sz="6" w:space="0" w:color="auto"/>
              <w:right w:val="single" w:sz="4" w:space="0" w:color="auto"/>
            </w:tcBorders>
            <w:shd w:val="clear" w:color="auto" w:fill="auto"/>
            <w:noWrap/>
            <w:vAlign w:val="center"/>
            <w:hideMark/>
          </w:tcPr>
          <w:p w14:paraId="0CEEDDB6" w14:textId="2FF0BEB1" w:rsidR="00565731" w:rsidRPr="00020CA3" w:rsidRDefault="00565731"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-2 %</w:t>
            </w:r>
          </w:p>
        </w:tc>
        <w:tc>
          <w:tcPr>
            <w:tcW w:w="992" w:type="dxa"/>
            <w:tcBorders>
              <w:top w:val="nil"/>
              <w:left w:val="nil"/>
              <w:bottom w:val="double" w:sz="6" w:space="0" w:color="auto"/>
              <w:right w:val="nil"/>
            </w:tcBorders>
            <w:shd w:val="clear" w:color="auto" w:fill="auto"/>
            <w:noWrap/>
            <w:vAlign w:val="center"/>
            <w:hideMark/>
          </w:tcPr>
          <w:p w14:paraId="42BC3867" w14:textId="77777777" w:rsidR="00565731" w:rsidRPr="00020CA3" w:rsidRDefault="00565731" w:rsidP="00020CA3">
            <w:pPr>
              <w:spacing w:line="240" w:lineRule="auto"/>
              <w:jc w:val="center"/>
              <w:rPr>
                <w:rFonts w:eastAsia="Times New Roman"/>
                <w:b/>
                <w:bCs/>
                <w:szCs w:val="24"/>
                <w:lang w:eastAsia="cs-CZ"/>
              </w:rPr>
            </w:pPr>
            <w:r w:rsidRPr="00020CA3">
              <w:rPr>
                <w:rFonts w:eastAsia="Times New Roman"/>
                <w:b/>
                <w:bCs/>
                <w:szCs w:val="24"/>
                <w:lang w:eastAsia="cs-CZ"/>
              </w:rPr>
              <w:t>621</w:t>
            </w:r>
          </w:p>
        </w:tc>
        <w:tc>
          <w:tcPr>
            <w:tcW w:w="851" w:type="dxa"/>
            <w:tcBorders>
              <w:top w:val="nil"/>
              <w:left w:val="nil"/>
              <w:bottom w:val="double" w:sz="6" w:space="0" w:color="auto"/>
              <w:right w:val="single" w:sz="4" w:space="0" w:color="auto"/>
            </w:tcBorders>
            <w:shd w:val="clear" w:color="auto" w:fill="auto"/>
            <w:noWrap/>
            <w:vAlign w:val="center"/>
            <w:hideMark/>
          </w:tcPr>
          <w:p w14:paraId="49CCA47B" w14:textId="41D06AA3" w:rsidR="00565731" w:rsidRPr="00020CA3" w:rsidRDefault="00565731"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-3 %</w:t>
            </w:r>
          </w:p>
        </w:tc>
        <w:tc>
          <w:tcPr>
            <w:tcW w:w="1540" w:type="dxa"/>
            <w:tcBorders>
              <w:top w:val="double" w:sz="6" w:space="0" w:color="auto"/>
              <w:left w:val="nil"/>
              <w:bottom w:val="double" w:sz="6" w:space="0" w:color="auto"/>
              <w:right w:val="nil"/>
            </w:tcBorders>
            <w:shd w:val="clear" w:color="auto" w:fill="auto"/>
            <w:noWrap/>
            <w:vAlign w:val="center"/>
            <w:hideMark/>
          </w:tcPr>
          <w:p w14:paraId="4ACECD16" w14:textId="4FB9BC7E" w:rsidR="00565731" w:rsidRPr="00020CA3" w:rsidRDefault="00565731" w:rsidP="00020CA3">
            <w:pPr>
              <w:spacing w:line="240" w:lineRule="auto"/>
              <w:jc w:val="center"/>
              <w:rPr>
                <w:rFonts w:eastAsia="Times New Roman"/>
                <w:b/>
                <w:bCs/>
                <w:szCs w:val="24"/>
                <w:lang w:eastAsia="cs-CZ"/>
              </w:rPr>
            </w:pPr>
            <w:r w:rsidRPr="00020CA3">
              <w:rPr>
                <w:rFonts w:eastAsia="Times New Roman"/>
                <w:b/>
                <w:bCs/>
                <w:szCs w:val="24"/>
                <w:lang w:eastAsia="cs-CZ"/>
              </w:rPr>
              <w:t>101,8 %</w:t>
            </w:r>
          </w:p>
        </w:tc>
      </w:tr>
      <w:tr w:rsidR="00F15667" w:rsidRPr="00020CA3" w14:paraId="66BDD4D3" w14:textId="77777777" w:rsidTr="00020CA3">
        <w:trPr>
          <w:trHeight w:val="330"/>
        </w:trPr>
        <w:tc>
          <w:tcPr>
            <w:tcW w:w="2020" w:type="dxa"/>
            <w:tcBorders>
              <w:top w:val="nil"/>
              <w:left w:val="nil"/>
              <w:bottom w:val="nil"/>
              <w:right w:val="nil"/>
            </w:tcBorders>
            <w:shd w:val="clear" w:color="auto" w:fill="auto"/>
            <w:noWrap/>
            <w:vAlign w:val="center"/>
            <w:hideMark/>
          </w:tcPr>
          <w:p w14:paraId="345F6A9C" w14:textId="77777777" w:rsidR="00565731" w:rsidRPr="00020CA3" w:rsidRDefault="00565731" w:rsidP="00020CA3">
            <w:pPr>
              <w:spacing w:line="240" w:lineRule="auto"/>
              <w:jc w:val="center"/>
              <w:rPr>
                <w:rFonts w:eastAsia="Times New Roman"/>
                <w:b/>
                <w:bCs/>
                <w:szCs w:val="24"/>
                <w:lang w:eastAsia="cs-CZ"/>
              </w:rPr>
            </w:pPr>
          </w:p>
        </w:tc>
        <w:tc>
          <w:tcPr>
            <w:tcW w:w="1099" w:type="dxa"/>
            <w:tcBorders>
              <w:top w:val="nil"/>
              <w:left w:val="nil"/>
              <w:bottom w:val="nil"/>
              <w:right w:val="nil"/>
            </w:tcBorders>
            <w:shd w:val="clear" w:color="auto" w:fill="auto"/>
            <w:noWrap/>
            <w:vAlign w:val="center"/>
            <w:hideMark/>
          </w:tcPr>
          <w:p w14:paraId="4B89B086" w14:textId="77777777" w:rsidR="00565731" w:rsidRPr="00020CA3" w:rsidRDefault="00565731" w:rsidP="00020CA3">
            <w:pPr>
              <w:spacing w:line="240" w:lineRule="auto"/>
              <w:jc w:val="center"/>
              <w:rPr>
                <w:rFonts w:eastAsia="Times New Roman"/>
                <w:sz w:val="20"/>
                <w:szCs w:val="20"/>
                <w:lang w:eastAsia="cs-CZ"/>
              </w:rPr>
            </w:pPr>
          </w:p>
        </w:tc>
        <w:tc>
          <w:tcPr>
            <w:tcW w:w="850" w:type="dxa"/>
            <w:tcBorders>
              <w:top w:val="nil"/>
              <w:left w:val="nil"/>
              <w:bottom w:val="nil"/>
              <w:right w:val="nil"/>
            </w:tcBorders>
            <w:shd w:val="clear" w:color="auto" w:fill="auto"/>
            <w:noWrap/>
            <w:vAlign w:val="center"/>
            <w:hideMark/>
          </w:tcPr>
          <w:p w14:paraId="7C45D3F3" w14:textId="77777777" w:rsidR="00565731" w:rsidRPr="00020CA3" w:rsidRDefault="00565731" w:rsidP="00020CA3">
            <w:pPr>
              <w:spacing w:line="240" w:lineRule="auto"/>
              <w:jc w:val="center"/>
              <w:rPr>
                <w:rFonts w:eastAsia="Times New Roman"/>
                <w:sz w:val="20"/>
                <w:szCs w:val="20"/>
                <w:lang w:eastAsia="cs-CZ"/>
              </w:rPr>
            </w:pPr>
          </w:p>
        </w:tc>
        <w:tc>
          <w:tcPr>
            <w:tcW w:w="993" w:type="dxa"/>
            <w:tcBorders>
              <w:top w:val="nil"/>
              <w:left w:val="nil"/>
              <w:bottom w:val="nil"/>
              <w:right w:val="nil"/>
            </w:tcBorders>
            <w:shd w:val="clear" w:color="auto" w:fill="auto"/>
            <w:noWrap/>
            <w:vAlign w:val="center"/>
            <w:hideMark/>
          </w:tcPr>
          <w:p w14:paraId="1DE1183A" w14:textId="77777777" w:rsidR="00565731" w:rsidRPr="00020CA3" w:rsidRDefault="00565731" w:rsidP="00020CA3">
            <w:pPr>
              <w:spacing w:line="240" w:lineRule="auto"/>
              <w:jc w:val="center"/>
              <w:rPr>
                <w:rFonts w:eastAsia="Times New Roman"/>
                <w:sz w:val="20"/>
                <w:szCs w:val="20"/>
                <w:lang w:eastAsia="cs-CZ"/>
              </w:rPr>
            </w:pPr>
          </w:p>
        </w:tc>
        <w:tc>
          <w:tcPr>
            <w:tcW w:w="854" w:type="dxa"/>
            <w:tcBorders>
              <w:top w:val="nil"/>
              <w:left w:val="nil"/>
              <w:bottom w:val="nil"/>
              <w:right w:val="nil"/>
            </w:tcBorders>
            <w:shd w:val="clear" w:color="auto" w:fill="auto"/>
            <w:noWrap/>
            <w:vAlign w:val="center"/>
            <w:hideMark/>
          </w:tcPr>
          <w:p w14:paraId="5F6B21CA" w14:textId="77777777" w:rsidR="00565731" w:rsidRPr="00020CA3" w:rsidRDefault="00565731" w:rsidP="00020CA3">
            <w:pPr>
              <w:spacing w:line="240" w:lineRule="auto"/>
              <w:jc w:val="center"/>
              <w:rPr>
                <w:rFonts w:eastAsia="Times New Roman"/>
                <w:sz w:val="20"/>
                <w:szCs w:val="20"/>
                <w:lang w:eastAsia="cs-CZ"/>
              </w:rPr>
            </w:pPr>
          </w:p>
        </w:tc>
        <w:tc>
          <w:tcPr>
            <w:tcW w:w="992" w:type="dxa"/>
            <w:tcBorders>
              <w:top w:val="nil"/>
              <w:left w:val="nil"/>
              <w:bottom w:val="nil"/>
              <w:right w:val="nil"/>
            </w:tcBorders>
            <w:shd w:val="clear" w:color="auto" w:fill="auto"/>
            <w:noWrap/>
            <w:vAlign w:val="center"/>
            <w:hideMark/>
          </w:tcPr>
          <w:p w14:paraId="2BFC2F7B" w14:textId="77777777" w:rsidR="00565731" w:rsidRPr="00020CA3" w:rsidRDefault="00565731" w:rsidP="00020CA3">
            <w:pPr>
              <w:spacing w:line="240" w:lineRule="auto"/>
              <w:jc w:val="center"/>
              <w:rPr>
                <w:rFonts w:eastAsia="Times New Roman"/>
                <w:sz w:val="20"/>
                <w:szCs w:val="20"/>
                <w:lang w:eastAsia="cs-CZ"/>
              </w:rPr>
            </w:pPr>
          </w:p>
        </w:tc>
        <w:tc>
          <w:tcPr>
            <w:tcW w:w="851" w:type="dxa"/>
            <w:tcBorders>
              <w:top w:val="nil"/>
              <w:left w:val="nil"/>
              <w:bottom w:val="nil"/>
              <w:right w:val="nil"/>
            </w:tcBorders>
            <w:shd w:val="clear" w:color="auto" w:fill="auto"/>
            <w:noWrap/>
            <w:vAlign w:val="center"/>
            <w:hideMark/>
          </w:tcPr>
          <w:p w14:paraId="04B64725" w14:textId="77777777" w:rsidR="00565731" w:rsidRPr="00020CA3" w:rsidRDefault="00565731" w:rsidP="00020CA3">
            <w:pPr>
              <w:spacing w:line="240" w:lineRule="auto"/>
              <w:jc w:val="center"/>
              <w:rPr>
                <w:rFonts w:eastAsia="Times New Roman"/>
                <w:sz w:val="20"/>
                <w:szCs w:val="20"/>
                <w:lang w:eastAsia="cs-CZ"/>
              </w:rPr>
            </w:pPr>
          </w:p>
        </w:tc>
        <w:tc>
          <w:tcPr>
            <w:tcW w:w="1540" w:type="dxa"/>
            <w:tcBorders>
              <w:top w:val="nil"/>
              <w:left w:val="nil"/>
              <w:bottom w:val="nil"/>
              <w:right w:val="nil"/>
            </w:tcBorders>
            <w:shd w:val="clear" w:color="auto" w:fill="auto"/>
            <w:noWrap/>
            <w:vAlign w:val="center"/>
            <w:hideMark/>
          </w:tcPr>
          <w:p w14:paraId="5FD41887" w14:textId="77777777" w:rsidR="00565731" w:rsidRPr="00020CA3" w:rsidRDefault="00565731" w:rsidP="00020CA3">
            <w:pPr>
              <w:spacing w:line="240" w:lineRule="auto"/>
              <w:jc w:val="center"/>
              <w:rPr>
                <w:rFonts w:eastAsia="Times New Roman"/>
                <w:sz w:val="20"/>
                <w:szCs w:val="20"/>
                <w:lang w:eastAsia="cs-CZ"/>
              </w:rPr>
            </w:pPr>
          </w:p>
        </w:tc>
      </w:tr>
    </w:tbl>
    <w:p w14:paraId="7EBEFBAD" w14:textId="192E48E4" w:rsidR="008235DE" w:rsidRPr="00020CA3" w:rsidRDefault="008235DE" w:rsidP="008235DE">
      <w:pPr>
        <w:pStyle w:val="OdstavecASR"/>
      </w:pPr>
      <w:r w:rsidRPr="00020CA3">
        <w:t>Z tabulky vyčteme, že 5 z 8 soudů mělo méně příchozích věcí (nápad + obživa) než věcí vyřízených. Nejnižší míru vyřizování měl KS České Budějovice (91,5 %) a nejvyšší měl KS Ostrava (116,1 %). Rozdíly v absolutních číslech jsou však relativně malé. Rozdíl mezi mírou vyřizování 95 % a mírou vyřizování 105 % může představovat jen několik vyřízených věcí. Pro ilustraci, pokud by KS České Budějovice vyřídil jen o 5 věcí více, vykázal by míru vyřizování 100 %. Důvodem je to, že počet věcí v této agendě je velmi malý.</w:t>
      </w:r>
    </w:p>
    <w:p w14:paraId="4D6F1DDA" w14:textId="77777777" w:rsidR="001C219D" w:rsidRPr="00020CA3" w:rsidRDefault="001C219D" w:rsidP="001C219D">
      <w:pPr>
        <w:pStyle w:val="OdstavecASR"/>
      </w:pPr>
      <w:r w:rsidRPr="00020CA3">
        <w:t>Počet příchozích, vyřízených a nevyřízených věcí samozřejmě úzce souvisí s velikostí soudu. Pro lepší porovnání soudů je tedy v příštích podkapitolách</w:t>
      </w:r>
      <w:r w:rsidRPr="00020CA3" w:rsidDel="00EA1996">
        <w:t xml:space="preserve"> </w:t>
      </w:r>
      <w:r w:rsidRPr="00020CA3">
        <w:t>opět využit přepočet na soudce a disposition time. I u těchto ukazatelů však hraje roli malý počet pozorování.</w:t>
      </w:r>
    </w:p>
    <w:p w14:paraId="6387D384" w14:textId="124AEB2B" w:rsidR="00577F29" w:rsidRPr="00020CA3" w:rsidRDefault="00577F29" w:rsidP="00DD0A0A">
      <w:pPr>
        <w:pStyle w:val="Nadpis3"/>
        <w:numPr>
          <w:ilvl w:val="2"/>
          <w:numId w:val="1"/>
        </w:numPr>
        <w:rPr>
          <w:color w:val="auto"/>
        </w:rPr>
      </w:pPr>
      <w:bookmarkStart w:id="763" w:name="_Toc106092766"/>
      <w:bookmarkStart w:id="764" w:name="_Toc144104379"/>
      <w:r w:rsidRPr="00020CA3">
        <w:rPr>
          <w:color w:val="auto"/>
        </w:rPr>
        <w:t>Vyřizování věcí v přepočtu na soudce</w:t>
      </w:r>
      <w:bookmarkEnd w:id="763"/>
      <w:bookmarkEnd w:id="764"/>
    </w:p>
    <w:p w14:paraId="00447137" w14:textId="3361A788" w:rsidR="006E5BCE" w:rsidRPr="00020CA3" w:rsidRDefault="006E5BCE" w:rsidP="00020CA3">
      <w:pPr>
        <w:pStyle w:val="OdstavecASR"/>
      </w:pPr>
      <w:r w:rsidRPr="00020CA3">
        <w:t xml:space="preserve">V tabulce níže je uveden přepočet na </w:t>
      </w:r>
      <w:r w:rsidR="006A504B" w:rsidRPr="00020CA3">
        <w:t>skutečný počet soudců, resp. skutečný počet úvazků.</w:t>
      </w:r>
    </w:p>
    <w:p w14:paraId="5CB7FD08" w14:textId="786EBD8B" w:rsidR="006E5BCE" w:rsidRPr="00020CA3" w:rsidRDefault="006E5BCE" w:rsidP="006E5BCE">
      <w:pPr>
        <w:pStyle w:val="Podnadpis"/>
        <w:numPr>
          <w:ilvl w:val="0"/>
          <w:numId w:val="0"/>
        </w:numPr>
        <w:rPr>
          <w:color w:val="auto"/>
        </w:rPr>
      </w:pPr>
      <w:bookmarkStart w:id="765" w:name="_Toc144104297"/>
      <w:r w:rsidRPr="00020CA3">
        <w:rPr>
          <w:color w:val="auto"/>
        </w:rPr>
        <w:t xml:space="preserve">Tabulka </w:t>
      </w:r>
      <w:r w:rsidRPr="00020CA3">
        <w:rPr>
          <w:noProof/>
          <w:color w:val="auto"/>
        </w:rPr>
        <w:fldChar w:fldCharType="begin"/>
      </w:r>
      <w:r w:rsidRPr="00020CA3">
        <w:rPr>
          <w:noProof/>
          <w:color w:val="auto"/>
        </w:rPr>
        <w:instrText xml:space="preserve"> SEQ Tabulka \* ARABIC </w:instrText>
      </w:r>
      <w:r w:rsidRPr="00020CA3">
        <w:rPr>
          <w:noProof/>
          <w:color w:val="auto"/>
        </w:rPr>
        <w:fldChar w:fldCharType="separate"/>
      </w:r>
      <w:r w:rsidR="001E1A67">
        <w:rPr>
          <w:noProof/>
          <w:color w:val="auto"/>
        </w:rPr>
        <w:t>58</w:t>
      </w:r>
      <w:r w:rsidRPr="00020CA3">
        <w:rPr>
          <w:noProof/>
          <w:color w:val="auto"/>
        </w:rPr>
        <w:fldChar w:fldCharType="end"/>
      </w:r>
      <w:r w:rsidRPr="00020CA3">
        <w:rPr>
          <w:color w:val="auto"/>
        </w:rPr>
        <w:t>: KS – vyřiz. prvostupň. trest. věcí na skutečný úvazek dle soudů</w:t>
      </w:r>
      <w:bookmarkEnd w:id="765"/>
    </w:p>
    <w:tbl>
      <w:tblPr>
        <w:tblW w:w="9055" w:type="dxa"/>
        <w:tblCellMar>
          <w:left w:w="70" w:type="dxa"/>
          <w:right w:w="70" w:type="dxa"/>
        </w:tblCellMar>
        <w:tblLook w:val="04A0" w:firstRow="1" w:lastRow="0" w:firstColumn="1" w:lastColumn="0" w:noHBand="0" w:noVBand="1"/>
      </w:tblPr>
      <w:tblGrid>
        <w:gridCol w:w="1985"/>
        <w:gridCol w:w="992"/>
        <w:gridCol w:w="1090"/>
        <w:gridCol w:w="920"/>
        <w:gridCol w:w="1065"/>
        <w:gridCol w:w="963"/>
        <w:gridCol w:w="6"/>
        <w:gridCol w:w="1015"/>
        <w:gridCol w:w="1019"/>
      </w:tblGrid>
      <w:tr w:rsidR="00F15667" w:rsidRPr="00020CA3" w14:paraId="3311FDF8" w14:textId="77777777" w:rsidTr="00020CA3">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p w14:paraId="695F8F84" w14:textId="26A3C384" w:rsidR="00D82FE6" w:rsidRPr="00020CA3" w:rsidRDefault="00020CA3" w:rsidP="00020CA3">
            <w:pPr>
              <w:spacing w:line="240" w:lineRule="auto"/>
              <w:jc w:val="center"/>
              <w:rPr>
                <w:rFonts w:eastAsia="Times New Roman"/>
                <w:b/>
                <w:bCs/>
                <w:szCs w:val="24"/>
                <w:lang w:eastAsia="cs-CZ"/>
              </w:rPr>
            </w:pPr>
            <w:bookmarkStart w:id="766" w:name="_Toc43903068"/>
            <w:bookmarkStart w:id="767" w:name="_Toc106092767"/>
            <w:r w:rsidRPr="00020CA3">
              <w:rPr>
                <w:rFonts w:eastAsia="Times New Roman"/>
                <w:b/>
                <w:bCs/>
                <w:szCs w:val="24"/>
                <w:lang w:eastAsia="cs-CZ"/>
              </w:rPr>
              <w:t>S</w:t>
            </w:r>
            <w:r w:rsidR="00D82FE6" w:rsidRPr="00020CA3">
              <w:rPr>
                <w:rFonts w:eastAsia="Times New Roman"/>
                <w:b/>
                <w:bCs/>
                <w:szCs w:val="24"/>
                <w:lang w:eastAsia="cs-CZ"/>
              </w:rPr>
              <w:t>oud</w:t>
            </w:r>
          </w:p>
        </w:tc>
        <w:tc>
          <w:tcPr>
            <w:tcW w:w="992" w:type="dxa"/>
            <w:vMerge w:val="restart"/>
            <w:tcBorders>
              <w:top w:val="double" w:sz="6" w:space="0" w:color="auto"/>
              <w:left w:val="nil"/>
              <w:bottom w:val="double" w:sz="6" w:space="0" w:color="000000"/>
              <w:right w:val="nil"/>
            </w:tcBorders>
            <w:shd w:val="clear" w:color="auto" w:fill="auto"/>
            <w:vAlign w:val="center"/>
            <w:hideMark/>
          </w:tcPr>
          <w:p w14:paraId="1211BC0F" w14:textId="77777777" w:rsidR="00D82FE6" w:rsidRPr="00020CA3" w:rsidRDefault="00D82FE6" w:rsidP="00020CA3">
            <w:pPr>
              <w:spacing w:line="240" w:lineRule="auto"/>
              <w:jc w:val="center"/>
              <w:rPr>
                <w:rFonts w:eastAsia="Times New Roman"/>
                <w:b/>
                <w:bCs/>
                <w:szCs w:val="24"/>
                <w:lang w:eastAsia="cs-CZ"/>
              </w:rPr>
            </w:pPr>
            <w:r w:rsidRPr="00020CA3">
              <w:rPr>
                <w:rFonts w:eastAsia="Times New Roman"/>
                <w:b/>
                <w:bCs/>
                <w:szCs w:val="24"/>
                <w:lang w:eastAsia="cs-CZ"/>
              </w:rPr>
              <w:t>Počet úvazků</w:t>
            </w:r>
          </w:p>
        </w:tc>
        <w:tc>
          <w:tcPr>
            <w:tcW w:w="6078" w:type="dxa"/>
            <w:gridSpan w:val="7"/>
            <w:tcBorders>
              <w:top w:val="double" w:sz="6" w:space="0" w:color="auto"/>
              <w:left w:val="nil"/>
              <w:bottom w:val="nil"/>
              <w:right w:val="nil"/>
            </w:tcBorders>
            <w:shd w:val="clear" w:color="auto" w:fill="auto"/>
            <w:noWrap/>
            <w:vAlign w:val="center"/>
            <w:hideMark/>
          </w:tcPr>
          <w:p w14:paraId="4D683DA7" w14:textId="580ED869" w:rsidR="00D82FE6" w:rsidRPr="00020CA3" w:rsidRDefault="00BA7FE2" w:rsidP="00020CA3">
            <w:pPr>
              <w:spacing w:line="240" w:lineRule="auto"/>
              <w:jc w:val="center"/>
              <w:rPr>
                <w:rFonts w:eastAsia="Times New Roman"/>
                <w:b/>
                <w:bCs/>
                <w:szCs w:val="24"/>
                <w:lang w:eastAsia="cs-CZ"/>
              </w:rPr>
            </w:pPr>
            <w:r w:rsidRPr="00020CA3">
              <w:rPr>
                <w:rFonts w:eastAsia="Times New Roman"/>
                <w:b/>
                <w:bCs/>
                <w:szCs w:val="24"/>
                <w:lang w:eastAsia="cs-CZ"/>
              </w:rPr>
              <w:t>Počet věcí na úvazek</w:t>
            </w:r>
          </w:p>
        </w:tc>
      </w:tr>
      <w:tr w:rsidR="00F15667" w:rsidRPr="00020CA3" w14:paraId="4E5DFE27" w14:textId="77777777" w:rsidTr="00020CA3">
        <w:trPr>
          <w:trHeight w:val="330"/>
        </w:trPr>
        <w:tc>
          <w:tcPr>
            <w:tcW w:w="1985" w:type="dxa"/>
            <w:vMerge/>
            <w:tcBorders>
              <w:top w:val="double" w:sz="6" w:space="0" w:color="auto"/>
              <w:left w:val="nil"/>
              <w:bottom w:val="double" w:sz="6" w:space="0" w:color="000000"/>
              <w:right w:val="nil"/>
            </w:tcBorders>
            <w:vAlign w:val="center"/>
            <w:hideMark/>
          </w:tcPr>
          <w:p w14:paraId="5448E5D0" w14:textId="77777777" w:rsidR="00D82FE6" w:rsidRPr="00020CA3" w:rsidRDefault="00D82FE6" w:rsidP="00020CA3">
            <w:pPr>
              <w:spacing w:line="240" w:lineRule="auto"/>
              <w:jc w:val="center"/>
              <w:rPr>
                <w:rFonts w:eastAsia="Times New Roman"/>
                <w:b/>
                <w:bCs/>
                <w:szCs w:val="24"/>
                <w:lang w:eastAsia="cs-CZ"/>
              </w:rPr>
            </w:pPr>
          </w:p>
        </w:tc>
        <w:tc>
          <w:tcPr>
            <w:tcW w:w="992" w:type="dxa"/>
            <w:vMerge/>
            <w:tcBorders>
              <w:top w:val="double" w:sz="6" w:space="0" w:color="auto"/>
              <w:left w:val="nil"/>
              <w:bottom w:val="double" w:sz="6" w:space="0" w:color="000000"/>
              <w:right w:val="nil"/>
            </w:tcBorders>
            <w:vAlign w:val="center"/>
            <w:hideMark/>
          </w:tcPr>
          <w:p w14:paraId="0BA54AC9" w14:textId="77777777" w:rsidR="00D82FE6" w:rsidRPr="00020CA3" w:rsidRDefault="00D82FE6" w:rsidP="00020CA3">
            <w:pPr>
              <w:spacing w:line="240" w:lineRule="auto"/>
              <w:jc w:val="center"/>
              <w:rPr>
                <w:rFonts w:eastAsia="Times New Roman"/>
                <w:b/>
                <w:bCs/>
                <w:szCs w:val="24"/>
                <w:lang w:eastAsia="cs-CZ"/>
              </w:rPr>
            </w:pPr>
          </w:p>
        </w:tc>
        <w:tc>
          <w:tcPr>
            <w:tcW w:w="2010" w:type="dxa"/>
            <w:gridSpan w:val="2"/>
            <w:tcBorders>
              <w:top w:val="nil"/>
              <w:left w:val="nil"/>
              <w:bottom w:val="double" w:sz="6" w:space="0" w:color="auto"/>
              <w:right w:val="nil"/>
            </w:tcBorders>
            <w:shd w:val="clear" w:color="auto" w:fill="auto"/>
            <w:noWrap/>
            <w:vAlign w:val="center"/>
            <w:hideMark/>
          </w:tcPr>
          <w:p w14:paraId="5F32BBE9" w14:textId="77777777" w:rsidR="00D82FE6" w:rsidRPr="00020CA3" w:rsidRDefault="00D82FE6" w:rsidP="00020CA3">
            <w:pPr>
              <w:spacing w:line="240" w:lineRule="auto"/>
              <w:jc w:val="center"/>
              <w:rPr>
                <w:rFonts w:eastAsia="Times New Roman"/>
                <w:b/>
                <w:bCs/>
                <w:szCs w:val="24"/>
                <w:lang w:eastAsia="cs-CZ"/>
              </w:rPr>
            </w:pPr>
            <w:r w:rsidRPr="00020CA3">
              <w:rPr>
                <w:rFonts w:eastAsia="Times New Roman"/>
                <w:b/>
                <w:bCs/>
                <w:szCs w:val="24"/>
                <w:lang w:eastAsia="cs-CZ"/>
              </w:rPr>
              <w:t>Nápad + obživa</w:t>
            </w:r>
          </w:p>
        </w:tc>
        <w:tc>
          <w:tcPr>
            <w:tcW w:w="2034"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385FD102" w14:textId="77777777" w:rsidR="00D82FE6" w:rsidRPr="00020CA3" w:rsidRDefault="00D82FE6" w:rsidP="00020CA3">
            <w:pPr>
              <w:spacing w:line="240" w:lineRule="auto"/>
              <w:jc w:val="center"/>
              <w:rPr>
                <w:rFonts w:eastAsia="Times New Roman"/>
                <w:b/>
                <w:bCs/>
                <w:szCs w:val="24"/>
                <w:lang w:eastAsia="cs-CZ"/>
              </w:rPr>
            </w:pPr>
            <w:r w:rsidRPr="00020CA3">
              <w:rPr>
                <w:rFonts w:eastAsia="Times New Roman"/>
                <w:b/>
                <w:bCs/>
                <w:szCs w:val="24"/>
                <w:lang w:eastAsia="cs-CZ"/>
              </w:rPr>
              <w:t>Vyřízeno</w:t>
            </w:r>
          </w:p>
        </w:tc>
        <w:tc>
          <w:tcPr>
            <w:tcW w:w="2034" w:type="dxa"/>
            <w:gridSpan w:val="2"/>
            <w:tcBorders>
              <w:top w:val="nil"/>
              <w:left w:val="nil"/>
              <w:bottom w:val="double" w:sz="6" w:space="0" w:color="auto"/>
              <w:right w:val="nil"/>
            </w:tcBorders>
            <w:shd w:val="clear" w:color="auto" w:fill="auto"/>
            <w:noWrap/>
            <w:vAlign w:val="center"/>
            <w:hideMark/>
          </w:tcPr>
          <w:p w14:paraId="4EE1FAC4" w14:textId="77777777" w:rsidR="00D82FE6" w:rsidRPr="00020CA3" w:rsidRDefault="00D82FE6" w:rsidP="00020CA3">
            <w:pPr>
              <w:spacing w:line="240" w:lineRule="auto"/>
              <w:jc w:val="center"/>
              <w:rPr>
                <w:rFonts w:eastAsia="Times New Roman"/>
                <w:b/>
                <w:bCs/>
                <w:szCs w:val="24"/>
                <w:lang w:eastAsia="cs-CZ"/>
              </w:rPr>
            </w:pPr>
            <w:r w:rsidRPr="00020CA3">
              <w:rPr>
                <w:rFonts w:eastAsia="Times New Roman"/>
                <w:b/>
                <w:bCs/>
                <w:szCs w:val="24"/>
                <w:lang w:eastAsia="cs-CZ"/>
              </w:rPr>
              <w:t>Nevyřízeno</w:t>
            </w:r>
          </w:p>
        </w:tc>
      </w:tr>
      <w:tr w:rsidR="00F15667" w:rsidRPr="00020CA3" w14:paraId="6C3C7FAE" w14:textId="77777777" w:rsidTr="00020CA3">
        <w:trPr>
          <w:trHeight w:val="330"/>
        </w:trPr>
        <w:tc>
          <w:tcPr>
            <w:tcW w:w="1985" w:type="dxa"/>
            <w:tcBorders>
              <w:top w:val="single" w:sz="4" w:space="0" w:color="auto"/>
              <w:left w:val="nil"/>
              <w:bottom w:val="single" w:sz="4" w:space="0" w:color="auto"/>
              <w:right w:val="nil"/>
            </w:tcBorders>
            <w:shd w:val="clear" w:color="auto" w:fill="auto"/>
            <w:noWrap/>
            <w:vAlign w:val="center"/>
            <w:hideMark/>
          </w:tcPr>
          <w:p w14:paraId="06EC0CEA" w14:textId="77777777" w:rsidR="00D82FE6" w:rsidRPr="00020CA3" w:rsidRDefault="00D82FE6" w:rsidP="00020CA3">
            <w:pPr>
              <w:spacing w:line="240" w:lineRule="auto"/>
              <w:jc w:val="left"/>
              <w:rPr>
                <w:rFonts w:eastAsia="Times New Roman"/>
                <w:szCs w:val="24"/>
                <w:lang w:eastAsia="cs-CZ"/>
              </w:rPr>
            </w:pPr>
            <w:r w:rsidRPr="00020CA3">
              <w:rPr>
                <w:rFonts w:eastAsia="Times New Roman"/>
                <w:szCs w:val="24"/>
                <w:lang w:eastAsia="cs-CZ"/>
              </w:rPr>
              <w:t>MS Praha</w:t>
            </w:r>
          </w:p>
        </w:tc>
        <w:tc>
          <w:tcPr>
            <w:tcW w:w="992" w:type="dxa"/>
            <w:tcBorders>
              <w:top w:val="single" w:sz="4" w:space="0" w:color="auto"/>
              <w:left w:val="nil"/>
              <w:bottom w:val="single" w:sz="4" w:space="0" w:color="auto"/>
              <w:right w:val="nil"/>
            </w:tcBorders>
            <w:shd w:val="clear" w:color="auto" w:fill="auto"/>
            <w:noWrap/>
            <w:vAlign w:val="center"/>
            <w:hideMark/>
          </w:tcPr>
          <w:p w14:paraId="28B83251" w14:textId="2C8E29DC"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18,7</w:t>
            </w:r>
          </w:p>
        </w:tc>
        <w:tc>
          <w:tcPr>
            <w:tcW w:w="1090" w:type="dxa"/>
            <w:tcBorders>
              <w:top w:val="single" w:sz="4" w:space="0" w:color="auto"/>
              <w:left w:val="nil"/>
              <w:bottom w:val="single" w:sz="4" w:space="0" w:color="auto"/>
              <w:right w:val="nil"/>
            </w:tcBorders>
            <w:shd w:val="clear" w:color="auto" w:fill="auto"/>
            <w:noWrap/>
            <w:vAlign w:val="center"/>
            <w:hideMark/>
          </w:tcPr>
          <w:p w14:paraId="3D6F27F1" w14:textId="4C11C708"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15,94</w:t>
            </w:r>
          </w:p>
        </w:tc>
        <w:tc>
          <w:tcPr>
            <w:tcW w:w="920" w:type="dxa"/>
            <w:tcBorders>
              <w:top w:val="single" w:sz="4" w:space="0" w:color="auto"/>
              <w:left w:val="nil"/>
              <w:bottom w:val="single" w:sz="4" w:space="0" w:color="auto"/>
              <w:right w:val="nil"/>
            </w:tcBorders>
            <w:shd w:val="clear" w:color="auto" w:fill="auto"/>
            <w:noWrap/>
            <w:vAlign w:val="center"/>
            <w:hideMark/>
          </w:tcPr>
          <w:p w14:paraId="6C5C0C35" w14:textId="73905726"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+22 %</w:t>
            </w:r>
          </w:p>
        </w:tc>
        <w:tc>
          <w:tcPr>
            <w:tcW w:w="1065" w:type="dxa"/>
            <w:tcBorders>
              <w:top w:val="nil"/>
              <w:left w:val="single" w:sz="4" w:space="0" w:color="auto"/>
              <w:bottom w:val="single" w:sz="4" w:space="0" w:color="auto"/>
              <w:right w:val="nil"/>
            </w:tcBorders>
            <w:shd w:val="clear" w:color="auto" w:fill="auto"/>
            <w:noWrap/>
            <w:vAlign w:val="center"/>
            <w:hideMark/>
          </w:tcPr>
          <w:p w14:paraId="224D4E48" w14:textId="59E0358E"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15,19</w:t>
            </w:r>
          </w:p>
        </w:tc>
        <w:tc>
          <w:tcPr>
            <w:tcW w:w="963" w:type="dxa"/>
            <w:tcBorders>
              <w:top w:val="nil"/>
              <w:left w:val="nil"/>
              <w:bottom w:val="single" w:sz="4" w:space="0" w:color="auto"/>
              <w:right w:val="single" w:sz="4" w:space="0" w:color="auto"/>
            </w:tcBorders>
            <w:shd w:val="clear" w:color="auto" w:fill="auto"/>
            <w:noWrap/>
            <w:vAlign w:val="center"/>
            <w:hideMark/>
          </w:tcPr>
          <w:p w14:paraId="0AC0F1E8" w14:textId="036C2F7D"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+10 %</w:t>
            </w:r>
          </w:p>
        </w:tc>
        <w:tc>
          <w:tcPr>
            <w:tcW w:w="1021" w:type="dxa"/>
            <w:gridSpan w:val="2"/>
            <w:tcBorders>
              <w:top w:val="single" w:sz="4" w:space="0" w:color="auto"/>
              <w:left w:val="nil"/>
              <w:bottom w:val="single" w:sz="4" w:space="0" w:color="auto"/>
              <w:right w:val="nil"/>
            </w:tcBorders>
            <w:shd w:val="clear" w:color="auto" w:fill="auto"/>
            <w:noWrap/>
            <w:vAlign w:val="center"/>
            <w:hideMark/>
          </w:tcPr>
          <w:p w14:paraId="270D0B47" w14:textId="2C48AD9D"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9,52</w:t>
            </w:r>
          </w:p>
        </w:tc>
        <w:tc>
          <w:tcPr>
            <w:tcW w:w="1019" w:type="dxa"/>
            <w:tcBorders>
              <w:top w:val="single" w:sz="4" w:space="0" w:color="auto"/>
              <w:left w:val="nil"/>
              <w:bottom w:val="single" w:sz="4" w:space="0" w:color="auto"/>
              <w:right w:val="nil"/>
            </w:tcBorders>
            <w:shd w:val="clear" w:color="auto" w:fill="auto"/>
            <w:noWrap/>
            <w:vAlign w:val="center"/>
            <w:hideMark/>
          </w:tcPr>
          <w:p w14:paraId="3A766CE6" w14:textId="68668A6D"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+15 %</w:t>
            </w:r>
          </w:p>
        </w:tc>
      </w:tr>
      <w:tr w:rsidR="00F15667" w:rsidRPr="00020CA3" w14:paraId="40B098A8" w14:textId="77777777" w:rsidTr="00020CA3">
        <w:trPr>
          <w:trHeight w:val="315"/>
        </w:trPr>
        <w:tc>
          <w:tcPr>
            <w:tcW w:w="1985" w:type="dxa"/>
            <w:tcBorders>
              <w:top w:val="nil"/>
              <w:left w:val="nil"/>
              <w:bottom w:val="single" w:sz="4" w:space="0" w:color="auto"/>
              <w:right w:val="nil"/>
            </w:tcBorders>
            <w:shd w:val="clear" w:color="auto" w:fill="auto"/>
            <w:noWrap/>
            <w:vAlign w:val="center"/>
            <w:hideMark/>
          </w:tcPr>
          <w:p w14:paraId="67FB2507" w14:textId="77777777" w:rsidR="00D82FE6" w:rsidRPr="00020CA3" w:rsidRDefault="00D82FE6" w:rsidP="00020CA3">
            <w:pPr>
              <w:spacing w:line="240" w:lineRule="auto"/>
              <w:jc w:val="left"/>
              <w:rPr>
                <w:rFonts w:eastAsia="Times New Roman"/>
                <w:szCs w:val="24"/>
                <w:lang w:eastAsia="cs-CZ"/>
              </w:rPr>
            </w:pPr>
            <w:r w:rsidRPr="00020CA3">
              <w:rPr>
                <w:rFonts w:eastAsia="Times New Roman"/>
                <w:szCs w:val="24"/>
                <w:lang w:eastAsia="cs-CZ"/>
              </w:rPr>
              <w:t>KS Praha</w:t>
            </w:r>
          </w:p>
        </w:tc>
        <w:tc>
          <w:tcPr>
            <w:tcW w:w="992" w:type="dxa"/>
            <w:tcBorders>
              <w:top w:val="nil"/>
              <w:left w:val="nil"/>
              <w:bottom w:val="single" w:sz="4" w:space="0" w:color="auto"/>
              <w:right w:val="nil"/>
            </w:tcBorders>
            <w:shd w:val="clear" w:color="auto" w:fill="auto"/>
            <w:noWrap/>
            <w:vAlign w:val="center"/>
            <w:hideMark/>
          </w:tcPr>
          <w:p w14:paraId="28C87043" w14:textId="5B79EE8C"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5,9</w:t>
            </w:r>
          </w:p>
        </w:tc>
        <w:tc>
          <w:tcPr>
            <w:tcW w:w="1090" w:type="dxa"/>
            <w:tcBorders>
              <w:top w:val="nil"/>
              <w:left w:val="nil"/>
              <w:bottom w:val="single" w:sz="4" w:space="0" w:color="auto"/>
              <w:right w:val="nil"/>
            </w:tcBorders>
            <w:shd w:val="clear" w:color="auto" w:fill="auto"/>
            <w:noWrap/>
            <w:vAlign w:val="center"/>
            <w:hideMark/>
          </w:tcPr>
          <w:p w14:paraId="2C877157" w14:textId="6943D9B1"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13,05</w:t>
            </w:r>
          </w:p>
        </w:tc>
        <w:tc>
          <w:tcPr>
            <w:tcW w:w="920" w:type="dxa"/>
            <w:tcBorders>
              <w:top w:val="nil"/>
              <w:left w:val="nil"/>
              <w:bottom w:val="single" w:sz="4" w:space="0" w:color="auto"/>
              <w:right w:val="nil"/>
            </w:tcBorders>
            <w:shd w:val="clear" w:color="auto" w:fill="auto"/>
            <w:noWrap/>
            <w:vAlign w:val="center"/>
            <w:hideMark/>
          </w:tcPr>
          <w:p w14:paraId="6313D684" w14:textId="40D96465"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-6 %</w:t>
            </w:r>
          </w:p>
        </w:tc>
        <w:tc>
          <w:tcPr>
            <w:tcW w:w="1065" w:type="dxa"/>
            <w:tcBorders>
              <w:top w:val="nil"/>
              <w:left w:val="single" w:sz="4" w:space="0" w:color="auto"/>
              <w:bottom w:val="single" w:sz="4" w:space="0" w:color="auto"/>
              <w:right w:val="nil"/>
            </w:tcBorders>
            <w:shd w:val="clear" w:color="auto" w:fill="auto"/>
            <w:noWrap/>
            <w:vAlign w:val="center"/>
            <w:hideMark/>
          </w:tcPr>
          <w:p w14:paraId="0B1983D6" w14:textId="789B4F66"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13,05</w:t>
            </w:r>
          </w:p>
        </w:tc>
        <w:tc>
          <w:tcPr>
            <w:tcW w:w="963" w:type="dxa"/>
            <w:tcBorders>
              <w:top w:val="nil"/>
              <w:left w:val="nil"/>
              <w:bottom w:val="single" w:sz="4" w:space="0" w:color="auto"/>
              <w:right w:val="single" w:sz="4" w:space="0" w:color="auto"/>
            </w:tcBorders>
            <w:shd w:val="clear" w:color="auto" w:fill="auto"/>
            <w:noWrap/>
            <w:vAlign w:val="center"/>
            <w:hideMark/>
          </w:tcPr>
          <w:p w14:paraId="6CE36236" w14:textId="6EED46A3"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-1 %</w:t>
            </w:r>
          </w:p>
        </w:tc>
        <w:tc>
          <w:tcPr>
            <w:tcW w:w="1021" w:type="dxa"/>
            <w:gridSpan w:val="2"/>
            <w:tcBorders>
              <w:top w:val="nil"/>
              <w:left w:val="nil"/>
              <w:bottom w:val="single" w:sz="4" w:space="0" w:color="auto"/>
              <w:right w:val="nil"/>
            </w:tcBorders>
            <w:shd w:val="clear" w:color="auto" w:fill="auto"/>
            <w:noWrap/>
            <w:vAlign w:val="center"/>
            <w:hideMark/>
          </w:tcPr>
          <w:p w14:paraId="6A3B97AB" w14:textId="7074E461"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5,08</w:t>
            </w:r>
          </w:p>
        </w:tc>
        <w:tc>
          <w:tcPr>
            <w:tcW w:w="1019" w:type="dxa"/>
            <w:tcBorders>
              <w:top w:val="nil"/>
              <w:left w:val="nil"/>
              <w:bottom w:val="single" w:sz="4" w:space="0" w:color="auto"/>
              <w:right w:val="nil"/>
            </w:tcBorders>
            <w:shd w:val="clear" w:color="auto" w:fill="auto"/>
            <w:noWrap/>
            <w:vAlign w:val="center"/>
            <w:hideMark/>
          </w:tcPr>
          <w:p w14:paraId="0B366440" w14:textId="1FBBD427"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+3 %</w:t>
            </w:r>
          </w:p>
        </w:tc>
      </w:tr>
      <w:tr w:rsidR="00F15667" w:rsidRPr="00020CA3" w14:paraId="118C92FE" w14:textId="77777777" w:rsidTr="00020CA3">
        <w:trPr>
          <w:trHeight w:val="315"/>
        </w:trPr>
        <w:tc>
          <w:tcPr>
            <w:tcW w:w="1985" w:type="dxa"/>
            <w:tcBorders>
              <w:top w:val="nil"/>
              <w:left w:val="nil"/>
              <w:bottom w:val="single" w:sz="4" w:space="0" w:color="auto"/>
              <w:right w:val="nil"/>
            </w:tcBorders>
            <w:shd w:val="clear" w:color="auto" w:fill="auto"/>
            <w:noWrap/>
            <w:vAlign w:val="center"/>
            <w:hideMark/>
          </w:tcPr>
          <w:p w14:paraId="51DD41B7" w14:textId="77777777" w:rsidR="00D82FE6" w:rsidRPr="00020CA3" w:rsidRDefault="00D82FE6" w:rsidP="00020CA3">
            <w:pPr>
              <w:spacing w:line="240" w:lineRule="auto"/>
              <w:jc w:val="left"/>
              <w:rPr>
                <w:rFonts w:eastAsia="Times New Roman"/>
                <w:szCs w:val="24"/>
                <w:lang w:eastAsia="cs-CZ"/>
              </w:rPr>
            </w:pPr>
            <w:r w:rsidRPr="00020CA3">
              <w:rPr>
                <w:rFonts w:eastAsia="Times New Roman"/>
                <w:szCs w:val="24"/>
                <w:lang w:eastAsia="cs-CZ"/>
              </w:rPr>
              <w:t>KS Č. Budějovice</w:t>
            </w:r>
          </w:p>
        </w:tc>
        <w:tc>
          <w:tcPr>
            <w:tcW w:w="992" w:type="dxa"/>
            <w:tcBorders>
              <w:top w:val="nil"/>
              <w:left w:val="nil"/>
              <w:bottom w:val="single" w:sz="4" w:space="0" w:color="auto"/>
              <w:right w:val="nil"/>
            </w:tcBorders>
            <w:shd w:val="clear" w:color="auto" w:fill="auto"/>
            <w:noWrap/>
            <w:vAlign w:val="center"/>
            <w:hideMark/>
          </w:tcPr>
          <w:p w14:paraId="302EFDC5" w14:textId="3E560C62"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5,2</w:t>
            </w:r>
          </w:p>
        </w:tc>
        <w:tc>
          <w:tcPr>
            <w:tcW w:w="1090" w:type="dxa"/>
            <w:tcBorders>
              <w:top w:val="nil"/>
              <w:left w:val="nil"/>
              <w:bottom w:val="single" w:sz="4" w:space="0" w:color="auto"/>
              <w:right w:val="nil"/>
            </w:tcBorders>
            <w:shd w:val="clear" w:color="auto" w:fill="auto"/>
            <w:noWrap/>
            <w:vAlign w:val="center"/>
            <w:hideMark/>
          </w:tcPr>
          <w:p w14:paraId="15CA44D0" w14:textId="78B47CA4"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11,35</w:t>
            </w:r>
          </w:p>
        </w:tc>
        <w:tc>
          <w:tcPr>
            <w:tcW w:w="920" w:type="dxa"/>
            <w:tcBorders>
              <w:top w:val="nil"/>
              <w:left w:val="nil"/>
              <w:bottom w:val="single" w:sz="4" w:space="0" w:color="auto"/>
              <w:right w:val="nil"/>
            </w:tcBorders>
            <w:shd w:val="clear" w:color="auto" w:fill="auto"/>
            <w:noWrap/>
            <w:vAlign w:val="center"/>
            <w:hideMark/>
          </w:tcPr>
          <w:p w14:paraId="0BBE95AA" w14:textId="03C6963E"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+22 %</w:t>
            </w:r>
          </w:p>
        </w:tc>
        <w:tc>
          <w:tcPr>
            <w:tcW w:w="1065" w:type="dxa"/>
            <w:tcBorders>
              <w:top w:val="nil"/>
              <w:left w:val="single" w:sz="4" w:space="0" w:color="auto"/>
              <w:bottom w:val="single" w:sz="4" w:space="0" w:color="auto"/>
              <w:right w:val="nil"/>
            </w:tcBorders>
            <w:shd w:val="clear" w:color="auto" w:fill="auto"/>
            <w:noWrap/>
            <w:vAlign w:val="center"/>
            <w:hideMark/>
          </w:tcPr>
          <w:p w14:paraId="298053C8" w14:textId="11E50FDC"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10,38</w:t>
            </w:r>
          </w:p>
        </w:tc>
        <w:tc>
          <w:tcPr>
            <w:tcW w:w="963" w:type="dxa"/>
            <w:tcBorders>
              <w:top w:val="nil"/>
              <w:left w:val="nil"/>
              <w:bottom w:val="single" w:sz="4" w:space="0" w:color="auto"/>
              <w:right w:val="single" w:sz="4" w:space="0" w:color="auto"/>
            </w:tcBorders>
            <w:shd w:val="clear" w:color="auto" w:fill="auto"/>
            <w:noWrap/>
            <w:vAlign w:val="center"/>
            <w:hideMark/>
          </w:tcPr>
          <w:p w14:paraId="3B1ADBE6" w14:textId="747E733B"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-9 %</w:t>
            </w:r>
          </w:p>
        </w:tc>
        <w:tc>
          <w:tcPr>
            <w:tcW w:w="1021" w:type="dxa"/>
            <w:gridSpan w:val="2"/>
            <w:tcBorders>
              <w:top w:val="nil"/>
              <w:left w:val="nil"/>
              <w:bottom w:val="single" w:sz="4" w:space="0" w:color="auto"/>
              <w:right w:val="nil"/>
            </w:tcBorders>
            <w:shd w:val="clear" w:color="auto" w:fill="auto"/>
            <w:noWrap/>
            <w:vAlign w:val="center"/>
            <w:hideMark/>
          </w:tcPr>
          <w:p w14:paraId="1072E1E5" w14:textId="1FDAF45F"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7,31</w:t>
            </w:r>
          </w:p>
        </w:tc>
        <w:tc>
          <w:tcPr>
            <w:tcW w:w="1019" w:type="dxa"/>
            <w:tcBorders>
              <w:top w:val="nil"/>
              <w:left w:val="nil"/>
              <w:bottom w:val="single" w:sz="4" w:space="0" w:color="auto"/>
              <w:right w:val="nil"/>
            </w:tcBorders>
            <w:shd w:val="clear" w:color="auto" w:fill="auto"/>
            <w:noWrap/>
            <w:vAlign w:val="center"/>
            <w:hideMark/>
          </w:tcPr>
          <w:p w14:paraId="2250D1C7" w14:textId="32178CCE"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+22 %</w:t>
            </w:r>
          </w:p>
        </w:tc>
      </w:tr>
      <w:tr w:rsidR="00F15667" w:rsidRPr="00020CA3" w14:paraId="31221194" w14:textId="77777777" w:rsidTr="00020CA3">
        <w:trPr>
          <w:trHeight w:val="315"/>
        </w:trPr>
        <w:tc>
          <w:tcPr>
            <w:tcW w:w="1985" w:type="dxa"/>
            <w:tcBorders>
              <w:top w:val="nil"/>
              <w:left w:val="nil"/>
              <w:bottom w:val="single" w:sz="4" w:space="0" w:color="auto"/>
              <w:right w:val="nil"/>
            </w:tcBorders>
            <w:shd w:val="clear" w:color="auto" w:fill="auto"/>
            <w:noWrap/>
            <w:vAlign w:val="center"/>
            <w:hideMark/>
          </w:tcPr>
          <w:p w14:paraId="58EFC9A0" w14:textId="77777777" w:rsidR="00D82FE6" w:rsidRPr="00020CA3" w:rsidRDefault="00D82FE6" w:rsidP="00020CA3">
            <w:pPr>
              <w:spacing w:line="240" w:lineRule="auto"/>
              <w:jc w:val="left"/>
              <w:rPr>
                <w:rFonts w:eastAsia="Times New Roman"/>
                <w:szCs w:val="24"/>
                <w:lang w:eastAsia="cs-CZ"/>
              </w:rPr>
            </w:pPr>
            <w:r w:rsidRPr="00020CA3">
              <w:rPr>
                <w:rFonts w:eastAsia="Times New Roman"/>
                <w:szCs w:val="24"/>
                <w:lang w:eastAsia="cs-CZ"/>
              </w:rPr>
              <w:t>KS Plzeň</w:t>
            </w:r>
          </w:p>
        </w:tc>
        <w:tc>
          <w:tcPr>
            <w:tcW w:w="992" w:type="dxa"/>
            <w:tcBorders>
              <w:top w:val="nil"/>
              <w:left w:val="nil"/>
              <w:bottom w:val="single" w:sz="4" w:space="0" w:color="auto"/>
              <w:right w:val="nil"/>
            </w:tcBorders>
            <w:shd w:val="clear" w:color="auto" w:fill="auto"/>
            <w:noWrap/>
            <w:vAlign w:val="center"/>
            <w:hideMark/>
          </w:tcPr>
          <w:p w14:paraId="0216F78A" w14:textId="77777777"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6</w:t>
            </w:r>
          </w:p>
        </w:tc>
        <w:tc>
          <w:tcPr>
            <w:tcW w:w="1090" w:type="dxa"/>
            <w:tcBorders>
              <w:top w:val="nil"/>
              <w:left w:val="nil"/>
              <w:bottom w:val="single" w:sz="4" w:space="0" w:color="auto"/>
              <w:right w:val="nil"/>
            </w:tcBorders>
            <w:shd w:val="clear" w:color="auto" w:fill="auto"/>
            <w:noWrap/>
            <w:vAlign w:val="center"/>
            <w:hideMark/>
          </w:tcPr>
          <w:p w14:paraId="462318A3" w14:textId="2954F925"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16,17</w:t>
            </w:r>
          </w:p>
        </w:tc>
        <w:tc>
          <w:tcPr>
            <w:tcW w:w="920" w:type="dxa"/>
            <w:tcBorders>
              <w:top w:val="nil"/>
              <w:left w:val="nil"/>
              <w:bottom w:val="single" w:sz="4" w:space="0" w:color="auto"/>
              <w:right w:val="nil"/>
            </w:tcBorders>
            <w:shd w:val="clear" w:color="auto" w:fill="auto"/>
            <w:noWrap/>
            <w:vAlign w:val="center"/>
            <w:hideMark/>
          </w:tcPr>
          <w:p w14:paraId="4B750533" w14:textId="4C8183BE"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-2 %</w:t>
            </w:r>
          </w:p>
        </w:tc>
        <w:tc>
          <w:tcPr>
            <w:tcW w:w="1065" w:type="dxa"/>
            <w:tcBorders>
              <w:top w:val="nil"/>
              <w:left w:val="single" w:sz="4" w:space="0" w:color="auto"/>
              <w:bottom w:val="single" w:sz="4" w:space="0" w:color="auto"/>
              <w:right w:val="nil"/>
            </w:tcBorders>
            <w:shd w:val="clear" w:color="auto" w:fill="auto"/>
            <w:noWrap/>
            <w:vAlign w:val="center"/>
            <w:hideMark/>
          </w:tcPr>
          <w:p w14:paraId="63555A27" w14:textId="1D68A659"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17,50</w:t>
            </w:r>
          </w:p>
        </w:tc>
        <w:tc>
          <w:tcPr>
            <w:tcW w:w="963" w:type="dxa"/>
            <w:tcBorders>
              <w:top w:val="nil"/>
              <w:left w:val="nil"/>
              <w:bottom w:val="single" w:sz="4" w:space="0" w:color="auto"/>
              <w:right w:val="single" w:sz="4" w:space="0" w:color="auto"/>
            </w:tcBorders>
            <w:shd w:val="clear" w:color="auto" w:fill="auto"/>
            <w:noWrap/>
            <w:vAlign w:val="center"/>
            <w:hideMark/>
          </w:tcPr>
          <w:p w14:paraId="5C708832" w14:textId="1FA7DFC0"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+4 %</w:t>
            </w:r>
          </w:p>
        </w:tc>
        <w:tc>
          <w:tcPr>
            <w:tcW w:w="1021" w:type="dxa"/>
            <w:gridSpan w:val="2"/>
            <w:tcBorders>
              <w:top w:val="nil"/>
              <w:left w:val="nil"/>
              <w:bottom w:val="single" w:sz="4" w:space="0" w:color="auto"/>
              <w:right w:val="nil"/>
            </w:tcBorders>
            <w:shd w:val="clear" w:color="auto" w:fill="auto"/>
            <w:noWrap/>
            <w:vAlign w:val="center"/>
            <w:hideMark/>
          </w:tcPr>
          <w:p w14:paraId="6425D3EF" w14:textId="044AD667"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9,33</w:t>
            </w:r>
          </w:p>
        </w:tc>
        <w:tc>
          <w:tcPr>
            <w:tcW w:w="1019" w:type="dxa"/>
            <w:tcBorders>
              <w:top w:val="nil"/>
              <w:left w:val="nil"/>
              <w:bottom w:val="single" w:sz="4" w:space="0" w:color="auto"/>
              <w:right w:val="nil"/>
            </w:tcBorders>
            <w:shd w:val="clear" w:color="auto" w:fill="auto"/>
            <w:noWrap/>
            <w:vAlign w:val="center"/>
            <w:hideMark/>
          </w:tcPr>
          <w:p w14:paraId="1A4055A3" w14:textId="063F866B"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-13 %</w:t>
            </w:r>
          </w:p>
        </w:tc>
      </w:tr>
      <w:tr w:rsidR="00174306" w:rsidRPr="00020CA3" w14:paraId="21BCD12B" w14:textId="77777777" w:rsidTr="00174306">
        <w:trPr>
          <w:trHeight w:val="315"/>
        </w:trPr>
        <w:tc>
          <w:tcPr>
            <w:tcW w:w="1985" w:type="dxa"/>
            <w:tcBorders>
              <w:top w:val="nil"/>
              <w:left w:val="nil"/>
              <w:bottom w:val="single" w:sz="4" w:space="0" w:color="auto"/>
              <w:right w:val="nil"/>
            </w:tcBorders>
            <w:shd w:val="clear" w:color="auto" w:fill="auto"/>
            <w:noWrap/>
            <w:vAlign w:val="center"/>
            <w:hideMark/>
          </w:tcPr>
          <w:p w14:paraId="0309198F" w14:textId="77777777" w:rsidR="00174306" w:rsidRPr="00020CA3" w:rsidRDefault="00174306" w:rsidP="00174306">
            <w:pPr>
              <w:spacing w:line="240" w:lineRule="auto"/>
              <w:jc w:val="left"/>
              <w:rPr>
                <w:rFonts w:eastAsia="Times New Roman"/>
                <w:szCs w:val="24"/>
                <w:lang w:eastAsia="cs-CZ"/>
              </w:rPr>
            </w:pPr>
            <w:r w:rsidRPr="00020CA3">
              <w:rPr>
                <w:rFonts w:eastAsia="Times New Roman"/>
                <w:szCs w:val="24"/>
                <w:lang w:eastAsia="cs-CZ"/>
              </w:rPr>
              <w:t>KS Ústí n. Labem</w:t>
            </w:r>
          </w:p>
        </w:tc>
        <w:tc>
          <w:tcPr>
            <w:tcW w:w="992" w:type="dxa"/>
            <w:tcBorders>
              <w:top w:val="nil"/>
              <w:left w:val="nil"/>
              <w:bottom w:val="single" w:sz="4" w:space="0" w:color="auto"/>
              <w:right w:val="nil"/>
            </w:tcBorders>
            <w:shd w:val="clear" w:color="auto" w:fill="auto"/>
            <w:noWrap/>
            <w:vAlign w:val="center"/>
            <w:hideMark/>
          </w:tcPr>
          <w:p w14:paraId="0F263EAC" w14:textId="53B513A6" w:rsidR="00174306" w:rsidRPr="00020CA3" w:rsidRDefault="00174306" w:rsidP="00174306">
            <w:pPr>
              <w:spacing w:line="240" w:lineRule="auto"/>
              <w:jc w:val="center"/>
              <w:rPr>
                <w:rFonts w:eastAsia="Times New Roman"/>
                <w:szCs w:val="24"/>
                <w:lang w:eastAsia="cs-CZ"/>
              </w:rPr>
            </w:pPr>
            <w:r>
              <w:rPr>
                <w:rFonts w:eastAsia="Times New Roman"/>
                <w:szCs w:val="24"/>
                <w:lang w:eastAsia="cs-CZ"/>
              </w:rPr>
              <w:t>13,8</w:t>
            </w:r>
          </w:p>
        </w:tc>
        <w:tc>
          <w:tcPr>
            <w:tcW w:w="1090" w:type="dxa"/>
            <w:tcBorders>
              <w:top w:val="nil"/>
              <w:left w:val="nil"/>
              <w:bottom w:val="single" w:sz="4" w:space="0" w:color="auto"/>
              <w:right w:val="nil"/>
            </w:tcBorders>
            <w:shd w:val="clear" w:color="auto" w:fill="auto"/>
            <w:noWrap/>
            <w:vAlign w:val="center"/>
            <w:hideMark/>
          </w:tcPr>
          <w:p w14:paraId="493EF70C" w14:textId="4ECA1E2C" w:rsidR="00174306" w:rsidRPr="00020CA3" w:rsidRDefault="00174306" w:rsidP="00174306">
            <w:pPr>
              <w:spacing w:line="240" w:lineRule="auto"/>
              <w:jc w:val="center"/>
              <w:rPr>
                <w:rFonts w:eastAsia="Times New Roman"/>
                <w:szCs w:val="24"/>
                <w:lang w:eastAsia="cs-CZ"/>
              </w:rPr>
            </w:pPr>
            <w:r>
              <w:rPr>
                <w:color w:val="000000"/>
              </w:rPr>
              <w:t>11,38</w:t>
            </w:r>
          </w:p>
        </w:tc>
        <w:tc>
          <w:tcPr>
            <w:tcW w:w="920" w:type="dxa"/>
            <w:tcBorders>
              <w:top w:val="nil"/>
              <w:left w:val="nil"/>
              <w:bottom w:val="single" w:sz="4" w:space="0" w:color="auto"/>
              <w:right w:val="nil"/>
            </w:tcBorders>
            <w:shd w:val="clear" w:color="auto" w:fill="auto"/>
            <w:noWrap/>
            <w:vAlign w:val="center"/>
            <w:hideMark/>
          </w:tcPr>
          <w:p w14:paraId="0F98586F" w14:textId="60628859" w:rsidR="00174306" w:rsidRPr="00020CA3" w:rsidRDefault="00174306" w:rsidP="00174306">
            <w:pPr>
              <w:spacing w:line="240" w:lineRule="auto"/>
              <w:jc w:val="center"/>
              <w:rPr>
                <w:rFonts w:eastAsia="Times New Roman"/>
                <w:sz w:val="20"/>
                <w:szCs w:val="20"/>
                <w:lang w:eastAsia="cs-CZ"/>
              </w:rPr>
            </w:pPr>
            <w:r>
              <w:rPr>
                <w:color w:val="000000"/>
                <w:sz w:val="20"/>
                <w:szCs w:val="20"/>
              </w:rPr>
              <w:t>-10 %</w:t>
            </w:r>
          </w:p>
        </w:tc>
        <w:tc>
          <w:tcPr>
            <w:tcW w:w="1065" w:type="dxa"/>
            <w:tcBorders>
              <w:top w:val="nil"/>
              <w:left w:val="single" w:sz="4" w:space="0" w:color="auto"/>
              <w:bottom w:val="single" w:sz="4" w:space="0" w:color="auto"/>
              <w:right w:val="nil"/>
            </w:tcBorders>
            <w:shd w:val="clear" w:color="auto" w:fill="auto"/>
            <w:noWrap/>
            <w:vAlign w:val="center"/>
            <w:hideMark/>
          </w:tcPr>
          <w:p w14:paraId="62856254" w14:textId="5358DD5B" w:rsidR="00174306" w:rsidRPr="00020CA3" w:rsidRDefault="00174306" w:rsidP="00174306">
            <w:pPr>
              <w:spacing w:line="240" w:lineRule="auto"/>
              <w:jc w:val="center"/>
              <w:rPr>
                <w:rFonts w:eastAsia="Times New Roman"/>
                <w:szCs w:val="24"/>
                <w:lang w:eastAsia="cs-CZ"/>
              </w:rPr>
            </w:pPr>
            <w:r>
              <w:rPr>
                <w:color w:val="000000"/>
              </w:rPr>
              <w:t>11,59</w:t>
            </w:r>
          </w:p>
        </w:tc>
        <w:tc>
          <w:tcPr>
            <w:tcW w:w="963" w:type="dxa"/>
            <w:tcBorders>
              <w:top w:val="nil"/>
              <w:left w:val="nil"/>
              <w:bottom w:val="single" w:sz="4" w:space="0" w:color="auto"/>
              <w:right w:val="single" w:sz="4" w:space="0" w:color="auto"/>
            </w:tcBorders>
            <w:shd w:val="clear" w:color="auto" w:fill="auto"/>
            <w:noWrap/>
            <w:vAlign w:val="center"/>
            <w:hideMark/>
          </w:tcPr>
          <w:p w14:paraId="321A1FB6" w14:textId="3F15AF40" w:rsidR="00174306" w:rsidRPr="00020CA3" w:rsidRDefault="00174306" w:rsidP="00174306">
            <w:pPr>
              <w:spacing w:line="240" w:lineRule="auto"/>
              <w:jc w:val="center"/>
              <w:rPr>
                <w:rFonts w:eastAsia="Times New Roman"/>
                <w:sz w:val="20"/>
                <w:szCs w:val="20"/>
                <w:lang w:eastAsia="cs-CZ"/>
              </w:rPr>
            </w:pPr>
            <w:r>
              <w:rPr>
                <w:color w:val="000000"/>
                <w:sz w:val="20"/>
                <w:szCs w:val="20"/>
              </w:rPr>
              <w:t>-25 %</w:t>
            </w:r>
          </w:p>
        </w:tc>
        <w:tc>
          <w:tcPr>
            <w:tcW w:w="1021" w:type="dxa"/>
            <w:gridSpan w:val="2"/>
            <w:tcBorders>
              <w:top w:val="nil"/>
              <w:left w:val="nil"/>
              <w:bottom w:val="single" w:sz="4" w:space="0" w:color="auto"/>
              <w:right w:val="nil"/>
            </w:tcBorders>
            <w:shd w:val="clear" w:color="auto" w:fill="auto"/>
            <w:noWrap/>
            <w:vAlign w:val="center"/>
            <w:hideMark/>
          </w:tcPr>
          <w:p w14:paraId="2F3F51E0" w14:textId="1B6146B8" w:rsidR="00174306" w:rsidRPr="00020CA3" w:rsidRDefault="00174306" w:rsidP="00174306">
            <w:pPr>
              <w:spacing w:line="240" w:lineRule="auto"/>
              <w:jc w:val="center"/>
              <w:rPr>
                <w:rFonts w:eastAsia="Times New Roman"/>
                <w:szCs w:val="24"/>
                <w:lang w:eastAsia="cs-CZ"/>
              </w:rPr>
            </w:pPr>
            <w:r>
              <w:rPr>
                <w:color w:val="000000"/>
              </w:rPr>
              <w:t>7,61</w:t>
            </w:r>
          </w:p>
        </w:tc>
        <w:tc>
          <w:tcPr>
            <w:tcW w:w="1019" w:type="dxa"/>
            <w:tcBorders>
              <w:top w:val="nil"/>
              <w:left w:val="nil"/>
              <w:bottom w:val="single" w:sz="4" w:space="0" w:color="auto"/>
              <w:right w:val="nil"/>
            </w:tcBorders>
            <w:shd w:val="clear" w:color="auto" w:fill="auto"/>
            <w:noWrap/>
            <w:vAlign w:val="center"/>
            <w:hideMark/>
          </w:tcPr>
          <w:p w14:paraId="2B34C02A" w14:textId="3DF0F9D3" w:rsidR="00174306" w:rsidRPr="00020CA3" w:rsidRDefault="00174306" w:rsidP="00174306">
            <w:pPr>
              <w:spacing w:line="240" w:lineRule="auto"/>
              <w:jc w:val="center"/>
              <w:rPr>
                <w:rFonts w:eastAsia="Times New Roman"/>
                <w:sz w:val="20"/>
                <w:szCs w:val="20"/>
                <w:lang w:eastAsia="cs-CZ"/>
              </w:rPr>
            </w:pPr>
            <w:r>
              <w:rPr>
                <w:color w:val="000000"/>
                <w:sz w:val="20"/>
                <w:szCs w:val="20"/>
              </w:rPr>
              <w:t>-22 %</w:t>
            </w:r>
          </w:p>
        </w:tc>
      </w:tr>
      <w:tr w:rsidR="00F15667" w:rsidRPr="00020CA3" w14:paraId="48D7533D" w14:textId="77777777" w:rsidTr="00020CA3">
        <w:trPr>
          <w:trHeight w:val="315"/>
        </w:trPr>
        <w:tc>
          <w:tcPr>
            <w:tcW w:w="1985" w:type="dxa"/>
            <w:tcBorders>
              <w:top w:val="nil"/>
              <w:left w:val="nil"/>
              <w:bottom w:val="single" w:sz="4" w:space="0" w:color="auto"/>
              <w:right w:val="nil"/>
            </w:tcBorders>
            <w:shd w:val="clear" w:color="auto" w:fill="auto"/>
            <w:noWrap/>
            <w:vAlign w:val="center"/>
            <w:hideMark/>
          </w:tcPr>
          <w:p w14:paraId="63B12427" w14:textId="77777777" w:rsidR="00D82FE6" w:rsidRPr="00020CA3" w:rsidRDefault="00D82FE6" w:rsidP="00020CA3">
            <w:pPr>
              <w:spacing w:line="240" w:lineRule="auto"/>
              <w:jc w:val="left"/>
              <w:rPr>
                <w:rFonts w:eastAsia="Times New Roman"/>
                <w:szCs w:val="24"/>
                <w:lang w:eastAsia="cs-CZ"/>
              </w:rPr>
            </w:pPr>
            <w:r w:rsidRPr="00020CA3">
              <w:rPr>
                <w:rFonts w:eastAsia="Times New Roman"/>
                <w:szCs w:val="24"/>
                <w:lang w:eastAsia="cs-CZ"/>
              </w:rPr>
              <w:t>KS Hr. Králové</w:t>
            </w:r>
          </w:p>
        </w:tc>
        <w:tc>
          <w:tcPr>
            <w:tcW w:w="992" w:type="dxa"/>
            <w:tcBorders>
              <w:top w:val="nil"/>
              <w:left w:val="nil"/>
              <w:bottom w:val="single" w:sz="4" w:space="0" w:color="auto"/>
              <w:right w:val="nil"/>
            </w:tcBorders>
            <w:shd w:val="clear" w:color="auto" w:fill="auto"/>
            <w:noWrap/>
            <w:vAlign w:val="center"/>
            <w:hideMark/>
          </w:tcPr>
          <w:p w14:paraId="1DC4DB97" w14:textId="4C3E281C"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7,4</w:t>
            </w:r>
          </w:p>
        </w:tc>
        <w:tc>
          <w:tcPr>
            <w:tcW w:w="1090" w:type="dxa"/>
            <w:tcBorders>
              <w:top w:val="nil"/>
              <w:left w:val="nil"/>
              <w:bottom w:val="single" w:sz="4" w:space="0" w:color="auto"/>
              <w:right w:val="nil"/>
            </w:tcBorders>
            <w:shd w:val="clear" w:color="auto" w:fill="auto"/>
            <w:noWrap/>
            <w:vAlign w:val="center"/>
            <w:hideMark/>
          </w:tcPr>
          <w:p w14:paraId="2428E728" w14:textId="123C132B"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10,95</w:t>
            </w:r>
          </w:p>
        </w:tc>
        <w:tc>
          <w:tcPr>
            <w:tcW w:w="920" w:type="dxa"/>
            <w:tcBorders>
              <w:top w:val="nil"/>
              <w:left w:val="nil"/>
              <w:bottom w:val="single" w:sz="4" w:space="0" w:color="auto"/>
              <w:right w:val="nil"/>
            </w:tcBorders>
            <w:shd w:val="clear" w:color="auto" w:fill="auto"/>
            <w:noWrap/>
            <w:vAlign w:val="center"/>
            <w:hideMark/>
          </w:tcPr>
          <w:p w14:paraId="50389EF4" w14:textId="5ED67A3C"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-6 %</w:t>
            </w:r>
          </w:p>
        </w:tc>
        <w:tc>
          <w:tcPr>
            <w:tcW w:w="1065" w:type="dxa"/>
            <w:tcBorders>
              <w:top w:val="nil"/>
              <w:left w:val="single" w:sz="4" w:space="0" w:color="auto"/>
              <w:bottom w:val="single" w:sz="4" w:space="0" w:color="auto"/>
              <w:right w:val="nil"/>
            </w:tcBorders>
            <w:shd w:val="clear" w:color="auto" w:fill="auto"/>
            <w:noWrap/>
            <w:vAlign w:val="center"/>
            <w:hideMark/>
          </w:tcPr>
          <w:p w14:paraId="2736E40A" w14:textId="20FCC986"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11,49</w:t>
            </w:r>
          </w:p>
        </w:tc>
        <w:tc>
          <w:tcPr>
            <w:tcW w:w="963" w:type="dxa"/>
            <w:tcBorders>
              <w:top w:val="nil"/>
              <w:left w:val="nil"/>
              <w:bottom w:val="single" w:sz="4" w:space="0" w:color="auto"/>
              <w:right w:val="single" w:sz="4" w:space="0" w:color="auto"/>
            </w:tcBorders>
            <w:shd w:val="clear" w:color="auto" w:fill="auto"/>
            <w:noWrap/>
            <w:vAlign w:val="center"/>
            <w:hideMark/>
          </w:tcPr>
          <w:p w14:paraId="7FD70E99" w14:textId="651C30FA"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-8 %</w:t>
            </w:r>
          </w:p>
        </w:tc>
        <w:tc>
          <w:tcPr>
            <w:tcW w:w="1021" w:type="dxa"/>
            <w:gridSpan w:val="2"/>
            <w:tcBorders>
              <w:top w:val="nil"/>
              <w:left w:val="nil"/>
              <w:bottom w:val="single" w:sz="4" w:space="0" w:color="auto"/>
              <w:right w:val="nil"/>
            </w:tcBorders>
            <w:shd w:val="clear" w:color="auto" w:fill="auto"/>
            <w:noWrap/>
            <w:vAlign w:val="center"/>
            <w:hideMark/>
          </w:tcPr>
          <w:p w14:paraId="785801E8" w14:textId="5347D528"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3,38</w:t>
            </w:r>
          </w:p>
        </w:tc>
        <w:tc>
          <w:tcPr>
            <w:tcW w:w="1019" w:type="dxa"/>
            <w:tcBorders>
              <w:top w:val="nil"/>
              <w:left w:val="nil"/>
              <w:bottom w:val="single" w:sz="4" w:space="0" w:color="auto"/>
              <w:right w:val="nil"/>
            </w:tcBorders>
            <w:shd w:val="clear" w:color="auto" w:fill="auto"/>
            <w:noWrap/>
            <w:vAlign w:val="center"/>
            <w:hideMark/>
          </w:tcPr>
          <w:p w14:paraId="634E2B13" w14:textId="058FD737"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-17 %</w:t>
            </w:r>
          </w:p>
        </w:tc>
      </w:tr>
      <w:tr w:rsidR="00F15667" w:rsidRPr="00020CA3" w14:paraId="04A00809" w14:textId="77777777" w:rsidTr="00020CA3">
        <w:trPr>
          <w:trHeight w:val="315"/>
        </w:trPr>
        <w:tc>
          <w:tcPr>
            <w:tcW w:w="1985" w:type="dxa"/>
            <w:tcBorders>
              <w:top w:val="nil"/>
              <w:left w:val="nil"/>
              <w:bottom w:val="single" w:sz="4" w:space="0" w:color="auto"/>
              <w:right w:val="nil"/>
            </w:tcBorders>
            <w:shd w:val="clear" w:color="auto" w:fill="auto"/>
            <w:noWrap/>
            <w:vAlign w:val="center"/>
            <w:hideMark/>
          </w:tcPr>
          <w:p w14:paraId="07A1351D" w14:textId="77777777" w:rsidR="00D82FE6" w:rsidRPr="00020CA3" w:rsidRDefault="00D82FE6" w:rsidP="00020CA3">
            <w:pPr>
              <w:spacing w:line="240" w:lineRule="auto"/>
              <w:jc w:val="left"/>
              <w:rPr>
                <w:rFonts w:eastAsia="Times New Roman"/>
                <w:szCs w:val="24"/>
                <w:lang w:eastAsia="cs-CZ"/>
              </w:rPr>
            </w:pPr>
            <w:r w:rsidRPr="00020CA3">
              <w:rPr>
                <w:rFonts w:eastAsia="Times New Roman"/>
                <w:szCs w:val="24"/>
                <w:lang w:eastAsia="cs-CZ"/>
              </w:rPr>
              <w:t>KS Brno</w:t>
            </w:r>
          </w:p>
        </w:tc>
        <w:tc>
          <w:tcPr>
            <w:tcW w:w="992" w:type="dxa"/>
            <w:tcBorders>
              <w:top w:val="nil"/>
              <w:left w:val="nil"/>
              <w:bottom w:val="single" w:sz="4" w:space="0" w:color="auto"/>
              <w:right w:val="nil"/>
            </w:tcBorders>
            <w:shd w:val="clear" w:color="auto" w:fill="auto"/>
            <w:noWrap/>
            <w:vAlign w:val="center"/>
            <w:hideMark/>
          </w:tcPr>
          <w:p w14:paraId="4E7F46DE" w14:textId="77777777"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14</w:t>
            </w:r>
          </w:p>
        </w:tc>
        <w:tc>
          <w:tcPr>
            <w:tcW w:w="1090" w:type="dxa"/>
            <w:tcBorders>
              <w:top w:val="nil"/>
              <w:left w:val="nil"/>
              <w:bottom w:val="single" w:sz="4" w:space="0" w:color="auto"/>
              <w:right w:val="nil"/>
            </w:tcBorders>
            <w:shd w:val="clear" w:color="auto" w:fill="auto"/>
            <w:noWrap/>
            <w:vAlign w:val="center"/>
            <w:hideMark/>
          </w:tcPr>
          <w:p w14:paraId="03CE885F" w14:textId="159C0CD0"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14,57</w:t>
            </w:r>
          </w:p>
        </w:tc>
        <w:tc>
          <w:tcPr>
            <w:tcW w:w="920" w:type="dxa"/>
            <w:tcBorders>
              <w:top w:val="nil"/>
              <w:left w:val="nil"/>
              <w:bottom w:val="single" w:sz="4" w:space="0" w:color="auto"/>
              <w:right w:val="nil"/>
            </w:tcBorders>
            <w:shd w:val="clear" w:color="auto" w:fill="auto"/>
            <w:noWrap/>
            <w:vAlign w:val="center"/>
            <w:hideMark/>
          </w:tcPr>
          <w:p w14:paraId="25525032" w14:textId="7A401E23"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+7 %</w:t>
            </w:r>
          </w:p>
        </w:tc>
        <w:tc>
          <w:tcPr>
            <w:tcW w:w="1065" w:type="dxa"/>
            <w:tcBorders>
              <w:top w:val="nil"/>
              <w:left w:val="single" w:sz="4" w:space="0" w:color="auto"/>
              <w:bottom w:val="single" w:sz="4" w:space="0" w:color="auto"/>
              <w:right w:val="nil"/>
            </w:tcBorders>
            <w:shd w:val="clear" w:color="auto" w:fill="auto"/>
            <w:noWrap/>
            <w:vAlign w:val="center"/>
            <w:hideMark/>
          </w:tcPr>
          <w:p w14:paraId="61DB6408" w14:textId="1FCCC589"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14,43</w:t>
            </w:r>
          </w:p>
        </w:tc>
        <w:tc>
          <w:tcPr>
            <w:tcW w:w="963" w:type="dxa"/>
            <w:tcBorders>
              <w:top w:val="nil"/>
              <w:left w:val="nil"/>
              <w:bottom w:val="single" w:sz="4" w:space="0" w:color="auto"/>
              <w:right w:val="single" w:sz="4" w:space="0" w:color="auto"/>
            </w:tcBorders>
            <w:shd w:val="clear" w:color="auto" w:fill="auto"/>
            <w:noWrap/>
            <w:vAlign w:val="center"/>
            <w:hideMark/>
          </w:tcPr>
          <w:p w14:paraId="389966E4" w14:textId="08D117A9"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-15 %</w:t>
            </w:r>
          </w:p>
        </w:tc>
        <w:tc>
          <w:tcPr>
            <w:tcW w:w="1021" w:type="dxa"/>
            <w:gridSpan w:val="2"/>
            <w:tcBorders>
              <w:top w:val="nil"/>
              <w:left w:val="nil"/>
              <w:bottom w:val="single" w:sz="4" w:space="0" w:color="auto"/>
              <w:right w:val="nil"/>
            </w:tcBorders>
            <w:shd w:val="clear" w:color="auto" w:fill="auto"/>
            <w:noWrap/>
            <w:vAlign w:val="center"/>
            <w:hideMark/>
          </w:tcPr>
          <w:p w14:paraId="700D0674" w14:textId="09750CC6"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7,64</w:t>
            </w:r>
          </w:p>
        </w:tc>
        <w:tc>
          <w:tcPr>
            <w:tcW w:w="1019" w:type="dxa"/>
            <w:tcBorders>
              <w:top w:val="nil"/>
              <w:left w:val="nil"/>
              <w:bottom w:val="single" w:sz="4" w:space="0" w:color="auto"/>
              <w:right w:val="nil"/>
            </w:tcBorders>
            <w:shd w:val="clear" w:color="auto" w:fill="auto"/>
            <w:noWrap/>
            <w:vAlign w:val="center"/>
            <w:hideMark/>
          </w:tcPr>
          <w:p w14:paraId="3EBD70E0" w14:textId="58855415"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+3 %</w:t>
            </w:r>
          </w:p>
        </w:tc>
      </w:tr>
      <w:tr w:rsidR="00F15667" w:rsidRPr="00020CA3" w14:paraId="7844CCE6" w14:textId="77777777" w:rsidTr="00020CA3">
        <w:trPr>
          <w:trHeight w:val="330"/>
        </w:trPr>
        <w:tc>
          <w:tcPr>
            <w:tcW w:w="1985" w:type="dxa"/>
            <w:tcBorders>
              <w:top w:val="nil"/>
              <w:left w:val="nil"/>
              <w:bottom w:val="double" w:sz="6" w:space="0" w:color="auto"/>
              <w:right w:val="nil"/>
            </w:tcBorders>
            <w:shd w:val="clear" w:color="auto" w:fill="auto"/>
            <w:noWrap/>
            <w:vAlign w:val="center"/>
            <w:hideMark/>
          </w:tcPr>
          <w:p w14:paraId="0A60FFC3" w14:textId="77777777" w:rsidR="00D82FE6" w:rsidRPr="00020CA3" w:rsidRDefault="00D82FE6" w:rsidP="00020CA3">
            <w:pPr>
              <w:spacing w:line="240" w:lineRule="auto"/>
              <w:jc w:val="left"/>
              <w:rPr>
                <w:rFonts w:eastAsia="Times New Roman"/>
                <w:szCs w:val="24"/>
                <w:lang w:eastAsia="cs-CZ"/>
              </w:rPr>
            </w:pPr>
            <w:r w:rsidRPr="00020CA3">
              <w:rPr>
                <w:rFonts w:eastAsia="Times New Roman"/>
                <w:szCs w:val="24"/>
                <w:lang w:eastAsia="cs-CZ"/>
              </w:rPr>
              <w:t>KS Ostrava</w:t>
            </w:r>
          </w:p>
        </w:tc>
        <w:tc>
          <w:tcPr>
            <w:tcW w:w="992" w:type="dxa"/>
            <w:tcBorders>
              <w:top w:val="nil"/>
              <w:left w:val="nil"/>
              <w:bottom w:val="double" w:sz="6" w:space="0" w:color="auto"/>
              <w:right w:val="nil"/>
            </w:tcBorders>
            <w:shd w:val="clear" w:color="auto" w:fill="auto"/>
            <w:noWrap/>
            <w:vAlign w:val="center"/>
            <w:hideMark/>
          </w:tcPr>
          <w:p w14:paraId="4640A20C" w14:textId="77777777"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17</w:t>
            </w:r>
          </w:p>
        </w:tc>
        <w:tc>
          <w:tcPr>
            <w:tcW w:w="1090" w:type="dxa"/>
            <w:tcBorders>
              <w:top w:val="nil"/>
              <w:left w:val="nil"/>
              <w:bottom w:val="double" w:sz="6" w:space="0" w:color="auto"/>
              <w:right w:val="nil"/>
            </w:tcBorders>
            <w:shd w:val="clear" w:color="auto" w:fill="auto"/>
            <w:noWrap/>
            <w:vAlign w:val="center"/>
            <w:hideMark/>
          </w:tcPr>
          <w:p w14:paraId="389587C4" w14:textId="0C3E0EE6"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9,88</w:t>
            </w:r>
          </w:p>
        </w:tc>
        <w:tc>
          <w:tcPr>
            <w:tcW w:w="920" w:type="dxa"/>
            <w:tcBorders>
              <w:top w:val="nil"/>
              <w:left w:val="nil"/>
              <w:bottom w:val="double" w:sz="6" w:space="0" w:color="auto"/>
              <w:right w:val="nil"/>
            </w:tcBorders>
            <w:shd w:val="clear" w:color="auto" w:fill="auto"/>
            <w:noWrap/>
            <w:vAlign w:val="center"/>
            <w:hideMark/>
          </w:tcPr>
          <w:p w14:paraId="5B864923" w14:textId="0DF7917C"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-6 %</w:t>
            </w:r>
          </w:p>
        </w:tc>
        <w:tc>
          <w:tcPr>
            <w:tcW w:w="1065" w:type="dxa"/>
            <w:tcBorders>
              <w:top w:val="nil"/>
              <w:left w:val="single" w:sz="4" w:space="0" w:color="auto"/>
              <w:bottom w:val="double" w:sz="6" w:space="0" w:color="auto"/>
              <w:right w:val="nil"/>
            </w:tcBorders>
            <w:shd w:val="clear" w:color="auto" w:fill="auto"/>
            <w:noWrap/>
            <w:vAlign w:val="center"/>
            <w:hideMark/>
          </w:tcPr>
          <w:p w14:paraId="49B0A2E0" w14:textId="5C4DEE4F"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11,47</w:t>
            </w:r>
          </w:p>
        </w:tc>
        <w:tc>
          <w:tcPr>
            <w:tcW w:w="963" w:type="dxa"/>
            <w:tcBorders>
              <w:top w:val="nil"/>
              <w:left w:val="nil"/>
              <w:bottom w:val="double" w:sz="6" w:space="0" w:color="auto"/>
              <w:right w:val="single" w:sz="4" w:space="0" w:color="auto"/>
            </w:tcBorders>
            <w:shd w:val="clear" w:color="auto" w:fill="auto"/>
            <w:noWrap/>
            <w:vAlign w:val="center"/>
            <w:hideMark/>
          </w:tcPr>
          <w:p w14:paraId="18653914" w14:textId="6D94EC14"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+4 %</w:t>
            </w:r>
          </w:p>
        </w:tc>
        <w:tc>
          <w:tcPr>
            <w:tcW w:w="1021" w:type="dxa"/>
            <w:gridSpan w:val="2"/>
            <w:tcBorders>
              <w:top w:val="nil"/>
              <w:left w:val="nil"/>
              <w:bottom w:val="double" w:sz="6" w:space="0" w:color="auto"/>
              <w:right w:val="nil"/>
            </w:tcBorders>
            <w:shd w:val="clear" w:color="auto" w:fill="auto"/>
            <w:noWrap/>
            <w:vAlign w:val="center"/>
            <w:hideMark/>
          </w:tcPr>
          <w:p w14:paraId="7E4B759A" w14:textId="31056EF8" w:rsidR="00D82FE6" w:rsidRPr="00020CA3" w:rsidRDefault="00D82FE6" w:rsidP="00020CA3">
            <w:pPr>
              <w:spacing w:line="240" w:lineRule="auto"/>
              <w:jc w:val="center"/>
              <w:rPr>
                <w:rFonts w:eastAsia="Times New Roman"/>
                <w:szCs w:val="24"/>
                <w:lang w:eastAsia="cs-CZ"/>
              </w:rPr>
            </w:pPr>
            <w:r w:rsidRPr="00020CA3">
              <w:rPr>
                <w:rFonts w:eastAsia="Times New Roman"/>
                <w:szCs w:val="24"/>
                <w:lang w:eastAsia="cs-CZ"/>
              </w:rPr>
              <w:t>4,82</w:t>
            </w:r>
          </w:p>
        </w:tc>
        <w:tc>
          <w:tcPr>
            <w:tcW w:w="1019" w:type="dxa"/>
            <w:tcBorders>
              <w:top w:val="nil"/>
              <w:left w:val="nil"/>
              <w:bottom w:val="double" w:sz="6" w:space="0" w:color="auto"/>
              <w:right w:val="nil"/>
            </w:tcBorders>
            <w:shd w:val="clear" w:color="auto" w:fill="auto"/>
            <w:noWrap/>
            <w:vAlign w:val="center"/>
            <w:hideMark/>
          </w:tcPr>
          <w:p w14:paraId="2FEB7DC5" w14:textId="0531B7A7" w:rsidR="00D82FE6" w:rsidRPr="00020CA3" w:rsidRDefault="00D82FE6" w:rsidP="00020CA3">
            <w:pPr>
              <w:spacing w:line="240" w:lineRule="auto"/>
              <w:jc w:val="center"/>
              <w:rPr>
                <w:rFonts w:eastAsia="Times New Roman"/>
                <w:sz w:val="20"/>
                <w:szCs w:val="20"/>
                <w:lang w:eastAsia="cs-CZ"/>
              </w:rPr>
            </w:pPr>
            <w:r w:rsidRPr="00020CA3">
              <w:rPr>
                <w:rFonts w:eastAsia="Times New Roman"/>
                <w:sz w:val="20"/>
                <w:szCs w:val="20"/>
                <w:lang w:eastAsia="cs-CZ"/>
              </w:rPr>
              <w:t>-31 %</w:t>
            </w:r>
          </w:p>
        </w:tc>
      </w:tr>
      <w:tr w:rsidR="00F15667" w:rsidRPr="00020CA3" w14:paraId="69D5B516" w14:textId="77777777" w:rsidTr="00020CA3">
        <w:trPr>
          <w:trHeight w:val="345"/>
        </w:trPr>
        <w:tc>
          <w:tcPr>
            <w:tcW w:w="1985" w:type="dxa"/>
            <w:tcBorders>
              <w:top w:val="nil"/>
              <w:left w:val="nil"/>
              <w:bottom w:val="double" w:sz="6" w:space="0" w:color="auto"/>
              <w:right w:val="nil"/>
            </w:tcBorders>
            <w:shd w:val="clear" w:color="auto" w:fill="auto"/>
            <w:noWrap/>
            <w:vAlign w:val="center"/>
            <w:hideMark/>
          </w:tcPr>
          <w:p w14:paraId="027587B3" w14:textId="77777777" w:rsidR="00D82FE6" w:rsidRPr="00020CA3" w:rsidRDefault="00D82FE6" w:rsidP="00020CA3">
            <w:pPr>
              <w:spacing w:line="240" w:lineRule="auto"/>
              <w:jc w:val="left"/>
              <w:rPr>
                <w:rFonts w:eastAsia="Times New Roman"/>
                <w:b/>
                <w:bCs/>
                <w:szCs w:val="24"/>
                <w:lang w:eastAsia="cs-CZ"/>
              </w:rPr>
            </w:pPr>
            <w:r w:rsidRPr="00020CA3">
              <w:rPr>
                <w:rFonts w:eastAsia="Times New Roman"/>
                <w:b/>
                <w:bCs/>
                <w:szCs w:val="24"/>
                <w:lang w:eastAsia="cs-CZ"/>
              </w:rPr>
              <w:t>Celkem ČR</w:t>
            </w:r>
          </w:p>
        </w:tc>
        <w:tc>
          <w:tcPr>
            <w:tcW w:w="992" w:type="dxa"/>
            <w:tcBorders>
              <w:top w:val="nil"/>
              <w:left w:val="nil"/>
              <w:bottom w:val="double" w:sz="6" w:space="0" w:color="auto"/>
              <w:right w:val="nil"/>
            </w:tcBorders>
            <w:shd w:val="clear" w:color="auto" w:fill="auto"/>
            <w:noWrap/>
            <w:vAlign w:val="center"/>
            <w:hideMark/>
          </w:tcPr>
          <w:p w14:paraId="71E3801E" w14:textId="7A04FA78" w:rsidR="00D82FE6" w:rsidRPr="00020CA3" w:rsidRDefault="00D82FE6" w:rsidP="00020CA3">
            <w:pPr>
              <w:spacing w:line="240" w:lineRule="auto"/>
              <w:jc w:val="center"/>
              <w:rPr>
                <w:rFonts w:eastAsia="Times New Roman"/>
                <w:b/>
                <w:bCs/>
                <w:szCs w:val="24"/>
                <w:lang w:eastAsia="cs-CZ"/>
              </w:rPr>
            </w:pPr>
            <w:r w:rsidRPr="00020CA3">
              <w:rPr>
                <w:rFonts w:eastAsia="Times New Roman"/>
                <w:b/>
                <w:bCs/>
                <w:szCs w:val="24"/>
                <w:lang w:eastAsia="cs-CZ"/>
              </w:rPr>
              <w:t>88,2</w:t>
            </w:r>
          </w:p>
        </w:tc>
        <w:tc>
          <w:tcPr>
            <w:tcW w:w="1090" w:type="dxa"/>
            <w:tcBorders>
              <w:top w:val="nil"/>
              <w:left w:val="nil"/>
              <w:bottom w:val="double" w:sz="6" w:space="0" w:color="auto"/>
              <w:right w:val="nil"/>
            </w:tcBorders>
            <w:shd w:val="clear" w:color="auto" w:fill="auto"/>
            <w:noWrap/>
            <w:vAlign w:val="center"/>
            <w:hideMark/>
          </w:tcPr>
          <w:p w14:paraId="3FB6F18B" w14:textId="0C0CA0C2" w:rsidR="00D82FE6" w:rsidRPr="00020CA3" w:rsidRDefault="00D82FE6" w:rsidP="00020CA3">
            <w:pPr>
              <w:spacing w:line="240" w:lineRule="auto"/>
              <w:jc w:val="center"/>
              <w:rPr>
                <w:rFonts w:eastAsia="Times New Roman"/>
                <w:b/>
                <w:bCs/>
                <w:szCs w:val="24"/>
                <w:lang w:eastAsia="cs-CZ"/>
              </w:rPr>
            </w:pPr>
            <w:r w:rsidRPr="00020CA3">
              <w:rPr>
                <w:rFonts w:eastAsia="Times New Roman"/>
                <w:b/>
                <w:bCs/>
                <w:szCs w:val="24"/>
                <w:lang w:eastAsia="cs-CZ"/>
              </w:rPr>
              <w:t>12,94</w:t>
            </w:r>
          </w:p>
        </w:tc>
        <w:tc>
          <w:tcPr>
            <w:tcW w:w="920" w:type="dxa"/>
            <w:tcBorders>
              <w:top w:val="nil"/>
              <w:left w:val="nil"/>
              <w:bottom w:val="double" w:sz="6" w:space="0" w:color="auto"/>
              <w:right w:val="nil"/>
            </w:tcBorders>
            <w:shd w:val="clear" w:color="auto" w:fill="auto"/>
            <w:noWrap/>
            <w:vAlign w:val="center"/>
            <w:hideMark/>
          </w:tcPr>
          <w:p w14:paraId="685D289A" w14:textId="5F5F22DC" w:rsidR="00D82FE6" w:rsidRPr="00020CA3" w:rsidRDefault="00D82FE6"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+3 %</w:t>
            </w:r>
          </w:p>
        </w:tc>
        <w:tc>
          <w:tcPr>
            <w:tcW w:w="1065" w:type="dxa"/>
            <w:tcBorders>
              <w:top w:val="nil"/>
              <w:left w:val="single" w:sz="4" w:space="0" w:color="auto"/>
              <w:bottom w:val="double" w:sz="6" w:space="0" w:color="auto"/>
              <w:right w:val="nil"/>
            </w:tcBorders>
            <w:shd w:val="clear" w:color="auto" w:fill="auto"/>
            <w:noWrap/>
            <w:vAlign w:val="center"/>
            <w:hideMark/>
          </w:tcPr>
          <w:p w14:paraId="58EB843F" w14:textId="5543AC33" w:rsidR="00D82FE6" w:rsidRPr="00020CA3" w:rsidRDefault="00D82FE6" w:rsidP="00020CA3">
            <w:pPr>
              <w:spacing w:line="240" w:lineRule="auto"/>
              <w:jc w:val="center"/>
              <w:rPr>
                <w:rFonts w:eastAsia="Times New Roman"/>
                <w:b/>
                <w:bCs/>
                <w:szCs w:val="24"/>
                <w:lang w:eastAsia="cs-CZ"/>
              </w:rPr>
            </w:pPr>
            <w:r w:rsidRPr="00020CA3">
              <w:rPr>
                <w:rFonts w:eastAsia="Times New Roman"/>
                <w:b/>
                <w:bCs/>
                <w:szCs w:val="24"/>
                <w:lang w:eastAsia="cs-CZ"/>
              </w:rPr>
              <w:t>13,17</w:t>
            </w:r>
          </w:p>
        </w:tc>
        <w:tc>
          <w:tcPr>
            <w:tcW w:w="963" w:type="dxa"/>
            <w:tcBorders>
              <w:top w:val="nil"/>
              <w:left w:val="nil"/>
              <w:bottom w:val="double" w:sz="6" w:space="0" w:color="auto"/>
              <w:right w:val="single" w:sz="4" w:space="0" w:color="auto"/>
            </w:tcBorders>
            <w:shd w:val="clear" w:color="auto" w:fill="auto"/>
            <w:noWrap/>
            <w:vAlign w:val="center"/>
            <w:hideMark/>
          </w:tcPr>
          <w:p w14:paraId="5E3D38BB" w14:textId="5FC93DAB" w:rsidR="00D82FE6" w:rsidRPr="00020CA3" w:rsidRDefault="00D82FE6"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-6 %</w:t>
            </w:r>
          </w:p>
        </w:tc>
        <w:tc>
          <w:tcPr>
            <w:tcW w:w="1021" w:type="dxa"/>
            <w:gridSpan w:val="2"/>
            <w:tcBorders>
              <w:top w:val="nil"/>
              <w:left w:val="nil"/>
              <w:bottom w:val="double" w:sz="6" w:space="0" w:color="auto"/>
              <w:right w:val="nil"/>
            </w:tcBorders>
            <w:shd w:val="clear" w:color="auto" w:fill="auto"/>
            <w:noWrap/>
            <w:vAlign w:val="center"/>
            <w:hideMark/>
          </w:tcPr>
          <w:p w14:paraId="6DB64196" w14:textId="38D49485" w:rsidR="00D82FE6" w:rsidRPr="00020CA3" w:rsidRDefault="00D82FE6" w:rsidP="00020CA3">
            <w:pPr>
              <w:spacing w:line="240" w:lineRule="auto"/>
              <w:jc w:val="center"/>
              <w:rPr>
                <w:rFonts w:eastAsia="Times New Roman"/>
                <w:b/>
                <w:bCs/>
                <w:szCs w:val="24"/>
                <w:lang w:eastAsia="cs-CZ"/>
              </w:rPr>
            </w:pPr>
            <w:r w:rsidRPr="00020CA3">
              <w:rPr>
                <w:rFonts w:eastAsia="Times New Roman"/>
                <w:b/>
                <w:bCs/>
                <w:szCs w:val="24"/>
                <w:lang w:eastAsia="cs-CZ"/>
              </w:rPr>
              <w:t>7,04</w:t>
            </w:r>
          </w:p>
        </w:tc>
        <w:tc>
          <w:tcPr>
            <w:tcW w:w="1019" w:type="dxa"/>
            <w:tcBorders>
              <w:top w:val="nil"/>
              <w:left w:val="nil"/>
              <w:bottom w:val="double" w:sz="6" w:space="0" w:color="auto"/>
              <w:right w:val="nil"/>
            </w:tcBorders>
            <w:shd w:val="clear" w:color="auto" w:fill="auto"/>
            <w:noWrap/>
            <w:vAlign w:val="center"/>
            <w:hideMark/>
          </w:tcPr>
          <w:p w14:paraId="03FF07AA" w14:textId="464FAA9A" w:rsidR="00D82FE6" w:rsidRPr="00020CA3" w:rsidRDefault="00D82FE6"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-6 %</w:t>
            </w:r>
          </w:p>
        </w:tc>
      </w:tr>
      <w:tr w:rsidR="00F15667" w:rsidRPr="00020CA3" w14:paraId="5905153E" w14:textId="77777777" w:rsidTr="00020CA3">
        <w:trPr>
          <w:trHeight w:val="330"/>
        </w:trPr>
        <w:tc>
          <w:tcPr>
            <w:tcW w:w="1985" w:type="dxa"/>
            <w:tcBorders>
              <w:top w:val="nil"/>
              <w:left w:val="nil"/>
              <w:bottom w:val="nil"/>
              <w:right w:val="nil"/>
            </w:tcBorders>
            <w:shd w:val="clear" w:color="auto" w:fill="auto"/>
            <w:noWrap/>
            <w:vAlign w:val="center"/>
            <w:hideMark/>
          </w:tcPr>
          <w:p w14:paraId="4690ECE6" w14:textId="77777777" w:rsidR="00D82FE6" w:rsidRPr="00020CA3" w:rsidRDefault="00D82FE6" w:rsidP="00020CA3">
            <w:pPr>
              <w:spacing w:line="240" w:lineRule="auto"/>
              <w:jc w:val="center"/>
              <w:rPr>
                <w:rFonts w:eastAsia="Times New Roman"/>
                <w:b/>
                <w:bCs/>
                <w:sz w:val="20"/>
                <w:szCs w:val="20"/>
                <w:lang w:eastAsia="cs-CZ"/>
              </w:rPr>
            </w:pPr>
          </w:p>
        </w:tc>
        <w:tc>
          <w:tcPr>
            <w:tcW w:w="992" w:type="dxa"/>
            <w:tcBorders>
              <w:top w:val="nil"/>
              <w:left w:val="nil"/>
              <w:bottom w:val="nil"/>
              <w:right w:val="nil"/>
            </w:tcBorders>
            <w:shd w:val="clear" w:color="auto" w:fill="auto"/>
            <w:noWrap/>
            <w:vAlign w:val="center"/>
            <w:hideMark/>
          </w:tcPr>
          <w:p w14:paraId="40DD2093" w14:textId="77777777" w:rsidR="00D82FE6" w:rsidRPr="00020CA3" w:rsidRDefault="00D82FE6" w:rsidP="00020CA3">
            <w:pPr>
              <w:spacing w:line="240" w:lineRule="auto"/>
              <w:jc w:val="center"/>
              <w:rPr>
                <w:rFonts w:eastAsia="Times New Roman"/>
                <w:sz w:val="20"/>
                <w:szCs w:val="20"/>
                <w:lang w:eastAsia="cs-CZ"/>
              </w:rPr>
            </w:pPr>
          </w:p>
        </w:tc>
        <w:tc>
          <w:tcPr>
            <w:tcW w:w="1090" w:type="dxa"/>
            <w:tcBorders>
              <w:top w:val="nil"/>
              <w:left w:val="nil"/>
              <w:bottom w:val="nil"/>
              <w:right w:val="nil"/>
            </w:tcBorders>
            <w:shd w:val="clear" w:color="auto" w:fill="auto"/>
            <w:noWrap/>
            <w:vAlign w:val="center"/>
            <w:hideMark/>
          </w:tcPr>
          <w:p w14:paraId="7E378C41" w14:textId="77777777" w:rsidR="00D82FE6" w:rsidRPr="00020CA3" w:rsidRDefault="00D82FE6" w:rsidP="00020CA3">
            <w:pPr>
              <w:spacing w:line="240" w:lineRule="auto"/>
              <w:jc w:val="center"/>
              <w:rPr>
                <w:rFonts w:eastAsia="Times New Roman"/>
                <w:sz w:val="20"/>
                <w:szCs w:val="20"/>
                <w:lang w:eastAsia="cs-CZ"/>
              </w:rPr>
            </w:pPr>
          </w:p>
        </w:tc>
        <w:tc>
          <w:tcPr>
            <w:tcW w:w="920" w:type="dxa"/>
            <w:tcBorders>
              <w:top w:val="nil"/>
              <w:left w:val="nil"/>
              <w:bottom w:val="nil"/>
              <w:right w:val="nil"/>
            </w:tcBorders>
            <w:shd w:val="clear" w:color="auto" w:fill="auto"/>
            <w:noWrap/>
            <w:vAlign w:val="center"/>
            <w:hideMark/>
          </w:tcPr>
          <w:p w14:paraId="340C862F" w14:textId="77777777" w:rsidR="00D82FE6" w:rsidRPr="00020CA3" w:rsidRDefault="00D82FE6" w:rsidP="00020CA3">
            <w:pPr>
              <w:spacing w:line="240" w:lineRule="auto"/>
              <w:jc w:val="center"/>
              <w:rPr>
                <w:rFonts w:eastAsia="Times New Roman"/>
                <w:sz w:val="20"/>
                <w:szCs w:val="20"/>
                <w:lang w:eastAsia="cs-CZ"/>
              </w:rPr>
            </w:pPr>
          </w:p>
        </w:tc>
        <w:tc>
          <w:tcPr>
            <w:tcW w:w="1065" w:type="dxa"/>
            <w:tcBorders>
              <w:top w:val="nil"/>
              <w:left w:val="nil"/>
              <w:bottom w:val="nil"/>
              <w:right w:val="nil"/>
            </w:tcBorders>
            <w:shd w:val="clear" w:color="auto" w:fill="auto"/>
            <w:noWrap/>
            <w:vAlign w:val="center"/>
            <w:hideMark/>
          </w:tcPr>
          <w:p w14:paraId="5F849A8E" w14:textId="77777777" w:rsidR="00D82FE6" w:rsidRPr="00020CA3" w:rsidRDefault="00D82FE6" w:rsidP="00020CA3">
            <w:pPr>
              <w:spacing w:line="240" w:lineRule="auto"/>
              <w:jc w:val="center"/>
              <w:rPr>
                <w:rFonts w:eastAsia="Times New Roman"/>
                <w:sz w:val="20"/>
                <w:szCs w:val="20"/>
                <w:lang w:eastAsia="cs-CZ"/>
              </w:rPr>
            </w:pPr>
          </w:p>
        </w:tc>
        <w:tc>
          <w:tcPr>
            <w:tcW w:w="963" w:type="dxa"/>
            <w:tcBorders>
              <w:top w:val="nil"/>
              <w:left w:val="nil"/>
              <w:bottom w:val="nil"/>
              <w:right w:val="nil"/>
            </w:tcBorders>
            <w:shd w:val="clear" w:color="auto" w:fill="auto"/>
            <w:noWrap/>
            <w:vAlign w:val="center"/>
            <w:hideMark/>
          </w:tcPr>
          <w:p w14:paraId="7D2A1F7C" w14:textId="77777777" w:rsidR="00D82FE6" w:rsidRPr="00020CA3" w:rsidRDefault="00D82FE6" w:rsidP="00020CA3">
            <w:pPr>
              <w:spacing w:line="240" w:lineRule="auto"/>
              <w:jc w:val="center"/>
              <w:rPr>
                <w:rFonts w:eastAsia="Times New Roman"/>
                <w:sz w:val="20"/>
                <w:szCs w:val="20"/>
                <w:lang w:eastAsia="cs-CZ"/>
              </w:rPr>
            </w:pPr>
          </w:p>
        </w:tc>
        <w:tc>
          <w:tcPr>
            <w:tcW w:w="1021" w:type="dxa"/>
            <w:gridSpan w:val="2"/>
            <w:tcBorders>
              <w:top w:val="nil"/>
              <w:left w:val="nil"/>
              <w:bottom w:val="nil"/>
              <w:right w:val="nil"/>
            </w:tcBorders>
            <w:shd w:val="clear" w:color="auto" w:fill="auto"/>
            <w:noWrap/>
            <w:vAlign w:val="center"/>
            <w:hideMark/>
          </w:tcPr>
          <w:p w14:paraId="5406D972" w14:textId="77777777" w:rsidR="00D82FE6" w:rsidRPr="00020CA3" w:rsidRDefault="00D82FE6" w:rsidP="00020CA3">
            <w:pPr>
              <w:spacing w:line="240" w:lineRule="auto"/>
              <w:jc w:val="center"/>
              <w:rPr>
                <w:rFonts w:eastAsia="Times New Roman"/>
                <w:sz w:val="20"/>
                <w:szCs w:val="20"/>
                <w:lang w:eastAsia="cs-CZ"/>
              </w:rPr>
            </w:pPr>
          </w:p>
        </w:tc>
        <w:tc>
          <w:tcPr>
            <w:tcW w:w="1019" w:type="dxa"/>
            <w:tcBorders>
              <w:top w:val="nil"/>
              <w:left w:val="nil"/>
              <w:bottom w:val="nil"/>
              <w:right w:val="nil"/>
            </w:tcBorders>
            <w:shd w:val="clear" w:color="auto" w:fill="auto"/>
            <w:noWrap/>
            <w:vAlign w:val="center"/>
            <w:hideMark/>
          </w:tcPr>
          <w:p w14:paraId="25D0DEEE" w14:textId="77777777" w:rsidR="00D82FE6" w:rsidRPr="00020CA3" w:rsidRDefault="00D82FE6" w:rsidP="00020CA3">
            <w:pPr>
              <w:spacing w:line="240" w:lineRule="auto"/>
              <w:jc w:val="center"/>
              <w:rPr>
                <w:rFonts w:eastAsia="Times New Roman"/>
                <w:sz w:val="20"/>
                <w:szCs w:val="20"/>
                <w:lang w:eastAsia="cs-CZ"/>
              </w:rPr>
            </w:pPr>
          </w:p>
        </w:tc>
      </w:tr>
    </w:tbl>
    <w:p w14:paraId="6DA9B295" w14:textId="5E1511D3" w:rsidR="00D82FE6" w:rsidRPr="00020CA3" w:rsidRDefault="00D82FE6" w:rsidP="00D82FE6">
      <w:pPr>
        <w:pStyle w:val="OdstavecASR"/>
      </w:pPr>
      <w:r w:rsidRPr="00020CA3">
        <w:t xml:space="preserve">Oproti předchozímu roku vzrostl </w:t>
      </w:r>
      <w:r w:rsidR="00997796" w:rsidRPr="00020CA3">
        <w:t xml:space="preserve">skutečný </w:t>
      </w:r>
      <w:r w:rsidRPr="00020CA3">
        <w:t xml:space="preserve">počet soudců na </w:t>
      </w:r>
      <w:r w:rsidR="00997796" w:rsidRPr="00020CA3">
        <w:t xml:space="preserve">trestním </w:t>
      </w:r>
      <w:r w:rsidRPr="00020CA3">
        <w:t>úseku z 85,1 na 88,2</w:t>
      </w:r>
      <w:r w:rsidR="00997796" w:rsidRPr="00020CA3">
        <w:t xml:space="preserve"> (připomínáme však, že v roce 2020 zde pracovalo 94 soudců)</w:t>
      </w:r>
      <w:r w:rsidRPr="00020CA3">
        <w:t xml:space="preserve">. Největší nárůst zaznamenal KS </w:t>
      </w:r>
      <w:r w:rsidRPr="00020CA3">
        <w:lastRenderedPageBreak/>
        <w:t>v Ústí nad Labem (z</w:t>
      </w:r>
      <w:r w:rsidR="00174306">
        <w:t> </w:t>
      </w:r>
      <w:r w:rsidRPr="00020CA3">
        <w:t xml:space="preserve">10,8 na </w:t>
      </w:r>
      <w:r w:rsidR="00174306">
        <w:t>13,8</w:t>
      </w:r>
      <w:r w:rsidRPr="00020CA3">
        <w:t>). To se u daného soudu výrazně projevilo v přepočtu na soudce. U tohoto soudu proto vidíme určitý nárůst sledovaných ukazatelů.</w:t>
      </w:r>
    </w:p>
    <w:p w14:paraId="4D7367C0" w14:textId="38FD485C" w:rsidR="00D82FE6" w:rsidRPr="00020CA3" w:rsidRDefault="00D82FE6" w:rsidP="00D82FE6">
      <w:pPr>
        <w:pStyle w:val="OdstavecASR"/>
      </w:pPr>
      <w:r w:rsidRPr="00020CA3">
        <w:t>Stejně jako u civilní agendy je tedy prvostupňová agenda menší než agenda odvolací. V tomto případě je odvolací úsek asi 1,7</w:t>
      </w:r>
      <w:r w:rsidR="00DB2160">
        <w:t>×</w:t>
      </w:r>
      <w:r w:rsidRPr="00020CA3">
        <w:t xml:space="preserve"> větší než úsek prvostupňový.</w:t>
      </w:r>
    </w:p>
    <w:p w14:paraId="6613945D" w14:textId="4E527C32" w:rsidR="00D82FE6" w:rsidRPr="00020CA3" w:rsidRDefault="00D82FE6" w:rsidP="00D82FE6">
      <w:pPr>
        <w:pStyle w:val="OdstavecASR"/>
      </w:pPr>
      <w:r w:rsidRPr="00020CA3">
        <w:t>V případě prvostupňové trestní agendy zároveň počty nevyřízených věcí na soudce příliš nekorespondují s výsledky z části o délkách řízení. Tuto výjimečnou situaci lze přisuzovat malému počtu věcí, malému počtu soudců, a tedy tendenci k velkým výkyvům v datech. Mezi soudy jsou nemalé rozdíly v počtu příchozích a vyřízených věcí na soudce, což opět plyne hlavně z velikosti agendy a případných personálních oslabení soudů.</w:t>
      </w:r>
    </w:p>
    <w:p w14:paraId="0CF9D734" w14:textId="2EB152E5" w:rsidR="008430BD" w:rsidRPr="00020CA3" w:rsidRDefault="008430BD" w:rsidP="008430BD">
      <w:pPr>
        <w:pStyle w:val="Nadpis3"/>
        <w:numPr>
          <w:ilvl w:val="2"/>
          <w:numId w:val="1"/>
        </w:numPr>
        <w:rPr>
          <w:color w:val="auto"/>
        </w:rPr>
      </w:pPr>
      <w:bookmarkStart w:id="768" w:name="_Toc144104380"/>
      <w:r w:rsidRPr="00020CA3">
        <w:rPr>
          <w:color w:val="auto"/>
        </w:rPr>
        <w:t>Disposition time</w:t>
      </w:r>
      <w:bookmarkEnd w:id="766"/>
      <w:r w:rsidRPr="00020CA3">
        <w:rPr>
          <w:color w:val="auto"/>
        </w:rPr>
        <w:t xml:space="preserve"> (dispoziční čas)</w:t>
      </w:r>
      <w:bookmarkEnd w:id="767"/>
      <w:bookmarkEnd w:id="768"/>
    </w:p>
    <w:p w14:paraId="77E0691F" w14:textId="417ED327" w:rsidR="00D82FE6" w:rsidRPr="00020CA3" w:rsidRDefault="00D82FE6" w:rsidP="00D82FE6">
      <w:pPr>
        <w:pStyle w:val="OdstavecASR"/>
      </w:pPr>
      <w:r w:rsidRPr="00020CA3">
        <w:t>Pozorujeme, že DT od roku 2011 do roku 2016 vykazoval rostoucí trend, což plynulo z postupného růstu počtu nevyřízených věcí. Teprve v roce 2017 klesl počet nevyřízených věcí, a tedy i disposition time. V roce 2020 však DT dosáhl nejvyšší hodnoty za posledních 10 let (třebaže ne výrazně), a to v důsledku poklesu počtu vyřízených věcí v posledních dvou letech. Když se tedy podíváme na celou časovou řadu, vidíme, že od roku 2013 vykazoval DT jasný rostoucí trend, když narostl ze 197 na 235. V roce 2021 došlo k významnému poklesu (o 16 %), což plyne z výše diskutovaného poklesu v počtu nevyřízených věcí, který je zřejmě spojen s poklesem v počtu věcí příchozích. DT tak klesl na úroveň roku 2013. V roce 2022 se DT prakticky nezměnil, protož</w:t>
      </w:r>
      <w:r w:rsidR="00B119BB" w:rsidRPr="00020CA3">
        <w:t>e</w:t>
      </w:r>
      <w:r w:rsidRPr="00020CA3">
        <w:t xml:space="preserve"> se téměř nezměnil ani počet vyřízených a nevyřízených věcí.</w:t>
      </w:r>
    </w:p>
    <w:p w14:paraId="772DC597" w14:textId="3629FAAD" w:rsidR="00D82FE6" w:rsidRPr="00020CA3" w:rsidRDefault="00D82FE6" w:rsidP="00D82FE6">
      <w:pPr>
        <w:pStyle w:val="Podnadpis"/>
        <w:numPr>
          <w:ilvl w:val="0"/>
          <w:numId w:val="0"/>
        </w:numPr>
        <w:rPr>
          <w:color w:val="auto"/>
        </w:rPr>
      </w:pPr>
      <w:bookmarkStart w:id="769" w:name="_Toc515871392"/>
      <w:bookmarkStart w:id="770" w:name="_Toc11135123"/>
      <w:bookmarkStart w:id="771" w:name="_Toc43841441"/>
      <w:bookmarkStart w:id="772" w:name="_Toc75952244"/>
      <w:bookmarkStart w:id="773" w:name="_Toc106106701"/>
      <w:bookmarkStart w:id="774" w:name="_Toc109802025"/>
      <w:bookmarkStart w:id="775" w:name="_Toc144104177"/>
      <w:r w:rsidRPr="00020CA3">
        <w:rPr>
          <w:color w:val="auto"/>
        </w:rPr>
        <w:t xml:space="preserve">Graf </w:t>
      </w:r>
      <w:r w:rsidR="009A10E2" w:rsidRPr="00020CA3">
        <w:rPr>
          <w:color w:val="auto"/>
        </w:rPr>
        <w:fldChar w:fldCharType="begin"/>
      </w:r>
      <w:r w:rsidR="009A10E2" w:rsidRPr="00020CA3">
        <w:rPr>
          <w:color w:val="auto"/>
        </w:rPr>
        <w:instrText xml:space="preserve"> SEQ Graf \* ARABIC </w:instrText>
      </w:r>
      <w:r w:rsidR="009A10E2" w:rsidRPr="00020CA3">
        <w:rPr>
          <w:color w:val="auto"/>
        </w:rPr>
        <w:fldChar w:fldCharType="separate"/>
      </w:r>
      <w:r w:rsidR="001E1A67">
        <w:rPr>
          <w:noProof/>
          <w:color w:val="auto"/>
        </w:rPr>
        <w:t>65</w:t>
      </w:r>
      <w:r w:rsidR="009A10E2" w:rsidRPr="00020CA3">
        <w:rPr>
          <w:color w:val="auto"/>
        </w:rPr>
        <w:fldChar w:fldCharType="end"/>
      </w:r>
      <w:r w:rsidRPr="00020CA3">
        <w:rPr>
          <w:color w:val="auto"/>
        </w:rPr>
        <w:t>: KS – DT prvostupňového trestního řízení v letech 2008–20</w:t>
      </w:r>
      <w:bookmarkEnd w:id="769"/>
      <w:bookmarkEnd w:id="770"/>
      <w:bookmarkEnd w:id="771"/>
      <w:r w:rsidRPr="00020CA3">
        <w:rPr>
          <w:color w:val="auto"/>
        </w:rPr>
        <w:t>2</w:t>
      </w:r>
      <w:bookmarkEnd w:id="772"/>
      <w:bookmarkEnd w:id="773"/>
      <w:bookmarkEnd w:id="774"/>
      <w:r w:rsidRPr="00020CA3">
        <w:rPr>
          <w:color w:val="auto"/>
        </w:rPr>
        <w:t>2</w:t>
      </w:r>
      <w:bookmarkEnd w:id="775"/>
    </w:p>
    <w:p w14:paraId="63C5D915" w14:textId="1D4E7D96" w:rsidR="00D82FE6" w:rsidRDefault="00D82FE6" w:rsidP="00020CA3">
      <w:pPr>
        <w:pStyle w:val="OdstavecASR"/>
      </w:pPr>
      <w:r w:rsidRPr="00020CA3">
        <w:rPr>
          <w:noProof/>
          <w:lang w:eastAsia="cs-CZ"/>
        </w:rPr>
        <w:drawing>
          <wp:inline distT="0" distB="0" distL="0" distR="0" wp14:anchorId="3D8C6705" wp14:editId="69FD3E71">
            <wp:extent cx="5029200" cy="3657600"/>
            <wp:effectExtent l="0" t="0" r="0" b="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734A80D" w14:textId="6A1FDC47" w:rsidR="00DB2160" w:rsidRDefault="00DB2160">
      <w:pPr>
        <w:spacing w:after="160" w:line="259" w:lineRule="auto"/>
        <w:jc w:val="left"/>
      </w:pPr>
      <w:r>
        <w:br w:type="page"/>
      </w:r>
    </w:p>
    <w:p w14:paraId="225E8F50" w14:textId="2E2DAC2F" w:rsidR="00B119BB" w:rsidRPr="00020CA3" w:rsidRDefault="00B119BB" w:rsidP="00B119BB">
      <w:pPr>
        <w:pStyle w:val="Podnadpis"/>
        <w:rPr>
          <w:color w:val="auto"/>
        </w:rPr>
      </w:pPr>
      <w:bookmarkStart w:id="776" w:name="_Toc515871481"/>
      <w:bookmarkStart w:id="777" w:name="_Toc11133249"/>
      <w:bookmarkStart w:id="778" w:name="_Toc43931228"/>
      <w:bookmarkStart w:id="779" w:name="_Toc75952361"/>
      <w:bookmarkStart w:id="780" w:name="_Toc106106817"/>
      <w:bookmarkStart w:id="781" w:name="_Toc109802140"/>
      <w:bookmarkStart w:id="782" w:name="_Toc144104298"/>
      <w:r w:rsidRPr="00020CA3">
        <w:rPr>
          <w:color w:val="auto"/>
        </w:rPr>
        <w:lastRenderedPageBreak/>
        <w:t xml:space="preserve">Tabulka </w:t>
      </w:r>
      <w:r w:rsidRPr="00020CA3">
        <w:rPr>
          <w:noProof/>
          <w:color w:val="auto"/>
        </w:rPr>
        <w:fldChar w:fldCharType="begin"/>
      </w:r>
      <w:r w:rsidRPr="00020CA3">
        <w:rPr>
          <w:noProof/>
          <w:color w:val="auto"/>
        </w:rPr>
        <w:instrText xml:space="preserve"> SEQ Tabulka \* ARABIC </w:instrText>
      </w:r>
      <w:r w:rsidRPr="00020CA3">
        <w:rPr>
          <w:noProof/>
          <w:color w:val="auto"/>
        </w:rPr>
        <w:fldChar w:fldCharType="separate"/>
      </w:r>
      <w:r w:rsidR="001E1A67">
        <w:rPr>
          <w:noProof/>
          <w:color w:val="auto"/>
        </w:rPr>
        <w:t>59</w:t>
      </w:r>
      <w:r w:rsidRPr="00020CA3">
        <w:rPr>
          <w:noProof/>
          <w:color w:val="auto"/>
        </w:rPr>
        <w:fldChar w:fldCharType="end"/>
      </w:r>
      <w:r w:rsidRPr="00020CA3">
        <w:rPr>
          <w:color w:val="auto"/>
        </w:rPr>
        <w:t>: KS – DT v prvostupňovém trestním řízení dle soudů</w:t>
      </w:r>
      <w:bookmarkEnd w:id="776"/>
      <w:bookmarkEnd w:id="777"/>
      <w:bookmarkEnd w:id="778"/>
      <w:bookmarkEnd w:id="779"/>
      <w:bookmarkEnd w:id="780"/>
      <w:bookmarkEnd w:id="781"/>
      <w:bookmarkEnd w:id="782"/>
    </w:p>
    <w:tbl>
      <w:tblPr>
        <w:tblW w:w="5812" w:type="dxa"/>
        <w:tblCellMar>
          <w:left w:w="70" w:type="dxa"/>
          <w:right w:w="70" w:type="dxa"/>
        </w:tblCellMar>
        <w:tblLook w:val="04A0" w:firstRow="1" w:lastRow="0" w:firstColumn="1" w:lastColumn="0" w:noHBand="0" w:noVBand="1"/>
      </w:tblPr>
      <w:tblGrid>
        <w:gridCol w:w="2780"/>
        <w:gridCol w:w="1615"/>
        <w:gridCol w:w="1417"/>
      </w:tblGrid>
      <w:tr w:rsidR="00F15667" w:rsidRPr="00020CA3" w14:paraId="1FE02064" w14:textId="77777777" w:rsidTr="00020CA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5A978C0E" w14:textId="77777777" w:rsidR="00B119BB" w:rsidRPr="00020CA3" w:rsidRDefault="00B119BB" w:rsidP="00020CA3">
            <w:pPr>
              <w:spacing w:line="240" w:lineRule="auto"/>
              <w:jc w:val="center"/>
              <w:rPr>
                <w:rFonts w:eastAsia="Times New Roman"/>
                <w:b/>
                <w:bCs/>
                <w:szCs w:val="24"/>
                <w:lang w:eastAsia="cs-CZ"/>
              </w:rPr>
            </w:pPr>
            <w:r w:rsidRPr="00020CA3">
              <w:rPr>
                <w:rFonts w:eastAsia="Times New Roman"/>
                <w:b/>
                <w:bCs/>
                <w:szCs w:val="24"/>
                <w:lang w:eastAsia="cs-CZ"/>
              </w:rPr>
              <w:t>Soud</w:t>
            </w:r>
          </w:p>
        </w:tc>
        <w:tc>
          <w:tcPr>
            <w:tcW w:w="3032" w:type="dxa"/>
            <w:gridSpan w:val="2"/>
            <w:tcBorders>
              <w:top w:val="double" w:sz="6" w:space="0" w:color="auto"/>
              <w:left w:val="nil"/>
              <w:bottom w:val="double" w:sz="6" w:space="0" w:color="auto"/>
              <w:right w:val="nil"/>
            </w:tcBorders>
            <w:shd w:val="clear" w:color="auto" w:fill="auto"/>
            <w:noWrap/>
            <w:vAlign w:val="center"/>
            <w:hideMark/>
          </w:tcPr>
          <w:p w14:paraId="02E4D586" w14:textId="77777777" w:rsidR="00B119BB" w:rsidRPr="00020CA3" w:rsidRDefault="00B119BB" w:rsidP="00020CA3">
            <w:pPr>
              <w:spacing w:line="240" w:lineRule="auto"/>
              <w:jc w:val="center"/>
              <w:rPr>
                <w:rFonts w:eastAsia="Times New Roman"/>
                <w:b/>
                <w:bCs/>
                <w:szCs w:val="24"/>
                <w:lang w:eastAsia="cs-CZ"/>
              </w:rPr>
            </w:pPr>
            <w:r w:rsidRPr="00020CA3">
              <w:rPr>
                <w:rFonts w:eastAsia="Times New Roman"/>
                <w:b/>
                <w:bCs/>
                <w:szCs w:val="24"/>
                <w:lang w:eastAsia="cs-CZ"/>
              </w:rPr>
              <w:t>Disposition time</w:t>
            </w:r>
          </w:p>
        </w:tc>
      </w:tr>
      <w:tr w:rsidR="00F15667" w:rsidRPr="00020CA3" w14:paraId="06D66E91" w14:textId="77777777" w:rsidTr="00020CA3">
        <w:trPr>
          <w:trHeight w:val="330"/>
        </w:trPr>
        <w:tc>
          <w:tcPr>
            <w:tcW w:w="2780" w:type="dxa"/>
            <w:tcBorders>
              <w:top w:val="nil"/>
              <w:left w:val="nil"/>
              <w:bottom w:val="single" w:sz="4" w:space="0" w:color="auto"/>
              <w:right w:val="nil"/>
            </w:tcBorders>
            <w:shd w:val="clear" w:color="auto" w:fill="auto"/>
            <w:noWrap/>
            <w:vAlign w:val="center"/>
            <w:hideMark/>
          </w:tcPr>
          <w:p w14:paraId="74476455" w14:textId="77777777" w:rsidR="00B119BB" w:rsidRPr="00020CA3" w:rsidRDefault="00B119BB" w:rsidP="00020CA3">
            <w:pPr>
              <w:spacing w:line="240" w:lineRule="auto"/>
              <w:jc w:val="left"/>
              <w:rPr>
                <w:rFonts w:eastAsia="Times New Roman"/>
                <w:szCs w:val="24"/>
                <w:lang w:eastAsia="cs-CZ"/>
              </w:rPr>
            </w:pPr>
            <w:r w:rsidRPr="00020CA3">
              <w:rPr>
                <w:rFonts w:eastAsia="Times New Roman"/>
                <w:szCs w:val="24"/>
                <w:lang w:eastAsia="cs-CZ"/>
              </w:rPr>
              <w:t>MS Praha</w:t>
            </w:r>
          </w:p>
        </w:tc>
        <w:tc>
          <w:tcPr>
            <w:tcW w:w="1615" w:type="dxa"/>
            <w:tcBorders>
              <w:top w:val="nil"/>
              <w:left w:val="nil"/>
              <w:bottom w:val="single" w:sz="4" w:space="0" w:color="auto"/>
              <w:right w:val="nil"/>
            </w:tcBorders>
            <w:shd w:val="clear" w:color="auto" w:fill="auto"/>
            <w:noWrap/>
            <w:vAlign w:val="center"/>
            <w:hideMark/>
          </w:tcPr>
          <w:p w14:paraId="71E11713" w14:textId="77777777" w:rsidR="00B119BB" w:rsidRPr="00020CA3" w:rsidRDefault="00B119BB" w:rsidP="00020CA3">
            <w:pPr>
              <w:spacing w:line="240" w:lineRule="auto"/>
              <w:jc w:val="center"/>
              <w:rPr>
                <w:rFonts w:eastAsia="Times New Roman"/>
                <w:szCs w:val="24"/>
                <w:lang w:eastAsia="cs-CZ"/>
              </w:rPr>
            </w:pPr>
            <w:r w:rsidRPr="00020CA3">
              <w:rPr>
                <w:rFonts w:eastAsia="Times New Roman"/>
                <w:szCs w:val="24"/>
                <w:lang w:eastAsia="cs-CZ"/>
              </w:rPr>
              <w:t>229</w:t>
            </w:r>
          </w:p>
        </w:tc>
        <w:tc>
          <w:tcPr>
            <w:tcW w:w="1417" w:type="dxa"/>
            <w:tcBorders>
              <w:top w:val="nil"/>
              <w:left w:val="nil"/>
              <w:bottom w:val="single" w:sz="4" w:space="0" w:color="auto"/>
              <w:right w:val="nil"/>
            </w:tcBorders>
            <w:shd w:val="clear" w:color="auto" w:fill="auto"/>
            <w:noWrap/>
            <w:vAlign w:val="center"/>
            <w:hideMark/>
          </w:tcPr>
          <w:p w14:paraId="633F1A07" w14:textId="0C9552EB" w:rsidR="00B119BB" w:rsidRPr="00020CA3" w:rsidRDefault="00B119BB" w:rsidP="00020CA3">
            <w:pPr>
              <w:spacing w:line="240" w:lineRule="auto"/>
              <w:jc w:val="center"/>
              <w:rPr>
                <w:rFonts w:eastAsia="Times New Roman"/>
                <w:sz w:val="20"/>
                <w:szCs w:val="20"/>
                <w:lang w:eastAsia="cs-CZ"/>
              </w:rPr>
            </w:pPr>
            <w:r w:rsidRPr="00020CA3">
              <w:rPr>
                <w:rFonts w:eastAsia="Times New Roman"/>
                <w:sz w:val="20"/>
                <w:szCs w:val="20"/>
                <w:lang w:eastAsia="cs-CZ"/>
              </w:rPr>
              <w:t>+5 %</w:t>
            </w:r>
          </w:p>
        </w:tc>
      </w:tr>
      <w:tr w:rsidR="00F15667" w:rsidRPr="00020CA3" w14:paraId="0A1DC9CD"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6B5C52FE" w14:textId="77777777" w:rsidR="00B119BB" w:rsidRPr="00020CA3" w:rsidRDefault="00B119BB" w:rsidP="00020CA3">
            <w:pPr>
              <w:spacing w:line="240" w:lineRule="auto"/>
              <w:jc w:val="left"/>
              <w:rPr>
                <w:rFonts w:eastAsia="Times New Roman"/>
                <w:szCs w:val="24"/>
                <w:lang w:eastAsia="cs-CZ"/>
              </w:rPr>
            </w:pPr>
            <w:r w:rsidRPr="00020CA3">
              <w:rPr>
                <w:rFonts w:eastAsia="Times New Roman"/>
                <w:szCs w:val="24"/>
                <w:lang w:eastAsia="cs-CZ"/>
              </w:rPr>
              <w:t>KS Praha</w:t>
            </w:r>
          </w:p>
        </w:tc>
        <w:tc>
          <w:tcPr>
            <w:tcW w:w="1615" w:type="dxa"/>
            <w:tcBorders>
              <w:top w:val="nil"/>
              <w:left w:val="nil"/>
              <w:bottom w:val="single" w:sz="4" w:space="0" w:color="auto"/>
              <w:right w:val="nil"/>
            </w:tcBorders>
            <w:shd w:val="clear" w:color="auto" w:fill="auto"/>
            <w:noWrap/>
            <w:vAlign w:val="center"/>
            <w:hideMark/>
          </w:tcPr>
          <w:p w14:paraId="4FE8BB74" w14:textId="77777777" w:rsidR="00B119BB" w:rsidRPr="00020CA3" w:rsidRDefault="00B119BB" w:rsidP="00020CA3">
            <w:pPr>
              <w:spacing w:line="240" w:lineRule="auto"/>
              <w:jc w:val="center"/>
              <w:rPr>
                <w:rFonts w:eastAsia="Times New Roman"/>
                <w:szCs w:val="24"/>
                <w:lang w:eastAsia="cs-CZ"/>
              </w:rPr>
            </w:pPr>
            <w:r w:rsidRPr="00020CA3">
              <w:rPr>
                <w:rFonts w:eastAsia="Times New Roman"/>
                <w:szCs w:val="24"/>
                <w:lang w:eastAsia="cs-CZ"/>
              </w:rPr>
              <w:t>142</w:t>
            </w:r>
          </w:p>
        </w:tc>
        <w:tc>
          <w:tcPr>
            <w:tcW w:w="1417" w:type="dxa"/>
            <w:tcBorders>
              <w:top w:val="nil"/>
              <w:left w:val="nil"/>
              <w:bottom w:val="single" w:sz="4" w:space="0" w:color="auto"/>
              <w:right w:val="nil"/>
            </w:tcBorders>
            <w:shd w:val="clear" w:color="auto" w:fill="auto"/>
            <w:noWrap/>
            <w:vAlign w:val="center"/>
            <w:hideMark/>
          </w:tcPr>
          <w:p w14:paraId="2E6C419C" w14:textId="579AB7EB" w:rsidR="00B119BB" w:rsidRPr="00020CA3" w:rsidRDefault="00B119BB" w:rsidP="00020CA3">
            <w:pPr>
              <w:spacing w:line="240" w:lineRule="auto"/>
              <w:jc w:val="center"/>
              <w:rPr>
                <w:rFonts w:eastAsia="Times New Roman"/>
                <w:sz w:val="20"/>
                <w:szCs w:val="20"/>
                <w:lang w:eastAsia="cs-CZ"/>
              </w:rPr>
            </w:pPr>
            <w:r w:rsidRPr="00020CA3">
              <w:rPr>
                <w:rFonts w:eastAsia="Times New Roman"/>
                <w:sz w:val="20"/>
                <w:szCs w:val="20"/>
                <w:lang w:eastAsia="cs-CZ"/>
              </w:rPr>
              <w:t>+5 %</w:t>
            </w:r>
          </w:p>
        </w:tc>
      </w:tr>
      <w:tr w:rsidR="00F15667" w:rsidRPr="00020CA3" w14:paraId="214D011F"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33D385EE" w14:textId="77777777" w:rsidR="00B119BB" w:rsidRPr="00020CA3" w:rsidRDefault="00B119BB" w:rsidP="00020CA3">
            <w:pPr>
              <w:spacing w:line="240" w:lineRule="auto"/>
              <w:jc w:val="left"/>
              <w:rPr>
                <w:rFonts w:eastAsia="Times New Roman"/>
                <w:szCs w:val="24"/>
                <w:lang w:eastAsia="cs-CZ"/>
              </w:rPr>
            </w:pPr>
            <w:r w:rsidRPr="00020CA3">
              <w:rPr>
                <w:rFonts w:eastAsia="Times New Roman"/>
                <w:szCs w:val="24"/>
                <w:lang w:eastAsia="cs-CZ"/>
              </w:rPr>
              <w:t>KS Č. Budějovice</w:t>
            </w:r>
          </w:p>
        </w:tc>
        <w:tc>
          <w:tcPr>
            <w:tcW w:w="1615" w:type="dxa"/>
            <w:tcBorders>
              <w:top w:val="nil"/>
              <w:left w:val="nil"/>
              <w:bottom w:val="single" w:sz="4" w:space="0" w:color="auto"/>
              <w:right w:val="nil"/>
            </w:tcBorders>
            <w:shd w:val="clear" w:color="auto" w:fill="auto"/>
            <w:noWrap/>
            <w:vAlign w:val="center"/>
            <w:hideMark/>
          </w:tcPr>
          <w:p w14:paraId="54C5C7BD" w14:textId="77777777" w:rsidR="00B119BB" w:rsidRPr="00020CA3" w:rsidRDefault="00B119BB" w:rsidP="00020CA3">
            <w:pPr>
              <w:spacing w:line="240" w:lineRule="auto"/>
              <w:jc w:val="center"/>
              <w:rPr>
                <w:rFonts w:eastAsia="Times New Roman"/>
                <w:szCs w:val="24"/>
                <w:lang w:eastAsia="cs-CZ"/>
              </w:rPr>
            </w:pPr>
            <w:r w:rsidRPr="00020CA3">
              <w:rPr>
                <w:rFonts w:eastAsia="Times New Roman"/>
                <w:szCs w:val="24"/>
                <w:lang w:eastAsia="cs-CZ"/>
              </w:rPr>
              <w:t>257</w:t>
            </w:r>
          </w:p>
        </w:tc>
        <w:tc>
          <w:tcPr>
            <w:tcW w:w="1417" w:type="dxa"/>
            <w:tcBorders>
              <w:top w:val="nil"/>
              <w:left w:val="nil"/>
              <w:bottom w:val="single" w:sz="4" w:space="0" w:color="auto"/>
              <w:right w:val="nil"/>
            </w:tcBorders>
            <w:shd w:val="clear" w:color="auto" w:fill="auto"/>
            <w:noWrap/>
            <w:vAlign w:val="center"/>
            <w:hideMark/>
          </w:tcPr>
          <w:p w14:paraId="428C740D" w14:textId="658E9533" w:rsidR="00B119BB" w:rsidRPr="00020CA3" w:rsidRDefault="00B119BB" w:rsidP="00020CA3">
            <w:pPr>
              <w:spacing w:line="240" w:lineRule="auto"/>
              <w:jc w:val="center"/>
              <w:rPr>
                <w:rFonts w:eastAsia="Times New Roman"/>
                <w:sz w:val="20"/>
                <w:szCs w:val="20"/>
                <w:lang w:eastAsia="cs-CZ"/>
              </w:rPr>
            </w:pPr>
            <w:r w:rsidRPr="00020CA3">
              <w:rPr>
                <w:rFonts w:eastAsia="Times New Roman"/>
                <w:sz w:val="20"/>
                <w:szCs w:val="20"/>
                <w:lang w:eastAsia="cs-CZ"/>
              </w:rPr>
              <w:t>+34 %</w:t>
            </w:r>
          </w:p>
        </w:tc>
      </w:tr>
      <w:tr w:rsidR="00F15667" w:rsidRPr="00020CA3" w14:paraId="57C890CF"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2230D968" w14:textId="77777777" w:rsidR="00B119BB" w:rsidRPr="00020CA3" w:rsidRDefault="00B119BB" w:rsidP="00020CA3">
            <w:pPr>
              <w:spacing w:line="240" w:lineRule="auto"/>
              <w:jc w:val="left"/>
              <w:rPr>
                <w:rFonts w:eastAsia="Times New Roman"/>
                <w:szCs w:val="24"/>
                <w:lang w:eastAsia="cs-CZ"/>
              </w:rPr>
            </w:pPr>
            <w:r w:rsidRPr="00020CA3">
              <w:rPr>
                <w:rFonts w:eastAsia="Times New Roman"/>
                <w:szCs w:val="24"/>
                <w:lang w:eastAsia="cs-CZ"/>
              </w:rPr>
              <w:t>KS Plzeň</w:t>
            </w:r>
          </w:p>
        </w:tc>
        <w:tc>
          <w:tcPr>
            <w:tcW w:w="1615" w:type="dxa"/>
            <w:tcBorders>
              <w:top w:val="nil"/>
              <w:left w:val="nil"/>
              <w:bottom w:val="single" w:sz="4" w:space="0" w:color="auto"/>
              <w:right w:val="nil"/>
            </w:tcBorders>
            <w:shd w:val="clear" w:color="auto" w:fill="auto"/>
            <w:noWrap/>
            <w:vAlign w:val="center"/>
            <w:hideMark/>
          </w:tcPr>
          <w:p w14:paraId="471127C6" w14:textId="77777777" w:rsidR="00B119BB" w:rsidRPr="00020CA3" w:rsidRDefault="00B119BB" w:rsidP="00020CA3">
            <w:pPr>
              <w:spacing w:line="240" w:lineRule="auto"/>
              <w:jc w:val="center"/>
              <w:rPr>
                <w:rFonts w:eastAsia="Times New Roman"/>
                <w:szCs w:val="24"/>
                <w:lang w:eastAsia="cs-CZ"/>
              </w:rPr>
            </w:pPr>
            <w:r w:rsidRPr="00020CA3">
              <w:rPr>
                <w:rFonts w:eastAsia="Times New Roman"/>
                <w:szCs w:val="24"/>
                <w:lang w:eastAsia="cs-CZ"/>
              </w:rPr>
              <w:t>195</w:t>
            </w:r>
          </w:p>
        </w:tc>
        <w:tc>
          <w:tcPr>
            <w:tcW w:w="1417" w:type="dxa"/>
            <w:tcBorders>
              <w:top w:val="nil"/>
              <w:left w:val="nil"/>
              <w:bottom w:val="single" w:sz="4" w:space="0" w:color="auto"/>
              <w:right w:val="nil"/>
            </w:tcBorders>
            <w:shd w:val="clear" w:color="auto" w:fill="auto"/>
            <w:noWrap/>
            <w:vAlign w:val="center"/>
            <w:hideMark/>
          </w:tcPr>
          <w:p w14:paraId="782FAB39" w14:textId="29FEB5C6" w:rsidR="00B119BB" w:rsidRPr="00020CA3" w:rsidRDefault="00B119BB" w:rsidP="00020CA3">
            <w:pPr>
              <w:spacing w:line="240" w:lineRule="auto"/>
              <w:jc w:val="center"/>
              <w:rPr>
                <w:rFonts w:eastAsia="Times New Roman"/>
                <w:sz w:val="20"/>
                <w:szCs w:val="20"/>
                <w:lang w:eastAsia="cs-CZ"/>
              </w:rPr>
            </w:pPr>
            <w:r w:rsidRPr="00020CA3">
              <w:rPr>
                <w:rFonts w:eastAsia="Times New Roman"/>
                <w:sz w:val="20"/>
                <w:szCs w:val="20"/>
                <w:lang w:eastAsia="cs-CZ"/>
              </w:rPr>
              <w:t>-16 %</w:t>
            </w:r>
          </w:p>
        </w:tc>
      </w:tr>
      <w:tr w:rsidR="00F15667" w:rsidRPr="00020CA3" w14:paraId="64A9F061"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44682CA4" w14:textId="77777777" w:rsidR="00B119BB" w:rsidRPr="00020CA3" w:rsidRDefault="00B119BB" w:rsidP="00020CA3">
            <w:pPr>
              <w:spacing w:line="240" w:lineRule="auto"/>
              <w:jc w:val="left"/>
              <w:rPr>
                <w:rFonts w:eastAsia="Times New Roman"/>
                <w:szCs w:val="24"/>
                <w:lang w:eastAsia="cs-CZ"/>
              </w:rPr>
            </w:pPr>
            <w:r w:rsidRPr="00020CA3">
              <w:rPr>
                <w:rFonts w:eastAsia="Times New Roman"/>
                <w:szCs w:val="24"/>
                <w:lang w:eastAsia="cs-CZ"/>
              </w:rPr>
              <w:t>KS Ústí n. Labem</w:t>
            </w:r>
          </w:p>
        </w:tc>
        <w:tc>
          <w:tcPr>
            <w:tcW w:w="1615" w:type="dxa"/>
            <w:tcBorders>
              <w:top w:val="nil"/>
              <w:left w:val="nil"/>
              <w:bottom w:val="single" w:sz="4" w:space="0" w:color="auto"/>
              <w:right w:val="nil"/>
            </w:tcBorders>
            <w:shd w:val="clear" w:color="auto" w:fill="auto"/>
            <w:noWrap/>
            <w:vAlign w:val="center"/>
            <w:hideMark/>
          </w:tcPr>
          <w:p w14:paraId="6B856871" w14:textId="77777777" w:rsidR="00B119BB" w:rsidRPr="00020CA3" w:rsidRDefault="00B119BB" w:rsidP="00020CA3">
            <w:pPr>
              <w:spacing w:line="240" w:lineRule="auto"/>
              <w:jc w:val="center"/>
              <w:rPr>
                <w:rFonts w:eastAsia="Times New Roman"/>
                <w:szCs w:val="24"/>
                <w:lang w:eastAsia="cs-CZ"/>
              </w:rPr>
            </w:pPr>
            <w:r w:rsidRPr="00020CA3">
              <w:rPr>
                <w:rFonts w:eastAsia="Times New Roman"/>
                <w:szCs w:val="24"/>
                <w:lang w:eastAsia="cs-CZ"/>
              </w:rPr>
              <w:t>240</w:t>
            </w:r>
          </w:p>
        </w:tc>
        <w:tc>
          <w:tcPr>
            <w:tcW w:w="1417" w:type="dxa"/>
            <w:tcBorders>
              <w:top w:val="nil"/>
              <w:left w:val="nil"/>
              <w:bottom w:val="single" w:sz="4" w:space="0" w:color="auto"/>
              <w:right w:val="nil"/>
            </w:tcBorders>
            <w:shd w:val="clear" w:color="auto" w:fill="auto"/>
            <w:noWrap/>
            <w:vAlign w:val="center"/>
            <w:hideMark/>
          </w:tcPr>
          <w:p w14:paraId="7804A139" w14:textId="2B902427" w:rsidR="00B119BB" w:rsidRPr="00020CA3" w:rsidRDefault="00B119BB" w:rsidP="00020CA3">
            <w:pPr>
              <w:spacing w:line="240" w:lineRule="auto"/>
              <w:jc w:val="center"/>
              <w:rPr>
                <w:rFonts w:eastAsia="Times New Roman"/>
                <w:sz w:val="20"/>
                <w:szCs w:val="20"/>
                <w:lang w:eastAsia="cs-CZ"/>
              </w:rPr>
            </w:pPr>
            <w:r w:rsidRPr="00020CA3">
              <w:rPr>
                <w:rFonts w:eastAsia="Times New Roman"/>
                <w:sz w:val="20"/>
                <w:szCs w:val="20"/>
                <w:lang w:eastAsia="cs-CZ"/>
              </w:rPr>
              <w:t>+3 %</w:t>
            </w:r>
          </w:p>
        </w:tc>
      </w:tr>
      <w:tr w:rsidR="00F15667" w:rsidRPr="00020CA3" w14:paraId="63F7A942"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6677AFFF" w14:textId="77777777" w:rsidR="00B119BB" w:rsidRPr="00020CA3" w:rsidRDefault="00B119BB" w:rsidP="00020CA3">
            <w:pPr>
              <w:spacing w:line="240" w:lineRule="auto"/>
              <w:jc w:val="left"/>
              <w:rPr>
                <w:rFonts w:eastAsia="Times New Roman"/>
                <w:szCs w:val="24"/>
                <w:lang w:eastAsia="cs-CZ"/>
              </w:rPr>
            </w:pPr>
            <w:r w:rsidRPr="00020CA3">
              <w:rPr>
                <w:rFonts w:eastAsia="Times New Roman"/>
                <w:szCs w:val="24"/>
                <w:lang w:eastAsia="cs-CZ"/>
              </w:rPr>
              <w:t>KS Hr. Králové</w:t>
            </w:r>
          </w:p>
        </w:tc>
        <w:tc>
          <w:tcPr>
            <w:tcW w:w="1615" w:type="dxa"/>
            <w:tcBorders>
              <w:top w:val="nil"/>
              <w:left w:val="nil"/>
              <w:bottom w:val="single" w:sz="4" w:space="0" w:color="auto"/>
              <w:right w:val="nil"/>
            </w:tcBorders>
            <w:shd w:val="clear" w:color="auto" w:fill="auto"/>
            <w:noWrap/>
            <w:vAlign w:val="center"/>
            <w:hideMark/>
          </w:tcPr>
          <w:p w14:paraId="18A7C605" w14:textId="77777777" w:rsidR="00B119BB" w:rsidRPr="00020CA3" w:rsidRDefault="00B119BB" w:rsidP="00020CA3">
            <w:pPr>
              <w:spacing w:line="240" w:lineRule="auto"/>
              <w:jc w:val="center"/>
              <w:rPr>
                <w:rFonts w:eastAsia="Times New Roman"/>
                <w:szCs w:val="24"/>
                <w:lang w:eastAsia="cs-CZ"/>
              </w:rPr>
            </w:pPr>
            <w:r w:rsidRPr="00020CA3">
              <w:rPr>
                <w:rFonts w:eastAsia="Times New Roman"/>
                <w:szCs w:val="24"/>
                <w:lang w:eastAsia="cs-CZ"/>
              </w:rPr>
              <w:t>107</w:t>
            </w:r>
          </w:p>
        </w:tc>
        <w:tc>
          <w:tcPr>
            <w:tcW w:w="1417" w:type="dxa"/>
            <w:tcBorders>
              <w:top w:val="nil"/>
              <w:left w:val="nil"/>
              <w:bottom w:val="single" w:sz="4" w:space="0" w:color="auto"/>
              <w:right w:val="nil"/>
            </w:tcBorders>
            <w:shd w:val="clear" w:color="auto" w:fill="auto"/>
            <w:noWrap/>
            <w:vAlign w:val="center"/>
            <w:hideMark/>
          </w:tcPr>
          <w:p w14:paraId="7764755F" w14:textId="53C7C0FC" w:rsidR="00B119BB" w:rsidRPr="00020CA3" w:rsidRDefault="00B119BB" w:rsidP="00020CA3">
            <w:pPr>
              <w:spacing w:line="240" w:lineRule="auto"/>
              <w:jc w:val="center"/>
              <w:rPr>
                <w:rFonts w:eastAsia="Times New Roman"/>
                <w:sz w:val="20"/>
                <w:szCs w:val="20"/>
                <w:lang w:eastAsia="cs-CZ"/>
              </w:rPr>
            </w:pPr>
            <w:r w:rsidRPr="00020CA3">
              <w:rPr>
                <w:rFonts w:eastAsia="Times New Roman"/>
                <w:sz w:val="20"/>
                <w:szCs w:val="20"/>
                <w:lang w:eastAsia="cs-CZ"/>
              </w:rPr>
              <w:t>-10 %</w:t>
            </w:r>
          </w:p>
        </w:tc>
      </w:tr>
      <w:tr w:rsidR="00F15667" w:rsidRPr="00020CA3" w14:paraId="1A5DC6C6"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2F252A9C" w14:textId="77777777" w:rsidR="00B119BB" w:rsidRPr="00020CA3" w:rsidRDefault="00B119BB" w:rsidP="00020CA3">
            <w:pPr>
              <w:spacing w:line="240" w:lineRule="auto"/>
              <w:jc w:val="left"/>
              <w:rPr>
                <w:rFonts w:eastAsia="Times New Roman"/>
                <w:szCs w:val="24"/>
                <w:lang w:eastAsia="cs-CZ"/>
              </w:rPr>
            </w:pPr>
            <w:r w:rsidRPr="00020CA3">
              <w:rPr>
                <w:rFonts w:eastAsia="Times New Roman"/>
                <w:szCs w:val="24"/>
                <w:lang w:eastAsia="cs-CZ"/>
              </w:rPr>
              <w:t>KS Brno</w:t>
            </w:r>
          </w:p>
        </w:tc>
        <w:tc>
          <w:tcPr>
            <w:tcW w:w="1615" w:type="dxa"/>
            <w:tcBorders>
              <w:top w:val="nil"/>
              <w:left w:val="nil"/>
              <w:bottom w:val="single" w:sz="4" w:space="0" w:color="auto"/>
              <w:right w:val="nil"/>
            </w:tcBorders>
            <w:shd w:val="clear" w:color="auto" w:fill="auto"/>
            <w:noWrap/>
            <w:vAlign w:val="center"/>
            <w:hideMark/>
          </w:tcPr>
          <w:p w14:paraId="3FE07026" w14:textId="77777777" w:rsidR="00B119BB" w:rsidRPr="00020CA3" w:rsidRDefault="00B119BB" w:rsidP="00020CA3">
            <w:pPr>
              <w:spacing w:line="240" w:lineRule="auto"/>
              <w:jc w:val="center"/>
              <w:rPr>
                <w:rFonts w:eastAsia="Times New Roman"/>
                <w:szCs w:val="24"/>
                <w:lang w:eastAsia="cs-CZ"/>
              </w:rPr>
            </w:pPr>
            <w:r w:rsidRPr="00020CA3">
              <w:rPr>
                <w:rFonts w:eastAsia="Times New Roman"/>
                <w:szCs w:val="24"/>
                <w:lang w:eastAsia="cs-CZ"/>
              </w:rPr>
              <w:t>193</w:t>
            </w:r>
          </w:p>
        </w:tc>
        <w:tc>
          <w:tcPr>
            <w:tcW w:w="1417" w:type="dxa"/>
            <w:tcBorders>
              <w:top w:val="nil"/>
              <w:left w:val="nil"/>
              <w:bottom w:val="single" w:sz="4" w:space="0" w:color="auto"/>
              <w:right w:val="nil"/>
            </w:tcBorders>
            <w:shd w:val="clear" w:color="auto" w:fill="auto"/>
            <w:noWrap/>
            <w:vAlign w:val="center"/>
            <w:hideMark/>
          </w:tcPr>
          <w:p w14:paraId="203B349A" w14:textId="31437511" w:rsidR="00B119BB" w:rsidRPr="00020CA3" w:rsidRDefault="00B119BB" w:rsidP="00020CA3">
            <w:pPr>
              <w:spacing w:line="240" w:lineRule="auto"/>
              <w:jc w:val="center"/>
              <w:rPr>
                <w:rFonts w:eastAsia="Times New Roman"/>
                <w:sz w:val="20"/>
                <w:szCs w:val="20"/>
                <w:lang w:eastAsia="cs-CZ"/>
              </w:rPr>
            </w:pPr>
            <w:r w:rsidRPr="00020CA3">
              <w:rPr>
                <w:rFonts w:eastAsia="Times New Roman"/>
                <w:sz w:val="20"/>
                <w:szCs w:val="20"/>
                <w:lang w:eastAsia="cs-CZ"/>
              </w:rPr>
              <w:t>+22 %</w:t>
            </w:r>
          </w:p>
        </w:tc>
      </w:tr>
      <w:tr w:rsidR="00F15667" w:rsidRPr="00020CA3" w14:paraId="0D98C7A2" w14:textId="77777777" w:rsidTr="00020CA3">
        <w:trPr>
          <w:trHeight w:val="330"/>
        </w:trPr>
        <w:tc>
          <w:tcPr>
            <w:tcW w:w="2780" w:type="dxa"/>
            <w:tcBorders>
              <w:top w:val="nil"/>
              <w:left w:val="nil"/>
              <w:bottom w:val="double" w:sz="6" w:space="0" w:color="auto"/>
              <w:right w:val="nil"/>
            </w:tcBorders>
            <w:shd w:val="clear" w:color="auto" w:fill="auto"/>
            <w:noWrap/>
            <w:vAlign w:val="center"/>
            <w:hideMark/>
          </w:tcPr>
          <w:p w14:paraId="1A9F50B4" w14:textId="77777777" w:rsidR="00B119BB" w:rsidRPr="00020CA3" w:rsidRDefault="00B119BB" w:rsidP="00020CA3">
            <w:pPr>
              <w:spacing w:line="240" w:lineRule="auto"/>
              <w:jc w:val="left"/>
              <w:rPr>
                <w:rFonts w:eastAsia="Times New Roman"/>
                <w:szCs w:val="24"/>
                <w:lang w:eastAsia="cs-CZ"/>
              </w:rPr>
            </w:pPr>
            <w:r w:rsidRPr="00020CA3">
              <w:rPr>
                <w:rFonts w:eastAsia="Times New Roman"/>
                <w:szCs w:val="24"/>
                <w:lang w:eastAsia="cs-CZ"/>
              </w:rPr>
              <w:t>KS Ostrava</w:t>
            </w:r>
          </w:p>
        </w:tc>
        <w:tc>
          <w:tcPr>
            <w:tcW w:w="1615" w:type="dxa"/>
            <w:tcBorders>
              <w:top w:val="nil"/>
              <w:left w:val="nil"/>
              <w:bottom w:val="double" w:sz="6" w:space="0" w:color="auto"/>
              <w:right w:val="nil"/>
            </w:tcBorders>
            <w:shd w:val="clear" w:color="auto" w:fill="auto"/>
            <w:noWrap/>
            <w:vAlign w:val="center"/>
            <w:hideMark/>
          </w:tcPr>
          <w:p w14:paraId="6CE7DAC3" w14:textId="77777777" w:rsidR="00B119BB" w:rsidRPr="00020CA3" w:rsidRDefault="00B119BB" w:rsidP="00020CA3">
            <w:pPr>
              <w:spacing w:line="240" w:lineRule="auto"/>
              <w:jc w:val="center"/>
              <w:rPr>
                <w:rFonts w:eastAsia="Times New Roman"/>
                <w:szCs w:val="24"/>
                <w:lang w:eastAsia="cs-CZ"/>
              </w:rPr>
            </w:pPr>
            <w:r w:rsidRPr="00020CA3">
              <w:rPr>
                <w:rFonts w:eastAsia="Times New Roman"/>
                <w:szCs w:val="24"/>
                <w:lang w:eastAsia="cs-CZ"/>
              </w:rPr>
              <w:t>153</w:t>
            </w:r>
          </w:p>
        </w:tc>
        <w:tc>
          <w:tcPr>
            <w:tcW w:w="1417" w:type="dxa"/>
            <w:tcBorders>
              <w:top w:val="nil"/>
              <w:left w:val="nil"/>
              <w:bottom w:val="double" w:sz="6" w:space="0" w:color="auto"/>
              <w:right w:val="nil"/>
            </w:tcBorders>
            <w:shd w:val="clear" w:color="auto" w:fill="auto"/>
            <w:noWrap/>
            <w:vAlign w:val="center"/>
            <w:hideMark/>
          </w:tcPr>
          <w:p w14:paraId="15C04EB9" w14:textId="03EEC7C6" w:rsidR="00B119BB" w:rsidRPr="00020CA3" w:rsidRDefault="00B119BB" w:rsidP="00020CA3">
            <w:pPr>
              <w:spacing w:line="240" w:lineRule="auto"/>
              <w:jc w:val="center"/>
              <w:rPr>
                <w:rFonts w:eastAsia="Times New Roman"/>
                <w:sz w:val="20"/>
                <w:szCs w:val="20"/>
                <w:lang w:eastAsia="cs-CZ"/>
              </w:rPr>
            </w:pPr>
            <w:r w:rsidRPr="00020CA3">
              <w:rPr>
                <w:rFonts w:eastAsia="Times New Roman"/>
                <w:sz w:val="20"/>
                <w:szCs w:val="20"/>
                <w:lang w:eastAsia="cs-CZ"/>
              </w:rPr>
              <w:t>-34 %</w:t>
            </w:r>
          </w:p>
        </w:tc>
      </w:tr>
      <w:tr w:rsidR="00F15667" w:rsidRPr="00020CA3" w14:paraId="7B372EEB" w14:textId="77777777" w:rsidTr="00020CA3">
        <w:trPr>
          <w:trHeight w:val="345"/>
        </w:trPr>
        <w:tc>
          <w:tcPr>
            <w:tcW w:w="2780" w:type="dxa"/>
            <w:tcBorders>
              <w:top w:val="nil"/>
              <w:left w:val="nil"/>
              <w:bottom w:val="double" w:sz="6" w:space="0" w:color="auto"/>
              <w:right w:val="nil"/>
            </w:tcBorders>
            <w:shd w:val="clear" w:color="auto" w:fill="auto"/>
            <w:noWrap/>
            <w:vAlign w:val="center"/>
            <w:hideMark/>
          </w:tcPr>
          <w:p w14:paraId="392F3CB6" w14:textId="77777777" w:rsidR="00B119BB" w:rsidRPr="00020CA3" w:rsidRDefault="00B119BB" w:rsidP="00020CA3">
            <w:pPr>
              <w:spacing w:line="240" w:lineRule="auto"/>
              <w:jc w:val="left"/>
              <w:rPr>
                <w:rFonts w:eastAsia="Times New Roman"/>
                <w:b/>
                <w:bCs/>
                <w:szCs w:val="24"/>
                <w:lang w:eastAsia="cs-CZ"/>
              </w:rPr>
            </w:pPr>
            <w:r w:rsidRPr="00020CA3">
              <w:rPr>
                <w:rFonts w:eastAsia="Times New Roman"/>
                <w:b/>
                <w:bCs/>
                <w:szCs w:val="24"/>
                <w:lang w:eastAsia="cs-CZ"/>
              </w:rPr>
              <w:t>Celkem ČR</w:t>
            </w:r>
          </w:p>
        </w:tc>
        <w:tc>
          <w:tcPr>
            <w:tcW w:w="1615" w:type="dxa"/>
            <w:tcBorders>
              <w:top w:val="nil"/>
              <w:left w:val="nil"/>
              <w:bottom w:val="double" w:sz="6" w:space="0" w:color="auto"/>
              <w:right w:val="nil"/>
            </w:tcBorders>
            <w:shd w:val="clear" w:color="auto" w:fill="auto"/>
            <w:noWrap/>
            <w:vAlign w:val="center"/>
            <w:hideMark/>
          </w:tcPr>
          <w:p w14:paraId="6438E80F" w14:textId="77777777" w:rsidR="00B119BB" w:rsidRPr="00020CA3" w:rsidRDefault="00B119BB" w:rsidP="00020CA3">
            <w:pPr>
              <w:spacing w:line="240" w:lineRule="auto"/>
              <w:jc w:val="center"/>
              <w:rPr>
                <w:rFonts w:eastAsia="Times New Roman"/>
                <w:b/>
                <w:bCs/>
                <w:szCs w:val="24"/>
                <w:lang w:eastAsia="cs-CZ"/>
              </w:rPr>
            </w:pPr>
            <w:r w:rsidRPr="00020CA3">
              <w:rPr>
                <w:rFonts w:eastAsia="Times New Roman"/>
                <w:b/>
                <w:bCs/>
                <w:szCs w:val="24"/>
                <w:lang w:eastAsia="cs-CZ"/>
              </w:rPr>
              <w:t>195</w:t>
            </w:r>
          </w:p>
        </w:tc>
        <w:tc>
          <w:tcPr>
            <w:tcW w:w="1417" w:type="dxa"/>
            <w:tcBorders>
              <w:top w:val="nil"/>
              <w:left w:val="nil"/>
              <w:bottom w:val="double" w:sz="6" w:space="0" w:color="auto"/>
              <w:right w:val="nil"/>
            </w:tcBorders>
            <w:shd w:val="clear" w:color="auto" w:fill="auto"/>
            <w:noWrap/>
            <w:vAlign w:val="center"/>
            <w:hideMark/>
          </w:tcPr>
          <w:p w14:paraId="762B6E66" w14:textId="7A72AC0D" w:rsidR="00B119BB" w:rsidRPr="00020CA3" w:rsidRDefault="00B119BB"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-1 %</w:t>
            </w:r>
          </w:p>
        </w:tc>
      </w:tr>
      <w:tr w:rsidR="00F15667" w:rsidRPr="00020CA3" w14:paraId="78BDD53B" w14:textId="77777777" w:rsidTr="00020CA3">
        <w:trPr>
          <w:trHeight w:val="330"/>
        </w:trPr>
        <w:tc>
          <w:tcPr>
            <w:tcW w:w="2780" w:type="dxa"/>
            <w:tcBorders>
              <w:top w:val="nil"/>
              <w:left w:val="nil"/>
              <w:bottom w:val="nil"/>
              <w:right w:val="nil"/>
            </w:tcBorders>
            <w:shd w:val="clear" w:color="auto" w:fill="auto"/>
            <w:noWrap/>
            <w:vAlign w:val="center"/>
            <w:hideMark/>
          </w:tcPr>
          <w:p w14:paraId="0F0FF4EB" w14:textId="77777777" w:rsidR="00B119BB" w:rsidRPr="00020CA3" w:rsidRDefault="00B119BB" w:rsidP="00020CA3">
            <w:pPr>
              <w:spacing w:line="240" w:lineRule="auto"/>
              <w:jc w:val="center"/>
              <w:rPr>
                <w:rFonts w:eastAsia="Times New Roman"/>
                <w:b/>
                <w:bCs/>
                <w:sz w:val="20"/>
                <w:szCs w:val="20"/>
                <w:lang w:eastAsia="cs-CZ"/>
              </w:rPr>
            </w:pPr>
          </w:p>
        </w:tc>
        <w:tc>
          <w:tcPr>
            <w:tcW w:w="1615" w:type="dxa"/>
            <w:tcBorders>
              <w:top w:val="nil"/>
              <w:left w:val="nil"/>
              <w:bottom w:val="nil"/>
              <w:right w:val="nil"/>
            </w:tcBorders>
            <w:shd w:val="clear" w:color="auto" w:fill="auto"/>
            <w:noWrap/>
            <w:vAlign w:val="center"/>
            <w:hideMark/>
          </w:tcPr>
          <w:p w14:paraId="7233A579" w14:textId="77777777" w:rsidR="00B119BB" w:rsidRPr="00020CA3" w:rsidRDefault="00B119BB" w:rsidP="00020CA3">
            <w:pPr>
              <w:spacing w:line="240" w:lineRule="auto"/>
              <w:jc w:val="center"/>
              <w:rPr>
                <w:rFonts w:eastAsia="Times New Roman"/>
                <w:sz w:val="20"/>
                <w:szCs w:val="20"/>
                <w:lang w:eastAsia="cs-CZ"/>
              </w:rPr>
            </w:pPr>
          </w:p>
        </w:tc>
        <w:tc>
          <w:tcPr>
            <w:tcW w:w="1417" w:type="dxa"/>
            <w:tcBorders>
              <w:top w:val="nil"/>
              <w:left w:val="nil"/>
              <w:bottom w:val="nil"/>
              <w:right w:val="nil"/>
            </w:tcBorders>
            <w:shd w:val="clear" w:color="auto" w:fill="auto"/>
            <w:noWrap/>
            <w:vAlign w:val="center"/>
            <w:hideMark/>
          </w:tcPr>
          <w:p w14:paraId="42600573" w14:textId="77777777" w:rsidR="00B119BB" w:rsidRPr="00020CA3" w:rsidRDefault="00B119BB" w:rsidP="00020CA3">
            <w:pPr>
              <w:spacing w:line="240" w:lineRule="auto"/>
              <w:jc w:val="center"/>
              <w:rPr>
                <w:rFonts w:eastAsia="Times New Roman"/>
                <w:sz w:val="20"/>
                <w:szCs w:val="20"/>
                <w:lang w:eastAsia="cs-CZ"/>
              </w:rPr>
            </w:pPr>
          </w:p>
        </w:tc>
      </w:tr>
    </w:tbl>
    <w:p w14:paraId="4DC04218" w14:textId="41EC4AFD" w:rsidR="00B119BB" w:rsidRPr="00020CA3" w:rsidRDefault="00B119BB" w:rsidP="00020CA3">
      <w:pPr>
        <w:pStyle w:val="OdstavecASR"/>
      </w:pPr>
      <w:r w:rsidRPr="00020CA3">
        <w:t>DT klesl u 3 soudů a u 5 narostl. Nejvíce narostl u KS v Brně a nejvíce klesl u KS v Ostravě.</w:t>
      </w:r>
    </w:p>
    <w:p w14:paraId="63B47818" w14:textId="3A3CBDB9" w:rsidR="00B119BB" w:rsidRPr="00020CA3" w:rsidRDefault="00B119BB" w:rsidP="00020CA3">
      <w:pPr>
        <w:pStyle w:val="OdstavecASR"/>
      </w:pPr>
      <w:r w:rsidRPr="00020CA3">
        <w:t>DT a míru vyřizování pod 100 %, stále vykazuje jedny z nejlepších statistik ze všech soudů.</w:t>
      </w:r>
    </w:p>
    <w:p w14:paraId="1D7027B5" w14:textId="77777777" w:rsidR="00B119BB" w:rsidRPr="00020CA3" w:rsidRDefault="00B119BB" w:rsidP="00B119BB">
      <w:pPr>
        <w:pStyle w:val="OdstavecASR"/>
      </w:pPr>
      <w:r w:rsidRPr="00020CA3">
        <w:t>Závěry ze srovnání krajských soudů na základě délek řízení, přepočtu na soudce a DT se v tomto případě liší, což vyplývá (jak už bylo zmíněno) z jiné metodiky, jiného zdroje dat a malého počtu pozorování.</w:t>
      </w:r>
    </w:p>
    <w:p w14:paraId="6B5C9806" w14:textId="123C9A16" w:rsidR="00B119BB" w:rsidRPr="00020CA3" w:rsidRDefault="00B119BB" w:rsidP="00B119BB">
      <w:pPr>
        <w:pStyle w:val="OdstavecASR"/>
      </w:pPr>
      <w:r w:rsidRPr="00020CA3">
        <w:t>Zatímco u OS je situace v trestní agendě v zásadě stabilní či se mírně zlepšuje, u KS v posledních letech tentýž závěr úplně neplatí: situace není stabilní především kvůli malému počtu vyřizovaných věcí a vysoké náročnosti agendy. Mezi roky 2021 a 2022 ale byly na úrovni ČR jen malé změny.</w:t>
      </w:r>
    </w:p>
    <w:p w14:paraId="1D2BE867" w14:textId="10FB15B1" w:rsidR="008430BD" w:rsidRPr="00020CA3" w:rsidRDefault="008430BD" w:rsidP="008430BD">
      <w:pPr>
        <w:pStyle w:val="Nadpis3"/>
        <w:numPr>
          <w:ilvl w:val="2"/>
          <w:numId w:val="1"/>
        </w:numPr>
        <w:rPr>
          <w:color w:val="auto"/>
        </w:rPr>
      </w:pPr>
      <w:bookmarkStart w:id="783" w:name="_Toc515871261"/>
      <w:bookmarkStart w:id="784" w:name="_Toc106092768"/>
      <w:bookmarkStart w:id="785" w:name="_Toc144104381"/>
      <w:r w:rsidRPr="00020CA3">
        <w:rPr>
          <w:color w:val="auto"/>
        </w:rPr>
        <w:t>Další statistiky</w:t>
      </w:r>
      <w:bookmarkEnd w:id="783"/>
      <w:bookmarkEnd w:id="784"/>
      <w:bookmarkEnd w:id="785"/>
    </w:p>
    <w:p w14:paraId="69FC06E3" w14:textId="4C910DAF" w:rsidR="003F3502" w:rsidRPr="00020CA3" w:rsidRDefault="003F3502" w:rsidP="003F3502">
      <w:pPr>
        <w:pStyle w:val="OdstavecASR"/>
      </w:pPr>
      <w:r w:rsidRPr="00020CA3">
        <w:t xml:space="preserve">Jako další statistiky v této podkapitole uvádíme míru odvolání, míru změny </w:t>
      </w:r>
      <w:r w:rsidR="0098539F" w:rsidRPr="00020CA3">
        <w:t>rozsudku,</w:t>
      </w:r>
      <w:r w:rsidRPr="00020CA3">
        <w:t xml:space="preserve"> a nakonec se díváme na to, za jaké trestné činy jsou nejvíce ukládány tresty nepodmíněného odnětí svobody. Jde tedy o podobné statistiky jako u okresních soudů. Opět je třeba zdůraznit, že u KS je malý počet pozorování.</w:t>
      </w:r>
    </w:p>
    <w:p w14:paraId="04A11D17" w14:textId="77777777" w:rsidR="003F3502" w:rsidRPr="00020CA3" w:rsidRDefault="003F3502" w:rsidP="003F3502">
      <w:pPr>
        <w:pStyle w:val="OdstavecASR"/>
        <w:keepNext/>
        <w:outlineLvl w:val="3"/>
        <w:rPr>
          <w:b/>
        </w:rPr>
      </w:pPr>
      <w:r w:rsidRPr="00020CA3">
        <w:rPr>
          <w:b/>
        </w:rPr>
        <w:t>Míra odvolání</w:t>
      </w:r>
    </w:p>
    <w:p w14:paraId="4F91754D" w14:textId="76E5C485" w:rsidR="003F3502" w:rsidRPr="00020CA3" w:rsidRDefault="003F3502" w:rsidP="003F3502">
      <w:pPr>
        <w:pStyle w:val="Podnadpis"/>
        <w:rPr>
          <w:color w:val="auto"/>
        </w:rPr>
      </w:pPr>
      <w:bookmarkStart w:id="786" w:name="_Toc515871482"/>
      <w:bookmarkStart w:id="787" w:name="_Toc11133250"/>
      <w:bookmarkStart w:id="788" w:name="_Toc43931229"/>
      <w:bookmarkStart w:id="789" w:name="_Toc75952362"/>
      <w:bookmarkStart w:id="790" w:name="_Toc106106818"/>
      <w:bookmarkStart w:id="791" w:name="_Toc109802141"/>
      <w:bookmarkStart w:id="792" w:name="_Toc144104299"/>
      <w:r w:rsidRPr="00020CA3">
        <w:rPr>
          <w:color w:val="auto"/>
        </w:rPr>
        <w:t xml:space="preserve">Tabulka </w:t>
      </w:r>
      <w:r w:rsidRPr="00020CA3">
        <w:rPr>
          <w:noProof/>
          <w:color w:val="auto"/>
        </w:rPr>
        <w:fldChar w:fldCharType="begin"/>
      </w:r>
      <w:r w:rsidRPr="00020CA3">
        <w:rPr>
          <w:noProof/>
          <w:color w:val="auto"/>
        </w:rPr>
        <w:instrText xml:space="preserve"> SEQ Tabulka \* ARABIC </w:instrText>
      </w:r>
      <w:r w:rsidRPr="00020CA3">
        <w:rPr>
          <w:noProof/>
          <w:color w:val="auto"/>
        </w:rPr>
        <w:fldChar w:fldCharType="separate"/>
      </w:r>
      <w:r w:rsidR="001E1A67">
        <w:rPr>
          <w:noProof/>
          <w:color w:val="auto"/>
        </w:rPr>
        <w:t>60</w:t>
      </w:r>
      <w:r w:rsidRPr="00020CA3">
        <w:rPr>
          <w:noProof/>
          <w:color w:val="auto"/>
        </w:rPr>
        <w:fldChar w:fldCharType="end"/>
      </w:r>
      <w:r w:rsidRPr="00020CA3">
        <w:rPr>
          <w:color w:val="auto"/>
        </w:rPr>
        <w:t>: KS – míra odvolání dle soudů v trestním řízení</w:t>
      </w:r>
      <w:bookmarkEnd w:id="786"/>
      <w:bookmarkEnd w:id="787"/>
      <w:bookmarkEnd w:id="788"/>
      <w:bookmarkEnd w:id="789"/>
      <w:bookmarkEnd w:id="790"/>
      <w:bookmarkEnd w:id="791"/>
      <w:bookmarkEnd w:id="792"/>
    </w:p>
    <w:tbl>
      <w:tblPr>
        <w:tblW w:w="6237" w:type="dxa"/>
        <w:tblCellMar>
          <w:left w:w="70" w:type="dxa"/>
          <w:right w:w="70" w:type="dxa"/>
        </w:tblCellMar>
        <w:tblLook w:val="04A0" w:firstRow="1" w:lastRow="0" w:firstColumn="1" w:lastColumn="0" w:noHBand="0" w:noVBand="1"/>
      </w:tblPr>
      <w:tblGrid>
        <w:gridCol w:w="2780"/>
        <w:gridCol w:w="1898"/>
        <w:gridCol w:w="1559"/>
      </w:tblGrid>
      <w:tr w:rsidR="00F15667" w:rsidRPr="00020CA3" w14:paraId="16F23199" w14:textId="77777777" w:rsidTr="00020CA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0EF5681" w14:textId="77777777" w:rsidR="003F3502" w:rsidRPr="00020CA3" w:rsidRDefault="003F3502" w:rsidP="00020CA3">
            <w:pPr>
              <w:spacing w:line="240" w:lineRule="auto"/>
              <w:jc w:val="center"/>
              <w:rPr>
                <w:rFonts w:eastAsia="Times New Roman"/>
                <w:b/>
                <w:bCs/>
                <w:szCs w:val="24"/>
                <w:lang w:eastAsia="cs-CZ"/>
              </w:rPr>
            </w:pPr>
            <w:r w:rsidRPr="00020CA3">
              <w:rPr>
                <w:rFonts w:eastAsia="Times New Roman"/>
                <w:b/>
                <w:bCs/>
                <w:szCs w:val="24"/>
                <w:lang w:eastAsia="cs-CZ"/>
              </w:rPr>
              <w:t>Soud</w:t>
            </w:r>
          </w:p>
        </w:tc>
        <w:tc>
          <w:tcPr>
            <w:tcW w:w="3457" w:type="dxa"/>
            <w:gridSpan w:val="2"/>
            <w:tcBorders>
              <w:top w:val="double" w:sz="6" w:space="0" w:color="auto"/>
              <w:left w:val="nil"/>
              <w:bottom w:val="double" w:sz="6" w:space="0" w:color="auto"/>
              <w:right w:val="nil"/>
            </w:tcBorders>
            <w:shd w:val="clear" w:color="auto" w:fill="auto"/>
            <w:noWrap/>
            <w:vAlign w:val="center"/>
            <w:hideMark/>
          </w:tcPr>
          <w:p w14:paraId="38D67924" w14:textId="432EB100" w:rsidR="003F3502" w:rsidRPr="00020CA3" w:rsidRDefault="003F3502" w:rsidP="00020CA3">
            <w:pPr>
              <w:spacing w:line="240" w:lineRule="auto"/>
              <w:jc w:val="center"/>
              <w:rPr>
                <w:rFonts w:eastAsia="Times New Roman"/>
                <w:b/>
                <w:bCs/>
                <w:szCs w:val="24"/>
                <w:lang w:eastAsia="cs-CZ"/>
              </w:rPr>
            </w:pPr>
            <w:r w:rsidRPr="00020CA3">
              <w:rPr>
                <w:rFonts w:eastAsia="Times New Roman"/>
                <w:b/>
                <w:bCs/>
                <w:szCs w:val="24"/>
                <w:lang w:eastAsia="cs-CZ"/>
              </w:rPr>
              <w:t>Míra odvolání v %</w:t>
            </w:r>
          </w:p>
        </w:tc>
      </w:tr>
      <w:tr w:rsidR="00F15667" w:rsidRPr="00020CA3" w14:paraId="7C5A2A1C" w14:textId="77777777" w:rsidTr="00020CA3">
        <w:trPr>
          <w:trHeight w:val="330"/>
        </w:trPr>
        <w:tc>
          <w:tcPr>
            <w:tcW w:w="2780" w:type="dxa"/>
            <w:tcBorders>
              <w:top w:val="nil"/>
              <w:left w:val="nil"/>
              <w:bottom w:val="single" w:sz="4" w:space="0" w:color="auto"/>
              <w:right w:val="nil"/>
            </w:tcBorders>
            <w:shd w:val="clear" w:color="auto" w:fill="auto"/>
            <w:noWrap/>
            <w:vAlign w:val="center"/>
            <w:hideMark/>
          </w:tcPr>
          <w:p w14:paraId="6465740D" w14:textId="77777777" w:rsidR="003F3502" w:rsidRPr="00020CA3" w:rsidRDefault="003F3502" w:rsidP="00020CA3">
            <w:pPr>
              <w:spacing w:line="240" w:lineRule="auto"/>
              <w:jc w:val="left"/>
              <w:rPr>
                <w:rFonts w:eastAsia="Times New Roman"/>
                <w:szCs w:val="24"/>
                <w:lang w:eastAsia="cs-CZ"/>
              </w:rPr>
            </w:pPr>
            <w:r w:rsidRPr="00020CA3">
              <w:rPr>
                <w:rFonts w:eastAsia="Times New Roman"/>
                <w:szCs w:val="24"/>
                <w:lang w:eastAsia="cs-CZ"/>
              </w:rPr>
              <w:t>MS Praha</w:t>
            </w:r>
          </w:p>
        </w:tc>
        <w:tc>
          <w:tcPr>
            <w:tcW w:w="1898" w:type="dxa"/>
            <w:tcBorders>
              <w:top w:val="nil"/>
              <w:left w:val="nil"/>
              <w:bottom w:val="single" w:sz="4" w:space="0" w:color="auto"/>
              <w:right w:val="nil"/>
            </w:tcBorders>
            <w:shd w:val="clear" w:color="auto" w:fill="auto"/>
            <w:noWrap/>
            <w:vAlign w:val="center"/>
            <w:hideMark/>
          </w:tcPr>
          <w:p w14:paraId="2321FCC7" w14:textId="63A5DB51" w:rsidR="003F3502" w:rsidRPr="00020CA3" w:rsidRDefault="003F3502" w:rsidP="00020CA3">
            <w:pPr>
              <w:spacing w:line="240" w:lineRule="auto"/>
              <w:jc w:val="center"/>
              <w:rPr>
                <w:rFonts w:eastAsia="Times New Roman"/>
                <w:szCs w:val="24"/>
                <w:lang w:eastAsia="cs-CZ"/>
              </w:rPr>
            </w:pPr>
            <w:r w:rsidRPr="00020CA3">
              <w:rPr>
                <w:rFonts w:eastAsia="Times New Roman"/>
                <w:szCs w:val="24"/>
                <w:lang w:eastAsia="cs-CZ"/>
              </w:rPr>
              <w:t>61</w:t>
            </w:r>
            <w:r w:rsidR="00361916" w:rsidRPr="00020CA3">
              <w:rPr>
                <w:rFonts w:eastAsia="Times New Roman"/>
                <w:szCs w:val="24"/>
                <w:lang w:eastAsia="cs-CZ"/>
              </w:rPr>
              <w:t>,</w:t>
            </w:r>
            <w:r w:rsidRPr="00020CA3">
              <w:rPr>
                <w:rFonts w:eastAsia="Times New Roman"/>
                <w:szCs w:val="24"/>
                <w:lang w:eastAsia="cs-CZ"/>
              </w:rPr>
              <w:t>50</w:t>
            </w:r>
          </w:p>
        </w:tc>
        <w:tc>
          <w:tcPr>
            <w:tcW w:w="1559" w:type="dxa"/>
            <w:tcBorders>
              <w:top w:val="nil"/>
              <w:left w:val="nil"/>
              <w:bottom w:val="single" w:sz="4" w:space="0" w:color="auto"/>
              <w:right w:val="nil"/>
            </w:tcBorders>
            <w:shd w:val="clear" w:color="auto" w:fill="auto"/>
            <w:noWrap/>
            <w:vAlign w:val="center"/>
            <w:hideMark/>
          </w:tcPr>
          <w:p w14:paraId="69EB20E7" w14:textId="6E1AAC52" w:rsidR="003F3502" w:rsidRPr="00020CA3" w:rsidRDefault="003F3502" w:rsidP="00020CA3">
            <w:pPr>
              <w:spacing w:line="240" w:lineRule="auto"/>
              <w:jc w:val="center"/>
              <w:rPr>
                <w:rFonts w:eastAsia="Times New Roman"/>
                <w:sz w:val="20"/>
                <w:szCs w:val="20"/>
                <w:lang w:eastAsia="cs-CZ"/>
              </w:rPr>
            </w:pPr>
            <w:r w:rsidRPr="00020CA3">
              <w:rPr>
                <w:rFonts w:eastAsia="Times New Roman"/>
                <w:sz w:val="20"/>
                <w:szCs w:val="20"/>
                <w:lang w:eastAsia="cs-CZ"/>
              </w:rPr>
              <w:t>-0</w:t>
            </w:r>
            <w:r w:rsidR="00361916" w:rsidRPr="00020CA3">
              <w:rPr>
                <w:rFonts w:eastAsia="Times New Roman"/>
                <w:sz w:val="20"/>
                <w:szCs w:val="20"/>
                <w:lang w:eastAsia="cs-CZ"/>
              </w:rPr>
              <w:t>,</w:t>
            </w:r>
            <w:r w:rsidRPr="00020CA3">
              <w:rPr>
                <w:rFonts w:eastAsia="Times New Roman"/>
                <w:sz w:val="20"/>
                <w:szCs w:val="20"/>
                <w:lang w:eastAsia="cs-CZ"/>
              </w:rPr>
              <w:t>5 p.b.</w:t>
            </w:r>
          </w:p>
        </w:tc>
      </w:tr>
      <w:tr w:rsidR="00F15667" w:rsidRPr="00020CA3" w14:paraId="34E54960"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2A0E7F77" w14:textId="77777777" w:rsidR="003F3502" w:rsidRPr="00020CA3" w:rsidRDefault="003F3502" w:rsidP="00020CA3">
            <w:pPr>
              <w:spacing w:line="240" w:lineRule="auto"/>
              <w:jc w:val="left"/>
              <w:rPr>
                <w:rFonts w:eastAsia="Times New Roman"/>
                <w:szCs w:val="24"/>
                <w:lang w:eastAsia="cs-CZ"/>
              </w:rPr>
            </w:pPr>
            <w:r w:rsidRPr="00020CA3">
              <w:rPr>
                <w:rFonts w:eastAsia="Times New Roman"/>
                <w:szCs w:val="24"/>
                <w:lang w:eastAsia="cs-CZ"/>
              </w:rPr>
              <w:t>KS Praha</w:t>
            </w:r>
          </w:p>
        </w:tc>
        <w:tc>
          <w:tcPr>
            <w:tcW w:w="1898" w:type="dxa"/>
            <w:tcBorders>
              <w:top w:val="nil"/>
              <w:left w:val="nil"/>
              <w:bottom w:val="single" w:sz="4" w:space="0" w:color="auto"/>
              <w:right w:val="nil"/>
            </w:tcBorders>
            <w:shd w:val="clear" w:color="auto" w:fill="auto"/>
            <w:noWrap/>
            <w:vAlign w:val="center"/>
            <w:hideMark/>
          </w:tcPr>
          <w:p w14:paraId="093CC57C" w14:textId="42E501B9" w:rsidR="003F3502" w:rsidRPr="00020CA3" w:rsidRDefault="003F3502" w:rsidP="00020CA3">
            <w:pPr>
              <w:spacing w:line="240" w:lineRule="auto"/>
              <w:jc w:val="center"/>
              <w:rPr>
                <w:rFonts w:eastAsia="Times New Roman"/>
                <w:szCs w:val="24"/>
                <w:lang w:eastAsia="cs-CZ"/>
              </w:rPr>
            </w:pPr>
            <w:r w:rsidRPr="00020CA3">
              <w:rPr>
                <w:rFonts w:eastAsia="Times New Roman"/>
                <w:szCs w:val="24"/>
                <w:lang w:eastAsia="cs-CZ"/>
              </w:rPr>
              <w:t>83</w:t>
            </w:r>
            <w:r w:rsidR="00361916" w:rsidRPr="00020CA3">
              <w:rPr>
                <w:rFonts w:eastAsia="Times New Roman"/>
                <w:szCs w:val="24"/>
                <w:lang w:eastAsia="cs-CZ"/>
              </w:rPr>
              <w:t>,</w:t>
            </w:r>
            <w:r w:rsidRPr="00020CA3">
              <w:rPr>
                <w:rFonts w:eastAsia="Times New Roman"/>
                <w:szCs w:val="24"/>
                <w:lang w:eastAsia="cs-CZ"/>
              </w:rPr>
              <w:t>20</w:t>
            </w:r>
          </w:p>
        </w:tc>
        <w:tc>
          <w:tcPr>
            <w:tcW w:w="1559" w:type="dxa"/>
            <w:tcBorders>
              <w:top w:val="nil"/>
              <w:left w:val="nil"/>
              <w:bottom w:val="single" w:sz="4" w:space="0" w:color="auto"/>
              <w:right w:val="nil"/>
            </w:tcBorders>
            <w:shd w:val="clear" w:color="auto" w:fill="auto"/>
            <w:noWrap/>
            <w:vAlign w:val="center"/>
            <w:hideMark/>
          </w:tcPr>
          <w:p w14:paraId="7B70E3EF" w14:textId="27CFE4F1" w:rsidR="003F3502" w:rsidRPr="00020CA3" w:rsidRDefault="003F3502" w:rsidP="00020CA3">
            <w:pPr>
              <w:spacing w:line="240" w:lineRule="auto"/>
              <w:jc w:val="center"/>
              <w:rPr>
                <w:rFonts w:eastAsia="Times New Roman"/>
                <w:sz w:val="20"/>
                <w:szCs w:val="20"/>
                <w:lang w:eastAsia="cs-CZ"/>
              </w:rPr>
            </w:pPr>
            <w:r w:rsidRPr="00020CA3">
              <w:rPr>
                <w:rFonts w:eastAsia="Times New Roman"/>
                <w:sz w:val="20"/>
                <w:szCs w:val="20"/>
                <w:lang w:eastAsia="cs-CZ"/>
              </w:rPr>
              <w:t>+12</w:t>
            </w:r>
            <w:r w:rsidR="00361916" w:rsidRPr="00020CA3">
              <w:rPr>
                <w:rFonts w:eastAsia="Times New Roman"/>
                <w:sz w:val="20"/>
                <w:szCs w:val="20"/>
                <w:lang w:eastAsia="cs-CZ"/>
              </w:rPr>
              <w:t>,</w:t>
            </w:r>
            <w:r w:rsidRPr="00020CA3">
              <w:rPr>
                <w:rFonts w:eastAsia="Times New Roman"/>
                <w:sz w:val="20"/>
                <w:szCs w:val="20"/>
                <w:lang w:eastAsia="cs-CZ"/>
              </w:rPr>
              <w:t>1 p.b.</w:t>
            </w:r>
          </w:p>
        </w:tc>
      </w:tr>
      <w:tr w:rsidR="00F15667" w:rsidRPr="00020CA3" w14:paraId="367A6242"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5B3CC3F6" w14:textId="77777777" w:rsidR="003F3502" w:rsidRPr="00020CA3" w:rsidRDefault="003F3502" w:rsidP="00020CA3">
            <w:pPr>
              <w:spacing w:line="240" w:lineRule="auto"/>
              <w:jc w:val="left"/>
              <w:rPr>
                <w:rFonts w:eastAsia="Times New Roman"/>
                <w:szCs w:val="24"/>
                <w:lang w:eastAsia="cs-CZ"/>
              </w:rPr>
            </w:pPr>
            <w:r w:rsidRPr="00020CA3">
              <w:rPr>
                <w:rFonts w:eastAsia="Times New Roman"/>
                <w:szCs w:val="24"/>
                <w:lang w:eastAsia="cs-CZ"/>
              </w:rPr>
              <w:t>KS Č. Budějovice</w:t>
            </w:r>
          </w:p>
        </w:tc>
        <w:tc>
          <w:tcPr>
            <w:tcW w:w="1898" w:type="dxa"/>
            <w:tcBorders>
              <w:top w:val="nil"/>
              <w:left w:val="nil"/>
              <w:bottom w:val="single" w:sz="4" w:space="0" w:color="auto"/>
              <w:right w:val="nil"/>
            </w:tcBorders>
            <w:shd w:val="clear" w:color="auto" w:fill="auto"/>
            <w:noWrap/>
            <w:vAlign w:val="center"/>
            <w:hideMark/>
          </w:tcPr>
          <w:p w14:paraId="45369746" w14:textId="52E9E7E5" w:rsidR="003F3502" w:rsidRPr="00020CA3" w:rsidRDefault="003F3502" w:rsidP="00020CA3">
            <w:pPr>
              <w:spacing w:line="240" w:lineRule="auto"/>
              <w:jc w:val="center"/>
              <w:rPr>
                <w:rFonts w:eastAsia="Times New Roman"/>
                <w:szCs w:val="24"/>
                <w:lang w:eastAsia="cs-CZ"/>
              </w:rPr>
            </w:pPr>
            <w:r w:rsidRPr="00020CA3">
              <w:rPr>
                <w:rFonts w:eastAsia="Times New Roman"/>
                <w:szCs w:val="24"/>
                <w:lang w:eastAsia="cs-CZ"/>
              </w:rPr>
              <w:t>57</w:t>
            </w:r>
            <w:r w:rsidR="00361916" w:rsidRPr="00020CA3">
              <w:rPr>
                <w:rFonts w:eastAsia="Times New Roman"/>
                <w:szCs w:val="24"/>
                <w:lang w:eastAsia="cs-CZ"/>
              </w:rPr>
              <w:t>,</w:t>
            </w:r>
            <w:r w:rsidRPr="00020CA3">
              <w:rPr>
                <w:rFonts w:eastAsia="Times New Roman"/>
                <w:szCs w:val="24"/>
                <w:lang w:eastAsia="cs-CZ"/>
              </w:rPr>
              <w:t>53</w:t>
            </w:r>
          </w:p>
        </w:tc>
        <w:tc>
          <w:tcPr>
            <w:tcW w:w="1559" w:type="dxa"/>
            <w:tcBorders>
              <w:top w:val="nil"/>
              <w:left w:val="nil"/>
              <w:bottom w:val="single" w:sz="4" w:space="0" w:color="auto"/>
              <w:right w:val="nil"/>
            </w:tcBorders>
            <w:shd w:val="clear" w:color="auto" w:fill="auto"/>
            <w:noWrap/>
            <w:vAlign w:val="center"/>
            <w:hideMark/>
          </w:tcPr>
          <w:p w14:paraId="5A562947" w14:textId="18040530" w:rsidR="003F3502" w:rsidRPr="00020CA3" w:rsidRDefault="003F3502" w:rsidP="00020CA3">
            <w:pPr>
              <w:spacing w:line="240" w:lineRule="auto"/>
              <w:jc w:val="center"/>
              <w:rPr>
                <w:rFonts w:eastAsia="Times New Roman"/>
                <w:sz w:val="20"/>
                <w:szCs w:val="20"/>
                <w:lang w:eastAsia="cs-CZ"/>
              </w:rPr>
            </w:pPr>
            <w:r w:rsidRPr="00020CA3">
              <w:rPr>
                <w:rFonts w:eastAsia="Times New Roman"/>
                <w:sz w:val="20"/>
                <w:szCs w:val="20"/>
                <w:lang w:eastAsia="cs-CZ"/>
              </w:rPr>
              <w:t>+12</w:t>
            </w:r>
            <w:r w:rsidR="00361916" w:rsidRPr="00020CA3">
              <w:rPr>
                <w:rFonts w:eastAsia="Times New Roman"/>
                <w:sz w:val="20"/>
                <w:szCs w:val="20"/>
                <w:lang w:eastAsia="cs-CZ"/>
              </w:rPr>
              <w:t>,</w:t>
            </w:r>
            <w:r w:rsidRPr="00020CA3">
              <w:rPr>
                <w:rFonts w:eastAsia="Times New Roman"/>
                <w:sz w:val="20"/>
                <w:szCs w:val="20"/>
                <w:lang w:eastAsia="cs-CZ"/>
              </w:rPr>
              <w:t>0 p.b.</w:t>
            </w:r>
          </w:p>
        </w:tc>
      </w:tr>
      <w:tr w:rsidR="00F15667" w:rsidRPr="00020CA3" w14:paraId="0C09CE1D"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1018532C" w14:textId="77777777" w:rsidR="003F3502" w:rsidRPr="00020CA3" w:rsidRDefault="003F3502" w:rsidP="00020CA3">
            <w:pPr>
              <w:spacing w:line="240" w:lineRule="auto"/>
              <w:jc w:val="left"/>
              <w:rPr>
                <w:rFonts w:eastAsia="Times New Roman"/>
                <w:szCs w:val="24"/>
                <w:lang w:eastAsia="cs-CZ"/>
              </w:rPr>
            </w:pPr>
            <w:r w:rsidRPr="00020CA3">
              <w:rPr>
                <w:rFonts w:eastAsia="Times New Roman"/>
                <w:szCs w:val="24"/>
                <w:lang w:eastAsia="cs-CZ"/>
              </w:rPr>
              <w:t>KS Plzeň</w:t>
            </w:r>
          </w:p>
        </w:tc>
        <w:tc>
          <w:tcPr>
            <w:tcW w:w="1898" w:type="dxa"/>
            <w:tcBorders>
              <w:top w:val="nil"/>
              <w:left w:val="nil"/>
              <w:bottom w:val="single" w:sz="4" w:space="0" w:color="auto"/>
              <w:right w:val="nil"/>
            </w:tcBorders>
            <w:shd w:val="clear" w:color="auto" w:fill="auto"/>
            <w:noWrap/>
            <w:vAlign w:val="center"/>
            <w:hideMark/>
          </w:tcPr>
          <w:p w14:paraId="103B869E" w14:textId="207BA349" w:rsidR="003F3502" w:rsidRPr="00020CA3" w:rsidRDefault="003F3502" w:rsidP="00020CA3">
            <w:pPr>
              <w:spacing w:line="240" w:lineRule="auto"/>
              <w:jc w:val="center"/>
              <w:rPr>
                <w:rFonts w:eastAsia="Times New Roman"/>
                <w:szCs w:val="24"/>
                <w:lang w:eastAsia="cs-CZ"/>
              </w:rPr>
            </w:pPr>
            <w:r w:rsidRPr="00020CA3">
              <w:rPr>
                <w:rFonts w:eastAsia="Times New Roman"/>
                <w:szCs w:val="24"/>
                <w:lang w:eastAsia="cs-CZ"/>
              </w:rPr>
              <w:t>67</w:t>
            </w:r>
            <w:r w:rsidR="00361916" w:rsidRPr="00020CA3">
              <w:rPr>
                <w:rFonts w:eastAsia="Times New Roman"/>
                <w:szCs w:val="24"/>
                <w:lang w:eastAsia="cs-CZ"/>
              </w:rPr>
              <w:t>,</w:t>
            </w:r>
            <w:r w:rsidRPr="00020CA3">
              <w:rPr>
                <w:rFonts w:eastAsia="Times New Roman"/>
                <w:szCs w:val="24"/>
                <w:lang w:eastAsia="cs-CZ"/>
              </w:rPr>
              <w:t>24</w:t>
            </w:r>
          </w:p>
        </w:tc>
        <w:tc>
          <w:tcPr>
            <w:tcW w:w="1559" w:type="dxa"/>
            <w:tcBorders>
              <w:top w:val="nil"/>
              <w:left w:val="nil"/>
              <w:bottom w:val="single" w:sz="4" w:space="0" w:color="auto"/>
              <w:right w:val="nil"/>
            </w:tcBorders>
            <w:shd w:val="clear" w:color="auto" w:fill="auto"/>
            <w:noWrap/>
            <w:vAlign w:val="center"/>
            <w:hideMark/>
          </w:tcPr>
          <w:p w14:paraId="56A827C0" w14:textId="738D9E81" w:rsidR="003F3502" w:rsidRPr="00020CA3" w:rsidRDefault="003F3502" w:rsidP="00020CA3">
            <w:pPr>
              <w:spacing w:line="240" w:lineRule="auto"/>
              <w:jc w:val="center"/>
              <w:rPr>
                <w:rFonts w:eastAsia="Times New Roman"/>
                <w:sz w:val="20"/>
                <w:szCs w:val="20"/>
                <w:lang w:eastAsia="cs-CZ"/>
              </w:rPr>
            </w:pPr>
            <w:r w:rsidRPr="00020CA3">
              <w:rPr>
                <w:rFonts w:eastAsia="Times New Roman"/>
                <w:sz w:val="20"/>
                <w:szCs w:val="20"/>
                <w:lang w:eastAsia="cs-CZ"/>
              </w:rPr>
              <w:t>+13</w:t>
            </w:r>
            <w:r w:rsidR="00361916" w:rsidRPr="00020CA3">
              <w:rPr>
                <w:rFonts w:eastAsia="Times New Roman"/>
                <w:sz w:val="20"/>
                <w:szCs w:val="20"/>
                <w:lang w:eastAsia="cs-CZ"/>
              </w:rPr>
              <w:t>,</w:t>
            </w:r>
            <w:r w:rsidRPr="00020CA3">
              <w:rPr>
                <w:rFonts w:eastAsia="Times New Roman"/>
                <w:sz w:val="20"/>
                <w:szCs w:val="20"/>
                <w:lang w:eastAsia="cs-CZ"/>
              </w:rPr>
              <w:t>5 p.b.</w:t>
            </w:r>
          </w:p>
        </w:tc>
      </w:tr>
      <w:tr w:rsidR="00F15667" w:rsidRPr="00020CA3" w14:paraId="62BCFF51"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6F34EE72" w14:textId="77777777" w:rsidR="003F3502" w:rsidRPr="00020CA3" w:rsidRDefault="003F3502" w:rsidP="00020CA3">
            <w:pPr>
              <w:spacing w:line="240" w:lineRule="auto"/>
              <w:jc w:val="left"/>
              <w:rPr>
                <w:rFonts w:eastAsia="Times New Roman"/>
                <w:szCs w:val="24"/>
                <w:lang w:eastAsia="cs-CZ"/>
              </w:rPr>
            </w:pPr>
            <w:r w:rsidRPr="00020CA3">
              <w:rPr>
                <w:rFonts w:eastAsia="Times New Roman"/>
                <w:szCs w:val="24"/>
                <w:lang w:eastAsia="cs-CZ"/>
              </w:rPr>
              <w:t>KS Ústí n. Labem</w:t>
            </w:r>
          </w:p>
        </w:tc>
        <w:tc>
          <w:tcPr>
            <w:tcW w:w="1898" w:type="dxa"/>
            <w:tcBorders>
              <w:top w:val="nil"/>
              <w:left w:val="nil"/>
              <w:bottom w:val="single" w:sz="4" w:space="0" w:color="auto"/>
              <w:right w:val="nil"/>
            </w:tcBorders>
            <w:shd w:val="clear" w:color="auto" w:fill="auto"/>
            <w:noWrap/>
            <w:vAlign w:val="center"/>
            <w:hideMark/>
          </w:tcPr>
          <w:p w14:paraId="5CAC894B" w14:textId="5A59BAD3" w:rsidR="003F3502" w:rsidRPr="00020CA3" w:rsidRDefault="003F3502" w:rsidP="00020CA3">
            <w:pPr>
              <w:spacing w:line="240" w:lineRule="auto"/>
              <w:jc w:val="center"/>
              <w:rPr>
                <w:rFonts w:eastAsia="Times New Roman"/>
                <w:szCs w:val="24"/>
                <w:lang w:eastAsia="cs-CZ"/>
              </w:rPr>
            </w:pPr>
            <w:r w:rsidRPr="00020CA3">
              <w:rPr>
                <w:rFonts w:eastAsia="Times New Roman"/>
                <w:szCs w:val="24"/>
                <w:lang w:eastAsia="cs-CZ"/>
              </w:rPr>
              <w:t>49</w:t>
            </w:r>
            <w:r w:rsidR="00361916" w:rsidRPr="00020CA3">
              <w:rPr>
                <w:rFonts w:eastAsia="Times New Roman"/>
                <w:szCs w:val="24"/>
                <w:lang w:eastAsia="cs-CZ"/>
              </w:rPr>
              <w:t>,</w:t>
            </w:r>
            <w:r w:rsidRPr="00020CA3">
              <w:rPr>
                <w:rFonts w:eastAsia="Times New Roman"/>
                <w:szCs w:val="24"/>
                <w:lang w:eastAsia="cs-CZ"/>
              </w:rPr>
              <w:t>75</w:t>
            </w:r>
          </w:p>
        </w:tc>
        <w:tc>
          <w:tcPr>
            <w:tcW w:w="1559" w:type="dxa"/>
            <w:tcBorders>
              <w:top w:val="nil"/>
              <w:left w:val="nil"/>
              <w:bottom w:val="single" w:sz="4" w:space="0" w:color="auto"/>
              <w:right w:val="nil"/>
            </w:tcBorders>
            <w:shd w:val="clear" w:color="auto" w:fill="auto"/>
            <w:noWrap/>
            <w:vAlign w:val="center"/>
            <w:hideMark/>
          </w:tcPr>
          <w:p w14:paraId="621BE214" w14:textId="6A82E118" w:rsidR="003F3502" w:rsidRPr="00020CA3" w:rsidRDefault="003F3502" w:rsidP="00020CA3">
            <w:pPr>
              <w:spacing w:line="240" w:lineRule="auto"/>
              <w:jc w:val="center"/>
              <w:rPr>
                <w:rFonts w:eastAsia="Times New Roman"/>
                <w:sz w:val="20"/>
                <w:szCs w:val="20"/>
                <w:lang w:eastAsia="cs-CZ"/>
              </w:rPr>
            </w:pPr>
            <w:r w:rsidRPr="00020CA3">
              <w:rPr>
                <w:rFonts w:eastAsia="Times New Roman"/>
                <w:sz w:val="20"/>
                <w:szCs w:val="20"/>
                <w:lang w:eastAsia="cs-CZ"/>
              </w:rPr>
              <w:t>-9</w:t>
            </w:r>
            <w:r w:rsidR="00361916" w:rsidRPr="00020CA3">
              <w:rPr>
                <w:rFonts w:eastAsia="Times New Roman"/>
                <w:sz w:val="20"/>
                <w:szCs w:val="20"/>
                <w:lang w:eastAsia="cs-CZ"/>
              </w:rPr>
              <w:t>,</w:t>
            </w:r>
            <w:r w:rsidRPr="00020CA3">
              <w:rPr>
                <w:rFonts w:eastAsia="Times New Roman"/>
                <w:sz w:val="20"/>
                <w:szCs w:val="20"/>
                <w:lang w:eastAsia="cs-CZ"/>
              </w:rPr>
              <w:t>4 p.b.</w:t>
            </w:r>
          </w:p>
        </w:tc>
      </w:tr>
      <w:tr w:rsidR="00F15667" w:rsidRPr="00020CA3" w14:paraId="73AFC5F6"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079BAF67" w14:textId="77777777" w:rsidR="003F3502" w:rsidRPr="00020CA3" w:rsidRDefault="003F3502" w:rsidP="00020CA3">
            <w:pPr>
              <w:spacing w:line="240" w:lineRule="auto"/>
              <w:jc w:val="left"/>
              <w:rPr>
                <w:rFonts w:eastAsia="Times New Roman"/>
                <w:szCs w:val="24"/>
                <w:lang w:eastAsia="cs-CZ"/>
              </w:rPr>
            </w:pPr>
            <w:r w:rsidRPr="00020CA3">
              <w:rPr>
                <w:rFonts w:eastAsia="Times New Roman"/>
                <w:szCs w:val="24"/>
                <w:lang w:eastAsia="cs-CZ"/>
              </w:rPr>
              <w:t>KS Hr. Králové</w:t>
            </w:r>
          </w:p>
        </w:tc>
        <w:tc>
          <w:tcPr>
            <w:tcW w:w="1898" w:type="dxa"/>
            <w:tcBorders>
              <w:top w:val="nil"/>
              <w:left w:val="nil"/>
              <w:bottom w:val="single" w:sz="4" w:space="0" w:color="auto"/>
              <w:right w:val="nil"/>
            </w:tcBorders>
            <w:shd w:val="clear" w:color="auto" w:fill="auto"/>
            <w:noWrap/>
            <w:vAlign w:val="center"/>
            <w:hideMark/>
          </w:tcPr>
          <w:p w14:paraId="7AA4C83F" w14:textId="0B4379C6" w:rsidR="003F3502" w:rsidRPr="00020CA3" w:rsidRDefault="003F3502" w:rsidP="00020CA3">
            <w:pPr>
              <w:spacing w:line="240" w:lineRule="auto"/>
              <w:jc w:val="center"/>
              <w:rPr>
                <w:rFonts w:eastAsia="Times New Roman"/>
                <w:szCs w:val="24"/>
                <w:lang w:eastAsia="cs-CZ"/>
              </w:rPr>
            </w:pPr>
            <w:r w:rsidRPr="00020CA3">
              <w:rPr>
                <w:rFonts w:eastAsia="Times New Roman"/>
                <w:szCs w:val="24"/>
                <w:lang w:eastAsia="cs-CZ"/>
              </w:rPr>
              <w:t>60</w:t>
            </w:r>
            <w:r w:rsidR="00361916" w:rsidRPr="00020CA3">
              <w:rPr>
                <w:rFonts w:eastAsia="Times New Roman"/>
                <w:szCs w:val="24"/>
                <w:lang w:eastAsia="cs-CZ"/>
              </w:rPr>
              <w:t>,</w:t>
            </w:r>
            <w:r w:rsidRPr="00020CA3">
              <w:rPr>
                <w:rFonts w:eastAsia="Times New Roman"/>
                <w:szCs w:val="24"/>
                <w:lang w:eastAsia="cs-CZ"/>
              </w:rPr>
              <w:t>53</w:t>
            </w:r>
          </w:p>
        </w:tc>
        <w:tc>
          <w:tcPr>
            <w:tcW w:w="1559" w:type="dxa"/>
            <w:tcBorders>
              <w:top w:val="nil"/>
              <w:left w:val="nil"/>
              <w:bottom w:val="single" w:sz="4" w:space="0" w:color="auto"/>
              <w:right w:val="nil"/>
            </w:tcBorders>
            <w:shd w:val="clear" w:color="auto" w:fill="auto"/>
            <w:noWrap/>
            <w:vAlign w:val="center"/>
            <w:hideMark/>
          </w:tcPr>
          <w:p w14:paraId="1EA3242E" w14:textId="063CB532" w:rsidR="003F3502" w:rsidRPr="00020CA3" w:rsidRDefault="003F3502" w:rsidP="00020CA3">
            <w:pPr>
              <w:spacing w:line="240" w:lineRule="auto"/>
              <w:jc w:val="center"/>
              <w:rPr>
                <w:rFonts w:eastAsia="Times New Roman"/>
                <w:sz w:val="20"/>
                <w:szCs w:val="20"/>
                <w:lang w:eastAsia="cs-CZ"/>
              </w:rPr>
            </w:pPr>
            <w:r w:rsidRPr="00020CA3">
              <w:rPr>
                <w:rFonts w:eastAsia="Times New Roman"/>
                <w:sz w:val="20"/>
                <w:szCs w:val="20"/>
                <w:lang w:eastAsia="cs-CZ"/>
              </w:rPr>
              <w:t>+3</w:t>
            </w:r>
            <w:r w:rsidR="00361916" w:rsidRPr="00020CA3">
              <w:rPr>
                <w:rFonts w:eastAsia="Times New Roman"/>
                <w:sz w:val="20"/>
                <w:szCs w:val="20"/>
                <w:lang w:eastAsia="cs-CZ"/>
              </w:rPr>
              <w:t>,</w:t>
            </w:r>
            <w:r w:rsidRPr="00020CA3">
              <w:rPr>
                <w:rFonts w:eastAsia="Times New Roman"/>
                <w:sz w:val="20"/>
                <w:szCs w:val="20"/>
                <w:lang w:eastAsia="cs-CZ"/>
              </w:rPr>
              <w:t>8 p.b.</w:t>
            </w:r>
          </w:p>
        </w:tc>
      </w:tr>
      <w:tr w:rsidR="00F15667" w:rsidRPr="00020CA3" w14:paraId="23B56CC1" w14:textId="77777777" w:rsidTr="00020CA3">
        <w:trPr>
          <w:trHeight w:val="315"/>
        </w:trPr>
        <w:tc>
          <w:tcPr>
            <w:tcW w:w="2780" w:type="dxa"/>
            <w:tcBorders>
              <w:top w:val="nil"/>
              <w:left w:val="nil"/>
              <w:bottom w:val="single" w:sz="4" w:space="0" w:color="auto"/>
              <w:right w:val="nil"/>
            </w:tcBorders>
            <w:shd w:val="clear" w:color="auto" w:fill="auto"/>
            <w:noWrap/>
            <w:vAlign w:val="center"/>
            <w:hideMark/>
          </w:tcPr>
          <w:p w14:paraId="394A529F" w14:textId="77777777" w:rsidR="003F3502" w:rsidRPr="00020CA3" w:rsidRDefault="003F3502" w:rsidP="00020CA3">
            <w:pPr>
              <w:spacing w:line="240" w:lineRule="auto"/>
              <w:jc w:val="left"/>
              <w:rPr>
                <w:rFonts w:eastAsia="Times New Roman"/>
                <w:szCs w:val="24"/>
                <w:lang w:eastAsia="cs-CZ"/>
              </w:rPr>
            </w:pPr>
            <w:r w:rsidRPr="00020CA3">
              <w:rPr>
                <w:rFonts w:eastAsia="Times New Roman"/>
                <w:szCs w:val="24"/>
                <w:lang w:eastAsia="cs-CZ"/>
              </w:rPr>
              <w:t>KS Brno</w:t>
            </w:r>
          </w:p>
        </w:tc>
        <w:tc>
          <w:tcPr>
            <w:tcW w:w="1898" w:type="dxa"/>
            <w:tcBorders>
              <w:top w:val="nil"/>
              <w:left w:val="nil"/>
              <w:bottom w:val="single" w:sz="4" w:space="0" w:color="auto"/>
              <w:right w:val="nil"/>
            </w:tcBorders>
            <w:shd w:val="clear" w:color="auto" w:fill="auto"/>
            <w:noWrap/>
            <w:vAlign w:val="center"/>
            <w:hideMark/>
          </w:tcPr>
          <w:p w14:paraId="73507919" w14:textId="32E9EB74" w:rsidR="003F3502" w:rsidRPr="00020CA3" w:rsidRDefault="003F3502" w:rsidP="00020CA3">
            <w:pPr>
              <w:spacing w:line="240" w:lineRule="auto"/>
              <w:jc w:val="center"/>
              <w:rPr>
                <w:rFonts w:eastAsia="Times New Roman"/>
                <w:szCs w:val="24"/>
                <w:lang w:eastAsia="cs-CZ"/>
              </w:rPr>
            </w:pPr>
            <w:r w:rsidRPr="00020CA3">
              <w:rPr>
                <w:rFonts w:eastAsia="Times New Roman"/>
                <w:szCs w:val="24"/>
                <w:lang w:eastAsia="cs-CZ"/>
              </w:rPr>
              <w:t>56</w:t>
            </w:r>
            <w:r w:rsidR="00361916" w:rsidRPr="00020CA3">
              <w:rPr>
                <w:rFonts w:eastAsia="Times New Roman"/>
                <w:szCs w:val="24"/>
                <w:lang w:eastAsia="cs-CZ"/>
              </w:rPr>
              <w:t>,</w:t>
            </w:r>
            <w:r w:rsidRPr="00020CA3">
              <w:rPr>
                <w:rFonts w:eastAsia="Times New Roman"/>
                <w:szCs w:val="24"/>
                <w:lang w:eastAsia="cs-CZ"/>
              </w:rPr>
              <w:t>91</w:t>
            </w:r>
          </w:p>
        </w:tc>
        <w:tc>
          <w:tcPr>
            <w:tcW w:w="1559" w:type="dxa"/>
            <w:tcBorders>
              <w:top w:val="nil"/>
              <w:left w:val="nil"/>
              <w:bottom w:val="single" w:sz="4" w:space="0" w:color="auto"/>
              <w:right w:val="nil"/>
            </w:tcBorders>
            <w:shd w:val="clear" w:color="auto" w:fill="auto"/>
            <w:noWrap/>
            <w:vAlign w:val="center"/>
            <w:hideMark/>
          </w:tcPr>
          <w:p w14:paraId="71429E07" w14:textId="32D5B1B5" w:rsidR="003F3502" w:rsidRPr="00020CA3" w:rsidRDefault="003F3502" w:rsidP="00020CA3">
            <w:pPr>
              <w:spacing w:line="240" w:lineRule="auto"/>
              <w:jc w:val="center"/>
              <w:rPr>
                <w:rFonts w:eastAsia="Times New Roman"/>
                <w:sz w:val="20"/>
                <w:szCs w:val="20"/>
                <w:lang w:eastAsia="cs-CZ"/>
              </w:rPr>
            </w:pPr>
            <w:r w:rsidRPr="00020CA3">
              <w:rPr>
                <w:rFonts w:eastAsia="Times New Roman"/>
                <w:sz w:val="20"/>
                <w:szCs w:val="20"/>
                <w:lang w:eastAsia="cs-CZ"/>
              </w:rPr>
              <w:t>-1</w:t>
            </w:r>
            <w:r w:rsidR="00361916" w:rsidRPr="00020CA3">
              <w:rPr>
                <w:rFonts w:eastAsia="Times New Roman"/>
                <w:sz w:val="20"/>
                <w:szCs w:val="20"/>
                <w:lang w:eastAsia="cs-CZ"/>
              </w:rPr>
              <w:t>,</w:t>
            </w:r>
            <w:r w:rsidRPr="00020CA3">
              <w:rPr>
                <w:rFonts w:eastAsia="Times New Roman"/>
                <w:sz w:val="20"/>
                <w:szCs w:val="20"/>
                <w:lang w:eastAsia="cs-CZ"/>
              </w:rPr>
              <w:t>4 p.b.</w:t>
            </w:r>
          </w:p>
        </w:tc>
      </w:tr>
      <w:tr w:rsidR="00F15667" w:rsidRPr="00020CA3" w14:paraId="590AEF51" w14:textId="77777777" w:rsidTr="00020CA3">
        <w:trPr>
          <w:trHeight w:val="330"/>
        </w:trPr>
        <w:tc>
          <w:tcPr>
            <w:tcW w:w="2780" w:type="dxa"/>
            <w:tcBorders>
              <w:top w:val="nil"/>
              <w:left w:val="nil"/>
              <w:bottom w:val="double" w:sz="6" w:space="0" w:color="auto"/>
              <w:right w:val="nil"/>
            </w:tcBorders>
            <w:shd w:val="clear" w:color="auto" w:fill="auto"/>
            <w:noWrap/>
            <w:vAlign w:val="center"/>
            <w:hideMark/>
          </w:tcPr>
          <w:p w14:paraId="0219E57C" w14:textId="77777777" w:rsidR="003F3502" w:rsidRPr="00020CA3" w:rsidRDefault="003F3502" w:rsidP="00020CA3">
            <w:pPr>
              <w:spacing w:line="240" w:lineRule="auto"/>
              <w:jc w:val="left"/>
              <w:rPr>
                <w:rFonts w:eastAsia="Times New Roman"/>
                <w:szCs w:val="24"/>
                <w:lang w:eastAsia="cs-CZ"/>
              </w:rPr>
            </w:pPr>
            <w:r w:rsidRPr="00020CA3">
              <w:rPr>
                <w:rFonts w:eastAsia="Times New Roman"/>
                <w:szCs w:val="24"/>
                <w:lang w:eastAsia="cs-CZ"/>
              </w:rPr>
              <w:t>KS Ostrava</w:t>
            </w:r>
          </w:p>
        </w:tc>
        <w:tc>
          <w:tcPr>
            <w:tcW w:w="1898" w:type="dxa"/>
            <w:tcBorders>
              <w:top w:val="nil"/>
              <w:left w:val="nil"/>
              <w:bottom w:val="double" w:sz="6" w:space="0" w:color="auto"/>
              <w:right w:val="nil"/>
            </w:tcBorders>
            <w:shd w:val="clear" w:color="auto" w:fill="auto"/>
            <w:noWrap/>
            <w:vAlign w:val="center"/>
            <w:hideMark/>
          </w:tcPr>
          <w:p w14:paraId="36857075" w14:textId="730721A1" w:rsidR="003F3502" w:rsidRPr="00020CA3" w:rsidRDefault="003F3502" w:rsidP="00020CA3">
            <w:pPr>
              <w:spacing w:line="240" w:lineRule="auto"/>
              <w:jc w:val="center"/>
              <w:rPr>
                <w:rFonts w:eastAsia="Times New Roman"/>
                <w:szCs w:val="24"/>
                <w:lang w:eastAsia="cs-CZ"/>
              </w:rPr>
            </w:pPr>
            <w:r w:rsidRPr="00020CA3">
              <w:rPr>
                <w:rFonts w:eastAsia="Times New Roman"/>
                <w:szCs w:val="24"/>
                <w:lang w:eastAsia="cs-CZ"/>
              </w:rPr>
              <w:t>47</w:t>
            </w:r>
            <w:r w:rsidR="00361916" w:rsidRPr="00020CA3">
              <w:rPr>
                <w:rFonts w:eastAsia="Times New Roman"/>
                <w:szCs w:val="24"/>
                <w:lang w:eastAsia="cs-CZ"/>
              </w:rPr>
              <w:t>,</w:t>
            </w:r>
            <w:r w:rsidRPr="00020CA3">
              <w:rPr>
                <w:rFonts w:eastAsia="Times New Roman"/>
                <w:szCs w:val="24"/>
                <w:lang w:eastAsia="cs-CZ"/>
              </w:rPr>
              <w:t>73</w:t>
            </w:r>
          </w:p>
        </w:tc>
        <w:tc>
          <w:tcPr>
            <w:tcW w:w="1559" w:type="dxa"/>
            <w:tcBorders>
              <w:top w:val="nil"/>
              <w:left w:val="nil"/>
              <w:bottom w:val="nil"/>
              <w:right w:val="nil"/>
            </w:tcBorders>
            <w:shd w:val="clear" w:color="auto" w:fill="auto"/>
            <w:noWrap/>
            <w:vAlign w:val="center"/>
            <w:hideMark/>
          </w:tcPr>
          <w:p w14:paraId="38380B01" w14:textId="243F24F4" w:rsidR="003F3502" w:rsidRPr="00020CA3" w:rsidRDefault="003F3502" w:rsidP="00020CA3">
            <w:pPr>
              <w:spacing w:line="240" w:lineRule="auto"/>
              <w:jc w:val="center"/>
              <w:rPr>
                <w:rFonts w:eastAsia="Times New Roman"/>
                <w:sz w:val="20"/>
                <w:szCs w:val="20"/>
                <w:lang w:eastAsia="cs-CZ"/>
              </w:rPr>
            </w:pPr>
            <w:r w:rsidRPr="00020CA3">
              <w:rPr>
                <w:rFonts w:eastAsia="Times New Roman"/>
                <w:sz w:val="20"/>
                <w:szCs w:val="20"/>
                <w:lang w:eastAsia="cs-CZ"/>
              </w:rPr>
              <w:t>-10</w:t>
            </w:r>
            <w:r w:rsidR="00361916" w:rsidRPr="00020CA3">
              <w:rPr>
                <w:rFonts w:eastAsia="Times New Roman"/>
                <w:sz w:val="20"/>
                <w:szCs w:val="20"/>
                <w:lang w:eastAsia="cs-CZ"/>
              </w:rPr>
              <w:t>,</w:t>
            </w:r>
            <w:r w:rsidRPr="00020CA3">
              <w:rPr>
                <w:rFonts w:eastAsia="Times New Roman"/>
                <w:sz w:val="20"/>
                <w:szCs w:val="20"/>
                <w:lang w:eastAsia="cs-CZ"/>
              </w:rPr>
              <w:t>9 p.b.</w:t>
            </w:r>
          </w:p>
        </w:tc>
      </w:tr>
      <w:tr w:rsidR="00F15667" w:rsidRPr="00020CA3" w14:paraId="224A39ED" w14:textId="77777777" w:rsidTr="00020CA3">
        <w:trPr>
          <w:trHeight w:val="345"/>
        </w:trPr>
        <w:tc>
          <w:tcPr>
            <w:tcW w:w="2780" w:type="dxa"/>
            <w:tcBorders>
              <w:top w:val="nil"/>
              <w:left w:val="nil"/>
              <w:bottom w:val="double" w:sz="6" w:space="0" w:color="auto"/>
              <w:right w:val="nil"/>
            </w:tcBorders>
            <w:shd w:val="clear" w:color="auto" w:fill="auto"/>
            <w:noWrap/>
            <w:vAlign w:val="center"/>
            <w:hideMark/>
          </w:tcPr>
          <w:p w14:paraId="138BDAFC" w14:textId="77777777" w:rsidR="003F3502" w:rsidRPr="00020CA3" w:rsidRDefault="003F3502" w:rsidP="00020CA3">
            <w:pPr>
              <w:spacing w:line="240" w:lineRule="auto"/>
              <w:jc w:val="left"/>
              <w:rPr>
                <w:rFonts w:eastAsia="Times New Roman"/>
                <w:b/>
                <w:bCs/>
                <w:szCs w:val="24"/>
                <w:lang w:eastAsia="cs-CZ"/>
              </w:rPr>
            </w:pPr>
            <w:r w:rsidRPr="00020CA3">
              <w:rPr>
                <w:rFonts w:eastAsia="Times New Roman"/>
                <w:b/>
                <w:bCs/>
                <w:szCs w:val="24"/>
                <w:lang w:eastAsia="cs-CZ"/>
              </w:rPr>
              <w:t>Celkem ČR</w:t>
            </w:r>
          </w:p>
        </w:tc>
        <w:tc>
          <w:tcPr>
            <w:tcW w:w="1898" w:type="dxa"/>
            <w:tcBorders>
              <w:top w:val="nil"/>
              <w:left w:val="nil"/>
              <w:bottom w:val="double" w:sz="6" w:space="0" w:color="auto"/>
              <w:right w:val="nil"/>
            </w:tcBorders>
            <w:shd w:val="clear" w:color="auto" w:fill="auto"/>
            <w:noWrap/>
            <w:vAlign w:val="center"/>
            <w:hideMark/>
          </w:tcPr>
          <w:p w14:paraId="775C9FE1" w14:textId="2B3D795D" w:rsidR="003F3502" w:rsidRPr="00020CA3" w:rsidRDefault="003F3502" w:rsidP="00020CA3">
            <w:pPr>
              <w:spacing w:line="240" w:lineRule="auto"/>
              <w:jc w:val="center"/>
              <w:rPr>
                <w:rFonts w:eastAsia="Times New Roman"/>
                <w:b/>
                <w:bCs/>
                <w:szCs w:val="24"/>
                <w:lang w:eastAsia="cs-CZ"/>
              </w:rPr>
            </w:pPr>
            <w:r w:rsidRPr="00020CA3">
              <w:rPr>
                <w:rFonts w:eastAsia="Times New Roman"/>
                <w:b/>
                <w:bCs/>
                <w:szCs w:val="24"/>
                <w:lang w:eastAsia="cs-CZ"/>
              </w:rPr>
              <w:t>58</w:t>
            </w:r>
            <w:r w:rsidR="00361916" w:rsidRPr="00020CA3">
              <w:rPr>
                <w:rFonts w:eastAsia="Times New Roman"/>
                <w:b/>
                <w:bCs/>
                <w:szCs w:val="24"/>
                <w:lang w:eastAsia="cs-CZ"/>
              </w:rPr>
              <w:t>,</w:t>
            </w:r>
            <w:r w:rsidRPr="00020CA3">
              <w:rPr>
                <w:rFonts w:eastAsia="Times New Roman"/>
                <w:b/>
                <w:bCs/>
                <w:szCs w:val="24"/>
                <w:lang w:eastAsia="cs-CZ"/>
              </w:rPr>
              <w:t>82</w:t>
            </w:r>
          </w:p>
        </w:tc>
        <w:tc>
          <w:tcPr>
            <w:tcW w:w="1559" w:type="dxa"/>
            <w:tcBorders>
              <w:top w:val="double" w:sz="6" w:space="0" w:color="auto"/>
              <w:left w:val="nil"/>
              <w:bottom w:val="double" w:sz="6" w:space="0" w:color="auto"/>
              <w:right w:val="nil"/>
            </w:tcBorders>
            <w:shd w:val="clear" w:color="auto" w:fill="auto"/>
            <w:noWrap/>
            <w:vAlign w:val="center"/>
            <w:hideMark/>
          </w:tcPr>
          <w:p w14:paraId="376E6CA1" w14:textId="3D610F9C" w:rsidR="003F3502" w:rsidRPr="00020CA3" w:rsidRDefault="003F3502"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-0</w:t>
            </w:r>
            <w:r w:rsidR="00361916" w:rsidRPr="00020CA3">
              <w:rPr>
                <w:rFonts w:eastAsia="Times New Roman"/>
                <w:b/>
                <w:bCs/>
                <w:sz w:val="20"/>
                <w:szCs w:val="20"/>
                <w:lang w:eastAsia="cs-CZ"/>
              </w:rPr>
              <w:t>,</w:t>
            </w:r>
            <w:r w:rsidRPr="00020CA3">
              <w:rPr>
                <w:rFonts w:eastAsia="Times New Roman"/>
                <w:b/>
                <w:bCs/>
                <w:sz w:val="20"/>
                <w:szCs w:val="20"/>
                <w:lang w:eastAsia="cs-CZ"/>
              </w:rPr>
              <w:t>0 p.b.</w:t>
            </w:r>
          </w:p>
        </w:tc>
      </w:tr>
      <w:tr w:rsidR="00020CA3" w:rsidRPr="00020CA3" w14:paraId="2C4DE3F3" w14:textId="77777777" w:rsidTr="00020CA3">
        <w:trPr>
          <w:trHeight w:val="345"/>
        </w:trPr>
        <w:tc>
          <w:tcPr>
            <w:tcW w:w="2780" w:type="dxa"/>
            <w:tcBorders>
              <w:top w:val="double" w:sz="6" w:space="0" w:color="auto"/>
              <w:left w:val="nil"/>
              <w:right w:val="nil"/>
            </w:tcBorders>
            <w:shd w:val="clear" w:color="auto" w:fill="auto"/>
            <w:noWrap/>
            <w:vAlign w:val="center"/>
          </w:tcPr>
          <w:p w14:paraId="45F0C224" w14:textId="77777777" w:rsidR="00020CA3" w:rsidRPr="00020CA3" w:rsidRDefault="00020CA3" w:rsidP="00020CA3">
            <w:pPr>
              <w:spacing w:line="240" w:lineRule="auto"/>
              <w:jc w:val="center"/>
              <w:rPr>
                <w:rFonts w:eastAsia="Times New Roman"/>
                <w:b/>
                <w:bCs/>
                <w:szCs w:val="24"/>
                <w:lang w:eastAsia="cs-CZ"/>
              </w:rPr>
            </w:pPr>
          </w:p>
        </w:tc>
        <w:tc>
          <w:tcPr>
            <w:tcW w:w="1898" w:type="dxa"/>
            <w:tcBorders>
              <w:top w:val="double" w:sz="6" w:space="0" w:color="auto"/>
              <w:left w:val="nil"/>
              <w:right w:val="nil"/>
            </w:tcBorders>
            <w:shd w:val="clear" w:color="auto" w:fill="auto"/>
            <w:noWrap/>
            <w:vAlign w:val="center"/>
          </w:tcPr>
          <w:p w14:paraId="4054B938" w14:textId="77777777" w:rsidR="00020CA3" w:rsidRPr="00020CA3" w:rsidRDefault="00020CA3" w:rsidP="00020CA3">
            <w:pPr>
              <w:spacing w:line="240" w:lineRule="auto"/>
              <w:jc w:val="center"/>
              <w:rPr>
                <w:rFonts w:eastAsia="Times New Roman"/>
                <w:b/>
                <w:bCs/>
                <w:szCs w:val="24"/>
                <w:lang w:eastAsia="cs-CZ"/>
              </w:rPr>
            </w:pPr>
          </w:p>
        </w:tc>
        <w:tc>
          <w:tcPr>
            <w:tcW w:w="1559" w:type="dxa"/>
            <w:tcBorders>
              <w:top w:val="double" w:sz="6" w:space="0" w:color="auto"/>
              <w:left w:val="nil"/>
              <w:right w:val="nil"/>
            </w:tcBorders>
            <w:shd w:val="clear" w:color="auto" w:fill="auto"/>
            <w:noWrap/>
            <w:vAlign w:val="center"/>
          </w:tcPr>
          <w:p w14:paraId="0D526087" w14:textId="77777777" w:rsidR="00020CA3" w:rsidRPr="00020CA3" w:rsidRDefault="00020CA3" w:rsidP="00020CA3">
            <w:pPr>
              <w:spacing w:line="240" w:lineRule="auto"/>
              <w:jc w:val="center"/>
              <w:rPr>
                <w:rFonts w:eastAsia="Times New Roman"/>
                <w:b/>
                <w:bCs/>
                <w:sz w:val="20"/>
                <w:szCs w:val="20"/>
                <w:lang w:eastAsia="cs-CZ"/>
              </w:rPr>
            </w:pPr>
          </w:p>
        </w:tc>
      </w:tr>
    </w:tbl>
    <w:p w14:paraId="0044D6AD" w14:textId="62CB12AD" w:rsidR="00361916" w:rsidRPr="00020CA3" w:rsidRDefault="00361916" w:rsidP="00020CA3">
      <w:pPr>
        <w:pStyle w:val="OdstavecASR"/>
      </w:pPr>
      <w:r w:rsidRPr="00020CA3">
        <w:lastRenderedPageBreak/>
        <w:t xml:space="preserve">Míra odvolání zůstala v zásadě stejná – změnila se jen o jednu setinu procenta, a je 58,82 %. To stále znamená, že v asi 6 z 10 vyřízených věcí je podáno odvolání proti konečnému rozhodnutí krajského soudu, což ale není překvapivé. Vzhledem k typu projednávaných věcí je pravidlem uložení delších nepodmíněných trestů odnětí svobody, což je spolu se zákazem </w:t>
      </w:r>
      <w:r w:rsidR="006023DD" w:rsidRPr="00020CA3">
        <w:rPr>
          <w:i/>
        </w:rPr>
        <w:t>reformationis</w:t>
      </w:r>
      <w:r w:rsidRPr="00020CA3">
        <w:rPr>
          <w:i/>
        </w:rPr>
        <w:t xml:space="preserve"> in peius</w:t>
      </w:r>
      <w:r w:rsidRPr="00020CA3">
        <w:t xml:space="preserve"> (změny rozhodnutí k horšímu) více než dostatečná motivace k odvolání se pachatele bez ohledu na výsledek. Míra odvolání je v porovnání s jakoukoliv agendou stále velmi vysoká, a to i přes to, že od roku 2019 klesla o více než 20 procentních bodů.</w:t>
      </w:r>
    </w:p>
    <w:p w14:paraId="6BEC6C68" w14:textId="63C93A16" w:rsidR="00361916" w:rsidRPr="00020CA3" w:rsidRDefault="00361916" w:rsidP="00361916">
      <w:pPr>
        <w:pStyle w:val="OdstavecASR"/>
        <w:tabs>
          <w:tab w:val="left" w:pos="7655"/>
        </w:tabs>
      </w:pPr>
      <w:r w:rsidRPr="00020CA3">
        <w:t>V rámci jednotlivých krajských soudů dochází každý rok k velkým kladným i záporným odchylkám, takže i když jsou změny v roce 2022 významné hodnocení konkrétního roku není příliš vypovídající. Nejvyšší míru odvolání má KS České Budějovice (83,20 %), nejnižší KS Ostrava (47,73 %).</w:t>
      </w:r>
    </w:p>
    <w:p w14:paraId="4ECDCE4E" w14:textId="77777777" w:rsidR="00516DF2" w:rsidRPr="00020CA3" w:rsidRDefault="00516DF2" w:rsidP="00516DF2">
      <w:pPr>
        <w:pStyle w:val="OdstavecASR"/>
        <w:keepNext/>
        <w:tabs>
          <w:tab w:val="left" w:pos="7655"/>
        </w:tabs>
        <w:outlineLvl w:val="3"/>
        <w:rPr>
          <w:b/>
        </w:rPr>
      </w:pPr>
      <w:r w:rsidRPr="00020CA3">
        <w:rPr>
          <w:b/>
        </w:rPr>
        <w:t>Míra změny rozsudku</w:t>
      </w:r>
    </w:p>
    <w:p w14:paraId="487055D6" w14:textId="0AD2BD1C" w:rsidR="00516DF2" w:rsidRPr="00020CA3" w:rsidRDefault="00516DF2" w:rsidP="00516DF2">
      <w:pPr>
        <w:pStyle w:val="Podnadpis"/>
        <w:rPr>
          <w:color w:val="auto"/>
        </w:rPr>
      </w:pPr>
      <w:bookmarkStart w:id="793" w:name="_Toc43931230"/>
      <w:bookmarkStart w:id="794" w:name="_Toc75952363"/>
      <w:bookmarkStart w:id="795" w:name="_Toc106106819"/>
      <w:bookmarkStart w:id="796" w:name="_Toc109802142"/>
      <w:bookmarkStart w:id="797" w:name="_Toc144104300"/>
      <w:r w:rsidRPr="00020CA3">
        <w:rPr>
          <w:color w:val="auto"/>
        </w:rPr>
        <w:t xml:space="preserve">Tabulka </w:t>
      </w:r>
      <w:r w:rsidRPr="00020CA3">
        <w:rPr>
          <w:color w:val="auto"/>
        </w:rPr>
        <w:fldChar w:fldCharType="begin"/>
      </w:r>
      <w:r w:rsidRPr="00020CA3">
        <w:rPr>
          <w:color w:val="auto"/>
        </w:rPr>
        <w:instrText xml:space="preserve"> SEQ Tabulka \* ARABIC </w:instrText>
      </w:r>
      <w:r w:rsidRPr="00020CA3">
        <w:rPr>
          <w:color w:val="auto"/>
        </w:rPr>
        <w:fldChar w:fldCharType="separate"/>
      </w:r>
      <w:r w:rsidR="001E1A67">
        <w:rPr>
          <w:noProof/>
          <w:color w:val="auto"/>
        </w:rPr>
        <w:t>61</w:t>
      </w:r>
      <w:r w:rsidRPr="00020CA3">
        <w:rPr>
          <w:noProof/>
          <w:color w:val="auto"/>
        </w:rPr>
        <w:fldChar w:fldCharType="end"/>
      </w:r>
      <w:r w:rsidRPr="00020CA3">
        <w:rPr>
          <w:color w:val="auto"/>
        </w:rPr>
        <w:t>: KS – míra změny rozsudku dle soudů v trestním řízení</w:t>
      </w:r>
      <w:bookmarkEnd w:id="793"/>
      <w:bookmarkEnd w:id="794"/>
      <w:bookmarkEnd w:id="795"/>
      <w:bookmarkEnd w:id="796"/>
      <w:bookmarkEnd w:id="797"/>
    </w:p>
    <w:tbl>
      <w:tblPr>
        <w:tblW w:w="6663" w:type="dxa"/>
        <w:tblCellMar>
          <w:left w:w="70" w:type="dxa"/>
          <w:right w:w="70" w:type="dxa"/>
        </w:tblCellMar>
        <w:tblLook w:val="04A0" w:firstRow="1" w:lastRow="0" w:firstColumn="1" w:lastColumn="0" w:noHBand="0" w:noVBand="1"/>
      </w:tblPr>
      <w:tblGrid>
        <w:gridCol w:w="3119"/>
        <w:gridCol w:w="1984"/>
        <w:gridCol w:w="1560"/>
      </w:tblGrid>
      <w:tr w:rsidR="00F15667" w:rsidRPr="00020CA3" w14:paraId="1232E243" w14:textId="77777777" w:rsidTr="00020CA3">
        <w:trPr>
          <w:trHeight w:val="345"/>
        </w:trPr>
        <w:tc>
          <w:tcPr>
            <w:tcW w:w="3119" w:type="dxa"/>
            <w:tcBorders>
              <w:top w:val="double" w:sz="6" w:space="0" w:color="auto"/>
              <w:left w:val="nil"/>
              <w:bottom w:val="double" w:sz="6" w:space="0" w:color="auto"/>
              <w:right w:val="nil"/>
            </w:tcBorders>
            <w:shd w:val="clear" w:color="auto" w:fill="auto"/>
            <w:noWrap/>
            <w:vAlign w:val="center"/>
            <w:hideMark/>
          </w:tcPr>
          <w:p w14:paraId="68DBDD61" w14:textId="77777777" w:rsidR="00516DF2" w:rsidRPr="00020CA3" w:rsidRDefault="00516DF2" w:rsidP="00020CA3">
            <w:pPr>
              <w:spacing w:line="240" w:lineRule="auto"/>
              <w:jc w:val="center"/>
              <w:rPr>
                <w:rFonts w:eastAsia="Times New Roman"/>
                <w:b/>
                <w:bCs/>
                <w:szCs w:val="24"/>
                <w:lang w:eastAsia="cs-CZ"/>
              </w:rPr>
            </w:pPr>
            <w:r w:rsidRPr="00020CA3">
              <w:rPr>
                <w:rFonts w:eastAsia="Times New Roman"/>
                <w:b/>
                <w:bCs/>
                <w:szCs w:val="24"/>
                <w:lang w:eastAsia="cs-CZ"/>
              </w:rPr>
              <w:t>Soud</w:t>
            </w:r>
          </w:p>
        </w:tc>
        <w:tc>
          <w:tcPr>
            <w:tcW w:w="3544" w:type="dxa"/>
            <w:gridSpan w:val="2"/>
            <w:tcBorders>
              <w:top w:val="double" w:sz="6" w:space="0" w:color="auto"/>
              <w:left w:val="nil"/>
              <w:bottom w:val="double" w:sz="6" w:space="0" w:color="auto"/>
              <w:right w:val="nil"/>
            </w:tcBorders>
            <w:shd w:val="clear" w:color="auto" w:fill="auto"/>
            <w:noWrap/>
            <w:vAlign w:val="center"/>
            <w:hideMark/>
          </w:tcPr>
          <w:p w14:paraId="55C8C4CD" w14:textId="52DFEA23" w:rsidR="00516DF2" w:rsidRPr="00020CA3" w:rsidRDefault="00516DF2" w:rsidP="00020CA3">
            <w:pPr>
              <w:spacing w:line="240" w:lineRule="auto"/>
              <w:jc w:val="center"/>
              <w:rPr>
                <w:rFonts w:eastAsia="Times New Roman"/>
                <w:b/>
                <w:bCs/>
                <w:szCs w:val="24"/>
                <w:lang w:eastAsia="cs-CZ"/>
              </w:rPr>
            </w:pPr>
            <w:r w:rsidRPr="00020CA3">
              <w:rPr>
                <w:rFonts w:eastAsia="Times New Roman"/>
                <w:b/>
                <w:bCs/>
                <w:szCs w:val="24"/>
                <w:lang w:eastAsia="cs-CZ"/>
              </w:rPr>
              <w:t>Míra změny rozs</w:t>
            </w:r>
            <w:r w:rsidR="0098539F" w:rsidRPr="00020CA3">
              <w:rPr>
                <w:rFonts w:eastAsia="Times New Roman"/>
                <w:b/>
                <w:bCs/>
                <w:szCs w:val="24"/>
                <w:lang w:eastAsia="cs-CZ"/>
              </w:rPr>
              <w:t>u</w:t>
            </w:r>
            <w:r w:rsidRPr="00020CA3">
              <w:rPr>
                <w:rFonts w:eastAsia="Times New Roman"/>
                <w:b/>
                <w:bCs/>
                <w:szCs w:val="24"/>
                <w:lang w:eastAsia="cs-CZ"/>
              </w:rPr>
              <w:t>dku (v %)</w:t>
            </w:r>
          </w:p>
        </w:tc>
      </w:tr>
      <w:tr w:rsidR="00F15667" w:rsidRPr="00020CA3" w14:paraId="03EC32A6" w14:textId="77777777" w:rsidTr="00020CA3">
        <w:trPr>
          <w:trHeight w:val="330"/>
        </w:trPr>
        <w:tc>
          <w:tcPr>
            <w:tcW w:w="3119" w:type="dxa"/>
            <w:tcBorders>
              <w:top w:val="nil"/>
              <w:left w:val="nil"/>
              <w:bottom w:val="single" w:sz="4" w:space="0" w:color="auto"/>
              <w:right w:val="nil"/>
            </w:tcBorders>
            <w:shd w:val="clear" w:color="auto" w:fill="auto"/>
            <w:noWrap/>
            <w:vAlign w:val="center"/>
            <w:hideMark/>
          </w:tcPr>
          <w:p w14:paraId="451EEC7F" w14:textId="77777777" w:rsidR="00516DF2" w:rsidRPr="00020CA3" w:rsidRDefault="00516DF2" w:rsidP="00020CA3">
            <w:pPr>
              <w:spacing w:line="240" w:lineRule="auto"/>
              <w:jc w:val="left"/>
              <w:rPr>
                <w:rFonts w:eastAsia="Times New Roman"/>
                <w:szCs w:val="24"/>
                <w:lang w:eastAsia="cs-CZ"/>
              </w:rPr>
            </w:pPr>
            <w:r w:rsidRPr="00020CA3">
              <w:rPr>
                <w:rFonts w:eastAsia="Times New Roman"/>
                <w:szCs w:val="24"/>
                <w:lang w:eastAsia="cs-CZ"/>
              </w:rPr>
              <w:t>MS Praha</w:t>
            </w:r>
          </w:p>
        </w:tc>
        <w:tc>
          <w:tcPr>
            <w:tcW w:w="1984" w:type="dxa"/>
            <w:tcBorders>
              <w:top w:val="nil"/>
              <w:left w:val="nil"/>
              <w:bottom w:val="single" w:sz="4" w:space="0" w:color="auto"/>
              <w:right w:val="nil"/>
            </w:tcBorders>
            <w:shd w:val="clear" w:color="auto" w:fill="auto"/>
            <w:noWrap/>
            <w:vAlign w:val="center"/>
            <w:hideMark/>
          </w:tcPr>
          <w:p w14:paraId="4E639AE7" w14:textId="2758135D" w:rsidR="00516DF2" w:rsidRPr="00020CA3" w:rsidRDefault="00516DF2" w:rsidP="00020CA3">
            <w:pPr>
              <w:spacing w:line="240" w:lineRule="auto"/>
              <w:jc w:val="center"/>
              <w:rPr>
                <w:rFonts w:eastAsia="Times New Roman"/>
                <w:szCs w:val="24"/>
                <w:lang w:eastAsia="cs-CZ"/>
              </w:rPr>
            </w:pPr>
            <w:r w:rsidRPr="00020CA3">
              <w:rPr>
                <w:rFonts w:eastAsia="Times New Roman"/>
                <w:szCs w:val="24"/>
                <w:lang w:eastAsia="cs-CZ"/>
              </w:rPr>
              <w:t>52,28</w:t>
            </w:r>
          </w:p>
        </w:tc>
        <w:tc>
          <w:tcPr>
            <w:tcW w:w="1560" w:type="dxa"/>
            <w:tcBorders>
              <w:top w:val="nil"/>
              <w:left w:val="nil"/>
              <w:bottom w:val="single" w:sz="4" w:space="0" w:color="auto"/>
              <w:right w:val="nil"/>
            </w:tcBorders>
            <w:shd w:val="clear" w:color="auto" w:fill="auto"/>
            <w:noWrap/>
            <w:vAlign w:val="center"/>
            <w:hideMark/>
          </w:tcPr>
          <w:p w14:paraId="5E3A76CB" w14:textId="1F63CD1A" w:rsidR="00516DF2" w:rsidRPr="00020CA3" w:rsidRDefault="00516DF2" w:rsidP="00020CA3">
            <w:pPr>
              <w:spacing w:line="240" w:lineRule="auto"/>
              <w:jc w:val="center"/>
              <w:rPr>
                <w:rFonts w:eastAsia="Times New Roman"/>
                <w:sz w:val="20"/>
                <w:szCs w:val="20"/>
                <w:lang w:eastAsia="cs-CZ"/>
              </w:rPr>
            </w:pPr>
            <w:r w:rsidRPr="00020CA3">
              <w:rPr>
                <w:rFonts w:eastAsia="Times New Roman"/>
                <w:sz w:val="20"/>
                <w:szCs w:val="20"/>
                <w:lang w:eastAsia="cs-CZ"/>
              </w:rPr>
              <w:t>+1,2 p.b.</w:t>
            </w:r>
          </w:p>
        </w:tc>
      </w:tr>
      <w:tr w:rsidR="00F15667" w:rsidRPr="00020CA3" w14:paraId="5877CF53" w14:textId="77777777" w:rsidTr="00020CA3">
        <w:trPr>
          <w:trHeight w:val="315"/>
        </w:trPr>
        <w:tc>
          <w:tcPr>
            <w:tcW w:w="3119" w:type="dxa"/>
            <w:tcBorders>
              <w:top w:val="nil"/>
              <w:left w:val="nil"/>
              <w:bottom w:val="single" w:sz="4" w:space="0" w:color="auto"/>
              <w:right w:val="nil"/>
            </w:tcBorders>
            <w:shd w:val="clear" w:color="auto" w:fill="auto"/>
            <w:noWrap/>
            <w:vAlign w:val="center"/>
            <w:hideMark/>
          </w:tcPr>
          <w:p w14:paraId="175FC92C" w14:textId="77777777" w:rsidR="00516DF2" w:rsidRPr="00020CA3" w:rsidRDefault="00516DF2" w:rsidP="00020CA3">
            <w:pPr>
              <w:spacing w:line="240" w:lineRule="auto"/>
              <w:jc w:val="left"/>
              <w:rPr>
                <w:rFonts w:eastAsia="Times New Roman"/>
                <w:szCs w:val="24"/>
                <w:lang w:eastAsia="cs-CZ"/>
              </w:rPr>
            </w:pPr>
            <w:r w:rsidRPr="00020CA3">
              <w:rPr>
                <w:rFonts w:eastAsia="Times New Roman"/>
                <w:szCs w:val="24"/>
                <w:lang w:eastAsia="cs-CZ"/>
              </w:rPr>
              <w:t>KS Praha</w:t>
            </w:r>
          </w:p>
        </w:tc>
        <w:tc>
          <w:tcPr>
            <w:tcW w:w="1984" w:type="dxa"/>
            <w:tcBorders>
              <w:top w:val="nil"/>
              <w:left w:val="nil"/>
              <w:bottom w:val="single" w:sz="4" w:space="0" w:color="auto"/>
              <w:right w:val="nil"/>
            </w:tcBorders>
            <w:shd w:val="clear" w:color="auto" w:fill="auto"/>
            <w:noWrap/>
            <w:vAlign w:val="center"/>
            <w:hideMark/>
          </w:tcPr>
          <w:p w14:paraId="50B55FAB" w14:textId="04BB7D9D" w:rsidR="00516DF2" w:rsidRPr="00020CA3" w:rsidRDefault="00516DF2" w:rsidP="00020CA3">
            <w:pPr>
              <w:spacing w:line="240" w:lineRule="auto"/>
              <w:jc w:val="center"/>
              <w:rPr>
                <w:rFonts w:eastAsia="Times New Roman"/>
                <w:szCs w:val="24"/>
                <w:lang w:eastAsia="cs-CZ"/>
              </w:rPr>
            </w:pPr>
            <w:r w:rsidRPr="00020CA3">
              <w:rPr>
                <w:rFonts w:eastAsia="Times New Roman"/>
                <w:szCs w:val="24"/>
                <w:lang w:eastAsia="cs-CZ"/>
              </w:rPr>
              <w:t>69,07</w:t>
            </w:r>
          </w:p>
        </w:tc>
        <w:tc>
          <w:tcPr>
            <w:tcW w:w="1560" w:type="dxa"/>
            <w:tcBorders>
              <w:top w:val="nil"/>
              <w:left w:val="nil"/>
              <w:bottom w:val="single" w:sz="4" w:space="0" w:color="auto"/>
              <w:right w:val="nil"/>
            </w:tcBorders>
            <w:shd w:val="clear" w:color="auto" w:fill="auto"/>
            <w:noWrap/>
            <w:vAlign w:val="center"/>
            <w:hideMark/>
          </w:tcPr>
          <w:p w14:paraId="59241649" w14:textId="2CF2629E" w:rsidR="00516DF2" w:rsidRPr="00020CA3" w:rsidRDefault="00516DF2" w:rsidP="00020CA3">
            <w:pPr>
              <w:spacing w:line="240" w:lineRule="auto"/>
              <w:jc w:val="center"/>
              <w:rPr>
                <w:rFonts w:eastAsia="Times New Roman"/>
                <w:sz w:val="20"/>
                <w:szCs w:val="20"/>
                <w:lang w:eastAsia="cs-CZ"/>
              </w:rPr>
            </w:pPr>
            <w:r w:rsidRPr="00020CA3">
              <w:rPr>
                <w:rFonts w:eastAsia="Times New Roman"/>
                <w:sz w:val="20"/>
                <w:szCs w:val="20"/>
                <w:lang w:eastAsia="cs-CZ"/>
              </w:rPr>
              <w:t>+25,3 p.b.</w:t>
            </w:r>
          </w:p>
        </w:tc>
      </w:tr>
      <w:tr w:rsidR="00F15667" w:rsidRPr="00020CA3" w14:paraId="4DAA2320" w14:textId="77777777" w:rsidTr="00020CA3">
        <w:trPr>
          <w:trHeight w:val="315"/>
        </w:trPr>
        <w:tc>
          <w:tcPr>
            <w:tcW w:w="3119" w:type="dxa"/>
            <w:tcBorders>
              <w:top w:val="nil"/>
              <w:left w:val="nil"/>
              <w:bottom w:val="single" w:sz="4" w:space="0" w:color="auto"/>
              <w:right w:val="nil"/>
            </w:tcBorders>
            <w:shd w:val="clear" w:color="auto" w:fill="auto"/>
            <w:noWrap/>
            <w:vAlign w:val="center"/>
            <w:hideMark/>
          </w:tcPr>
          <w:p w14:paraId="07599712" w14:textId="77777777" w:rsidR="00516DF2" w:rsidRPr="00020CA3" w:rsidRDefault="00516DF2" w:rsidP="00020CA3">
            <w:pPr>
              <w:spacing w:line="240" w:lineRule="auto"/>
              <w:jc w:val="left"/>
              <w:rPr>
                <w:rFonts w:eastAsia="Times New Roman"/>
                <w:szCs w:val="24"/>
                <w:lang w:eastAsia="cs-CZ"/>
              </w:rPr>
            </w:pPr>
            <w:r w:rsidRPr="00020CA3">
              <w:rPr>
                <w:rFonts w:eastAsia="Times New Roman"/>
                <w:szCs w:val="24"/>
                <w:lang w:eastAsia="cs-CZ"/>
              </w:rPr>
              <w:t>KS Č. Budějovice</w:t>
            </w:r>
          </w:p>
        </w:tc>
        <w:tc>
          <w:tcPr>
            <w:tcW w:w="1984" w:type="dxa"/>
            <w:tcBorders>
              <w:top w:val="nil"/>
              <w:left w:val="nil"/>
              <w:bottom w:val="single" w:sz="4" w:space="0" w:color="auto"/>
              <w:right w:val="nil"/>
            </w:tcBorders>
            <w:shd w:val="clear" w:color="auto" w:fill="auto"/>
            <w:noWrap/>
            <w:vAlign w:val="center"/>
            <w:hideMark/>
          </w:tcPr>
          <w:p w14:paraId="130540F1" w14:textId="3A784BE3" w:rsidR="00516DF2" w:rsidRPr="00020CA3" w:rsidRDefault="00516DF2" w:rsidP="00020CA3">
            <w:pPr>
              <w:spacing w:line="240" w:lineRule="auto"/>
              <w:jc w:val="center"/>
              <w:rPr>
                <w:rFonts w:eastAsia="Times New Roman"/>
                <w:szCs w:val="24"/>
                <w:lang w:eastAsia="cs-CZ"/>
              </w:rPr>
            </w:pPr>
            <w:r w:rsidRPr="00020CA3">
              <w:rPr>
                <w:rFonts w:eastAsia="Times New Roman"/>
                <w:szCs w:val="24"/>
                <w:lang w:eastAsia="cs-CZ"/>
              </w:rPr>
              <w:t>43,33</w:t>
            </w:r>
          </w:p>
        </w:tc>
        <w:tc>
          <w:tcPr>
            <w:tcW w:w="1560" w:type="dxa"/>
            <w:tcBorders>
              <w:top w:val="nil"/>
              <w:left w:val="nil"/>
              <w:bottom w:val="single" w:sz="4" w:space="0" w:color="auto"/>
              <w:right w:val="nil"/>
            </w:tcBorders>
            <w:shd w:val="clear" w:color="auto" w:fill="auto"/>
            <w:noWrap/>
            <w:vAlign w:val="center"/>
            <w:hideMark/>
          </w:tcPr>
          <w:p w14:paraId="4B992841" w14:textId="3922EB7A" w:rsidR="00516DF2" w:rsidRPr="00020CA3" w:rsidRDefault="00516DF2" w:rsidP="00020CA3">
            <w:pPr>
              <w:spacing w:line="240" w:lineRule="auto"/>
              <w:jc w:val="center"/>
              <w:rPr>
                <w:rFonts w:eastAsia="Times New Roman"/>
                <w:sz w:val="20"/>
                <w:szCs w:val="20"/>
                <w:lang w:eastAsia="cs-CZ"/>
              </w:rPr>
            </w:pPr>
            <w:r w:rsidRPr="00020CA3">
              <w:rPr>
                <w:rFonts w:eastAsia="Times New Roman"/>
                <w:sz w:val="20"/>
                <w:szCs w:val="20"/>
                <w:lang w:eastAsia="cs-CZ"/>
              </w:rPr>
              <w:t>-21,8 p.b.</w:t>
            </w:r>
          </w:p>
        </w:tc>
      </w:tr>
      <w:tr w:rsidR="00F15667" w:rsidRPr="00020CA3" w14:paraId="4828E17B" w14:textId="77777777" w:rsidTr="00020CA3">
        <w:trPr>
          <w:trHeight w:val="315"/>
        </w:trPr>
        <w:tc>
          <w:tcPr>
            <w:tcW w:w="3119" w:type="dxa"/>
            <w:tcBorders>
              <w:top w:val="nil"/>
              <w:left w:val="nil"/>
              <w:bottom w:val="single" w:sz="4" w:space="0" w:color="auto"/>
              <w:right w:val="nil"/>
            </w:tcBorders>
            <w:shd w:val="clear" w:color="auto" w:fill="auto"/>
            <w:noWrap/>
            <w:vAlign w:val="center"/>
            <w:hideMark/>
          </w:tcPr>
          <w:p w14:paraId="1312507B" w14:textId="77777777" w:rsidR="00516DF2" w:rsidRPr="00020CA3" w:rsidRDefault="00516DF2" w:rsidP="00020CA3">
            <w:pPr>
              <w:spacing w:line="240" w:lineRule="auto"/>
              <w:jc w:val="left"/>
              <w:rPr>
                <w:rFonts w:eastAsia="Times New Roman"/>
                <w:szCs w:val="24"/>
                <w:lang w:eastAsia="cs-CZ"/>
              </w:rPr>
            </w:pPr>
            <w:r w:rsidRPr="00020CA3">
              <w:rPr>
                <w:rFonts w:eastAsia="Times New Roman"/>
                <w:szCs w:val="24"/>
                <w:lang w:eastAsia="cs-CZ"/>
              </w:rPr>
              <w:t>KS Plzeň</w:t>
            </w:r>
          </w:p>
        </w:tc>
        <w:tc>
          <w:tcPr>
            <w:tcW w:w="1984" w:type="dxa"/>
            <w:tcBorders>
              <w:top w:val="nil"/>
              <w:left w:val="nil"/>
              <w:bottom w:val="single" w:sz="4" w:space="0" w:color="auto"/>
              <w:right w:val="nil"/>
            </w:tcBorders>
            <w:shd w:val="clear" w:color="auto" w:fill="auto"/>
            <w:noWrap/>
            <w:vAlign w:val="center"/>
            <w:hideMark/>
          </w:tcPr>
          <w:p w14:paraId="40A62798" w14:textId="1C6C5071" w:rsidR="00516DF2" w:rsidRPr="00020CA3" w:rsidRDefault="00516DF2" w:rsidP="00020CA3">
            <w:pPr>
              <w:spacing w:line="240" w:lineRule="auto"/>
              <w:jc w:val="center"/>
              <w:rPr>
                <w:rFonts w:eastAsia="Times New Roman"/>
                <w:szCs w:val="24"/>
                <w:lang w:eastAsia="cs-CZ"/>
              </w:rPr>
            </w:pPr>
            <w:r w:rsidRPr="00020CA3">
              <w:rPr>
                <w:rFonts w:eastAsia="Times New Roman"/>
                <w:szCs w:val="24"/>
                <w:lang w:eastAsia="cs-CZ"/>
              </w:rPr>
              <w:t>43,06</w:t>
            </w:r>
          </w:p>
        </w:tc>
        <w:tc>
          <w:tcPr>
            <w:tcW w:w="1560" w:type="dxa"/>
            <w:tcBorders>
              <w:top w:val="nil"/>
              <w:left w:val="nil"/>
              <w:bottom w:val="single" w:sz="4" w:space="0" w:color="auto"/>
              <w:right w:val="nil"/>
            </w:tcBorders>
            <w:shd w:val="clear" w:color="auto" w:fill="auto"/>
            <w:noWrap/>
            <w:vAlign w:val="center"/>
            <w:hideMark/>
          </w:tcPr>
          <w:p w14:paraId="4149D2CD" w14:textId="0D9150FC" w:rsidR="00516DF2" w:rsidRPr="00020CA3" w:rsidRDefault="00516DF2" w:rsidP="00020CA3">
            <w:pPr>
              <w:spacing w:line="240" w:lineRule="auto"/>
              <w:jc w:val="center"/>
              <w:rPr>
                <w:rFonts w:eastAsia="Times New Roman"/>
                <w:sz w:val="20"/>
                <w:szCs w:val="20"/>
                <w:lang w:eastAsia="cs-CZ"/>
              </w:rPr>
            </w:pPr>
            <w:r w:rsidRPr="00020CA3">
              <w:rPr>
                <w:rFonts w:eastAsia="Times New Roman"/>
                <w:sz w:val="20"/>
                <w:szCs w:val="20"/>
                <w:lang w:eastAsia="cs-CZ"/>
              </w:rPr>
              <w:t>+1,5 p.b.</w:t>
            </w:r>
          </w:p>
        </w:tc>
      </w:tr>
      <w:tr w:rsidR="00F15667" w:rsidRPr="00020CA3" w14:paraId="75AE6878" w14:textId="77777777" w:rsidTr="00020CA3">
        <w:trPr>
          <w:trHeight w:val="315"/>
        </w:trPr>
        <w:tc>
          <w:tcPr>
            <w:tcW w:w="3119" w:type="dxa"/>
            <w:tcBorders>
              <w:top w:val="nil"/>
              <w:left w:val="nil"/>
              <w:bottom w:val="single" w:sz="4" w:space="0" w:color="auto"/>
              <w:right w:val="nil"/>
            </w:tcBorders>
            <w:shd w:val="clear" w:color="auto" w:fill="auto"/>
            <w:noWrap/>
            <w:vAlign w:val="center"/>
            <w:hideMark/>
          </w:tcPr>
          <w:p w14:paraId="635F11CF" w14:textId="77777777" w:rsidR="00516DF2" w:rsidRPr="00020CA3" w:rsidRDefault="00516DF2" w:rsidP="00020CA3">
            <w:pPr>
              <w:spacing w:line="240" w:lineRule="auto"/>
              <w:jc w:val="left"/>
              <w:rPr>
                <w:rFonts w:eastAsia="Times New Roman"/>
                <w:szCs w:val="24"/>
                <w:lang w:eastAsia="cs-CZ"/>
              </w:rPr>
            </w:pPr>
            <w:r w:rsidRPr="00020CA3">
              <w:rPr>
                <w:rFonts w:eastAsia="Times New Roman"/>
                <w:szCs w:val="24"/>
                <w:lang w:eastAsia="cs-CZ"/>
              </w:rPr>
              <w:t>KS Ústí n. Labem</w:t>
            </w:r>
          </w:p>
        </w:tc>
        <w:tc>
          <w:tcPr>
            <w:tcW w:w="1984" w:type="dxa"/>
            <w:tcBorders>
              <w:top w:val="nil"/>
              <w:left w:val="nil"/>
              <w:bottom w:val="single" w:sz="4" w:space="0" w:color="auto"/>
              <w:right w:val="nil"/>
            </w:tcBorders>
            <w:shd w:val="clear" w:color="auto" w:fill="auto"/>
            <w:noWrap/>
            <w:vAlign w:val="center"/>
            <w:hideMark/>
          </w:tcPr>
          <w:p w14:paraId="513B2224" w14:textId="55EB959B" w:rsidR="00516DF2" w:rsidRPr="00020CA3" w:rsidRDefault="00516DF2" w:rsidP="00020CA3">
            <w:pPr>
              <w:spacing w:line="240" w:lineRule="auto"/>
              <w:jc w:val="center"/>
              <w:rPr>
                <w:rFonts w:eastAsia="Times New Roman"/>
                <w:szCs w:val="24"/>
                <w:lang w:eastAsia="cs-CZ"/>
              </w:rPr>
            </w:pPr>
            <w:r w:rsidRPr="00020CA3">
              <w:rPr>
                <w:rFonts w:eastAsia="Times New Roman"/>
                <w:szCs w:val="24"/>
                <w:lang w:eastAsia="cs-CZ"/>
              </w:rPr>
              <w:t>65,82</w:t>
            </w:r>
          </w:p>
        </w:tc>
        <w:tc>
          <w:tcPr>
            <w:tcW w:w="1560" w:type="dxa"/>
            <w:tcBorders>
              <w:top w:val="nil"/>
              <w:left w:val="nil"/>
              <w:bottom w:val="single" w:sz="4" w:space="0" w:color="auto"/>
              <w:right w:val="nil"/>
            </w:tcBorders>
            <w:shd w:val="clear" w:color="auto" w:fill="auto"/>
            <w:noWrap/>
            <w:vAlign w:val="center"/>
            <w:hideMark/>
          </w:tcPr>
          <w:p w14:paraId="6499A727" w14:textId="18490D76" w:rsidR="00516DF2" w:rsidRPr="00020CA3" w:rsidRDefault="00516DF2" w:rsidP="00020CA3">
            <w:pPr>
              <w:spacing w:line="240" w:lineRule="auto"/>
              <w:jc w:val="center"/>
              <w:rPr>
                <w:rFonts w:eastAsia="Times New Roman"/>
                <w:sz w:val="20"/>
                <w:szCs w:val="20"/>
                <w:lang w:eastAsia="cs-CZ"/>
              </w:rPr>
            </w:pPr>
            <w:r w:rsidRPr="00020CA3">
              <w:rPr>
                <w:rFonts w:eastAsia="Times New Roman"/>
                <w:sz w:val="20"/>
                <w:szCs w:val="20"/>
                <w:lang w:eastAsia="cs-CZ"/>
              </w:rPr>
              <w:t>-0,8 p.b.</w:t>
            </w:r>
          </w:p>
        </w:tc>
      </w:tr>
      <w:tr w:rsidR="00F15667" w:rsidRPr="00020CA3" w14:paraId="10C12CAE" w14:textId="77777777" w:rsidTr="00020CA3">
        <w:trPr>
          <w:trHeight w:val="315"/>
        </w:trPr>
        <w:tc>
          <w:tcPr>
            <w:tcW w:w="3119" w:type="dxa"/>
            <w:tcBorders>
              <w:top w:val="nil"/>
              <w:left w:val="nil"/>
              <w:bottom w:val="single" w:sz="4" w:space="0" w:color="auto"/>
              <w:right w:val="nil"/>
            </w:tcBorders>
            <w:shd w:val="clear" w:color="auto" w:fill="auto"/>
            <w:noWrap/>
            <w:vAlign w:val="center"/>
            <w:hideMark/>
          </w:tcPr>
          <w:p w14:paraId="3EEAB39D" w14:textId="77777777" w:rsidR="00516DF2" w:rsidRPr="00020CA3" w:rsidRDefault="00516DF2" w:rsidP="00020CA3">
            <w:pPr>
              <w:spacing w:line="240" w:lineRule="auto"/>
              <w:jc w:val="left"/>
              <w:rPr>
                <w:rFonts w:eastAsia="Times New Roman"/>
                <w:szCs w:val="24"/>
                <w:lang w:eastAsia="cs-CZ"/>
              </w:rPr>
            </w:pPr>
            <w:r w:rsidRPr="00020CA3">
              <w:rPr>
                <w:rFonts w:eastAsia="Times New Roman"/>
                <w:szCs w:val="24"/>
                <w:lang w:eastAsia="cs-CZ"/>
              </w:rPr>
              <w:t>KS Hr. Králové</w:t>
            </w:r>
          </w:p>
        </w:tc>
        <w:tc>
          <w:tcPr>
            <w:tcW w:w="1984" w:type="dxa"/>
            <w:tcBorders>
              <w:top w:val="nil"/>
              <w:left w:val="nil"/>
              <w:bottom w:val="single" w:sz="4" w:space="0" w:color="auto"/>
              <w:right w:val="nil"/>
            </w:tcBorders>
            <w:shd w:val="clear" w:color="auto" w:fill="auto"/>
            <w:noWrap/>
            <w:vAlign w:val="center"/>
            <w:hideMark/>
          </w:tcPr>
          <w:p w14:paraId="4CF956CA" w14:textId="62ED7B25" w:rsidR="00516DF2" w:rsidRPr="00020CA3" w:rsidRDefault="00516DF2" w:rsidP="00020CA3">
            <w:pPr>
              <w:spacing w:line="240" w:lineRule="auto"/>
              <w:jc w:val="center"/>
              <w:rPr>
                <w:rFonts w:eastAsia="Times New Roman"/>
                <w:szCs w:val="24"/>
                <w:lang w:eastAsia="cs-CZ"/>
              </w:rPr>
            </w:pPr>
            <w:r w:rsidRPr="00020CA3">
              <w:rPr>
                <w:rFonts w:eastAsia="Times New Roman"/>
                <w:szCs w:val="24"/>
                <w:lang w:eastAsia="cs-CZ"/>
              </w:rPr>
              <w:t>40,00</w:t>
            </w:r>
          </w:p>
        </w:tc>
        <w:tc>
          <w:tcPr>
            <w:tcW w:w="1560" w:type="dxa"/>
            <w:tcBorders>
              <w:top w:val="nil"/>
              <w:left w:val="nil"/>
              <w:bottom w:val="single" w:sz="4" w:space="0" w:color="auto"/>
              <w:right w:val="nil"/>
            </w:tcBorders>
            <w:shd w:val="clear" w:color="auto" w:fill="auto"/>
            <w:noWrap/>
            <w:vAlign w:val="center"/>
            <w:hideMark/>
          </w:tcPr>
          <w:p w14:paraId="14836B89" w14:textId="2978DE18" w:rsidR="00516DF2" w:rsidRPr="00020CA3" w:rsidRDefault="00516DF2" w:rsidP="00020CA3">
            <w:pPr>
              <w:spacing w:line="240" w:lineRule="auto"/>
              <w:jc w:val="center"/>
              <w:rPr>
                <w:rFonts w:eastAsia="Times New Roman"/>
                <w:sz w:val="20"/>
                <w:szCs w:val="20"/>
                <w:lang w:eastAsia="cs-CZ"/>
              </w:rPr>
            </w:pPr>
            <w:r w:rsidRPr="00020CA3">
              <w:rPr>
                <w:rFonts w:eastAsia="Times New Roman"/>
                <w:sz w:val="20"/>
                <w:szCs w:val="20"/>
                <w:lang w:eastAsia="cs-CZ"/>
              </w:rPr>
              <w:t>-22,2 p.b.</w:t>
            </w:r>
          </w:p>
        </w:tc>
      </w:tr>
      <w:tr w:rsidR="00F15667" w:rsidRPr="00020CA3" w14:paraId="2D7909E8" w14:textId="77777777" w:rsidTr="00020CA3">
        <w:trPr>
          <w:trHeight w:val="315"/>
        </w:trPr>
        <w:tc>
          <w:tcPr>
            <w:tcW w:w="3119" w:type="dxa"/>
            <w:tcBorders>
              <w:top w:val="nil"/>
              <w:left w:val="nil"/>
              <w:bottom w:val="single" w:sz="4" w:space="0" w:color="auto"/>
              <w:right w:val="nil"/>
            </w:tcBorders>
            <w:shd w:val="clear" w:color="auto" w:fill="auto"/>
            <w:noWrap/>
            <w:vAlign w:val="center"/>
            <w:hideMark/>
          </w:tcPr>
          <w:p w14:paraId="5DDBD4BE" w14:textId="77777777" w:rsidR="00516DF2" w:rsidRPr="00020CA3" w:rsidRDefault="00516DF2" w:rsidP="00020CA3">
            <w:pPr>
              <w:spacing w:line="240" w:lineRule="auto"/>
              <w:jc w:val="left"/>
              <w:rPr>
                <w:rFonts w:eastAsia="Times New Roman"/>
                <w:szCs w:val="24"/>
                <w:lang w:eastAsia="cs-CZ"/>
              </w:rPr>
            </w:pPr>
            <w:r w:rsidRPr="00020CA3">
              <w:rPr>
                <w:rFonts w:eastAsia="Times New Roman"/>
                <w:szCs w:val="24"/>
                <w:lang w:eastAsia="cs-CZ"/>
              </w:rPr>
              <w:t>KS Brno</w:t>
            </w:r>
          </w:p>
        </w:tc>
        <w:tc>
          <w:tcPr>
            <w:tcW w:w="1984" w:type="dxa"/>
            <w:tcBorders>
              <w:top w:val="nil"/>
              <w:left w:val="nil"/>
              <w:bottom w:val="single" w:sz="4" w:space="0" w:color="auto"/>
              <w:right w:val="nil"/>
            </w:tcBorders>
            <w:shd w:val="clear" w:color="auto" w:fill="auto"/>
            <w:noWrap/>
            <w:vAlign w:val="center"/>
            <w:hideMark/>
          </w:tcPr>
          <w:p w14:paraId="557D6C71" w14:textId="76304477" w:rsidR="00516DF2" w:rsidRPr="00020CA3" w:rsidRDefault="00516DF2" w:rsidP="00020CA3">
            <w:pPr>
              <w:spacing w:line="240" w:lineRule="auto"/>
              <w:jc w:val="center"/>
              <w:rPr>
                <w:rFonts w:eastAsia="Times New Roman"/>
                <w:szCs w:val="24"/>
                <w:lang w:eastAsia="cs-CZ"/>
              </w:rPr>
            </w:pPr>
            <w:r w:rsidRPr="00020CA3">
              <w:rPr>
                <w:rFonts w:eastAsia="Times New Roman"/>
                <w:szCs w:val="24"/>
                <w:lang w:eastAsia="cs-CZ"/>
              </w:rPr>
              <w:t>54,84</w:t>
            </w:r>
          </w:p>
        </w:tc>
        <w:tc>
          <w:tcPr>
            <w:tcW w:w="1560" w:type="dxa"/>
            <w:tcBorders>
              <w:top w:val="nil"/>
              <w:left w:val="nil"/>
              <w:bottom w:val="single" w:sz="4" w:space="0" w:color="auto"/>
              <w:right w:val="nil"/>
            </w:tcBorders>
            <w:shd w:val="clear" w:color="auto" w:fill="auto"/>
            <w:noWrap/>
            <w:vAlign w:val="center"/>
            <w:hideMark/>
          </w:tcPr>
          <w:p w14:paraId="47B608B6" w14:textId="49FFEF3B" w:rsidR="00516DF2" w:rsidRPr="00020CA3" w:rsidRDefault="00516DF2" w:rsidP="00020CA3">
            <w:pPr>
              <w:spacing w:line="240" w:lineRule="auto"/>
              <w:jc w:val="center"/>
              <w:rPr>
                <w:rFonts w:eastAsia="Times New Roman"/>
                <w:sz w:val="20"/>
                <w:szCs w:val="20"/>
                <w:lang w:eastAsia="cs-CZ"/>
              </w:rPr>
            </w:pPr>
            <w:r w:rsidRPr="00020CA3">
              <w:rPr>
                <w:rFonts w:eastAsia="Times New Roman"/>
                <w:sz w:val="20"/>
                <w:szCs w:val="20"/>
                <w:lang w:eastAsia="cs-CZ"/>
              </w:rPr>
              <w:t>-7,9 p.b.</w:t>
            </w:r>
          </w:p>
        </w:tc>
      </w:tr>
      <w:tr w:rsidR="00F15667" w:rsidRPr="00020CA3" w14:paraId="0FCD4051" w14:textId="77777777" w:rsidTr="00020CA3">
        <w:trPr>
          <w:trHeight w:val="330"/>
        </w:trPr>
        <w:tc>
          <w:tcPr>
            <w:tcW w:w="3119" w:type="dxa"/>
            <w:tcBorders>
              <w:top w:val="nil"/>
              <w:left w:val="nil"/>
              <w:bottom w:val="double" w:sz="6" w:space="0" w:color="auto"/>
              <w:right w:val="nil"/>
            </w:tcBorders>
            <w:shd w:val="clear" w:color="auto" w:fill="auto"/>
            <w:noWrap/>
            <w:vAlign w:val="center"/>
            <w:hideMark/>
          </w:tcPr>
          <w:p w14:paraId="177DD051" w14:textId="77777777" w:rsidR="00516DF2" w:rsidRPr="00020CA3" w:rsidRDefault="00516DF2" w:rsidP="00020CA3">
            <w:pPr>
              <w:spacing w:line="240" w:lineRule="auto"/>
              <w:jc w:val="left"/>
              <w:rPr>
                <w:rFonts w:eastAsia="Times New Roman"/>
                <w:szCs w:val="24"/>
                <w:lang w:eastAsia="cs-CZ"/>
              </w:rPr>
            </w:pPr>
            <w:r w:rsidRPr="00020CA3">
              <w:rPr>
                <w:rFonts w:eastAsia="Times New Roman"/>
                <w:szCs w:val="24"/>
                <w:lang w:eastAsia="cs-CZ"/>
              </w:rPr>
              <w:t>KS Ostrava</w:t>
            </w:r>
          </w:p>
        </w:tc>
        <w:tc>
          <w:tcPr>
            <w:tcW w:w="1984" w:type="dxa"/>
            <w:tcBorders>
              <w:top w:val="nil"/>
              <w:left w:val="nil"/>
              <w:bottom w:val="double" w:sz="6" w:space="0" w:color="auto"/>
              <w:right w:val="nil"/>
            </w:tcBorders>
            <w:shd w:val="clear" w:color="auto" w:fill="auto"/>
            <w:noWrap/>
            <w:vAlign w:val="center"/>
            <w:hideMark/>
          </w:tcPr>
          <w:p w14:paraId="50AD6E65" w14:textId="3133AE14" w:rsidR="00516DF2" w:rsidRPr="00020CA3" w:rsidRDefault="00516DF2" w:rsidP="00020CA3">
            <w:pPr>
              <w:spacing w:line="240" w:lineRule="auto"/>
              <w:jc w:val="center"/>
              <w:rPr>
                <w:rFonts w:eastAsia="Times New Roman"/>
                <w:szCs w:val="24"/>
                <w:lang w:eastAsia="cs-CZ"/>
              </w:rPr>
            </w:pPr>
            <w:r w:rsidRPr="00020CA3">
              <w:rPr>
                <w:rFonts w:eastAsia="Times New Roman"/>
                <w:szCs w:val="24"/>
                <w:lang w:eastAsia="cs-CZ"/>
              </w:rPr>
              <w:t>43,36</w:t>
            </w:r>
          </w:p>
        </w:tc>
        <w:tc>
          <w:tcPr>
            <w:tcW w:w="1560" w:type="dxa"/>
            <w:tcBorders>
              <w:top w:val="nil"/>
              <w:left w:val="nil"/>
              <w:bottom w:val="nil"/>
              <w:right w:val="nil"/>
            </w:tcBorders>
            <w:shd w:val="clear" w:color="auto" w:fill="auto"/>
            <w:noWrap/>
            <w:vAlign w:val="center"/>
            <w:hideMark/>
          </w:tcPr>
          <w:p w14:paraId="2870F0A9" w14:textId="09ACB735" w:rsidR="00516DF2" w:rsidRPr="00020CA3" w:rsidRDefault="00516DF2" w:rsidP="00020CA3">
            <w:pPr>
              <w:spacing w:line="240" w:lineRule="auto"/>
              <w:jc w:val="center"/>
              <w:rPr>
                <w:rFonts w:eastAsia="Times New Roman"/>
                <w:sz w:val="20"/>
                <w:szCs w:val="20"/>
                <w:lang w:eastAsia="cs-CZ"/>
              </w:rPr>
            </w:pPr>
            <w:r w:rsidRPr="00020CA3">
              <w:rPr>
                <w:rFonts w:eastAsia="Times New Roman"/>
                <w:sz w:val="20"/>
                <w:szCs w:val="20"/>
                <w:lang w:eastAsia="cs-CZ"/>
              </w:rPr>
              <w:t>-20,2 p.b.</w:t>
            </w:r>
          </w:p>
        </w:tc>
      </w:tr>
      <w:tr w:rsidR="00F15667" w:rsidRPr="00020CA3" w14:paraId="0E7BD441" w14:textId="77777777" w:rsidTr="00020CA3">
        <w:trPr>
          <w:trHeight w:val="345"/>
        </w:trPr>
        <w:tc>
          <w:tcPr>
            <w:tcW w:w="3119" w:type="dxa"/>
            <w:tcBorders>
              <w:top w:val="nil"/>
              <w:left w:val="nil"/>
              <w:bottom w:val="double" w:sz="6" w:space="0" w:color="auto"/>
              <w:right w:val="nil"/>
            </w:tcBorders>
            <w:shd w:val="clear" w:color="auto" w:fill="auto"/>
            <w:noWrap/>
            <w:vAlign w:val="center"/>
            <w:hideMark/>
          </w:tcPr>
          <w:p w14:paraId="50290A63" w14:textId="77777777" w:rsidR="00516DF2" w:rsidRPr="00020CA3" w:rsidRDefault="00516DF2" w:rsidP="00020CA3">
            <w:pPr>
              <w:spacing w:line="240" w:lineRule="auto"/>
              <w:jc w:val="left"/>
              <w:rPr>
                <w:rFonts w:eastAsia="Times New Roman"/>
                <w:b/>
                <w:bCs/>
                <w:szCs w:val="24"/>
                <w:lang w:eastAsia="cs-CZ"/>
              </w:rPr>
            </w:pPr>
            <w:r w:rsidRPr="00020CA3">
              <w:rPr>
                <w:rFonts w:eastAsia="Times New Roman"/>
                <w:b/>
                <w:bCs/>
                <w:szCs w:val="24"/>
                <w:lang w:eastAsia="cs-CZ"/>
              </w:rPr>
              <w:t>Celkem ČR</w:t>
            </w:r>
          </w:p>
        </w:tc>
        <w:tc>
          <w:tcPr>
            <w:tcW w:w="1984" w:type="dxa"/>
            <w:tcBorders>
              <w:top w:val="nil"/>
              <w:left w:val="nil"/>
              <w:bottom w:val="double" w:sz="6" w:space="0" w:color="auto"/>
              <w:right w:val="nil"/>
            </w:tcBorders>
            <w:shd w:val="clear" w:color="auto" w:fill="auto"/>
            <w:noWrap/>
            <w:vAlign w:val="center"/>
            <w:hideMark/>
          </w:tcPr>
          <w:p w14:paraId="51806330" w14:textId="622F91B7" w:rsidR="00516DF2" w:rsidRPr="00020CA3" w:rsidRDefault="00516DF2" w:rsidP="00020CA3">
            <w:pPr>
              <w:spacing w:line="240" w:lineRule="auto"/>
              <w:jc w:val="center"/>
              <w:rPr>
                <w:rFonts w:eastAsia="Times New Roman"/>
                <w:b/>
                <w:bCs/>
                <w:szCs w:val="24"/>
                <w:lang w:eastAsia="cs-CZ"/>
              </w:rPr>
            </w:pPr>
            <w:r w:rsidRPr="00020CA3">
              <w:rPr>
                <w:rFonts w:eastAsia="Times New Roman"/>
                <w:b/>
                <w:bCs/>
                <w:szCs w:val="24"/>
                <w:lang w:eastAsia="cs-CZ"/>
              </w:rPr>
              <w:t>52,70</w:t>
            </w:r>
          </w:p>
        </w:tc>
        <w:tc>
          <w:tcPr>
            <w:tcW w:w="1560" w:type="dxa"/>
            <w:tcBorders>
              <w:top w:val="double" w:sz="6" w:space="0" w:color="auto"/>
              <w:left w:val="nil"/>
              <w:bottom w:val="double" w:sz="6" w:space="0" w:color="auto"/>
              <w:right w:val="nil"/>
            </w:tcBorders>
            <w:shd w:val="clear" w:color="auto" w:fill="auto"/>
            <w:noWrap/>
            <w:vAlign w:val="center"/>
            <w:hideMark/>
          </w:tcPr>
          <w:p w14:paraId="4569FF81" w14:textId="2E5883A6" w:rsidR="00516DF2" w:rsidRPr="00020CA3" w:rsidRDefault="00516DF2" w:rsidP="00020CA3">
            <w:pPr>
              <w:spacing w:line="240" w:lineRule="auto"/>
              <w:jc w:val="center"/>
              <w:rPr>
                <w:rFonts w:eastAsia="Times New Roman"/>
                <w:b/>
                <w:bCs/>
                <w:sz w:val="20"/>
                <w:szCs w:val="20"/>
                <w:lang w:eastAsia="cs-CZ"/>
              </w:rPr>
            </w:pPr>
            <w:r w:rsidRPr="00020CA3">
              <w:rPr>
                <w:rFonts w:eastAsia="Times New Roman"/>
                <w:b/>
                <w:bCs/>
                <w:sz w:val="20"/>
                <w:szCs w:val="20"/>
                <w:lang w:eastAsia="cs-CZ"/>
              </w:rPr>
              <w:t>-5</w:t>
            </w:r>
            <w:r w:rsidR="00340529" w:rsidRPr="00020CA3">
              <w:rPr>
                <w:rFonts w:eastAsia="Times New Roman"/>
                <w:b/>
                <w:bCs/>
                <w:sz w:val="20"/>
                <w:szCs w:val="20"/>
                <w:lang w:eastAsia="cs-CZ"/>
              </w:rPr>
              <w:t>,</w:t>
            </w:r>
            <w:r w:rsidRPr="00020CA3">
              <w:rPr>
                <w:rFonts w:eastAsia="Times New Roman"/>
                <w:b/>
                <w:bCs/>
                <w:sz w:val="20"/>
                <w:szCs w:val="20"/>
                <w:lang w:eastAsia="cs-CZ"/>
              </w:rPr>
              <w:t>3 p.b.</w:t>
            </w:r>
          </w:p>
        </w:tc>
      </w:tr>
      <w:tr w:rsidR="00F15667" w:rsidRPr="00020CA3" w14:paraId="16A68933" w14:textId="77777777" w:rsidTr="00020CA3">
        <w:trPr>
          <w:trHeight w:val="330"/>
        </w:trPr>
        <w:tc>
          <w:tcPr>
            <w:tcW w:w="3119" w:type="dxa"/>
            <w:tcBorders>
              <w:top w:val="nil"/>
              <w:left w:val="nil"/>
              <w:bottom w:val="nil"/>
              <w:right w:val="nil"/>
            </w:tcBorders>
            <w:shd w:val="clear" w:color="auto" w:fill="auto"/>
            <w:noWrap/>
            <w:vAlign w:val="center"/>
            <w:hideMark/>
          </w:tcPr>
          <w:p w14:paraId="3F8A73AA" w14:textId="77777777" w:rsidR="00516DF2" w:rsidRPr="00020CA3" w:rsidRDefault="00516DF2" w:rsidP="00020CA3">
            <w:pPr>
              <w:spacing w:line="240" w:lineRule="auto"/>
              <w:jc w:val="center"/>
              <w:rPr>
                <w:rFonts w:eastAsia="Times New Roman"/>
                <w:b/>
                <w:bCs/>
                <w:sz w:val="20"/>
                <w:szCs w:val="20"/>
                <w:lang w:eastAsia="cs-CZ"/>
              </w:rPr>
            </w:pPr>
          </w:p>
        </w:tc>
        <w:tc>
          <w:tcPr>
            <w:tcW w:w="1984" w:type="dxa"/>
            <w:tcBorders>
              <w:top w:val="nil"/>
              <w:left w:val="nil"/>
              <w:bottom w:val="nil"/>
              <w:right w:val="nil"/>
            </w:tcBorders>
            <w:shd w:val="clear" w:color="auto" w:fill="auto"/>
            <w:noWrap/>
            <w:vAlign w:val="center"/>
            <w:hideMark/>
          </w:tcPr>
          <w:p w14:paraId="3D84277C" w14:textId="77777777" w:rsidR="00516DF2" w:rsidRPr="00020CA3" w:rsidRDefault="00516DF2" w:rsidP="00020CA3">
            <w:pPr>
              <w:spacing w:line="240" w:lineRule="auto"/>
              <w:jc w:val="center"/>
              <w:rPr>
                <w:rFonts w:eastAsia="Times New Roman"/>
                <w:sz w:val="20"/>
                <w:szCs w:val="20"/>
                <w:lang w:eastAsia="cs-CZ"/>
              </w:rPr>
            </w:pPr>
          </w:p>
        </w:tc>
        <w:tc>
          <w:tcPr>
            <w:tcW w:w="1560" w:type="dxa"/>
            <w:tcBorders>
              <w:top w:val="nil"/>
              <w:left w:val="nil"/>
              <w:bottom w:val="nil"/>
              <w:right w:val="nil"/>
            </w:tcBorders>
            <w:shd w:val="clear" w:color="auto" w:fill="auto"/>
            <w:noWrap/>
            <w:vAlign w:val="center"/>
            <w:hideMark/>
          </w:tcPr>
          <w:p w14:paraId="11EB9B03" w14:textId="77777777" w:rsidR="00516DF2" w:rsidRPr="00020CA3" w:rsidRDefault="00516DF2" w:rsidP="00020CA3">
            <w:pPr>
              <w:spacing w:line="240" w:lineRule="auto"/>
              <w:jc w:val="center"/>
              <w:rPr>
                <w:rFonts w:eastAsia="Times New Roman"/>
                <w:sz w:val="20"/>
                <w:szCs w:val="20"/>
                <w:lang w:eastAsia="cs-CZ"/>
              </w:rPr>
            </w:pPr>
          </w:p>
        </w:tc>
      </w:tr>
    </w:tbl>
    <w:p w14:paraId="6EE6DB44" w14:textId="01BC223B" w:rsidR="00516DF2" w:rsidRPr="00020CA3" w:rsidRDefault="00516DF2" w:rsidP="00516DF2">
      <w:pPr>
        <w:pStyle w:val="OdstavecASR"/>
      </w:pPr>
      <w:r w:rsidRPr="00020CA3">
        <w:t>Míra změny rozsudku je také vyšší než u okresních soudů – přibližně o 16 procentních bodů v roce 2017, cca o 8 procentních bodů v roce 2018, asi o 10 procentních bodů v roce 2019, pouze o necelých 6 procentních bodů v roce 2020</w:t>
      </w:r>
      <w:r w:rsidR="00C527B5" w:rsidRPr="00020CA3">
        <w:t>,</w:t>
      </w:r>
      <w:r w:rsidRPr="00020CA3">
        <w:t> o 14 procentních bodů v roce 2021</w:t>
      </w:r>
      <w:r w:rsidR="00C527B5" w:rsidRPr="00020CA3">
        <w:t xml:space="preserve"> a o 8 procentních bodů v roce 2022</w:t>
      </w:r>
      <w:r w:rsidRPr="00020CA3">
        <w:t>. Míra změny rozsudku za ČR se zdá na první pohled vysoká. Je ale třeba vzít v úvahu závažnost a složitost projednávaných věcí (jedná se o velmi vysoké tresty odnětí svobody a komplikovanou trestnou činnost). Vrchní soudy také často pouze změní výši uloženého trestu nebo věc vrátí krajským soudům k novému projednání.</w:t>
      </w:r>
    </w:p>
    <w:p w14:paraId="2976B2A5" w14:textId="77777777" w:rsidR="00516DF2" w:rsidRPr="00020CA3" w:rsidRDefault="00516DF2" w:rsidP="00516DF2">
      <w:pPr>
        <w:pStyle w:val="OdstavecASR"/>
      </w:pPr>
      <w:r w:rsidRPr="00020CA3">
        <w:t>Jak již bylo řečeno výše, opět se potvrzuje, že meziroční změny v míře celkové změny rozsudku nemají příliš velkou vypovídající hodnotu. Pro úplnost však toto srovnání provádíme.</w:t>
      </w:r>
    </w:p>
    <w:p w14:paraId="49B02FFE" w14:textId="77777777" w:rsidR="00516DF2" w:rsidRPr="00020CA3" w:rsidRDefault="00516DF2" w:rsidP="00516DF2">
      <w:pPr>
        <w:pStyle w:val="OdstavecASR"/>
      </w:pPr>
      <w:r w:rsidRPr="00020CA3">
        <w:t>Míra celkové změny rozsudku počítaná jako [(míra odvolání × míra změny rozsudku) / 100] se za celou ČR v posledních pěti letech pohybovala následovně:</w:t>
      </w:r>
    </w:p>
    <w:p w14:paraId="072E0B21" w14:textId="77777777" w:rsidR="00516DF2" w:rsidRPr="00020CA3" w:rsidRDefault="00516DF2" w:rsidP="00516DF2">
      <w:pPr>
        <w:pStyle w:val="OdstavecASR"/>
      </w:pPr>
      <w:r w:rsidRPr="00020CA3">
        <w:t>2016: 74,10 % × 54,96 % </w:t>
      </w:r>
      <w:r w:rsidRPr="00020CA3">
        <w:rPr>
          <w:rFonts w:ascii="Cambria Math" w:hAnsi="Cambria Math" w:cs="Cambria Math"/>
        </w:rPr>
        <w:t>≐</w:t>
      </w:r>
      <w:r w:rsidRPr="00020CA3">
        <w:t xml:space="preserve"> 40,73 %</w:t>
      </w:r>
    </w:p>
    <w:p w14:paraId="0C6D9B07" w14:textId="77777777" w:rsidR="00516DF2" w:rsidRPr="00020CA3" w:rsidRDefault="00516DF2" w:rsidP="00516DF2">
      <w:pPr>
        <w:pStyle w:val="OdstavecASR"/>
      </w:pPr>
      <w:r w:rsidRPr="00020CA3">
        <w:t>2017: 77,85 % × 58,44 % </w:t>
      </w:r>
      <w:r w:rsidRPr="00020CA3">
        <w:rPr>
          <w:rFonts w:ascii="Cambria Math" w:hAnsi="Cambria Math" w:cs="Cambria Math"/>
        </w:rPr>
        <w:t>≐</w:t>
      </w:r>
      <w:r w:rsidRPr="00020CA3">
        <w:t xml:space="preserve"> 45,50 %</w:t>
      </w:r>
    </w:p>
    <w:p w14:paraId="63E10B32" w14:textId="77777777" w:rsidR="00516DF2" w:rsidRPr="00020CA3" w:rsidRDefault="00516DF2" w:rsidP="00516DF2">
      <w:pPr>
        <w:pStyle w:val="OdstavecASR"/>
      </w:pPr>
      <w:r w:rsidRPr="00020CA3">
        <w:t>2018: 72,81 % × 50,01 % </w:t>
      </w:r>
      <w:r w:rsidRPr="00020CA3">
        <w:rPr>
          <w:rFonts w:ascii="Cambria Math" w:hAnsi="Cambria Math" w:cs="Cambria Math"/>
        </w:rPr>
        <w:t>≐</w:t>
      </w:r>
      <w:r w:rsidRPr="00020CA3">
        <w:t xml:space="preserve"> 36,41 %</w:t>
      </w:r>
    </w:p>
    <w:p w14:paraId="4B776B15" w14:textId="77777777" w:rsidR="00516DF2" w:rsidRPr="00020CA3" w:rsidRDefault="00516DF2" w:rsidP="00516DF2">
      <w:pPr>
        <w:pStyle w:val="OdstavecASR"/>
      </w:pPr>
      <w:r w:rsidRPr="00020CA3">
        <w:t>2019: 79,90 % × 50,52 % </w:t>
      </w:r>
      <w:r w:rsidRPr="00020CA3">
        <w:rPr>
          <w:rFonts w:ascii="Cambria Math" w:hAnsi="Cambria Math" w:cs="Cambria Math"/>
        </w:rPr>
        <w:t>≐</w:t>
      </w:r>
      <w:r w:rsidRPr="00020CA3">
        <w:t xml:space="preserve"> 40,37 %</w:t>
      </w:r>
    </w:p>
    <w:p w14:paraId="3F53F060" w14:textId="77777777" w:rsidR="00516DF2" w:rsidRPr="00020CA3" w:rsidRDefault="00516DF2" w:rsidP="00516DF2">
      <w:pPr>
        <w:pStyle w:val="OdstavecASR"/>
      </w:pPr>
      <w:r w:rsidRPr="00020CA3">
        <w:lastRenderedPageBreak/>
        <w:t>2020: 71,29 % × 46,32 % </w:t>
      </w:r>
      <w:r w:rsidRPr="00020CA3">
        <w:rPr>
          <w:rFonts w:ascii="Cambria Math" w:hAnsi="Cambria Math" w:cs="Cambria Math"/>
        </w:rPr>
        <w:t>≐</w:t>
      </w:r>
      <w:r w:rsidRPr="00020CA3">
        <w:t xml:space="preserve"> 33,02 %</w:t>
      </w:r>
    </w:p>
    <w:p w14:paraId="1239745C" w14:textId="77777777" w:rsidR="00516DF2" w:rsidRPr="00020CA3" w:rsidRDefault="00516DF2" w:rsidP="00516DF2">
      <w:pPr>
        <w:pStyle w:val="OdstavecASR"/>
      </w:pPr>
      <w:r w:rsidRPr="00020CA3">
        <w:t>2021: 58,83 % × 58,02 % </w:t>
      </w:r>
      <w:r w:rsidRPr="00020CA3">
        <w:rPr>
          <w:rFonts w:ascii="Cambria Math" w:hAnsi="Cambria Math" w:cs="Cambria Math"/>
        </w:rPr>
        <w:t>≐</w:t>
      </w:r>
      <w:r w:rsidRPr="00020CA3">
        <w:t xml:space="preserve"> 34,13 %</w:t>
      </w:r>
    </w:p>
    <w:p w14:paraId="046BDA8A" w14:textId="1276E93B" w:rsidR="00C527B5" w:rsidRPr="00020CA3" w:rsidRDefault="00C527B5" w:rsidP="00C527B5">
      <w:pPr>
        <w:pStyle w:val="OdstavecASR"/>
      </w:pPr>
      <w:r w:rsidRPr="00020CA3">
        <w:t>2022: 58,82 % × 52,70 % </w:t>
      </w:r>
      <w:r w:rsidRPr="00020CA3">
        <w:rPr>
          <w:rFonts w:ascii="Cambria Math" w:hAnsi="Cambria Math" w:cs="Cambria Math"/>
        </w:rPr>
        <w:t>≐</w:t>
      </w:r>
      <w:r w:rsidRPr="00020CA3">
        <w:t xml:space="preserve"> 31,00 %</w:t>
      </w:r>
    </w:p>
    <w:p w14:paraId="36E06D74" w14:textId="77777777" w:rsidR="00F12A75" w:rsidRPr="00020CA3" w:rsidRDefault="00F12A75" w:rsidP="00F12A75">
      <w:pPr>
        <w:pStyle w:val="OdstavecASR"/>
        <w:keepNext/>
        <w:outlineLvl w:val="3"/>
        <w:rPr>
          <w:b/>
          <w:bCs/>
        </w:rPr>
      </w:pPr>
      <w:r w:rsidRPr="00020CA3">
        <w:rPr>
          <w:b/>
          <w:bCs/>
        </w:rPr>
        <w:t>Odsouzení k nepodmíněnému odnětí svobody (NEPO)</w:t>
      </w:r>
    </w:p>
    <w:p w14:paraId="5AD3D85A" w14:textId="0AAFD18E" w:rsidR="00F12A75" w:rsidRPr="00020CA3" w:rsidRDefault="00F12A75" w:rsidP="00F12A75">
      <w:pPr>
        <w:pStyle w:val="OdstavecASR"/>
      </w:pPr>
      <w:r w:rsidRPr="00020CA3">
        <w:t xml:space="preserve">Stejně jako u okresních soudů uvádíme tresty, za které je nejčastěji ukládaný NEPO, neboť se jedná o důležité téma, které rezonuje médii. </w:t>
      </w:r>
      <w:r w:rsidR="00C638C9" w:rsidRPr="00020CA3">
        <w:t>U krajských soudů se NEPO ukládá častěji a ve vyšší výš</w:t>
      </w:r>
      <w:r w:rsidR="006023DD" w:rsidRPr="00020CA3">
        <w:t>i</w:t>
      </w:r>
      <w:r w:rsidR="00C638C9" w:rsidRPr="00020CA3">
        <w:t>, než u OS, protože KS věcně přísluší z</w:t>
      </w:r>
      <w:r w:rsidRPr="00020CA3">
        <w:t>ávažnější trestné činy</w:t>
      </w:r>
      <w:r w:rsidR="00C638C9" w:rsidRPr="00020CA3">
        <w:t>.</w:t>
      </w:r>
      <w:r w:rsidRPr="00020CA3">
        <w:t xml:space="preserve"> Na druhou stranu jich je řádově méně. V tabulce níže jsou uvedeny trestné činy, za které byl nejčastěji uložen NEPO v roce 2022. V případě souběhu trestných činů je vždy vykázán nejzávažnější trestný čin. Dále je u každého trestného činu uvedena průměrná délka NEPO v měsících.</w:t>
      </w:r>
    </w:p>
    <w:p w14:paraId="639EAF44" w14:textId="50B42B7F" w:rsidR="00C638C9" w:rsidRPr="00020CA3" w:rsidRDefault="00056C30" w:rsidP="00C638C9">
      <w:pPr>
        <w:pStyle w:val="Podnadpis"/>
        <w:rPr>
          <w:color w:val="auto"/>
        </w:rPr>
      </w:pPr>
      <w:bookmarkStart w:id="798" w:name="_Toc144104301"/>
      <w:r w:rsidRPr="00020CA3">
        <w:rPr>
          <w:color w:val="auto"/>
        </w:rPr>
        <w:t xml:space="preserve">Tabulka </w:t>
      </w:r>
      <w:r w:rsidRPr="00020CA3">
        <w:rPr>
          <w:color w:val="auto"/>
        </w:rPr>
        <w:fldChar w:fldCharType="begin"/>
      </w:r>
      <w:r w:rsidRPr="00020CA3">
        <w:rPr>
          <w:color w:val="auto"/>
        </w:rPr>
        <w:instrText xml:space="preserve"> SEQ Tabulka \* ARABIC </w:instrText>
      </w:r>
      <w:r w:rsidRPr="00020CA3">
        <w:rPr>
          <w:color w:val="auto"/>
        </w:rPr>
        <w:fldChar w:fldCharType="separate"/>
      </w:r>
      <w:r w:rsidR="001E1A67">
        <w:rPr>
          <w:noProof/>
          <w:color w:val="auto"/>
        </w:rPr>
        <w:t>62</w:t>
      </w:r>
      <w:r w:rsidRPr="00020CA3">
        <w:rPr>
          <w:noProof/>
          <w:color w:val="auto"/>
        </w:rPr>
        <w:fldChar w:fldCharType="end"/>
      </w:r>
      <w:r w:rsidR="00C638C9" w:rsidRPr="00020CA3">
        <w:rPr>
          <w:color w:val="auto"/>
        </w:rPr>
        <w:t>: KS – TČ, za které je ukládáno NEPO</w:t>
      </w:r>
      <w:bookmarkEnd w:id="798"/>
    </w:p>
    <w:tbl>
      <w:tblPr>
        <w:tblW w:w="9176" w:type="dxa"/>
        <w:tblCellMar>
          <w:left w:w="70" w:type="dxa"/>
          <w:right w:w="70" w:type="dxa"/>
        </w:tblCellMar>
        <w:tblLook w:val="04A0" w:firstRow="1" w:lastRow="0" w:firstColumn="1" w:lastColumn="0" w:noHBand="0" w:noVBand="1"/>
      </w:tblPr>
      <w:tblGrid>
        <w:gridCol w:w="6096"/>
        <w:gridCol w:w="1540"/>
        <w:gridCol w:w="1540"/>
      </w:tblGrid>
      <w:tr w:rsidR="00F15667" w:rsidRPr="00020CA3" w14:paraId="1428308F" w14:textId="77777777" w:rsidTr="0041601E">
        <w:trPr>
          <w:trHeight w:val="660"/>
        </w:trPr>
        <w:tc>
          <w:tcPr>
            <w:tcW w:w="6096" w:type="dxa"/>
            <w:tcBorders>
              <w:top w:val="double" w:sz="6" w:space="0" w:color="auto"/>
              <w:left w:val="nil"/>
              <w:bottom w:val="double" w:sz="6" w:space="0" w:color="auto"/>
              <w:right w:val="nil"/>
            </w:tcBorders>
            <w:shd w:val="clear" w:color="auto" w:fill="auto"/>
            <w:noWrap/>
            <w:vAlign w:val="center"/>
            <w:hideMark/>
          </w:tcPr>
          <w:p w14:paraId="2836B1D5" w14:textId="77777777" w:rsidR="00FA44D0" w:rsidRPr="00020CA3" w:rsidRDefault="00FA44D0" w:rsidP="0041601E">
            <w:pPr>
              <w:spacing w:line="240" w:lineRule="auto"/>
              <w:jc w:val="center"/>
              <w:rPr>
                <w:rFonts w:eastAsia="Times New Roman"/>
                <w:b/>
                <w:bCs/>
                <w:szCs w:val="24"/>
                <w:lang w:eastAsia="cs-CZ"/>
              </w:rPr>
            </w:pPr>
            <w:r w:rsidRPr="00020CA3">
              <w:rPr>
                <w:rFonts w:eastAsia="Times New Roman"/>
                <w:b/>
                <w:bCs/>
                <w:szCs w:val="24"/>
                <w:lang w:eastAsia="cs-CZ"/>
              </w:rPr>
              <w:t>Trestný čin</w:t>
            </w:r>
          </w:p>
        </w:tc>
        <w:tc>
          <w:tcPr>
            <w:tcW w:w="1540" w:type="dxa"/>
            <w:tcBorders>
              <w:top w:val="double" w:sz="6" w:space="0" w:color="auto"/>
              <w:left w:val="nil"/>
              <w:bottom w:val="double" w:sz="6" w:space="0" w:color="auto"/>
              <w:right w:val="nil"/>
            </w:tcBorders>
            <w:shd w:val="clear" w:color="auto" w:fill="auto"/>
            <w:noWrap/>
            <w:vAlign w:val="center"/>
            <w:hideMark/>
          </w:tcPr>
          <w:p w14:paraId="55510614" w14:textId="77777777" w:rsidR="00FA44D0" w:rsidRPr="00020CA3" w:rsidRDefault="00FA44D0" w:rsidP="0041601E">
            <w:pPr>
              <w:spacing w:line="240" w:lineRule="auto"/>
              <w:jc w:val="center"/>
              <w:rPr>
                <w:rFonts w:eastAsia="Times New Roman"/>
                <w:b/>
                <w:bCs/>
                <w:szCs w:val="24"/>
                <w:lang w:eastAsia="cs-CZ"/>
              </w:rPr>
            </w:pPr>
            <w:r w:rsidRPr="00020CA3">
              <w:rPr>
                <w:rFonts w:eastAsia="Times New Roman"/>
                <w:b/>
                <w:bCs/>
                <w:szCs w:val="24"/>
                <w:lang w:eastAsia="cs-CZ"/>
              </w:rPr>
              <w:t>Počet osob</w:t>
            </w:r>
          </w:p>
        </w:tc>
        <w:tc>
          <w:tcPr>
            <w:tcW w:w="1540" w:type="dxa"/>
            <w:tcBorders>
              <w:top w:val="double" w:sz="6" w:space="0" w:color="auto"/>
              <w:left w:val="nil"/>
              <w:bottom w:val="double" w:sz="6" w:space="0" w:color="auto"/>
              <w:right w:val="nil"/>
            </w:tcBorders>
            <w:shd w:val="clear" w:color="auto" w:fill="auto"/>
            <w:vAlign w:val="center"/>
            <w:hideMark/>
          </w:tcPr>
          <w:p w14:paraId="206314F8" w14:textId="77777777" w:rsidR="00FA44D0" w:rsidRPr="00020CA3" w:rsidRDefault="00FA44D0" w:rsidP="0041601E">
            <w:pPr>
              <w:spacing w:line="240" w:lineRule="auto"/>
              <w:jc w:val="center"/>
              <w:rPr>
                <w:rFonts w:eastAsia="Times New Roman"/>
                <w:b/>
                <w:bCs/>
                <w:szCs w:val="24"/>
                <w:lang w:eastAsia="cs-CZ"/>
              </w:rPr>
            </w:pPr>
            <w:r w:rsidRPr="00020CA3">
              <w:rPr>
                <w:rFonts w:eastAsia="Times New Roman"/>
                <w:b/>
                <w:bCs/>
                <w:szCs w:val="24"/>
                <w:lang w:eastAsia="cs-CZ"/>
              </w:rPr>
              <w:t>Prům. délka NEPO</w:t>
            </w:r>
          </w:p>
        </w:tc>
      </w:tr>
      <w:tr w:rsidR="00F15667" w:rsidRPr="00020CA3" w14:paraId="1381B6B2" w14:textId="77777777" w:rsidTr="0041601E">
        <w:trPr>
          <w:trHeight w:val="330"/>
        </w:trPr>
        <w:tc>
          <w:tcPr>
            <w:tcW w:w="6096" w:type="dxa"/>
            <w:tcBorders>
              <w:top w:val="single" w:sz="4" w:space="0" w:color="auto"/>
              <w:left w:val="nil"/>
              <w:bottom w:val="single" w:sz="4" w:space="0" w:color="auto"/>
              <w:right w:val="nil"/>
            </w:tcBorders>
            <w:shd w:val="clear" w:color="auto" w:fill="auto"/>
            <w:noWrap/>
            <w:vAlign w:val="center"/>
            <w:hideMark/>
          </w:tcPr>
          <w:p w14:paraId="64DB95D8"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Nedovolená výroba a jiné nakládání s omamnými látkami</w:t>
            </w:r>
          </w:p>
        </w:tc>
        <w:tc>
          <w:tcPr>
            <w:tcW w:w="1540" w:type="dxa"/>
            <w:tcBorders>
              <w:top w:val="nil"/>
              <w:left w:val="nil"/>
              <w:bottom w:val="nil"/>
              <w:right w:val="nil"/>
            </w:tcBorders>
            <w:shd w:val="clear" w:color="auto" w:fill="auto"/>
            <w:noWrap/>
            <w:vAlign w:val="center"/>
            <w:hideMark/>
          </w:tcPr>
          <w:p w14:paraId="57106CA3"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165</w:t>
            </w:r>
          </w:p>
        </w:tc>
        <w:tc>
          <w:tcPr>
            <w:tcW w:w="1540" w:type="dxa"/>
            <w:tcBorders>
              <w:top w:val="nil"/>
              <w:left w:val="nil"/>
              <w:bottom w:val="nil"/>
              <w:right w:val="nil"/>
            </w:tcBorders>
            <w:shd w:val="clear" w:color="auto" w:fill="auto"/>
            <w:noWrap/>
            <w:vAlign w:val="center"/>
            <w:hideMark/>
          </w:tcPr>
          <w:p w14:paraId="2C249C02" w14:textId="320A0768"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94,6</w:t>
            </w:r>
          </w:p>
        </w:tc>
      </w:tr>
      <w:tr w:rsidR="00F15667" w:rsidRPr="00020CA3" w14:paraId="59F378AE" w14:textId="77777777" w:rsidTr="0041601E">
        <w:trPr>
          <w:trHeight w:val="315"/>
        </w:trPr>
        <w:tc>
          <w:tcPr>
            <w:tcW w:w="6096" w:type="dxa"/>
            <w:tcBorders>
              <w:top w:val="nil"/>
              <w:left w:val="nil"/>
              <w:bottom w:val="single" w:sz="4" w:space="0" w:color="auto"/>
              <w:right w:val="nil"/>
            </w:tcBorders>
            <w:shd w:val="clear" w:color="auto" w:fill="auto"/>
            <w:noWrap/>
            <w:vAlign w:val="center"/>
            <w:hideMark/>
          </w:tcPr>
          <w:p w14:paraId="724A8674"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Zkrácení daně, poplatku a podobné povinné platby</w:t>
            </w:r>
          </w:p>
        </w:tc>
        <w:tc>
          <w:tcPr>
            <w:tcW w:w="1540" w:type="dxa"/>
            <w:tcBorders>
              <w:top w:val="single" w:sz="4" w:space="0" w:color="auto"/>
              <w:left w:val="nil"/>
              <w:bottom w:val="single" w:sz="4" w:space="0" w:color="auto"/>
              <w:right w:val="nil"/>
            </w:tcBorders>
            <w:shd w:val="clear" w:color="auto" w:fill="auto"/>
            <w:noWrap/>
            <w:vAlign w:val="center"/>
            <w:hideMark/>
          </w:tcPr>
          <w:p w14:paraId="30150E65"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126</w:t>
            </w:r>
          </w:p>
        </w:tc>
        <w:tc>
          <w:tcPr>
            <w:tcW w:w="1540" w:type="dxa"/>
            <w:tcBorders>
              <w:top w:val="single" w:sz="4" w:space="0" w:color="auto"/>
              <w:left w:val="nil"/>
              <w:bottom w:val="single" w:sz="4" w:space="0" w:color="auto"/>
              <w:right w:val="nil"/>
            </w:tcBorders>
            <w:shd w:val="clear" w:color="auto" w:fill="auto"/>
            <w:noWrap/>
            <w:vAlign w:val="center"/>
            <w:hideMark/>
          </w:tcPr>
          <w:p w14:paraId="32D61514" w14:textId="14D87023"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66,5</w:t>
            </w:r>
          </w:p>
        </w:tc>
      </w:tr>
      <w:tr w:rsidR="00F15667" w:rsidRPr="00020CA3" w14:paraId="61319F78" w14:textId="77777777" w:rsidTr="0041601E">
        <w:trPr>
          <w:trHeight w:val="315"/>
        </w:trPr>
        <w:tc>
          <w:tcPr>
            <w:tcW w:w="6096" w:type="dxa"/>
            <w:tcBorders>
              <w:top w:val="nil"/>
              <w:left w:val="nil"/>
              <w:bottom w:val="single" w:sz="4" w:space="0" w:color="auto"/>
              <w:right w:val="nil"/>
            </w:tcBorders>
            <w:shd w:val="clear" w:color="auto" w:fill="auto"/>
            <w:noWrap/>
            <w:vAlign w:val="center"/>
            <w:hideMark/>
          </w:tcPr>
          <w:p w14:paraId="6C6991EF"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Vražda</w:t>
            </w:r>
          </w:p>
        </w:tc>
        <w:tc>
          <w:tcPr>
            <w:tcW w:w="1540" w:type="dxa"/>
            <w:tcBorders>
              <w:top w:val="nil"/>
              <w:left w:val="nil"/>
              <w:bottom w:val="single" w:sz="4" w:space="0" w:color="auto"/>
              <w:right w:val="nil"/>
            </w:tcBorders>
            <w:shd w:val="clear" w:color="auto" w:fill="auto"/>
            <w:noWrap/>
            <w:vAlign w:val="center"/>
            <w:hideMark/>
          </w:tcPr>
          <w:p w14:paraId="29107F27"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78</w:t>
            </w:r>
          </w:p>
        </w:tc>
        <w:tc>
          <w:tcPr>
            <w:tcW w:w="1540" w:type="dxa"/>
            <w:tcBorders>
              <w:top w:val="nil"/>
              <w:left w:val="nil"/>
              <w:bottom w:val="single" w:sz="4" w:space="0" w:color="auto"/>
              <w:right w:val="nil"/>
            </w:tcBorders>
            <w:shd w:val="clear" w:color="auto" w:fill="auto"/>
            <w:noWrap/>
            <w:vAlign w:val="center"/>
            <w:hideMark/>
          </w:tcPr>
          <w:p w14:paraId="78EAC26C" w14:textId="560D81FA"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142,9</w:t>
            </w:r>
          </w:p>
        </w:tc>
      </w:tr>
      <w:tr w:rsidR="00F15667" w:rsidRPr="00020CA3" w14:paraId="70146F76" w14:textId="77777777" w:rsidTr="0041601E">
        <w:trPr>
          <w:trHeight w:val="315"/>
        </w:trPr>
        <w:tc>
          <w:tcPr>
            <w:tcW w:w="6096" w:type="dxa"/>
            <w:tcBorders>
              <w:top w:val="nil"/>
              <w:left w:val="nil"/>
              <w:bottom w:val="single" w:sz="4" w:space="0" w:color="auto"/>
              <w:right w:val="nil"/>
            </w:tcBorders>
            <w:shd w:val="clear" w:color="auto" w:fill="auto"/>
            <w:noWrap/>
            <w:vAlign w:val="center"/>
            <w:hideMark/>
          </w:tcPr>
          <w:p w14:paraId="47BFB0B6"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Podvod</w:t>
            </w:r>
          </w:p>
        </w:tc>
        <w:tc>
          <w:tcPr>
            <w:tcW w:w="1540" w:type="dxa"/>
            <w:tcBorders>
              <w:top w:val="nil"/>
              <w:left w:val="nil"/>
              <w:bottom w:val="nil"/>
              <w:right w:val="nil"/>
            </w:tcBorders>
            <w:shd w:val="clear" w:color="auto" w:fill="auto"/>
            <w:noWrap/>
            <w:vAlign w:val="center"/>
            <w:hideMark/>
          </w:tcPr>
          <w:p w14:paraId="1FEB0219"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77</w:t>
            </w:r>
          </w:p>
        </w:tc>
        <w:tc>
          <w:tcPr>
            <w:tcW w:w="1540" w:type="dxa"/>
            <w:tcBorders>
              <w:top w:val="nil"/>
              <w:left w:val="nil"/>
              <w:bottom w:val="nil"/>
              <w:right w:val="nil"/>
            </w:tcBorders>
            <w:shd w:val="clear" w:color="auto" w:fill="auto"/>
            <w:noWrap/>
            <w:vAlign w:val="center"/>
            <w:hideMark/>
          </w:tcPr>
          <w:p w14:paraId="15BC339B" w14:textId="3D18D313"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62,1</w:t>
            </w:r>
          </w:p>
        </w:tc>
      </w:tr>
      <w:tr w:rsidR="00F15667" w:rsidRPr="00020CA3" w14:paraId="494F347D" w14:textId="77777777" w:rsidTr="0041601E">
        <w:trPr>
          <w:trHeight w:val="315"/>
        </w:trPr>
        <w:tc>
          <w:tcPr>
            <w:tcW w:w="6096" w:type="dxa"/>
            <w:tcBorders>
              <w:top w:val="nil"/>
              <w:left w:val="nil"/>
              <w:bottom w:val="single" w:sz="4" w:space="0" w:color="auto"/>
              <w:right w:val="nil"/>
            </w:tcBorders>
            <w:shd w:val="clear" w:color="auto" w:fill="auto"/>
            <w:noWrap/>
            <w:vAlign w:val="center"/>
            <w:hideMark/>
          </w:tcPr>
          <w:p w14:paraId="5B04FDDF"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Znásilnění</w:t>
            </w:r>
          </w:p>
        </w:tc>
        <w:tc>
          <w:tcPr>
            <w:tcW w:w="1540" w:type="dxa"/>
            <w:tcBorders>
              <w:top w:val="single" w:sz="4" w:space="0" w:color="auto"/>
              <w:left w:val="nil"/>
              <w:bottom w:val="single" w:sz="4" w:space="0" w:color="auto"/>
              <w:right w:val="nil"/>
            </w:tcBorders>
            <w:shd w:val="clear" w:color="auto" w:fill="auto"/>
            <w:noWrap/>
            <w:vAlign w:val="center"/>
            <w:hideMark/>
          </w:tcPr>
          <w:p w14:paraId="698C4587"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65</w:t>
            </w:r>
          </w:p>
        </w:tc>
        <w:tc>
          <w:tcPr>
            <w:tcW w:w="1540" w:type="dxa"/>
            <w:tcBorders>
              <w:top w:val="single" w:sz="4" w:space="0" w:color="auto"/>
              <w:left w:val="nil"/>
              <w:bottom w:val="single" w:sz="4" w:space="0" w:color="auto"/>
              <w:right w:val="nil"/>
            </w:tcBorders>
            <w:shd w:val="clear" w:color="auto" w:fill="auto"/>
            <w:noWrap/>
            <w:vAlign w:val="center"/>
            <w:hideMark/>
          </w:tcPr>
          <w:p w14:paraId="45542D00" w14:textId="7CBBC922"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71,7</w:t>
            </w:r>
          </w:p>
        </w:tc>
      </w:tr>
      <w:tr w:rsidR="00F15667" w:rsidRPr="00020CA3" w14:paraId="57A6B34A" w14:textId="77777777" w:rsidTr="0041601E">
        <w:trPr>
          <w:trHeight w:val="315"/>
        </w:trPr>
        <w:tc>
          <w:tcPr>
            <w:tcW w:w="6096" w:type="dxa"/>
            <w:tcBorders>
              <w:top w:val="nil"/>
              <w:left w:val="nil"/>
              <w:bottom w:val="single" w:sz="4" w:space="0" w:color="auto"/>
              <w:right w:val="nil"/>
            </w:tcBorders>
            <w:shd w:val="clear" w:color="auto" w:fill="auto"/>
            <w:noWrap/>
            <w:vAlign w:val="center"/>
            <w:hideMark/>
          </w:tcPr>
          <w:p w14:paraId="7E9D70EE"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Těžké ublížení na zdraví</w:t>
            </w:r>
          </w:p>
        </w:tc>
        <w:tc>
          <w:tcPr>
            <w:tcW w:w="1540" w:type="dxa"/>
            <w:tcBorders>
              <w:top w:val="nil"/>
              <w:left w:val="nil"/>
              <w:bottom w:val="single" w:sz="4" w:space="0" w:color="auto"/>
              <w:right w:val="nil"/>
            </w:tcBorders>
            <w:shd w:val="clear" w:color="auto" w:fill="auto"/>
            <w:noWrap/>
            <w:vAlign w:val="center"/>
            <w:hideMark/>
          </w:tcPr>
          <w:p w14:paraId="79024C46"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44</w:t>
            </w:r>
          </w:p>
        </w:tc>
        <w:tc>
          <w:tcPr>
            <w:tcW w:w="1540" w:type="dxa"/>
            <w:tcBorders>
              <w:top w:val="nil"/>
              <w:left w:val="nil"/>
              <w:bottom w:val="single" w:sz="4" w:space="0" w:color="auto"/>
              <w:right w:val="nil"/>
            </w:tcBorders>
            <w:shd w:val="clear" w:color="auto" w:fill="auto"/>
            <w:noWrap/>
            <w:vAlign w:val="center"/>
            <w:hideMark/>
          </w:tcPr>
          <w:p w14:paraId="68351655" w14:textId="29236D75"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75,2</w:t>
            </w:r>
          </w:p>
        </w:tc>
      </w:tr>
      <w:tr w:rsidR="00F15667" w:rsidRPr="00020CA3" w14:paraId="7880FF77" w14:textId="77777777" w:rsidTr="0041601E">
        <w:trPr>
          <w:trHeight w:val="315"/>
        </w:trPr>
        <w:tc>
          <w:tcPr>
            <w:tcW w:w="6096" w:type="dxa"/>
            <w:tcBorders>
              <w:top w:val="nil"/>
              <w:left w:val="nil"/>
              <w:bottom w:val="single" w:sz="4" w:space="0" w:color="auto"/>
              <w:right w:val="nil"/>
            </w:tcBorders>
            <w:shd w:val="clear" w:color="auto" w:fill="auto"/>
            <w:noWrap/>
            <w:vAlign w:val="center"/>
            <w:hideMark/>
          </w:tcPr>
          <w:p w14:paraId="3138F3C0"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Loupež</w:t>
            </w:r>
          </w:p>
        </w:tc>
        <w:tc>
          <w:tcPr>
            <w:tcW w:w="1540" w:type="dxa"/>
            <w:tcBorders>
              <w:top w:val="nil"/>
              <w:left w:val="nil"/>
              <w:bottom w:val="single" w:sz="4" w:space="0" w:color="auto"/>
              <w:right w:val="nil"/>
            </w:tcBorders>
            <w:shd w:val="clear" w:color="auto" w:fill="auto"/>
            <w:noWrap/>
            <w:vAlign w:val="center"/>
            <w:hideMark/>
          </w:tcPr>
          <w:p w14:paraId="70EBECBB"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38</w:t>
            </w:r>
          </w:p>
        </w:tc>
        <w:tc>
          <w:tcPr>
            <w:tcW w:w="1540" w:type="dxa"/>
            <w:tcBorders>
              <w:top w:val="nil"/>
              <w:left w:val="nil"/>
              <w:bottom w:val="single" w:sz="4" w:space="0" w:color="auto"/>
              <w:right w:val="nil"/>
            </w:tcBorders>
            <w:shd w:val="clear" w:color="auto" w:fill="auto"/>
            <w:noWrap/>
            <w:vAlign w:val="center"/>
            <w:hideMark/>
          </w:tcPr>
          <w:p w14:paraId="25E5B5ED" w14:textId="3B9237D4"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70,5</w:t>
            </w:r>
          </w:p>
        </w:tc>
      </w:tr>
      <w:tr w:rsidR="00F15667" w:rsidRPr="00020CA3" w14:paraId="47DC9D70" w14:textId="77777777" w:rsidTr="0041601E">
        <w:trPr>
          <w:trHeight w:val="315"/>
        </w:trPr>
        <w:tc>
          <w:tcPr>
            <w:tcW w:w="6096" w:type="dxa"/>
            <w:tcBorders>
              <w:top w:val="nil"/>
              <w:left w:val="nil"/>
              <w:bottom w:val="single" w:sz="4" w:space="0" w:color="auto"/>
              <w:right w:val="nil"/>
            </w:tcBorders>
            <w:shd w:val="clear" w:color="auto" w:fill="auto"/>
            <w:noWrap/>
            <w:vAlign w:val="center"/>
            <w:hideMark/>
          </w:tcPr>
          <w:p w14:paraId="07D5652E"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Úvěrový podvod</w:t>
            </w:r>
          </w:p>
        </w:tc>
        <w:tc>
          <w:tcPr>
            <w:tcW w:w="1540" w:type="dxa"/>
            <w:tcBorders>
              <w:top w:val="nil"/>
              <w:left w:val="nil"/>
              <w:bottom w:val="single" w:sz="4" w:space="0" w:color="auto"/>
              <w:right w:val="nil"/>
            </w:tcBorders>
            <w:shd w:val="clear" w:color="auto" w:fill="auto"/>
            <w:noWrap/>
            <w:vAlign w:val="center"/>
            <w:hideMark/>
          </w:tcPr>
          <w:p w14:paraId="20974D63"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30</w:t>
            </w:r>
          </w:p>
        </w:tc>
        <w:tc>
          <w:tcPr>
            <w:tcW w:w="1540" w:type="dxa"/>
            <w:tcBorders>
              <w:top w:val="nil"/>
              <w:left w:val="nil"/>
              <w:bottom w:val="single" w:sz="4" w:space="0" w:color="auto"/>
              <w:right w:val="nil"/>
            </w:tcBorders>
            <w:shd w:val="clear" w:color="auto" w:fill="auto"/>
            <w:noWrap/>
            <w:vAlign w:val="center"/>
            <w:hideMark/>
          </w:tcPr>
          <w:p w14:paraId="678080DD" w14:textId="5895F6E1"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68,7</w:t>
            </w:r>
          </w:p>
        </w:tc>
      </w:tr>
      <w:tr w:rsidR="00F15667" w:rsidRPr="00020CA3" w14:paraId="788D1673" w14:textId="77777777" w:rsidTr="0041601E">
        <w:trPr>
          <w:trHeight w:val="315"/>
        </w:trPr>
        <w:tc>
          <w:tcPr>
            <w:tcW w:w="6096" w:type="dxa"/>
            <w:tcBorders>
              <w:top w:val="nil"/>
              <w:left w:val="nil"/>
              <w:bottom w:val="nil"/>
              <w:right w:val="nil"/>
            </w:tcBorders>
            <w:shd w:val="clear" w:color="auto" w:fill="auto"/>
            <w:noWrap/>
            <w:vAlign w:val="center"/>
            <w:hideMark/>
          </w:tcPr>
          <w:p w14:paraId="7590B4E4"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Vydírání</w:t>
            </w:r>
          </w:p>
        </w:tc>
        <w:tc>
          <w:tcPr>
            <w:tcW w:w="1540" w:type="dxa"/>
            <w:tcBorders>
              <w:top w:val="nil"/>
              <w:left w:val="nil"/>
              <w:bottom w:val="nil"/>
              <w:right w:val="nil"/>
            </w:tcBorders>
            <w:shd w:val="clear" w:color="auto" w:fill="auto"/>
            <w:noWrap/>
            <w:vAlign w:val="center"/>
            <w:hideMark/>
          </w:tcPr>
          <w:p w14:paraId="4B787B8C"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10</w:t>
            </w:r>
          </w:p>
        </w:tc>
        <w:tc>
          <w:tcPr>
            <w:tcW w:w="1540" w:type="dxa"/>
            <w:tcBorders>
              <w:top w:val="nil"/>
              <w:left w:val="nil"/>
              <w:bottom w:val="nil"/>
              <w:right w:val="nil"/>
            </w:tcBorders>
            <w:shd w:val="clear" w:color="auto" w:fill="auto"/>
            <w:noWrap/>
            <w:vAlign w:val="center"/>
            <w:hideMark/>
          </w:tcPr>
          <w:p w14:paraId="68289947" w14:textId="3584F4B2"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67,8</w:t>
            </w:r>
          </w:p>
        </w:tc>
      </w:tr>
      <w:tr w:rsidR="00F15667" w:rsidRPr="00020CA3" w14:paraId="639104AA" w14:textId="77777777" w:rsidTr="0041601E">
        <w:trPr>
          <w:trHeight w:val="315"/>
        </w:trPr>
        <w:tc>
          <w:tcPr>
            <w:tcW w:w="6096" w:type="dxa"/>
            <w:tcBorders>
              <w:top w:val="single" w:sz="4" w:space="0" w:color="auto"/>
              <w:left w:val="nil"/>
              <w:bottom w:val="single" w:sz="4" w:space="0" w:color="auto"/>
              <w:right w:val="nil"/>
            </w:tcBorders>
            <w:shd w:val="clear" w:color="auto" w:fill="auto"/>
            <w:noWrap/>
            <w:vAlign w:val="center"/>
            <w:hideMark/>
          </w:tcPr>
          <w:p w14:paraId="57A33BED"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Zpronevěra</w:t>
            </w:r>
          </w:p>
        </w:tc>
        <w:tc>
          <w:tcPr>
            <w:tcW w:w="1540" w:type="dxa"/>
            <w:tcBorders>
              <w:top w:val="single" w:sz="4" w:space="0" w:color="auto"/>
              <w:left w:val="nil"/>
              <w:bottom w:val="nil"/>
              <w:right w:val="nil"/>
            </w:tcBorders>
            <w:shd w:val="clear" w:color="auto" w:fill="auto"/>
            <w:noWrap/>
            <w:vAlign w:val="center"/>
            <w:hideMark/>
          </w:tcPr>
          <w:p w14:paraId="2C3EE092"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10</w:t>
            </w:r>
          </w:p>
        </w:tc>
        <w:tc>
          <w:tcPr>
            <w:tcW w:w="1540" w:type="dxa"/>
            <w:tcBorders>
              <w:top w:val="single" w:sz="4" w:space="0" w:color="auto"/>
              <w:left w:val="nil"/>
              <w:bottom w:val="nil"/>
              <w:right w:val="nil"/>
            </w:tcBorders>
            <w:shd w:val="clear" w:color="auto" w:fill="auto"/>
            <w:noWrap/>
            <w:vAlign w:val="center"/>
            <w:hideMark/>
          </w:tcPr>
          <w:p w14:paraId="033A02FB" w14:textId="0BC59821"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63,6</w:t>
            </w:r>
          </w:p>
        </w:tc>
      </w:tr>
      <w:tr w:rsidR="00F15667" w:rsidRPr="00020CA3" w14:paraId="72D5B095" w14:textId="77777777" w:rsidTr="0041601E">
        <w:trPr>
          <w:trHeight w:val="330"/>
        </w:trPr>
        <w:tc>
          <w:tcPr>
            <w:tcW w:w="6096" w:type="dxa"/>
            <w:tcBorders>
              <w:top w:val="nil"/>
              <w:left w:val="nil"/>
              <w:bottom w:val="nil"/>
              <w:right w:val="nil"/>
            </w:tcBorders>
            <w:shd w:val="clear" w:color="auto" w:fill="auto"/>
            <w:noWrap/>
            <w:vAlign w:val="center"/>
            <w:hideMark/>
          </w:tcPr>
          <w:p w14:paraId="4D6CD16A" w14:textId="77777777" w:rsidR="00FA44D0" w:rsidRPr="00020CA3" w:rsidRDefault="00FA44D0" w:rsidP="0041601E">
            <w:pPr>
              <w:spacing w:line="240" w:lineRule="auto"/>
              <w:jc w:val="left"/>
              <w:rPr>
                <w:rFonts w:eastAsia="Times New Roman"/>
                <w:szCs w:val="24"/>
                <w:lang w:eastAsia="cs-CZ"/>
              </w:rPr>
            </w:pPr>
            <w:r w:rsidRPr="00020CA3">
              <w:rPr>
                <w:rFonts w:eastAsia="Times New Roman"/>
                <w:szCs w:val="24"/>
                <w:lang w:eastAsia="cs-CZ"/>
              </w:rPr>
              <w:t>Ostatní</w:t>
            </w:r>
          </w:p>
        </w:tc>
        <w:tc>
          <w:tcPr>
            <w:tcW w:w="1540" w:type="dxa"/>
            <w:tcBorders>
              <w:top w:val="single" w:sz="4" w:space="0" w:color="auto"/>
              <w:left w:val="nil"/>
              <w:bottom w:val="double" w:sz="6" w:space="0" w:color="auto"/>
              <w:right w:val="nil"/>
            </w:tcBorders>
            <w:shd w:val="clear" w:color="auto" w:fill="auto"/>
            <w:noWrap/>
            <w:vAlign w:val="center"/>
            <w:hideMark/>
          </w:tcPr>
          <w:p w14:paraId="62AAB050" w14:textId="77777777"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84</w:t>
            </w:r>
          </w:p>
        </w:tc>
        <w:tc>
          <w:tcPr>
            <w:tcW w:w="1540" w:type="dxa"/>
            <w:tcBorders>
              <w:top w:val="single" w:sz="4" w:space="0" w:color="auto"/>
              <w:left w:val="nil"/>
              <w:bottom w:val="double" w:sz="6" w:space="0" w:color="auto"/>
              <w:right w:val="nil"/>
            </w:tcBorders>
            <w:shd w:val="clear" w:color="auto" w:fill="auto"/>
            <w:noWrap/>
            <w:vAlign w:val="center"/>
            <w:hideMark/>
          </w:tcPr>
          <w:p w14:paraId="493AE0FA" w14:textId="195E8D81" w:rsidR="00FA44D0" w:rsidRPr="00020CA3" w:rsidRDefault="00FA44D0" w:rsidP="0041601E">
            <w:pPr>
              <w:spacing w:line="240" w:lineRule="auto"/>
              <w:jc w:val="center"/>
              <w:rPr>
                <w:rFonts w:eastAsia="Times New Roman"/>
                <w:szCs w:val="24"/>
                <w:lang w:eastAsia="cs-CZ"/>
              </w:rPr>
            </w:pPr>
            <w:r w:rsidRPr="00020CA3">
              <w:rPr>
                <w:rFonts w:eastAsia="Times New Roman"/>
                <w:szCs w:val="24"/>
                <w:lang w:eastAsia="cs-CZ"/>
              </w:rPr>
              <w:t>64,3</w:t>
            </w:r>
          </w:p>
        </w:tc>
      </w:tr>
      <w:tr w:rsidR="00FA44D0" w:rsidRPr="00020CA3" w14:paraId="04231A32" w14:textId="77777777" w:rsidTr="0041601E">
        <w:trPr>
          <w:trHeight w:val="345"/>
        </w:trPr>
        <w:tc>
          <w:tcPr>
            <w:tcW w:w="6096" w:type="dxa"/>
            <w:tcBorders>
              <w:top w:val="double" w:sz="6" w:space="0" w:color="auto"/>
              <w:left w:val="nil"/>
              <w:bottom w:val="double" w:sz="6" w:space="0" w:color="auto"/>
              <w:right w:val="nil"/>
            </w:tcBorders>
            <w:shd w:val="clear" w:color="auto" w:fill="auto"/>
            <w:noWrap/>
            <w:vAlign w:val="center"/>
            <w:hideMark/>
          </w:tcPr>
          <w:p w14:paraId="0AE43533" w14:textId="77777777" w:rsidR="00FA44D0" w:rsidRPr="00020CA3" w:rsidRDefault="00FA44D0" w:rsidP="0041601E">
            <w:pPr>
              <w:spacing w:line="240" w:lineRule="auto"/>
              <w:jc w:val="left"/>
              <w:rPr>
                <w:rFonts w:eastAsia="Times New Roman"/>
                <w:b/>
                <w:bCs/>
                <w:szCs w:val="24"/>
                <w:lang w:eastAsia="cs-CZ"/>
              </w:rPr>
            </w:pPr>
            <w:r w:rsidRPr="00020CA3">
              <w:rPr>
                <w:rFonts w:eastAsia="Times New Roman"/>
                <w:b/>
                <w:bCs/>
                <w:szCs w:val="24"/>
                <w:lang w:eastAsia="cs-CZ"/>
              </w:rPr>
              <w:t>Celkem</w:t>
            </w:r>
          </w:p>
        </w:tc>
        <w:tc>
          <w:tcPr>
            <w:tcW w:w="1540" w:type="dxa"/>
            <w:tcBorders>
              <w:top w:val="nil"/>
              <w:left w:val="nil"/>
              <w:bottom w:val="double" w:sz="6" w:space="0" w:color="auto"/>
              <w:right w:val="nil"/>
            </w:tcBorders>
            <w:shd w:val="clear" w:color="auto" w:fill="auto"/>
            <w:noWrap/>
            <w:vAlign w:val="center"/>
            <w:hideMark/>
          </w:tcPr>
          <w:p w14:paraId="6FD99CBF" w14:textId="77777777" w:rsidR="00FA44D0" w:rsidRPr="00020CA3" w:rsidRDefault="00FA44D0" w:rsidP="0041601E">
            <w:pPr>
              <w:spacing w:line="240" w:lineRule="auto"/>
              <w:jc w:val="center"/>
              <w:rPr>
                <w:rFonts w:eastAsia="Times New Roman"/>
                <w:b/>
                <w:bCs/>
                <w:szCs w:val="24"/>
                <w:lang w:eastAsia="cs-CZ"/>
              </w:rPr>
            </w:pPr>
            <w:r w:rsidRPr="00020CA3">
              <w:rPr>
                <w:rFonts w:eastAsia="Times New Roman"/>
                <w:b/>
                <w:bCs/>
                <w:szCs w:val="24"/>
                <w:lang w:eastAsia="cs-CZ"/>
              </w:rPr>
              <w:t>727</w:t>
            </w:r>
          </w:p>
        </w:tc>
        <w:tc>
          <w:tcPr>
            <w:tcW w:w="1540" w:type="dxa"/>
            <w:tcBorders>
              <w:top w:val="nil"/>
              <w:left w:val="nil"/>
              <w:bottom w:val="double" w:sz="6" w:space="0" w:color="auto"/>
              <w:right w:val="nil"/>
            </w:tcBorders>
            <w:shd w:val="clear" w:color="auto" w:fill="auto"/>
            <w:noWrap/>
            <w:vAlign w:val="center"/>
            <w:hideMark/>
          </w:tcPr>
          <w:p w14:paraId="0A5F4693" w14:textId="25A3DCDD" w:rsidR="00FA44D0" w:rsidRPr="00020CA3" w:rsidRDefault="00FA44D0" w:rsidP="0041601E">
            <w:pPr>
              <w:spacing w:line="240" w:lineRule="auto"/>
              <w:jc w:val="center"/>
              <w:rPr>
                <w:rFonts w:eastAsia="Times New Roman"/>
                <w:b/>
                <w:bCs/>
                <w:szCs w:val="24"/>
                <w:lang w:eastAsia="cs-CZ"/>
              </w:rPr>
            </w:pPr>
            <w:r w:rsidRPr="00020CA3">
              <w:rPr>
                <w:rFonts w:eastAsia="Times New Roman"/>
                <w:b/>
                <w:bCs/>
                <w:szCs w:val="24"/>
                <w:lang w:eastAsia="cs-CZ"/>
              </w:rPr>
              <w:t>81,6</w:t>
            </w:r>
          </w:p>
        </w:tc>
      </w:tr>
      <w:tr w:rsidR="00020CA3" w:rsidRPr="00020CA3" w14:paraId="564A2818" w14:textId="77777777" w:rsidTr="0041601E">
        <w:trPr>
          <w:trHeight w:val="345"/>
        </w:trPr>
        <w:tc>
          <w:tcPr>
            <w:tcW w:w="6096" w:type="dxa"/>
            <w:tcBorders>
              <w:top w:val="double" w:sz="6" w:space="0" w:color="auto"/>
              <w:left w:val="nil"/>
              <w:right w:val="nil"/>
            </w:tcBorders>
            <w:shd w:val="clear" w:color="auto" w:fill="auto"/>
            <w:noWrap/>
            <w:vAlign w:val="center"/>
          </w:tcPr>
          <w:p w14:paraId="32BF9787" w14:textId="77777777" w:rsidR="00020CA3" w:rsidRPr="00020CA3" w:rsidRDefault="00020CA3" w:rsidP="0041601E">
            <w:pPr>
              <w:spacing w:line="240" w:lineRule="auto"/>
              <w:jc w:val="center"/>
              <w:rPr>
                <w:rFonts w:eastAsia="Times New Roman"/>
                <w:b/>
                <w:bCs/>
                <w:szCs w:val="24"/>
                <w:lang w:eastAsia="cs-CZ"/>
              </w:rPr>
            </w:pPr>
          </w:p>
        </w:tc>
        <w:tc>
          <w:tcPr>
            <w:tcW w:w="1540" w:type="dxa"/>
            <w:tcBorders>
              <w:top w:val="double" w:sz="6" w:space="0" w:color="auto"/>
              <w:left w:val="nil"/>
              <w:right w:val="nil"/>
            </w:tcBorders>
            <w:shd w:val="clear" w:color="auto" w:fill="auto"/>
            <w:noWrap/>
            <w:vAlign w:val="center"/>
          </w:tcPr>
          <w:p w14:paraId="7B24E1A4" w14:textId="77777777" w:rsidR="00020CA3" w:rsidRPr="00020CA3" w:rsidRDefault="00020CA3" w:rsidP="0041601E">
            <w:pPr>
              <w:spacing w:line="240" w:lineRule="auto"/>
              <w:jc w:val="center"/>
              <w:rPr>
                <w:rFonts w:eastAsia="Times New Roman"/>
                <w:b/>
                <w:bCs/>
                <w:szCs w:val="24"/>
                <w:lang w:eastAsia="cs-CZ"/>
              </w:rPr>
            </w:pPr>
          </w:p>
        </w:tc>
        <w:tc>
          <w:tcPr>
            <w:tcW w:w="1540" w:type="dxa"/>
            <w:tcBorders>
              <w:top w:val="double" w:sz="6" w:space="0" w:color="auto"/>
              <w:left w:val="nil"/>
              <w:right w:val="nil"/>
            </w:tcBorders>
            <w:shd w:val="clear" w:color="auto" w:fill="auto"/>
            <w:noWrap/>
            <w:vAlign w:val="center"/>
          </w:tcPr>
          <w:p w14:paraId="50F15B58" w14:textId="77777777" w:rsidR="00020CA3" w:rsidRPr="00020CA3" w:rsidRDefault="00020CA3" w:rsidP="0041601E">
            <w:pPr>
              <w:spacing w:line="240" w:lineRule="auto"/>
              <w:jc w:val="center"/>
              <w:rPr>
                <w:rFonts w:eastAsia="Times New Roman"/>
                <w:b/>
                <w:bCs/>
                <w:szCs w:val="24"/>
                <w:lang w:eastAsia="cs-CZ"/>
              </w:rPr>
            </w:pPr>
          </w:p>
        </w:tc>
      </w:tr>
    </w:tbl>
    <w:p w14:paraId="135A06C0" w14:textId="77777777" w:rsidR="00020CA3" w:rsidRDefault="00FA44D0" w:rsidP="00ED5CE9">
      <w:pPr>
        <w:pStyle w:val="OdstavecASR"/>
      </w:pPr>
      <w:r w:rsidRPr="00F15667">
        <w:t>V tabulce vidíme, že uložených NEPO bylo v roce 2022 pouze přes 700, tedy téměř 12krát méně než u okresních soudů. Na druhou stranu, průměrná výše NEPO byla 81,6 měsíce (skoro 7 let), což je 6krát více, než u OS. Nejvyšší tresty (v průměru 12 let) se nepřekvapivě ukládají za TČ vraždy.</w:t>
      </w:r>
    </w:p>
    <w:p w14:paraId="6496BA2C" w14:textId="49EFE611" w:rsidR="008430BD" w:rsidRPr="00F15667" w:rsidRDefault="008430BD" w:rsidP="00ED5CE9">
      <w:pPr>
        <w:pStyle w:val="OdstavecASR"/>
      </w:pPr>
      <w:r w:rsidRPr="00F15667">
        <w:br w:type="page"/>
      </w:r>
    </w:p>
    <w:p w14:paraId="05710F11" w14:textId="046363E9" w:rsidR="008430BD" w:rsidRPr="00F15667" w:rsidRDefault="008430BD" w:rsidP="008430BD">
      <w:pPr>
        <w:pStyle w:val="Nadpis2"/>
        <w:numPr>
          <w:ilvl w:val="1"/>
          <w:numId w:val="1"/>
        </w:numPr>
        <w:spacing w:before="120"/>
        <w:rPr>
          <w:color w:val="auto"/>
        </w:rPr>
      </w:pPr>
      <w:bookmarkStart w:id="799" w:name="_Toc515871262"/>
      <w:bookmarkStart w:id="800" w:name="_Toc106092769"/>
      <w:bookmarkStart w:id="801" w:name="_Toc144104382"/>
      <w:r w:rsidRPr="00F15667">
        <w:rPr>
          <w:color w:val="auto"/>
        </w:rPr>
        <w:lastRenderedPageBreak/>
        <w:t>Trestní odvolací agenda</w:t>
      </w:r>
      <w:bookmarkEnd w:id="799"/>
      <w:bookmarkEnd w:id="800"/>
      <w:bookmarkEnd w:id="801"/>
    </w:p>
    <w:p w14:paraId="3B78DD5E" w14:textId="77777777" w:rsidR="007F0FE8" w:rsidRPr="00F15667" w:rsidRDefault="007F0FE8" w:rsidP="007F0FE8">
      <w:pPr>
        <w:pStyle w:val="OdstavecASR"/>
      </w:pPr>
      <w:r w:rsidRPr="00F15667">
        <w:t>Trestní odvolací agenda zahrnuje rejstříky To a Tmo. Ke změnám ve vedení statistik nedošlo a data dále není třeba nijak očišťovat.</w:t>
      </w:r>
    </w:p>
    <w:p w14:paraId="22126025" w14:textId="7575F616" w:rsidR="008430BD" w:rsidRPr="00F15667" w:rsidRDefault="008430BD" w:rsidP="008430BD">
      <w:pPr>
        <w:pStyle w:val="Nadpis3"/>
        <w:numPr>
          <w:ilvl w:val="2"/>
          <w:numId w:val="1"/>
        </w:numPr>
        <w:rPr>
          <w:color w:val="auto"/>
        </w:rPr>
      </w:pPr>
      <w:bookmarkStart w:id="802" w:name="_Ref511391169"/>
      <w:bookmarkStart w:id="803" w:name="_Toc515871263"/>
      <w:bookmarkStart w:id="804" w:name="_Toc106092770"/>
      <w:bookmarkStart w:id="805" w:name="_Toc144104383"/>
      <w:r w:rsidRPr="00F15667">
        <w:rPr>
          <w:color w:val="auto"/>
        </w:rPr>
        <w:t>Délka řízení</w:t>
      </w:r>
      <w:bookmarkEnd w:id="802"/>
      <w:bookmarkEnd w:id="803"/>
      <w:bookmarkEnd w:id="804"/>
      <w:bookmarkEnd w:id="805"/>
    </w:p>
    <w:p w14:paraId="6774EFD3" w14:textId="77777777" w:rsidR="008646BF" w:rsidRPr="00F15667" w:rsidRDefault="008646BF" w:rsidP="008646BF">
      <w:pPr>
        <w:pStyle w:val="OdstavecASR"/>
      </w:pPr>
      <w:r w:rsidRPr="00F15667">
        <w:t>U této agendy uvádíme délku řízení ode dne nápadu u odvolacího soudu do dne jeho vyřízení, který je i dnem pravomocného skončení věci. Stejně jako u civilního řízení platí, že vyřízení věci v rámci odvolacího řízení je časově méně náročné než v prvostupňové agendě. Z grafu vyplývá, že délky řízení jsou velmi nízké (nejnižší ze všech agend) a měnily se jen velmi málo. Až v roce 2020 došlo ke zdaleka největší výchylce (nejvyššímu nárůstu) ve sledovaném období. Absolutně ale jde jen o několik dnů. Vzhledem k tomu, že délky řízení byly vždy silně stabilní, lze zvýšení délek řízení velmi pravděpodobně připsat pandemii COVID</w:t>
      </w:r>
      <w:r w:rsidRPr="00F15667">
        <w:noBreakHyphen/>
        <w:t>19. Uvedená domněnka je podpořena i faktem, že k nárůstu došlo u většiny soudů. V roce 2021 se délky řízení mírně přiblížily předchozím hodnotám. Ani na úrovni jednotlivých soudů nedošlo k žádným velkým změnám.</w:t>
      </w:r>
    </w:p>
    <w:p w14:paraId="0C216917" w14:textId="6106002E" w:rsidR="008646BF" w:rsidRPr="00F15667" w:rsidRDefault="008646BF" w:rsidP="008646BF">
      <w:pPr>
        <w:pStyle w:val="Podnadpis"/>
        <w:numPr>
          <w:ilvl w:val="0"/>
          <w:numId w:val="0"/>
        </w:numPr>
        <w:rPr>
          <w:color w:val="auto"/>
        </w:rPr>
      </w:pPr>
      <w:bookmarkStart w:id="806" w:name="_Toc515871393"/>
      <w:bookmarkStart w:id="807" w:name="_Toc11135124"/>
      <w:bookmarkStart w:id="808" w:name="_Toc43841443"/>
      <w:bookmarkStart w:id="809" w:name="_Toc75952245"/>
      <w:bookmarkStart w:id="810" w:name="_Toc106106704"/>
      <w:bookmarkStart w:id="811" w:name="_Toc109802028"/>
      <w:bookmarkStart w:id="812" w:name="_Toc144104178"/>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66</w:t>
      </w:r>
      <w:r w:rsidR="009A10E2" w:rsidRPr="00F15667">
        <w:rPr>
          <w:color w:val="auto"/>
        </w:rPr>
        <w:fldChar w:fldCharType="end"/>
      </w:r>
      <w:r w:rsidRPr="00F15667">
        <w:rPr>
          <w:color w:val="auto"/>
        </w:rPr>
        <w:t>: KS – délka odvolacího trestního řízení v letech 2008–20</w:t>
      </w:r>
      <w:bookmarkEnd w:id="806"/>
      <w:bookmarkEnd w:id="807"/>
      <w:bookmarkEnd w:id="808"/>
      <w:r w:rsidRPr="00F15667">
        <w:rPr>
          <w:color w:val="auto"/>
        </w:rPr>
        <w:t>2</w:t>
      </w:r>
      <w:bookmarkEnd w:id="809"/>
      <w:bookmarkEnd w:id="810"/>
      <w:bookmarkEnd w:id="811"/>
      <w:r w:rsidRPr="00F15667">
        <w:rPr>
          <w:color w:val="auto"/>
        </w:rPr>
        <w:t>2</w:t>
      </w:r>
      <w:bookmarkEnd w:id="812"/>
    </w:p>
    <w:p w14:paraId="34D198FE" w14:textId="67E711A0" w:rsidR="008646BF" w:rsidRPr="00F15667" w:rsidRDefault="008646BF" w:rsidP="0041601E">
      <w:pPr>
        <w:pStyle w:val="OdstavecASR"/>
      </w:pPr>
      <w:r w:rsidRPr="00F15667">
        <w:rPr>
          <w:noProof/>
          <w:lang w:eastAsia="cs-CZ"/>
        </w:rPr>
        <w:drawing>
          <wp:inline distT="0" distB="0" distL="0" distR="0" wp14:anchorId="269C20A9" wp14:editId="4E9DBEB2">
            <wp:extent cx="5029200" cy="3657600"/>
            <wp:effectExtent l="0" t="0" r="0"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E8530D8" w14:textId="536CD01F" w:rsidR="008646BF" w:rsidRPr="00F15667" w:rsidRDefault="008646BF" w:rsidP="008646BF">
      <w:pPr>
        <w:pStyle w:val="OdstavecASR"/>
      </w:pPr>
      <w:r w:rsidRPr="00F15667">
        <w:t>V roce 2022 hodnoty klesly v zásadě na úroveň před pandemií COVID-19. Na této agendě je tedy vliv pandemie zřetelně vidět.</w:t>
      </w:r>
      <w:r w:rsidR="00E3750A" w:rsidRPr="00F15667">
        <w:t xml:space="preserve"> I když změny se liší dle soudů.</w:t>
      </w:r>
      <w:r w:rsidRPr="00F15667">
        <w:t xml:space="preserve"> </w:t>
      </w:r>
      <w:r w:rsidR="00E3750A" w:rsidRPr="00F15667">
        <w:t xml:space="preserve">Teoreticky by </w:t>
      </w:r>
      <w:r w:rsidRPr="00F15667">
        <w:t xml:space="preserve">se </w:t>
      </w:r>
      <w:r w:rsidR="00E3750A" w:rsidRPr="00F15667">
        <w:t xml:space="preserve">mohlo jednat </w:t>
      </w:r>
      <w:r w:rsidRPr="00F15667">
        <w:t xml:space="preserve">o jiný, neznámý vliv v letech 2020 a 2021, to je ale nepravděpodobné. </w:t>
      </w:r>
    </w:p>
    <w:p w14:paraId="132D9B04" w14:textId="4DF97E16" w:rsidR="008646BF" w:rsidRPr="00F15667" w:rsidRDefault="008646BF" w:rsidP="008646BF">
      <w:pPr>
        <w:pStyle w:val="OdstavecASR"/>
      </w:pPr>
      <w:r w:rsidRPr="00F15667">
        <w:t xml:space="preserve">Krajské soudy vyřizují v odvolací agendě nejčastěji odvolání proti rozhodnutí o následujících trestných činech: </w:t>
      </w:r>
      <w:r w:rsidRPr="00F15667">
        <w:rPr>
          <w:i/>
        </w:rPr>
        <w:t>krádež</w:t>
      </w:r>
      <w:r w:rsidRPr="00F15667">
        <w:t xml:space="preserve"> (§ 205 trestního zákoníku), </w:t>
      </w:r>
      <w:r w:rsidRPr="00F15667">
        <w:rPr>
          <w:i/>
        </w:rPr>
        <w:t>maření výkonu úředního rozhodnutí a vykázání</w:t>
      </w:r>
      <w:r w:rsidRPr="00F15667">
        <w:t xml:space="preserve"> (§ 337) a </w:t>
      </w:r>
      <w:r w:rsidRPr="00F15667">
        <w:rPr>
          <w:i/>
        </w:rPr>
        <w:t>podvod</w:t>
      </w:r>
      <w:r w:rsidRPr="00F15667">
        <w:t xml:space="preserve"> (§ 209). Těmito trestnými činy se velmi často zabývají okresní soudy v prvním stupni. Logicky je u nich pak v absolutních číslech podáváno nejvíce odvolání.</w:t>
      </w:r>
    </w:p>
    <w:p w14:paraId="5A2B057A" w14:textId="77777777" w:rsidR="0041601E" w:rsidRDefault="0041601E">
      <w:pPr>
        <w:spacing w:after="160" w:line="259" w:lineRule="auto"/>
        <w:jc w:val="left"/>
      </w:pPr>
      <w:r>
        <w:br w:type="page"/>
      </w:r>
    </w:p>
    <w:p w14:paraId="756F8C9F" w14:textId="6A773ECD" w:rsidR="00E3750A" w:rsidRPr="00F15667" w:rsidRDefault="00E3750A" w:rsidP="00E3750A">
      <w:pPr>
        <w:pStyle w:val="Podnadpis"/>
        <w:rPr>
          <w:color w:val="auto"/>
        </w:rPr>
      </w:pPr>
      <w:bookmarkStart w:id="813" w:name="_Toc515871487"/>
      <w:bookmarkStart w:id="814" w:name="_Toc11133254"/>
      <w:bookmarkStart w:id="815" w:name="_Toc43931232"/>
      <w:bookmarkStart w:id="816" w:name="_Toc75952365"/>
      <w:bookmarkStart w:id="817" w:name="_Toc106106820"/>
      <w:bookmarkStart w:id="818" w:name="_Toc109802143"/>
      <w:bookmarkStart w:id="819" w:name="_Toc144104302"/>
      <w:r w:rsidRPr="00F15667">
        <w:rPr>
          <w:color w:val="auto"/>
        </w:rPr>
        <w:lastRenderedPageBreak/>
        <w:t xml:space="preserve">Tabulka </w:t>
      </w:r>
      <w:r w:rsidRPr="00F15667">
        <w:rPr>
          <w:noProof/>
          <w:color w:val="auto"/>
        </w:rPr>
        <w:fldChar w:fldCharType="begin"/>
      </w:r>
      <w:r w:rsidRPr="00F15667">
        <w:rPr>
          <w:noProof/>
          <w:color w:val="auto"/>
        </w:rPr>
        <w:instrText xml:space="preserve"> SEQ Tabulka \* ARABIC </w:instrText>
      </w:r>
      <w:r w:rsidRPr="00F15667">
        <w:rPr>
          <w:noProof/>
          <w:color w:val="auto"/>
        </w:rPr>
        <w:fldChar w:fldCharType="separate"/>
      </w:r>
      <w:r w:rsidR="001E1A67">
        <w:rPr>
          <w:noProof/>
          <w:color w:val="auto"/>
        </w:rPr>
        <w:t>63</w:t>
      </w:r>
      <w:r w:rsidRPr="00F15667">
        <w:rPr>
          <w:noProof/>
          <w:color w:val="auto"/>
        </w:rPr>
        <w:fldChar w:fldCharType="end"/>
      </w:r>
      <w:r w:rsidRPr="00F15667">
        <w:rPr>
          <w:color w:val="auto"/>
        </w:rPr>
        <w:t>: KS – délky odvolacího trestního řízení dle soudů</w:t>
      </w:r>
      <w:bookmarkEnd w:id="813"/>
      <w:bookmarkEnd w:id="814"/>
      <w:bookmarkEnd w:id="815"/>
      <w:bookmarkEnd w:id="816"/>
      <w:bookmarkEnd w:id="817"/>
      <w:bookmarkEnd w:id="818"/>
      <w:bookmarkEnd w:id="819"/>
    </w:p>
    <w:tbl>
      <w:tblPr>
        <w:tblW w:w="8080" w:type="dxa"/>
        <w:tblCellMar>
          <w:left w:w="70" w:type="dxa"/>
          <w:right w:w="70" w:type="dxa"/>
        </w:tblCellMar>
        <w:tblLook w:val="04A0" w:firstRow="1" w:lastRow="0" w:firstColumn="1" w:lastColumn="0" w:noHBand="0" w:noVBand="1"/>
      </w:tblPr>
      <w:tblGrid>
        <w:gridCol w:w="2480"/>
        <w:gridCol w:w="1064"/>
        <w:gridCol w:w="851"/>
        <w:gridCol w:w="992"/>
        <w:gridCol w:w="850"/>
        <w:gridCol w:w="975"/>
        <w:gridCol w:w="868"/>
      </w:tblGrid>
      <w:tr w:rsidR="00F15667" w:rsidRPr="00F15667" w14:paraId="39DDF8C4" w14:textId="77777777" w:rsidTr="0041601E">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F0420A9" w14:textId="23269C65" w:rsidR="00E3750A" w:rsidRPr="00F15667" w:rsidRDefault="0041601E" w:rsidP="0041601E">
            <w:pPr>
              <w:spacing w:line="240" w:lineRule="auto"/>
              <w:jc w:val="center"/>
              <w:rPr>
                <w:rFonts w:eastAsia="Times New Roman"/>
                <w:b/>
                <w:bCs/>
                <w:szCs w:val="24"/>
                <w:lang w:eastAsia="cs-CZ"/>
              </w:rPr>
            </w:pPr>
            <w:r>
              <w:rPr>
                <w:rFonts w:eastAsia="Times New Roman"/>
                <w:b/>
                <w:bCs/>
                <w:szCs w:val="24"/>
                <w:lang w:eastAsia="cs-CZ"/>
              </w:rPr>
              <w:t>S</w:t>
            </w:r>
            <w:r w:rsidR="00E3750A" w:rsidRPr="00F15667">
              <w:rPr>
                <w:rFonts w:eastAsia="Times New Roman"/>
                <w:b/>
                <w:bCs/>
                <w:szCs w:val="24"/>
                <w:lang w:eastAsia="cs-CZ"/>
              </w:rPr>
              <w:t>oud</w:t>
            </w:r>
          </w:p>
        </w:tc>
        <w:tc>
          <w:tcPr>
            <w:tcW w:w="5600" w:type="dxa"/>
            <w:gridSpan w:val="6"/>
            <w:tcBorders>
              <w:top w:val="double" w:sz="6" w:space="0" w:color="auto"/>
              <w:left w:val="nil"/>
              <w:bottom w:val="nil"/>
              <w:right w:val="nil"/>
            </w:tcBorders>
            <w:shd w:val="clear" w:color="auto" w:fill="auto"/>
            <w:noWrap/>
            <w:vAlign w:val="center"/>
            <w:hideMark/>
          </w:tcPr>
          <w:p w14:paraId="0C65D661" w14:textId="77777777" w:rsidR="00E3750A" w:rsidRPr="00F15667" w:rsidRDefault="00E3750A" w:rsidP="0041601E">
            <w:pPr>
              <w:spacing w:line="240" w:lineRule="auto"/>
              <w:jc w:val="center"/>
              <w:rPr>
                <w:rFonts w:eastAsia="Times New Roman"/>
                <w:b/>
                <w:bCs/>
                <w:szCs w:val="24"/>
                <w:lang w:eastAsia="cs-CZ"/>
              </w:rPr>
            </w:pPr>
            <w:r w:rsidRPr="00F15667">
              <w:rPr>
                <w:rFonts w:eastAsia="Times New Roman"/>
                <w:b/>
                <w:bCs/>
                <w:szCs w:val="24"/>
                <w:lang w:eastAsia="cs-CZ"/>
              </w:rPr>
              <w:t>Délka řízení</w:t>
            </w:r>
          </w:p>
        </w:tc>
      </w:tr>
      <w:tr w:rsidR="00F15667" w:rsidRPr="00F15667" w14:paraId="78FAA8DA" w14:textId="77777777" w:rsidTr="0041601E">
        <w:trPr>
          <w:trHeight w:val="330"/>
        </w:trPr>
        <w:tc>
          <w:tcPr>
            <w:tcW w:w="2480" w:type="dxa"/>
            <w:vMerge/>
            <w:tcBorders>
              <w:top w:val="double" w:sz="6" w:space="0" w:color="auto"/>
              <w:left w:val="nil"/>
              <w:bottom w:val="double" w:sz="6" w:space="0" w:color="000000"/>
              <w:right w:val="nil"/>
            </w:tcBorders>
            <w:vAlign w:val="center"/>
            <w:hideMark/>
          </w:tcPr>
          <w:p w14:paraId="139D5385" w14:textId="77777777" w:rsidR="00E3750A" w:rsidRPr="00F15667" w:rsidRDefault="00E3750A" w:rsidP="0041601E">
            <w:pPr>
              <w:spacing w:line="240" w:lineRule="auto"/>
              <w:jc w:val="center"/>
              <w:rPr>
                <w:rFonts w:eastAsia="Times New Roman"/>
                <w:b/>
                <w:bCs/>
                <w:szCs w:val="24"/>
                <w:lang w:eastAsia="cs-CZ"/>
              </w:rPr>
            </w:pPr>
          </w:p>
        </w:tc>
        <w:tc>
          <w:tcPr>
            <w:tcW w:w="1915" w:type="dxa"/>
            <w:gridSpan w:val="2"/>
            <w:tcBorders>
              <w:top w:val="nil"/>
              <w:left w:val="nil"/>
              <w:bottom w:val="double" w:sz="6" w:space="0" w:color="auto"/>
              <w:right w:val="nil"/>
            </w:tcBorders>
            <w:shd w:val="clear" w:color="auto" w:fill="auto"/>
            <w:noWrap/>
            <w:vAlign w:val="center"/>
            <w:hideMark/>
          </w:tcPr>
          <w:p w14:paraId="1599C067" w14:textId="77777777" w:rsidR="00E3750A" w:rsidRPr="00F15667" w:rsidRDefault="00E3750A" w:rsidP="0041601E">
            <w:pPr>
              <w:spacing w:line="240" w:lineRule="auto"/>
              <w:jc w:val="center"/>
              <w:rPr>
                <w:rFonts w:eastAsia="Times New Roman"/>
                <w:b/>
                <w:bCs/>
                <w:szCs w:val="24"/>
                <w:lang w:eastAsia="cs-CZ"/>
              </w:rPr>
            </w:pPr>
            <w:r w:rsidRPr="00F15667">
              <w:rPr>
                <w:rFonts w:eastAsia="Times New Roman"/>
                <w:b/>
                <w:bCs/>
                <w:szCs w:val="24"/>
                <w:lang w:eastAsia="cs-CZ"/>
              </w:rPr>
              <w:t>Průměr</w:t>
            </w:r>
          </w:p>
        </w:tc>
        <w:tc>
          <w:tcPr>
            <w:tcW w:w="184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676F3E7" w14:textId="77777777" w:rsidR="00E3750A" w:rsidRPr="00F15667" w:rsidRDefault="00E3750A" w:rsidP="0041601E">
            <w:pPr>
              <w:spacing w:line="240" w:lineRule="auto"/>
              <w:jc w:val="center"/>
              <w:rPr>
                <w:rFonts w:eastAsia="Times New Roman"/>
                <w:b/>
                <w:bCs/>
                <w:szCs w:val="24"/>
                <w:lang w:eastAsia="cs-CZ"/>
              </w:rPr>
            </w:pPr>
            <w:r w:rsidRPr="00F15667">
              <w:rPr>
                <w:rFonts w:eastAsia="Times New Roman"/>
                <w:b/>
                <w:bCs/>
                <w:szCs w:val="24"/>
                <w:lang w:eastAsia="cs-CZ"/>
              </w:rPr>
              <w:t>Medián</w:t>
            </w:r>
          </w:p>
        </w:tc>
        <w:tc>
          <w:tcPr>
            <w:tcW w:w="1843" w:type="dxa"/>
            <w:gridSpan w:val="2"/>
            <w:tcBorders>
              <w:top w:val="nil"/>
              <w:left w:val="nil"/>
              <w:bottom w:val="double" w:sz="6" w:space="0" w:color="auto"/>
              <w:right w:val="nil"/>
            </w:tcBorders>
            <w:shd w:val="clear" w:color="auto" w:fill="auto"/>
            <w:noWrap/>
            <w:vAlign w:val="center"/>
            <w:hideMark/>
          </w:tcPr>
          <w:p w14:paraId="5C77BF81" w14:textId="77777777" w:rsidR="00E3750A" w:rsidRPr="00F15667" w:rsidRDefault="00E3750A" w:rsidP="0041601E">
            <w:pPr>
              <w:spacing w:line="240" w:lineRule="auto"/>
              <w:jc w:val="center"/>
              <w:rPr>
                <w:rFonts w:eastAsia="Times New Roman"/>
                <w:b/>
                <w:bCs/>
                <w:szCs w:val="24"/>
                <w:lang w:eastAsia="cs-CZ"/>
              </w:rPr>
            </w:pPr>
            <w:r w:rsidRPr="00F15667">
              <w:rPr>
                <w:rFonts w:eastAsia="Times New Roman"/>
                <w:b/>
                <w:bCs/>
                <w:szCs w:val="24"/>
                <w:lang w:eastAsia="cs-CZ"/>
              </w:rPr>
              <w:t>Percentil 90</w:t>
            </w:r>
          </w:p>
        </w:tc>
      </w:tr>
      <w:tr w:rsidR="00F15667" w:rsidRPr="00F15667" w14:paraId="48A6B683" w14:textId="77777777" w:rsidTr="0041601E">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432CB01A" w14:textId="77777777" w:rsidR="00E3750A" w:rsidRPr="00F15667" w:rsidRDefault="00E3750A" w:rsidP="0041601E">
            <w:pPr>
              <w:spacing w:line="240" w:lineRule="auto"/>
              <w:jc w:val="left"/>
              <w:rPr>
                <w:rFonts w:eastAsia="Times New Roman"/>
                <w:szCs w:val="24"/>
                <w:lang w:eastAsia="cs-CZ"/>
              </w:rPr>
            </w:pPr>
            <w:r w:rsidRPr="00F15667">
              <w:rPr>
                <w:rFonts w:eastAsia="Times New Roman"/>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center"/>
            <w:hideMark/>
          </w:tcPr>
          <w:p w14:paraId="246CA77E"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50</w:t>
            </w:r>
          </w:p>
        </w:tc>
        <w:tc>
          <w:tcPr>
            <w:tcW w:w="851" w:type="dxa"/>
            <w:tcBorders>
              <w:top w:val="single" w:sz="4" w:space="0" w:color="auto"/>
              <w:left w:val="nil"/>
              <w:bottom w:val="single" w:sz="4" w:space="0" w:color="auto"/>
              <w:right w:val="nil"/>
            </w:tcBorders>
            <w:shd w:val="clear" w:color="auto" w:fill="auto"/>
            <w:noWrap/>
            <w:vAlign w:val="center"/>
            <w:hideMark/>
          </w:tcPr>
          <w:p w14:paraId="776262A3" w14:textId="1B4A8ED5"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992" w:type="dxa"/>
            <w:tcBorders>
              <w:top w:val="nil"/>
              <w:left w:val="single" w:sz="4" w:space="0" w:color="auto"/>
              <w:bottom w:val="single" w:sz="4" w:space="0" w:color="auto"/>
              <w:right w:val="nil"/>
            </w:tcBorders>
            <w:shd w:val="clear" w:color="auto" w:fill="auto"/>
            <w:noWrap/>
            <w:vAlign w:val="center"/>
            <w:hideMark/>
          </w:tcPr>
          <w:p w14:paraId="146F0D90"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34</w:t>
            </w:r>
          </w:p>
        </w:tc>
        <w:tc>
          <w:tcPr>
            <w:tcW w:w="850" w:type="dxa"/>
            <w:tcBorders>
              <w:top w:val="nil"/>
              <w:left w:val="nil"/>
              <w:bottom w:val="single" w:sz="4" w:space="0" w:color="auto"/>
              <w:right w:val="single" w:sz="4" w:space="0" w:color="auto"/>
            </w:tcBorders>
            <w:shd w:val="clear" w:color="auto" w:fill="auto"/>
            <w:noWrap/>
            <w:vAlign w:val="center"/>
            <w:hideMark/>
          </w:tcPr>
          <w:p w14:paraId="03681B04" w14:textId="16564771"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975" w:type="dxa"/>
            <w:tcBorders>
              <w:top w:val="single" w:sz="4" w:space="0" w:color="auto"/>
              <w:left w:val="nil"/>
              <w:bottom w:val="single" w:sz="4" w:space="0" w:color="auto"/>
              <w:right w:val="nil"/>
            </w:tcBorders>
            <w:shd w:val="clear" w:color="auto" w:fill="auto"/>
            <w:noWrap/>
            <w:vAlign w:val="center"/>
            <w:hideMark/>
          </w:tcPr>
          <w:p w14:paraId="4BE129CA"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88</w:t>
            </w:r>
          </w:p>
        </w:tc>
        <w:tc>
          <w:tcPr>
            <w:tcW w:w="868" w:type="dxa"/>
            <w:tcBorders>
              <w:top w:val="single" w:sz="4" w:space="0" w:color="auto"/>
              <w:left w:val="nil"/>
              <w:bottom w:val="single" w:sz="4" w:space="0" w:color="auto"/>
              <w:right w:val="nil"/>
            </w:tcBorders>
            <w:shd w:val="clear" w:color="auto" w:fill="auto"/>
            <w:noWrap/>
            <w:vAlign w:val="center"/>
            <w:hideMark/>
          </w:tcPr>
          <w:p w14:paraId="180D1336" w14:textId="06FF6729"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+6 %</w:t>
            </w:r>
          </w:p>
        </w:tc>
      </w:tr>
      <w:tr w:rsidR="00F15667" w:rsidRPr="00F15667" w14:paraId="34E5FB97" w14:textId="77777777" w:rsidTr="0041601E">
        <w:trPr>
          <w:trHeight w:val="315"/>
        </w:trPr>
        <w:tc>
          <w:tcPr>
            <w:tcW w:w="2480" w:type="dxa"/>
            <w:tcBorders>
              <w:top w:val="nil"/>
              <w:left w:val="nil"/>
              <w:bottom w:val="single" w:sz="4" w:space="0" w:color="auto"/>
              <w:right w:val="nil"/>
            </w:tcBorders>
            <w:shd w:val="clear" w:color="auto" w:fill="auto"/>
            <w:noWrap/>
            <w:vAlign w:val="center"/>
            <w:hideMark/>
          </w:tcPr>
          <w:p w14:paraId="3EB4ACC3" w14:textId="77777777" w:rsidR="00E3750A" w:rsidRPr="00F15667" w:rsidRDefault="00E3750A" w:rsidP="0041601E">
            <w:pPr>
              <w:spacing w:line="240" w:lineRule="auto"/>
              <w:jc w:val="left"/>
              <w:rPr>
                <w:rFonts w:eastAsia="Times New Roman"/>
                <w:szCs w:val="24"/>
                <w:lang w:eastAsia="cs-CZ"/>
              </w:rPr>
            </w:pPr>
            <w:r w:rsidRPr="00F15667">
              <w:rPr>
                <w:rFonts w:eastAsia="Times New Roman"/>
                <w:szCs w:val="24"/>
                <w:lang w:eastAsia="cs-CZ"/>
              </w:rPr>
              <w:t>KS Praha</w:t>
            </w:r>
          </w:p>
        </w:tc>
        <w:tc>
          <w:tcPr>
            <w:tcW w:w="1064" w:type="dxa"/>
            <w:tcBorders>
              <w:top w:val="nil"/>
              <w:left w:val="nil"/>
              <w:bottom w:val="single" w:sz="4" w:space="0" w:color="auto"/>
              <w:right w:val="nil"/>
            </w:tcBorders>
            <w:shd w:val="clear" w:color="auto" w:fill="auto"/>
            <w:noWrap/>
            <w:vAlign w:val="center"/>
            <w:hideMark/>
          </w:tcPr>
          <w:p w14:paraId="34548145"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33</w:t>
            </w:r>
          </w:p>
        </w:tc>
        <w:tc>
          <w:tcPr>
            <w:tcW w:w="851" w:type="dxa"/>
            <w:tcBorders>
              <w:top w:val="nil"/>
              <w:left w:val="nil"/>
              <w:bottom w:val="single" w:sz="4" w:space="0" w:color="auto"/>
              <w:right w:val="nil"/>
            </w:tcBorders>
            <w:shd w:val="clear" w:color="auto" w:fill="auto"/>
            <w:noWrap/>
            <w:vAlign w:val="center"/>
            <w:hideMark/>
          </w:tcPr>
          <w:p w14:paraId="28EFF209" w14:textId="0F2550B6"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992" w:type="dxa"/>
            <w:tcBorders>
              <w:top w:val="nil"/>
              <w:left w:val="single" w:sz="4" w:space="0" w:color="auto"/>
              <w:bottom w:val="single" w:sz="4" w:space="0" w:color="auto"/>
              <w:right w:val="nil"/>
            </w:tcBorders>
            <w:shd w:val="clear" w:color="auto" w:fill="auto"/>
            <w:noWrap/>
            <w:vAlign w:val="center"/>
            <w:hideMark/>
          </w:tcPr>
          <w:p w14:paraId="1824FF11"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28</w:t>
            </w:r>
          </w:p>
        </w:tc>
        <w:tc>
          <w:tcPr>
            <w:tcW w:w="850" w:type="dxa"/>
            <w:tcBorders>
              <w:top w:val="nil"/>
              <w:left w:val="nil"/>
              <w:bottom w:val="single" w:sz="4" w:space="0" w:color="auto"/>
              <w:right w:val="single" w:sz="4" w:space="0" w:color="auto"/>
            </w:tcBorders>
            <w:shd w:val="clear" w:color="auto" w:fill="auto"/>
            <w:noWrap/>
            <w:vAlign w:val="center"/>
            <w:hideMark/>
          </w:tcPr>
          <w:p w14:paraId="5E59E0B4" w14:textId="25960E2A"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975" w:type="dxa"/>
            <w:tcBorders>
              <w:top w:val="nil"/>
              <w:left w:val="nil"/>
              <w:bottom w:val="single" w:sz="4" w:space="0" w:color="auto"/>
              <w:right w:val="nil"/>
            </w:tcBorders>
            <w:shd w:val="clear" w:color="auto" w:fill="auto"/>
            <w:noWrap/>
            <w:vAlign w:val="center"/>
            <w:hideMark/>
          </w:tcPr>
          <w:p w14:paraId="390E35B4"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53</w:t>
            </w:r>
          </w:p>
        </w:tc>
        <w:tc>
          <w:tcPr>
            <w:tcW w:w="868" w:type="dxa"/>
            <w:tcBorders>
              <w:top w:val="nil"/>
              <w:left w:val="nil"/>
              <w:bottom w:val="single" w:sz="4" w:space="0" w:color="auto"/>
              <w:right w:val="nil"/>
            </w:tcBorders>
            <w:shd w:val="clear" w:color="auto" w:fill="auto"/>
            <w:noWrap/>
            <w:vAlign w:val="center"/>
            <w:hideMark/>
          </w:tcPr>
          <w:p w14:paraId="712F0BD6" w14:textId="08AA3601"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-17 %</w:t>
            </w:r>
          </w:p>
        </w:tc>
      </w:tr>
      <w:tr w:rsidR="00F15667" w:rsidRPr="00F15667" w14:paraId="0AA9A7FA" w14:textId="77777777" w:rsidTr="0041601E">
        <w:trPr>
          <w:trHeight w:val="315"/>
        </w:trPr>
        <w:tc>
          <w:tcPr>
            <w:tcW w:w="2480" w:type="dxa"/>
            <w:tcBorders>
              <w:top w:val="nil"/>
              <w:left w:val="nil"/>
              <w:bottom w:val="single" w:sz="4" w:space="0" w:color="auto"/>
              <w:right w:val="nil"/>
            </w:tcBorders>
            <w:shd w:val="clear" w:color="auto" w:fill="auto"/>
            <w:noWrap/>
            <w:vAlign w:val="center"/>
            <w:hideMark/>
          </w:tcPr>
          <w:p w14:paraId="75F1AA97" w14:textId="77777777" w:rsidR="00E3750A" w:rsidRPr="00F15667" w:rsidRDefault="00E3750A" w:rsidP="0041601E">
            <w:pPr>
              <w:spacing w:line="240" w:lineRule="auto"/>
              <w:jc w:val="left"/>
              <w:rPr>
                <w:rFonts w:eastAsia="Times New Roman"/>
                <w:szCs w:val="24"/>
                <w:lang w:eastAsia="cs-CZ"/>
              </w:rPr>
            </w:pPr>
            <w:r w:rsidRPr="00F15667">
              <w:rPr>
                <w:rFonts w:eastAsia="Times New Roman"/>
                <w:szCs w:val="24"/>
                <w:lang w:eastAsia="cs-CZ"/>
              </w:rPr>
              <w:t>KS Č. Budějovice</w:t>
            </w:r>
          </w:p>
        </w:tc>
        <w:tc>
          <w:tcPr>
            <w:tcW w:w="1064" w:type="dxa"/>
            <w:tcBorders>
              <w:top w:val="nil"/>
              <w:left w:val="nil"/>
              <w:bottom w:val="single" w:sz="4" w:space="0" w:color="auto"/>
              <w:right w:val="nil"/>
            </w:tcBorders>
            <w:shd w:val="clear" w:color="auto" w:fill="auto"/>
            <w:noWrap/>
            <w:vAlign w:val="center"/>
            <w:hideMark/>
          </w:tcPr>
          <w:p w14:paraId="532A61C8"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55</w:t>
            </w:r>
          </w:p>
        </w:tc>
        <w:tc>
          <w:tcPr>
            <w:tcW w:w="851" w:type="dxa"/>
            <w:tcBorders>
              <w:top w:val="nil"/>
              <w:left w:val="nil"/>
              <w:bottom w:val="single" w:sz="4" w:space="0" w:color="auto"/>
              <w:right w:val="nil"/>
            </w:tcBorders>
            <w:shd w:val="clear" w:color="auto" w:fill="auto"/>
            <w:noWrap/>
            <w:vAlign w:val="center"/>
            <w:hideMark/>
          </w:tcPr>
          <w:p w14:paraId="1BF62A79" w14:textId="04E6888D"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-40 %</w:t>
            </w:r>
          </w:p>
        </w:tc>
        <w:tc>
          <w:tcPr>
            <w:tcW w:w="992" w:type="dxa"/>
            <w:tcBorders>
              <w:top w:val="nil"/>
              <w:left w:val="single" w:sz="4" w:space="0" w:color="auto"/>
              <w:bottom w:val="single" w:sz="4" w:space="0" w:color="auto"/>
              <w:right w:val="nil"/>
            </w:tcBorders>
            <w:shd w:val="clear" w:color="auto" w:fill="auto"/>
            <w:noWrap/>
            <w:vAlign w:val="center"/>
            <w:hideMark/>
          </w:tcPr>
          <w:p w14:paraId="4DC81E40"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44</w:t>
            </w:r>
          </w:p>
        </w:tc>
        <w:tc>
          <w:tcPr>
            <w:tcW w:w="850" w:type="dxa"/>
            <w:tcBorders>
              <w:top w:val="nil"/>
              <w:left w:val="nil"/>
              <w:bottom w:val="single" w:sz="4" w:space="0" w:color="auto"/>
              <w:right w:val="single" w:sz="4" w:space="0" w:color="auto"/>
            </w:tcBorders>
            <w:shd w:val="clear" w:color="auto" w:fill="auto"/>
            <w:noWrap/>
            <w:vAlign w:val="center"/>
            <w:hideMark/>
          </w:tcPr>
          <w:p w14:paraId="113D633B" w14:textId="1B1147F1"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-29 %</w:t>
            </w:r>
          </w:p>
        </w:tc>
        <w:tc>
          <w:tcPr>
            <w:tcW w:w="975" w:type="dxa"/>
            <w:tcBorders>
              <w:top w:val="nil"/>
              <w:left w:val="nil"/>
              <w:bottom w:val="single" w:sz="4" w:space="0" w:color="auto"/>
              <w:right w:val="nil"/>
            </w:tcBorders>
            <w:shd w:val="clear" w:color="auto" w:fill="auto"/>
            <w:noWrap/>
            <w:vAlign w:val="center"/>
            <w:hideMark/>
          </w:tcPr>
          <w:p w14:paraId="7B148A13"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123</w:t>
            </w:r>
          </w:p>
        </w:tc>
        <w:tc>
          <w:tcPr>
            <w:tcW w:w="868" w:type="dxa"/>
            <w:tcBorders>
              <w:top w:val="nil"/>
              <w:left w:val="nil"/>
              <w:bottom w:val="single" w:sz="4" w:space="0" w:color="auto"/>
              <w:right w:val="nil"/>
            </w:tcBorders>
            <w:shd w:val="clear" w:color="auto" w:fill="auto"/>
            <w:noWrap/>
            <w:vAlign w:val="center"/>
            <w:hideMark/>
          </w:tcPr>
          <w:p w14:paraId="5E01EB38" w14:textId="01019D4E"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-22 %</w:t>
            </w:r>
          </w:p>
        </w:tc>
      </w:tr>
      <w:tr w:rsidR="00F15667" w:rsidRPr="00F15667" w14:paraId="267B5DA7" w14:textId="77777777" w:rsidTr="0041601E">
        <w:trPr>
          <w:trHeight w:val="315"/>
        </w:trPr>
        <w:tc>
          <w:tcPr>
            <w:tcW w:w="2480" w:type="dxa"/>
            <w:tcBorders>
              <w:top w:val="nil"/>
              <w:left w:val="nil"/>
              <w:bottom w:val="single" w:sz="4" w:space="0" w:color="auto"/>
              <w:right w:val="nil"/>
            </w:tcBorders>
            <w:shd w:val="clear" w:color="auto" w:fill="auto"/>
            <w:noWrap/>
            <w:vAlign w:val="center"/>
            <w:hideMark/>
          </w:tcPr>
          <w:p w14:paraId="299DD320" w14:textId="77777777" w:rsidR="00E3750A" w:rsidRPr="00F15667" w:rsidRDefault="00E3750A" w:rsidP="0041601E">
            <w:pPr>
              <w:spacing w:line="240" w:lineRule="auto"/>
              <w:jc w:val="left"/>
              <w:rPr>
                <w:rFonts w:eastAsia="Times New Roman"/>
                <w:szCs w:val="24"/>
                <w:lang w:eastAsia="cs-CZ"/>
              </w:rPr>
            </w:pPr>
            <w:r w:rsidRPr="00F15667">
              <w:rPr>
                <w:rFonts w:eastAsia="Times New Roman"/>
                <w:szCs w:val="24"/>
                <w:lang w:eastAsia="cs-CZ"/>
              </w:rPr>
              <w:t>KS Plzeň</w:t>
            </w:r>
          </w:p>
        </w:tc>
        <w:tc>
          <w:tcPr>
            <w:tcW w:w="1064" w:type="dxa"/>
            <w:tcBorders>
              <w:top w:val="nil"/>
              <w:left w:val="nil"/>
              <w:bottom w:val="single" w:sz="4" w:space="0" w:color="auto"/>
              <w:right w:val="nil"/>
            </w:tcBorders>
            <w:shd w:val="clear" w:color="auto" w:fill="auto"/>
            <w:noWrap/>
            <w:vAlign w:val="center"/>
            <w:hideMark/>
          </w:tcPr>
          <w:p w14:paraId="26B93A09"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57</w:t>
            </w:r>
          </w:p>
        </w:tc>
        <w:tc>
          <w:tcPr>
            <w:tcW w:w="851" w:type="dxa"/>
            <w:tcBorders>
              <w:top w:val="nil"/>
              <w:left w:val="nil"/>
              <w:bottom w:val="single" w:sz="4" w:space="0" w:color="auto"/>
              <w:right w:val="nil"/>
            </w:tcBorders>
            <w:shd w:val="clear" w:color="auto" w:fill="auto"/>
            <w:noWrap/>
            <w:vAlign w:val="center"/>
            <w:hideMark/>
          </w:tcPr>
          <w:p w14:paraId="2AF422B8" w14:textId="35FC6804"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992" w:type="dxa"/>
            <w:tcBorders>
              <w:top w:val="nil"/>
              <w:left w:val="single" w:sz="4" w:space="0" w:color="auto"/>
              <w:bottom w:val="single" w:sz="4" w:space="0" w:color="auto"/>
              <w:right w:val="nil"/>
            </w:tcBorders>
            <w:shd w:val="clear" w:color="auto" w:fill="auto"/>
            <w:noWrap/>
            <w:vAlign w:val="center"/>
            <w:hideMark/>
          </w:tcPr>
          <w:p w14:paraId="72E4B034"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41</w:t>
            </w:r>
          </w:p>
        </w:tc>
        <w:tc>
          <w:tcPr>
            <w:tcW w:w="850" w:type="dxa"/>
            <w:tcBorders>
              <w:top w:val="nil"/>
              <w:left w:val="nil"/>
              <w:bottom w:val="single" w:sz="4" w:space="0" w:color="auto"/>
              <w:right w:val="single" w:sz="4" w:space="0" w:color="auto"/>
            </w:tcBorders>
            <w:shd w:val="clear" w:color="auto" w:fill="auto"/>
            <w:noWrap/>
            <w:vAlign w:val="center"/>
            <w:hideMark/>
          </w:tcPr>
          <w:p w14:paraId="4A48A00B" w14:textId="2F2F4184"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975" w:type="dxa"/>
            <w:tcBorders>
              <w:top w:val="nil"/>
              <w:left w:val="nil"/>
              <w:bottom w:val="single" w:sz="4" w:space="0" w:color="auto"/>
              <w:right w:val="nil"/>
            </w:tcBorders>
            <w:shd w:val="clear" w:color="auto" w:fill="auto"/>
            <w:noWrap/>
            <w:vAlign w:val="center"/>
            <w:hideMark/>
          </w:tcPr>
          <w:p w14:paraId="5F30A83A"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95</w:t>
            </w:r>
          </w:p>
        </w:tc>
        <w:tc>
          <w:tcPr>
            <w:tcW w:w="868" w:type="dxa"/>
            <w:tcBorders>
              <w:top w:val="nil"/>
              <w:left w:val="nil"/>
              <w:bottom w:val="single" w:sz="4" w:space="0" w:color="auto"/>
              <w:right w:val="nil"/>
            </w:tcBorders>
            <w:shd w:val="clear" w:color="auto" w:fill="auto"/>
            <w:noWrap/>
            <w:vAlign w:val="center"/>
            <w:hideMark/>
          </w:tcPr>
          <w:p w14:paraId="68B297ED" w14:textId="42F11EA6"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-33 %</w:t>
            </w:r>
          </w:p>
        </w:tc>
      </w:tr>
      <w:tr w:rsidR="00F15667" w:rsidRPr="00F15667" w14:paraId="16D3EC73" w14:textId="77777777" w:rsidTr="0041601E">
        <w:trPr>
          <w:trHeight w:val="315"/>
        </w:trPr>
        <w:tc>
          <w:tcPr>
            <w:tcW w:w="2480" w:type="dxa"/>
            <w:tcBorders>
              <w:top w:val="nil"/>
              <w:left w:val="nil"/>
              <w:bottom w:val="single" w:sz="4" w:space="0" w:color="auto"/>
              <w:right w:val="nil"/>
            </w:tcBorders>
            <w:shd w:val="clear" w:color="auto" w:fill="auto"/>
            <w:noWrap/>
            <w:vAlign w:val="center"/>
            <w:hideMark/>
          </w:tcPr>
          <w:p w14:paraId="65C4A17D" w14:textId="77777777" w:rsidR="00E3750A" w:rsidRPr="00F15667" w:rsidRDefault="00E3750A" w:rsidP="0041601E">
            <w:pPr>
              <w:spacing w:line="240" w:lineRule="auto"/>
              <w:jc w:val="left"/>
              <w:rPr>
                <w:rFonts w:eastAsia="Times New Roman"/>
                <w:szCs w:val="24"/>
                <w:lang w:eastAsia="cs-CZ"/>
              </w:rPr>
            </w:pPr>
            <w:r w:rsidRPr="00F15667">
              <w:rPr>
                <w:rFonts w:eastAsia="Times New Roman"/>
                <w:szCs w:val="24"/>
                <w:lang w:eastAsia="cs-CZ"/>
              </w:rPr>
              <w:t>KS Ústí n. Labem</w:t>
            </w:r>
          </w:p>
        </w:tc>
        <w:tc>
          <w:tcPr>
            <w:tcW w:w="1064" w:type="dxa"/>
            <w:tcBorders>
              <w:top w:val="nil"/>
              <w:left w:val="nil"/>
              <w:bottom w:val="single" w:sz="4" w:space="0" w:color="auto"/>
              <w:right w:val="nil"/>
            </w:tcBorders>
            <w:shd w:val="clear" w:color="auto" w:fill="auto"/>
            <w:noWrap/>
            <w:vAlign w:val="center"/>
            <w:hideMark/>
          </w:tcPr>
          <w:p w14:paraId="43741FBD"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84</w:t>
            </w:r>
          </w:p>
        </w:tc>
        <w:tc>
          <w:tcPr>
            <w:tcW w:w="851" w:type="dxa"/>
            <w:tcBorders>
              <w:top w:val="nil"/>
              <w:left w:val="nil"/>
              <w:bottom w:val="single" w:sz="4" w:space="0" w:color="auto"/>
              <w:right w:val="nil"/>
            </w:tcBorders>
            <w:shd w:val="clear" w:color="auto" w:fill="auto"/>
            <w:noWrap/>
            <w:vAlign w:val="center"/>
            <w:hideMark/>
          </w:tcPr>
          <w:p w14:paraId="58F25BA4" w14:textId="37319AE6"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992" w:type="dxa"/>
            <w:tcBorders>
              <w:top w:val="nil"/>
              <w:left w:val="single" w:sz="4" w:space="0" w:color="auto"/>
              <w:bottom w:val="single" w:sz="4" w:space="0" w:color="auto"/>
              <w:right w:val="nil"/>
            </w:tcBorders>
            <w:shd w:val="clear" w:color="auto" w:fill="auto"/>
            <w:noWrap/>
            <w:vAlign w:val="center"/>
            <w:hideMark/>
          </w:tcPr>
          <w:p w14:paraId="64B29571"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50</w:t>
            </w:r>
          </w:p>
        </w:tc>
        <w:tc>
          <w:tcPr>
            <w:tcW w:w="850" w:type="dxa"/>
            <w:tcBorders>
              <w:top w:val="nil"/>
              <w:left w:val="nil"/>
              <w:bottom w:val="single" w:sz="4" w:space="0" w:color="auto"/>
              <w:right w:val="single" w:sz="4" w:space="0" w:color="auto"/>
            </w:tcBorders>
            <w:shd w:val="clear" w:color="auto" w:fill="auto"/>
            <w:noWrap/>
            <w:vAlign w:val="center"/>
            <w:hideMark/>
          </w:tcPr>
          <w:p w14:paraId="321BFB59" w14:textId="0510462C"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-9 %</w:t>
            </w:r>
          </w:p>
        </w:tc>
        <w:tc>
          <w:tcPr>
            <w:tcW w:w="975" w:type="dxa"/>
            <w:tcBorders>
              <w:top w:val="nil"/>
              <w:left w:val="nil"/>
              <w:bottom w:val="single" w:sz="4" w:space="0" w:color="auto"/>
              <w:right w:val="nil"/>
            </w:tcBorders>
            <w:shd w:val="clear" w:color="auto" w:fill="auto"/>
            <w:noWrap/>
            <w:vAlign w:val="center"/>
            <w:hideMark/>
          </w:tcPr>
          <w:p w14:paraId="7686635D"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195</w:t>
            </w:r>
          </w:p>
        </w:tc>
        <w:tc>
          <w:tcPr>
            <w:tcW w:w="868" w:type="dxa"/>
            <w:tcBorders>
              <w:top w:val="nil"/>
              <w:left w:val="nil"/>
              <w:bottom w:val="single" w:sz="4" w:space="0" w:color="auto"/>
              <w:right w:val="nil"/>
            </w:tcBorders>
            <w:shd w:val="clear" w:color="auto" w:fill="auto"/>
            <w:noWrap/>
            <w:vAlign w:val="center"/>
            <w:hideMark/>
          </w:tcPr>
          <w:p w14:paraId="1C9EE56B" w14:textId="5C60A694"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r>
      <w:tr w:rsidR="00F15667" w:rsidRPr="00F15667" w14:paraId="4378AC07" w14:textId="77777777" w:rsidTr="0041601E">
        <w:trPr>
          <w:trHeight w:val="315"/>
        </w:trPr>
        <w:tc>
          <w:tcPr>
            <w:tcW w:w="2480" w:type="dxa"/>
            <w:tcBorders>
              <w:top w:val="nil"/>
              <w:left w:val="nil"/>
              <w:bottom w:val="single" w:sz="4" w:space="0" w:color="auto"/>
              <w:right w:val="nil"/>
            </w:tcBorders>
            <w:shd w:val="clear" w:color="auto" w:fill="auto"/>
            <w:noWrap/>
            <w:vAlign w:val="center"/>
            <w:hideMark/>
          </w:tcPr>
          <w:p w14:paraId="5B22C28E" w14:textId="77777777" w:rsidR="00E3750A" w:rsidRPr="00F15667" w:rsidRDefault="00E3750A" w:rsidP="0041601E">
            <w:pPr>
              <w:spacing w:line="240" w:lineRule="auto"/>
              <w:jc w:val="left"/>
              <w:rPr>
                <w:rFonts w:eastAsia="Times New Roman"/>
                <w:szCs w:val="24"/>
                <w:lang w:eastAsia="cs-CZ"/>
              </w:rPr>
            </w:pPr>
            <w:r w:rsidRPr="00F15667">
              <w:rPr>
                <w:rFonts w:eastAsia="Times New Roman"/>
                <w:szCs w:val="24"/>
                <w:lang w:eastAsia="cs-CZ"/>
              </w:rPr>
              <w:t>KS Hr. Králové</w:t>
            </w:r>
          </w:p>
        </w:tc>
        <w:tc>
          <w:tcPr>
            <w:tcW w:w="1064" w:type="dxa"/>
            <w:tcBorders>
              <w:top w:val="nil"/>
              <w:left w:val="nil"/>
              <w:bottom w:val="single" w:sz="4" w:space="0" w:color="auto"/>
              <w:right w:val="nil"/>
            </w:tcBorders>
            <w:shd w:val="clear" w:color="auto" w:fill="auto"/>
            <w:noWrap/>
            <w:vAlign w:val="center"/>
            <w:hideMark/>
          </w:tcPr>
          <w:p w14:paraId="5F8EA610"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48</w:t>
            </w:r>
          </w:p>
        </w:tc>
        <w:tc>
          <w:tcPr>
            <w:tcW w:w="851" w:type="dxa"/>
            <w:tcBorders>
              <w:top w:val="nil"/>
              <w:left w:val="nil"/>
              <w:bottom w:val="single" w:sz="4" w:space="0" w:color="auto"/>
              <w:right w:val="nil"/>
            </w:tcBorders>
            <w:shd w:val="clear" w:color="auto" w:fill="auto"/>
            <w:noWrap/>
            <w:vAlign w:val="center"/>
            <w:hideMark/>
          </w:tcPr>
          <w:p w14:paraId="7E85A3E7" w14:textId="02E35622"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992" w:type="dxa"/>
            <w:tcBorders>
              <w:top w:val="nil"/>
              <w:left w:val="single" w:sz="4" w:space="0" w:color="auto"/>
              <w:bottom w:val="single" w:sz="4" w:space="0" w:color="auto"/>
              <w:right w:val="nil"/>
            </w:tcBorders>
            <w:shd w:val="clear" w:color="auto" w:fill="auto"/>
            <w:noWrap/>
            <w:vAlign w:val="center"/>
            <w:hideMark/>
          </w:tcPr>
          <w:p w14:paraId="67EDCAEE"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40</w:t>
            </w:r>
          </w:p>
        </w:tc>
        <w:tc>
          <w:tcPr>
            <w:tcW w:w="850" w:type="dxa"/>
            <w:tcBorders>
              <w:top w:val="nil"/>
              <w:left w:val="nil"/>
              <w:bottom w:val="single" w:sz="4" w:space="0" w:color="auto"/>
              <w:right w:val="single" w:sz="4" w:space="0" w:color="auto"/>
            </w:tcBorders>
            <w:shd w:val="clear" w:color="auto" w:fill="auto"/>
            <w:noWrap/>
            <w:vAlign w:val="center"/>
            <w:hideMark/>
          </w:tcPr>
          <w:p w14:paraId="288EE999" w14:textId="666C0C13"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975" w:type="dxa"/>
            <w:tcBorders>
              <w:top w:val="nil"/>
              <w:left w:val="nil"/>
              <w:bottom w:val="single" w:sz="4" w:space="0" w:color="auto"/>
              <w:right w:val="nil"/>
            </w:tcBorders>
            <w:shd w:val="clear" w:color="auto" w:fill="auto"/>
            <w:noWrap/>
            <w:vAlign w:val="center"/>
            <w:hideMark/>
          </w:tcPr>
          <w:p w14:paraId="0DA463F5"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83</w:t>
            </w:r>
          </w:p>
        </w:tc>
        <w:tc>
          <w:tcPr>
            <w:tcW w:w="868" w:type="dxa"/>
            <w:tcBorders>
              <w:top w:val="nil"/>
              <w:left w:val="nil"/>
              <w:bottom w:val="single" w:sz="4" w:space="0" w:color="auto"/>
              <w:right w:val="nil"/>
            </w:tcBorders>
            <w:shd w:val="clear" w:color="auto" w:fill="auto"/>
            <w:noWrap/>
            <w:vAlign w:val="center"/>
            <w:hideMark/>
          </w:tcPr>
          <w:p w14:paraId="769B6B84" w14:textId="5A1817CF"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+0 %</w:t>
            </w:r>
          </w:p>
        </w:tc>
      </w:tr>
      <w:tr w:rsidR="00F15667" w:rsidRPr="00F15667" w14:paraId="4E73FD70" w14:textId="77777777" w:rsidTr="0041601E">
        <w:trPr>
          <w:trHeight w:val="315"/>
        </w:trPr>
        <w:tc>
          <w:tcPr>
            <w:tcW w:w="2480" w:type="dxa"/>
            <w:tcBorders>
              <w:top w:val="nil"/>
              <w:left w:val="nil"/>
              <w:bottom w:val="single" w:sz="4" w:space="0" w:color="auto"/>
              <w:right w:val="nil"/>
            </w:tcBorders>
            <w:shd w:val="clear" w:color="auto" w:fill="auto"/>
            <w:noWrap/>
            <w:vAlign w:val="center"/>
            <w:hideMark/>
          </w:tcPr>
          <w:p w14:paraId="076C52CD" w14:textId="77777777" w:rsidR="00E3750A" w:rsidRPr="00F15667" w:rsidRDefault="00E3750A" w:rsidP="0041601E">
            <w:pPr>
              <w:spacing w:line="240" w:lineRule="auto"/>
              <w:jc w:val="left"/>
              <w:rPr>
                <w:rFonts w:eastAsia="Times New Roman"/>
                <w:szCs w:val="24"/>
                <w:lang w:eastAsia="cs-CZ"/>
              </w:rPr>
            </w:pPr>
            <w:r w:rsidRPr="00F15667">
              <w:rPr>
                <w:rFonts w:eastAsia="Times New Roman"/>
                <w:szCs w:val="24"/>
                <w:lang w:eastAsia="cs-CZ"/>
              </w:rPr>
              <w:t>KS Brno</w:t>
            </w:r>
          </w:p>
        </w:tc>
        <w:tc>
          <w:tcPr>
            <w:tcW w:w="1064" w:type="dxa"/>
            <w:tcBorders>
              <w:top w:val="nil"/>
              <w:left w:val="nil"/>
              <w:bottom w:val="single" w:sz="4" w:space="0" w:color="auto"/>
              <w:right w:val="nil"/>
            </w:tcBorders>
            <w:shd w:val="clear" w:color="auto" w:fill="auto"/>
            <w:noWrap/>
            <w:vAlign w:val="center"/>
            <w:hideMark/>
          </w:tcPr>
          <w:p w14:paraId="61B1362C"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54</w:t>
            </w:r>
          </w:p>
        </w:tc>
        <w:tc>
          <w:tcPr>
            <w:tcW w:w="851" w:type="dxa"/>
            <w:tcBorders>
              <w:top w:val="nil"/>
              <w:left w:val="nil"/>
              <w:bottom w:val="single" w:sz="4" w:space="0" w:color="auto"/>
              <w:right w:val="nil"/>
            </w:tcBorders>
            <w:shd w:val="clear" w:color="auto" w:fill="auto"/>
            <w:noWrap/>
            <w:vAlign w:val="center"/>
            <w:hideMark/>
          </w:tcPr>
          <w:p w14:paraId="66781C8F" w14:textId="6956480C"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992" w:type="dxa"/>
            <w:tcBorders>
              <w:top w:val="nil"/>
              <w:left w:val="single" w:sz="4" w:space="0" w:color="auto"/>
              <w:bottom w:val="single" w:sz="4" w:space="0" w:color="auto"/>
              <w:right w:val="nil"/>
            </w:tcBorders>
            <w:shd w:val="clear" w:color="auto" w:fill="auto"/>
            <w:noWrap/>
            <w:vAlign w:val="center"/>
            <w:hideMark/>
          </w:tcPr>
          <w:p w14:paraId="28EC8D57"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36</w:t>
            </w:r>
          </w:p>
        </w:tc>
        <w:tc>
          <w:tcPr>
            <w:tcW w:w="850" w:type="dxa"/>
            <w:tcBorders>
              <w:top w:val="nil"/>
              <w:left w:val="nil"/>
              <w:bottom w:val="single" w:sz="4" w:space="0" w:color="auto"/>
              <w:right w:val="single" w:sz="4" w:space="0" w:color="auto"/>
            </w:tcBorders>
            <w:shd w:val="clear" w:color="auto" w:fill="auto"/>
            <w:noWrap/>
            <w:vAlign w:val="center"/>
            <w:hideMark/>
          </w:tcPr>
          <w:p w14:paraId="15F711F5" w14:textId="2E16EB1F"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975" w:type="dxa"/>
            <w:tcBorders>
              <w:top w:val="nil"/>
              <w:left w:val="nil"/>
              <w:bottom w:val="single" w:sz="4" w:space="0" w:color="auto"/>
              <w:right w:val="nil"/>
            </w:tcBorders>
            <w:shd w:val="clear" w:color="auto" w:fill="auto"/>
            <w:noWrap/>
            <w:vAlign w:val="center"/>
            <w:hideMark/>
          </w:tcPr>
          <w:p w14:paraId="4278A531"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96</w:t>
            </w:r>
          </w:p>
        </w:tc>
        <w:tc>
          <w:tcPr>
            <w:tcW w:w="868" w:type="dxa"/>
            <w:tcBorders>
              <w:top w:val="nil"/>
              <w:left w:val="nil"/>
              <w:bottom w:val="single" w:sz="4" w:space="0" w:color="auto"/>
              <w:right w:val="nil"/>
            </w:tcBorders>
            <w:shd w:val="clear" w:color="auto" w:fill="auto"/>
            <w:noWrap/>
            <w:vAlign w:val="center"/>
            <w:hideMark/>
          </w:tcPr>
          <w:p w14:paraId="296623B1" w14:textId="4046DA48"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-9 %</w:t>
            </w:r>
          </w:p>
        </w:tc>
      </w:tr>
      <w:tr w:rsidR="00F15667" w:rsidRPr="00F15667" w14:paraId="7B9FCD7B" w14:textId="77777777" w:rsidTr="0041601E">
        <w:trPr>
          <w:trHeight w:val="330"/>
        </w:trPr>
        <w:tc>
          <w:tcPr>
            <w:tcW w:w="2480" w:type="dxa"/>
            <w:tcBorders>
              <w:top w:val="nil"/>
              <w:left w:val="nil"/>
              <w:bottom w:val="double" w:sz="6" w:space="0" w:color="auto"/>
              <w:right w:val="nil"/>
            </w:tcBorders>
            <w:shd w:val="clear" w:color="auto" w:fill="auto"/>
            <w:noWrap/>
            <w:vAlign w:val="center"/>
            <w:hideMark/>
          </w:tcPr>
          <w:p w14:paraId="52CE9E1C" w14:textId="77777777" w:rsidR="00E3750A" w:rsidRPr="00F15667" w:rsidRDefault="00E3750A" w:rsidP="0041601E">
            <w:pPr>
              <w:spacing w:line="240" w:lineRule="auto"/>
              <w:jc w:val="left"/>
              <w:rPr>
                <w:rFonts w:eastAsia="Times New Roman"/>
                <w:szCs w:val="24"/>
                <w:lang w:eastAsia="cs-CZ"/>
              </w:rPr>
            </w:pPr>
            <w:r w:rsidRPr="00F15667">
              <w:rPr>
                <w:rFonts w:eastAsia="Times New Roman"/>
                <w:szCs w:val="24"/>
                <w:lang w:eastAsia="cs-CZ"/>
              </w:rPr>
              <w:t>KS Ostrava</w:t>
            </w:r>
          </w:p>
        </w:tc>
        <w:tc>
          <w:tcPr>
            <w:tcW w:w="1064" w:type="dxa"/>
            <w:tcBorders>
              <w:top w:val="nil"/>
              <w:left w:val="nil"/>
              <w:bottom w:val="double" w:sz="6" w:space="0" w:color="auto"/>
              <w:right w:val="nil"/>
            </w:tcBorders>
            <w:shd w:val="clear" w:color="auto" w:fill="auto"/>
            <w:noWrap/>
            <w:vAlign w:val="center"/>
            <w:hideMark/>
          </w:tcPr>
          <w:p w14:paraId="5B946BA4"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67</w:t>
            </w:r>
          </w:p>
        </w:tc>
        <w:tc>
          <w:tcPr>
            <w:tcW w:w="851" w:type="dxa"/>
            <w:tcBorders>
              <w:top w:val="nil"/>
              <w:left w:val="nil"/>
              <w:bottom w:val="double" w:sz="6" w:space="0" w:color="auto"/>
              <w:right w:val="nil"/>
            </w:tcBorders>
            <w:shd w:val="clear" w:color="auto" w:fill="auto"/>
            <w:noWrap/>
            <w:vAlign w:val="center"/>
            <w:hideMark/>
          </w:tcPr>
          <w:p w14:paraId="67F259C1" w14:textId="7930C3B6"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992" w:type="dxa"/>
            <w:tcBorders>
              <w:top w:val="nil"/>
              <w:left w:val="single" w:sz="4" w:space="0" w:color="auto"/>
              <w:bottom w:val="double" w:sz="6" w:space="0" w:color="auto"/>
              <w:right w:val="nil"/>
            </w:tcBorders>
            <w:shd w:val="clear" w:color="auto" w:fill="auto"/>
            <w:noWrap/>
            <w:vAlign w:val="center"/>
            <w:hideMark/>
          </w:tcPr>
          <w:p w14:paraId="576A1F86"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43</w:t>
            </w:r>
          </w:p>
        </w:tc>
        <w:tc>
          <w:tcPr>
            <w:tcW w:w="850" w:type="dxa"/>
            <w:tcBorders>
              <w:top w:val="nil"/>
              <w:left w:val="nil"/>
              <w:bottom w:val="double" w:sz="6" w:space="0" w:color="auto"/>
              <w:right w:val="single" w:sz="4" w:space="0" w:color="auto"/>
            </w:tcBorders>
            <w:shd w:val="clear" w:color="auto" w:fill="auto"/>
            <w:noWrap/>
            <w:vAlign w:val="center"/>
            <w:hideMark/>
          </w:tcPr>
          <w:p w14:paraId="1D482C6D" w14:textId="5ED108DD"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975" w:type="dxa"/>
            <w:tcBorders>
              <w:top w:val="nil"/>
              <w:left w:val="nil"/>
              <w:bottom w:val="double" w:sz="6" w:space="0" w:color="auto"/>
              <w:right w:val="nil"/>
            </w:tcBorders>
            <w:shd w:val="clear" w:color="auto" w:fill="auto"/>
            <w:noWrap/>
            <w:vAlign w:val="center"/>
            <w:hideMark/>
          </w:tcPr>
          <w:p w14:paraId="74DD15C8" w14:textId="77777777" w:rsidR="00E3750A" w:rsidRPr="00F15667" w:rsidRDefault="00E3750A" w:rsidP="0041601E">
            <w:pPr>
              <w:spacing w:line="240" w:lineRule="auto"/>
              <w:jc w:val="center"/>
              <w:rPr>
                <w:rFonts w:eastAsia="Times New Roman"/>
                <w:szCs w:val="24"/>
                <w:lang w:eastAsia="cs-CZ"/>
              </w:rPr>
            </w:pPr>
            <w:r w:rsidRPr="00F15667">
              <w:rPr>
                <w:rFonts w:eastAsia="Times New Roman"/>
                <w:szCs w:val="24"/>
                <w:lang w:eastAsia="cs-CZ"/>
              </w:rPr>
              <w:t>140</w:t>
            </w:r>
          </w:p>
        </w:tc>
        <w:tc>
          <w:tcPr>
            <w:tcW w:w="868" w:type="dxa"/>
            <w:tcBorders>
              <w:top w:val="nil"/>
              <w:left w:val="nil"/>
              <w:bottom w:val="double" w:sz="6" w:space="0" w:color="auto"/>
              <w:right w:val="nil"/>
            </w:tcBorders>
            <w:shd w:val="clear" w:color="auto" w:fill="auto"/>
            <w:noWrap/>
            <w:vAlign w:val="center"/>
            <w:hideMark/>
          </w:tcPr>
          <w:p w14:paraId="60997EBC" w14:textId="144DE7EB" w:rsidR="00E3750A" w:rsidRPr="00F15667" w:rsidRDefault="00E3750A" w:rsidP="0041601E">
            <w:pPr>
              <w:spacing w:line="240" w:lineRule="auto"/>
              <w:jc w:val="center"/>
              <w:rPr>
                <w:rFonts w:eastAsia="Times New Roman"/>
                <w:sz w:val="20"/>
                <w:szCs w:val="20"/>
                <w:lang w:eastAsia="cs-CZ"/>
              </w:rPr>
            </w:pPr>
            <w:r w:rsidRPr="00F15667">
              <w:rPr>
                <w:rFonts w:eastAsia="Times New Roman"/>
                <w:sz w:val="20"/>
                <w:szCs w:val="20"/>
                <w:lang w:eastAsia="cs-CZ"/>
              </w:rPr>
              <w:t>+9 %</w:t>
            </w:r>
          </w:p>
        </w:tc>
      </w:tr>
      <w:tr w:rsidR="00F15667" w:rsidRPr="00F15667" w14:paraId="6D7AD6CB" w14:textId="77777777" w:rsidTr="0041601E">
        <w:trPr>
          <w:trHeight w:val="345"/>
        </w:trPr>
        <w:tc>
          <w:tcPr>
            <w:tcW w:w="2480" w:type="dxa"/>
            <w:tcBorders>
              <w:top w:val="nil"/>
              <w:left w:val="nil"/>
              <w:bottom w:val="double" w:sz="6" w:space="0" w:color="auto"/>
              <w:right w:val="nil"/>
            </w:tcBorders>
            <w:shd w:val="clear" w:color="auto" w:fill="auto"/>
            <w:noWrap/>
            <w:vAlign w:val="center"/>
            <w:hideMark/>
          </w:tcPr>
          <w:p w14:paraId="3C9AEA0F" w14:textId="77777777" w:rsidR="00E3750A" w:rsidRPr="00F15667" w:rsidRDefault="00E3750A" w:rsidP="0041601E">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64" w:type="dxa"/>
            <w:tcBorders>
              <w:top w:val="nil"/>
              <w:left w:val="nil"/>
              <w:bottom w:val="double" w:sz="6" w:space="0" w:color="auto"/>
              <w:right w:val="nil"/>
            </w:tcBorders>
            <w:shd w:val="clear" w:color="auto" w:fill="auto"/>
            <w:noWrap/>
            <w:vAlign w:val="center"/>
            <w:hideMark/>
          </w:tcPr>
          <w:p w14:paraId="1E121D63" w14:textId="77777777" w:rsidR="00E3750A" w:rsidRPr="00F15667" w:rsidRDefault="00E3750A" w:rsidP="0041601E">
            <w:pPr>
              <w:spacing w:line="240" w:lineRule="auto"/>
              <w:jc w:val="center"/>
              <w:rPr>
                <w:rFonts w:eastAsia="Times New Roman"/>
                <w:b/>
                <w:bCs/>
                <w:szCs w:val="24"/>
                <w:lang w:eastAsia="cs-CZ"/>
              </w:rPr>
            </w:pPr>
            <w:r w:rsidRPr="00F15667">
              <w:rPr>
                <w:rFonts w:eastAsia="Times New Roman"/>
                <w:b/>
                <w:bCs/>
                <w:szCs w:val="24"/>
                <w:lang w:eastAsia="cs-CZ"/>
              </w:rPr>
              <w:t>57</w:t>
            </w:r>
          </w:p>
        </w:tc>
        <w:tc>
          <w:tcPr>
            <w:tcW w:w="851" w:type="dxa"/>
            <w:tcBorders>
              <w:top w:val="nil"/>
              <w:left w:val="nil"/>
              <w:bottom w:val="double" w:sz="6" w:space="0" w:color="auto"/>
              <w:right w:val="nil"/>
            </w:tcBorders>
            <w:shd w:val="clear" w:color="auto" w:fill="auto"/>
            <w:noWrap/>
            <w:vAlign w:val="center"/>
            <w:hideMark/>
          </w:tcPr>
          <w:p w14:paraId="37FE33EF" w14:textId="0BC6EFDA" w:rsidR="00E3750A" w:rsidRPr="00F15667" w:rsidRDefault="00E3750A"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-8 %</w:t>
            </w:r>
          </w:p>
        </w:tc>
        <w:tc>
          <w:tcPr>
            <w:tcW w:w="992" w:type="dxa"/>
            <w:tcBorders>
              <w:top w:val="nil"/>
              <w:left w:val="single" w:sz="4" w:space="0" w:color="auto"/>
              <w:bottom w:val="double" w:sz="6" w:space="0" w:color="auto"/>
              <w:right w:val="nil"/>
            </w:tcBorders>
            <w:shd w:val="clear" w:color="auto" w:fill="auto"/>
            <w:noWrap/>
            <w:vAlign w:val="center"/>
            <w:hideMark/>
          </w:tcPr>
          <w:p w14:paraId="2E1B30EA" w14:textId="77777777" w:rsidR="00E3750A" w:rsidRPr="00F15667" w:rsidRDefault="00E3750A" w:rsidP="0041601E">
            <w:pPr>
              <w:spacing w:line="240" w:lineRule="auto"/>
              <w:jc w:val="center"/>
              <w:rPr>
                <w:rFonts w:eastAsia="Times New Roman"/>
                <w:b/>
                <w:bCs/>
                <w:szCs w:val="24"/>
                <w:lang w:eastAsia="cs-CZ"/>
              </w:rPr>
            </w:pPr>
            <w:r w:rsidRPr="00F15667">
              <w:rPr>
                <w:rFonts w:eastAsia="Times New Roman"/>
                <w:b/>
                <w:bCs/>
                <w:szCs w:val="24"/>
                <w:lang w:eastAsia="cs-CZ"/>
              </w:rPr>
              <w:t>36</w:t>
            </w:r>
          </w:p>
        </w:tc>
        <w:tc>
          <w:tcPr>
            <w:tcW w:w="850" w:type="dxa"/>
            <w:tcBorders>
              <w:top w:val="nil"/>
              <w:left w:val="nil"/>
              <w:bottom w:val="double" w:sz="6" w:space="0" w:color="auto"/>
              <w:right w:val="single" w:sz="4" w:space="0" w:color="auto"/>
            </w:tcBorders>
            <w:shd w:val="clear" w:color="auto" w:fill="auto"/>
            <w:noWrap/>
            <w:vAlign w:val="center"/>
            <w:hideMark/>
          </w:tcPr>
          <w:p w14:paraId="643059B9" w14:textId="69EC2AA0" w:rsidR="00E3750A" w:rsidRPr="00F15667" w:rsidRDefault="00E3750A"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-10 %</w:t>
            </w:r>
          </w:p>
        </w:tc>
        <w:tc>
          <w:tcPr>
            <w:tcW w:w="975" w:type="dxa"/>
            <w:tcBorders>
              <w:top w:val="nil"/>
              <w:left w:val="nil"/>
              <w:bottom w:val="double" w:sz="6" w:space="0" w:color="auto"/>
              <w:right w:val="nil"/>
            </w:tcBorders>
            <w:shd w:val="clear" w:color="auto" w:fill="auto"/>
            <w:noWrap/>
            <w:vAlign w:val="center"/>
            <w:hideMark/>
          </w:tcPr>
          <w:p w14:paraId="2DEEEA72" w14:textId="77777777" w:rsidR="00E3750A" w:rsidRPr="00F15667" w:rsidRDefault="00E3750A" w:rsidP="0041601E">
            <w:pPr>
              <w:spacing w:line="240" w:lineRule="auto"/>
              <w:jc w:val="center"/>
              <w:rPr>
                <w:rFonts w:eastAsia="Times New Roman"/>
                <w:b/>
                <w:bCs/>
                <w:szCs w:val="24"/>
                <w:lang w:eastAsia="cs-CZ"/>
              </w:rPr>
            </w:pPr>
            <w:r w:rsidRPr="00F15667">
              <w:rPr>
                <w:rFonts w:eastAsia="Times New Roman"/>
                <w:b/>
                <w:bCs/>
                <w:szCs w:val="24"/>
                <w:lang w:eastAsia="cs-CZ"/>
              </w:rPr>
              <w:t>109</w:t>
            </w:r>
          </w:p>
        </w:tc>
        <w:tc>
          <w:tcPr>
            <w:tcW w:w="868" w:type="dxa"/>
            <w:tcBorders>
              <w:top w:val="nil"/>
              <w:left w:val="nil"/>
              <w:bottom w:val="double" w:sz="6" w:space="0" w:color="auto"/>
              <w:right w:val="nil"/>
            </w:tcBorders>
            <w:shd w:val="clear" w:color="auto" w:fill="auto"/>
            <w:noWrap/>
            <w:vAlign w:val="center"/>
            <w:hideMark/>
          </w:tcPr>
          <w:p w14:paraId="41A4E1E5" w14:textId="242C3151" w:rsidR="00E3750A" w:rsidRPr="00F15667" w:rsidRDefault="00E3750A"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-9 %</w:t>
            </w:r>
          </w:p>
        </w:tc>
      </w:tr>
      <w:tr w:rsidR="00F15667" w:rsidRPr="00F15667" w14:paraId="3B6EFBF5" w14:textId="77777777" w:rsidTr="0041601E">
        <w:trPr>
          <w:trHeight w:val="330"/>
        </w:trPr>
        <w:tc>
          <w:tcPr>
            <w:tcW w:w="2480" w:type="dxa"/>
            <w:tcBorders>
              <w:top w:val="nil"/>
              <w:left w:val="nil"/>
              <w:bottom w:val="nil"/>
              <w:right w:val="nil"/>
            </w:tcBorders>
            <w:shd w:val="clear" w:color="auto" w:fill="auto"/>
            <w:noWrap/>
            <w:vAlign w:val="center"/>
            <w:hideMark/>
          </w:tcPr>
          <w:p w14:paraId="1C8F2A53" w14:textId="77777777" w:rsidR="00E3750A" w:rsidRPr="00F15667" w:rsidRDefault="00E3750A" w:rsidP="0041601E">
            <w:pPr>
              <w:spacing w:line="240" w:lineRule="auto"/>
              <w:jc w:val="center"/>
              <w:rPr>
                <w:rFonts w:eastAsia="Times New Roman"/>
                <w:b/>
                <w:bCs/>
                <w:sz w:val="20"/>
                <w:szCs w:val="20"/>
                <w:lang w:eastAsia="cs-CZ"/>
              </w:rPr>
            </w:pPr>
          </w:p>
        </w:tc>
        <w:tc>
          <w:tcPr>
            <w:tcW w:w="1064" w:type="dxa"/>
            <w:tcBorders>
              <w:top w:val="nil"/>
              <w:left w:val="nil"/>
              <w:bottom w:val="nil"/>
              <w:right w:val="nil"/>
            </w:tcBorders>
            <w:shd w:val="clear" w:color="auto" w:fill="auto"/>
            <w:noWrap/>
            <w:vAlign w:val="center"/>
            <w:hideMark/>
          </w:tcPr>
          <w:p w14:paraId="3B57804E" w14:textId="77777777" w:rsidR="00E3750A" w:rsidRPr="00F15667" w:rsidRDefault="00E3750A" w:rsidP="0041601E">
            <w:pPr>
              <w:spacing w:line="240" w:lineRule="auto"/>
              <w:jc w:val="center"/>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center"/>
            <w:hideMark/>
          </w:tcPr>
          <w:p w14:paraId="26E1F51F" w14:textId="77777777" w:rsidR="00E3750A" w:rsidRPr="00F15667" w:rsidRDefault="00E3750A" w:rsidP="0041601E">
            <w:pPr>
              <w:spacing w:line="240" w:lineRule="auto"/>
              <w:jc w:val="center"/>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center"/>
            <w:hideMark/>
          </w:tcPr>
          <w:p w14:paraId="4585765C" w14:textId="77777777" w:rsidR="00E3750A" w:rsidRPr="00F15667" w:rsidRDefault="00E3750A" w:rsidP="0041601E">
            <w:pPr>
              <w:spacing w:line="240" w:lineRule="auto"/>
              <w:jc w:val="center"/>
              <w:rPr>
                <w:rFonts w:ascii="Times New Roman" w:eastAsia="Times New Roman" w:hAnsi="Times New Roman"/>
                <w:sz w:val="20"/>
                <w:szCs w:val="20"/>
                <w:lang w:eastAsia="cs-CZ"/>
              </w:rPr>
            </w:pPr>
          </w:p>
        </w:tc>
        <w:tc>
          <w:tcPr>
            <w:tcW w:w="850" w:type="dxa"/>
            <w:tcBorders>
              <w:top w:val="nil"/>
              <w:left w:val="nil"/>
              <w:bottom w:val="nil"/>
              <w:right w:val="nil"/>
            </w:tcBorders>
            <w:shd w:val="clear" w:color="auto" w:fill="auto"/>
            <w:noWrap/>
            <w:vAlign w:val="center"/>
            <w:hideMark/>
          </w:tcPr>
          <w:p w14:paraId="2C1A87EE" w14:textId="77777777" w:rsidR="00E3750A" w:rsidRPr="00F15667" w:rsidRDefault="00E3750A" w:rsidP="0041601E">
            <w:pPr>
              <w:spacing w:line="240" w:lineRule="auto"/>
              <w:jc w:val="center"/>
              <w:rPr>
                <w:rFonts w:ascii="Times New Roman" w:eastAsia="Times New Roman" w:hAnsi="Times New Roman"/>
                <w:sz w:val="20"/>
                <w:szCs w:val="20"/>
                <w:lang w:eastAsia="cs-CZ"/>
              </w:rPr>
            </w:pPr>
          </w:p>
        </w:tc>
        <w:tc>
          <w:tcPr>
            <w:tcW w:w="975" w:type="dxa"/>
            <w:tcBorders>
              <w:top w:val="nil"/>
              <w:left w:val="nil"/>
              <w:bottom w:val="nil"/>
              <w:right w:val="nil"/>
            </w:tcBorders>
            <w:shd w:val="clear" w:color="auto" w:fill="auto"/>
            <w:noWrap/>
            <w:vAlign w:val="center"/>
            <w:hideMark/>
          </w:tcPr>
          <w:p w14:paraId="10DD8D81" w14:textId="77777777" w:rsidR="00E3750A" w:rsidRPr="00F15667" w:rsidRDefault="00E3750A" w:rsidP="0041601E">
            <w:pPr>
              <w:spacing w:line="240" w:lineRule="auto"/>
              <w:jc w:val="center"/>
              <w:rPr>
                <w:rFonts w:ascii="Times New Roman" w:eastAsia="Times New Roman" w:hAnsi="Times New Roman"/>
                <w:sz w:val="20"/>
                <w:szCs w:val="20"/>
                <w:lang w:eastAsia="cs-CZ"/>
              </w:rPr>
            </w:pPr>
          </w:p>
        </w:tc>
        <w:tc>
          <w:tcPr>
            <w:tcW w:w="868" w:type="dxa"/>
            <w:tcBorders>
              <w:top w:val="nil"/>
              <w:left w:val="nil"/>
              <w:bottom w:val="nil"/>
              <w:right w:val="nil"/>
            </w:tcBorders>
            <w:shd w:val="clear" w:color="auto" w:fill="auto"/>
            <w:noWrap/>
            <w:vAlign w:val="center"/>
            <w:hideMark/>
          </w:tcPr>
          <w:p w14:paraId="1E8A51C0" w14:textId="77777777" w:rsidR="00E3750A" w:rsidRPr="00F15667" w:rsidRDefault="00E3750A" w:rsidP="0041601E">
            <w:pPr>
              <w:spacing w:line="240" w:lineRule="auto"/>
              <w:jc w:val="center"/>
              <w:rPr>
                <w:rFonts w:ascii="Times New Roman" w:eastAsia="Times New Roman" w:hAnsi="Times New Roman"/>
                <w:sz w:val="20"/>
                <w:szCs w:val="20"/>
                <w:lang w:eastAsia="cs-CZ"/>
              </w:rPr>
            </w:pPr>
          </w:p>
        </w:tc>
      </w:tr>
    </w:tbl>
    <w:p w14:paraId="51685928" w14:textId="4103B1B2" w:rsidR="00E3750A" w:rsidRPr="00F15667" w:rsidRDefault="00E3750A" w:rsidP="00E3750A">
      <w:pPr>
        <w:pStyle w:val="Podnadpis"/>
        <w:rPr>
          <w:color w:val="auto"/>
        </w:rPr>
      </w:pPr>
      <w:bookmarkStart w:id="820" w:name="_Toc75952246"/>
      <w:bookmarkStart w:id="821" w:name="_Toc106106705"/>
      <w:bookmarkStart w:id="822" w:name="_Toc109802029"/>
      <w:bookmarkStart w:id="823" w:name="_Toc144104179"/>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67</w:t>
      </w:r>
      <w:r w:rsidR="009A10E2" w:rsidRPr="00F15667">
        <w:rPr>
          <w:color w:val="auto"/>
        </w:rPr>
        <w:fldChar w:fldCharType="end"/>
      </w:r>
      <w:r w:rsidRPr="00F15667">
        <w:rPr>
          <w:color w:val="auto"/>
        </w:rPr>
        <w:t>: KS – distribuce délek trestního odvolacího řízení</w:t>
      </w:r>
      <w:bookmarkEnd w:id="820"/>
      <w:bookmarkEnd w:id="821"/>
      <w:bookmarkEnd w:id="822"/>
      <w:bookmarkEnd w:id="823"/>
    </w:p>
    <w:p w14:paraId="60ECBF30" w14:textId="6894AA16" w:rsidR="00E3750A" w:rsidRPr="00F15667" w:rsidRDefault="00E3750A" w:rsidP="008646BF">
      <w:pPr>
        <w:pStyle w:val="OdstavecASR"/>
      </w:pPr>
      <w:r w:rsidRPr="00F15667">
        <w:rPr>
          <w:noProof/>
          <w:lang w:eastAsia="cs-CZ"/>
        </w:rPr>
        <w:drawing>
          <wp:inline distT="0" distB="0" distL="0" distR="0" wp14:anchorId="4C714EA8" wp14:editId="4F5770F1">
            <wp:extent cx="5029200" cy="3657600"/>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201E7DB" w14:textId="0301000E" w:rsidR="00E3750A" w:rsidRPr="00F15667" w:rsidRDefault="00E3750A" w:rsidP="00E3750A">
      <w:pPr>
        <w:pStyle w:val="OdstavecASR"/>
      </w:pPr>
      <w:r w:rsidRPr="00F15667">
        <w:t>I v histogramu je vidět, jak nízké délky řízení jsou. Asi 32 % věcí bylo vyřízeno do 1 měsíce. Pouze asi jen 6 % případů bylo vyřízeno za více než 200 dnů. Oproti roku 2021 došlo jen k malým změnám, mírnému vylepšení.</w:t>
      </w:r>
      <w:r w:rsidR="00C86B4C" w:rsidRPr="00F15667">
        <w:t xml:space="preserve"> </w:t>
      </w:r>
      <w:r w:rsidR="002C4CFD" w:rsidRPr="00F15667">
        <w:t>Pro jistotu u</w:t>
      </w:r>
      <w:r w:rsidR="00C86B4C" w:rsidRPr="00F15667">
        <w:t>pozorňujeme, že šířka sloupce u tohoto histogramu je 10 kal</w:t>
      </w:r>
      <w:r w:rsidR="00AC33D7" w:rsidRPr="00F15667">
        <w:t>endářních</w:t>
      </w:r>
      <w:r w:rsidR="00C86B4C" w:rsidRPr="00F15667">
        <w:t xml:space="preserve"> dní.</w:t>
      </w:r>
    </w:p>
    <w:p w14:paraId="1F1F65A0" w14:textId="0828A5BF" w:rsidR="008430BD" w:rsidRPr="00F15667" w:rsidRDefault="008430BD" w:rsidP="008430BD">
      <w:pPr>
        <w:pStyle w:val="Nadpis3"/>
        <w:numPr>
          <w:ilvl w:val="2"/>
          <w:numId w:val="1"/>
        </w:numPr>
        <w:rPr>
          <w:color w:val="auto"/>
        </w:rPr>
      </w:pPr>
      <w:bookmarkStart w:id="824" w:name="_Ref511391173"/>
      <w:bookmarkStart w:id="825" w:name="_Toc515871264"/>
      <w:bookmarkStart w:id="826" w:name="_Ref40897302"/>
      <w:bookmarkStart w:id="827" w:name="_Toc106092771"/>
      <w:bookmarkStart w:id="828" w:name="_Toc144104384"/>
      <w:r w:rsidRPr="00F15667">
        <w:rPr>
          <w:color w:val="auto"/>
        </w:rPr>
        <w:lastRenderedPageBreak/>
        <w:t>Vyřizování věcí</w:t>
      </w:r>
      <w:bookmarkEnd w:id="824"/>
      <w:bookmarkEnd w:id="825"/>
      <w:bookmarkEnd w:id="826"/>
      <w:bookmarkEnd w:id="827"/>
      <w:bookmarkEnd w:id="828"/>
    </w:p>
    <w:p w14:paraId="20146717" w14:textId="480EE19A" w:rsidR="00A41727" w:rsidRPr="00F15667" w:rsidRDefault="00A41727" w:rsidP="00A41727">
      <w:pPr>
        <w:pStyle w:val="Podnadpis"/>
        <w:numPr>
          <w:ilvl w:val="0"/>
          <w:numId w:val="0"/>
        </w:numPr>
        <w:rPr>
          <w:color w:val="auto"/>
        </w:rPr>
      </w:pPr>
      <w:bookmarkStart w:id="829" w:name="_Toc515871395"/>
      <w:bookmarkStart w:id="830" w:name="_Toc11135126"/>
      <w:bookmarkStart w:id="831" w:name="_Toc43841445"/>
      <w:bookmarkStart w:id="832" w:name="_Toc75952247"/>
      <w:bookmarkStart w:id="833" w:name="_Toc106106706"/>
      <w:bookmarkStart w:id="834" w:name="_Toc109802030"/>
      <w:bookmarkStart w:id="835" w:name="_Toc144104180"/>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68</w:t>
      </w:r>
      <w:r w:rsidR="009A10E2" w:rsidRPr="00F15667">
        <w:rPr>
          <w:color w:val="auto"/>
        </w:rPr>
        <w:fldChar w:fldCharType="end"/>
      </w:r>
      <w:r w:rsidRPr="00F15667">
        <w:rPr>
          <w:color w:val="auto"/>
        </w:rPr>
        <w:t>: KS – vyřizování odvolacích trestních věcí v letech 2008–</w:t>
      </w:r>
      <w:bookmarkEnd w:id="829"/>
      <w:r w:rsidRPr="00F15667">
        <w:rPr>
          <w:color w:val="auto"/>
        </w:rPr>
        <w:t>20</w:t>
      </w:r>
      <w:bookmarkEnd w:id="830"/>
      <w:bookmarkEnd w:id="831"/>
      <w:r w:rsidRPr="00F15667">
        <w:rPr>
          <w:color w:val="auto"/>
        </w:rPr>
        <w:t>2</w:t>
      </w:r>
      <w:bookmarkEnd w:id="832"/>
      <w:bookmarkEnd w:id="833"/>
      <w:bookmarkEnd w:id="834"/>
      <w:r w:rsidR="00D22C42">
        <w:rPr>
          <w:color w:val="auto"/>
        </w:rPr>
        <w:t>2</w:t>
      </w:r>
      <w:bookmarkEnd w:id="835"/>
    </w:p>
    <w:p w14:paraId="1A6B43CA" w14:textId="31A80B4F" w:rsidR="00A41727" w:rsidRPr="00F15667" w:rsidRDefault="009467D2" w:rsidP="0041601E">
      <w:pPr>
        <w:pStyle w:val="OdstavecASR"/>
      </w:pPr>
      <w:r w:rsidRPr="009467D2">
        <w:rPr>
          <w:noProof/>
        </w:rPr>
        <w:drawing>
          <wp:inline distT="0" distB="0" distL="0" distR="0" wp14:anchorId="5B4CB0E0" wp14:editId="3CB61DF5">
            <wp:extent cx="5029200" cy="3657600"/>
            <wp:effectExtent l="0" t="0" r="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3F25AD8" w14:textId="0D334DBF" w:rsidR="00A41727" w:rsidRPr="00F15667" w:rsidRDefault="00A41727" w:rsidP="00A41727">
      <w:pPr>
        <w:pStyle w:val="OdstavecASR"/>
      </w:pPr>
      <w:r w:rsidRPr="00F15667">
        <w:t>Zajímavé je, že počet vyřízených trestních věcí u okresních soudů klesal, ale nápad v druhostupňové trestní agendě u krajských soudů byl v letech 2013 až 2016 stabilní. Až od roku 2017 se i zde projevil pokles. Nápad v této agendě neklesal, protože u okresních státních zastupitelství se snižoval počet věcí ve zkráceném přípravném řízení a tím docházelo ke snížení nápadu u okresních soudů. Jednalo se ale především o jednodušší trestní věci, které většinou končily u okresních soudů trestním příkazem; ten nemůže být napaden odvoláním ke krajskému soudu, ale odporem, o němž rozhoduje opět soud okresní. Proto se pokles vyřízené prvostupňové agendy u okresních soudů většinou neprojevil v odvolací agendě krajských soudů. V letech 2017 až 2019 vidíme klesající trend, jak v počtu příchozích, tak i v počtu vyřízených věcí. V roce 2020 pokles akceleroval, což lze pravděpodobně opět přisoudit pandemii COVID</w:t>
      </w:r>
      <w:r w:rsidRPr="00F15667">
        <w:noBreakHyphen/>
        <w:t>19; zároveň totiž po několikaletém poklesu vzrostl (byť nijak závažně) i počet nevyřízených věcí. V roce 2021 došlo k mírnému poklesu příchozích, vyřízených a nevyřízených věcí. V roce 2022 mírný pokles pokračoval. Počet příchozích, vyřízených i nevyřízených věcí byl nejmenší ve sledovaném období.</w:t>
      </w:r>
    </w:p>
    <w:p w14:paraId="2BBB0F43" w14:textId="07679363" w:rsidR="0041601E" w:rsidRDefault="00615D46" w:rsidP="0041601E">
      <w:pPr>
        <w:pStyle w:val="OdstavecASR"/>
      </w:pPr>
      <w:r w:rsidRPr="00F15667">
        <w:t>U šest</w:t>
      </w:r>
      <w:r w:rsidR="0025119E" w:rsidRPr="00F15667">
        <w:t>i soudů z osmi se míra vyřizování pohybuje do půl procentního bodu od 100 %. Pouze KS Ústí nad Labem a KS Plzeň mají míru o něco vyšší (104 %, respektive 102,9 %). Vzhledem k už tak nízkému počtu nevyřízených věcí se toto pak projeví poklesem v počtu nevyřízených věcí o</w:t>
      </w:r>
      <w:r w:rsidR="0041601E">
        <w:t> </w:t>
      </w:r>
      <w:r w:rsidR="0025119E" w:rsidRPr="00F15667">
        <w:t>desítky procent u těchto soudů.</w:t>
      </w:r>
    </w:p>
    <w:p w14:paraId="36017606" w14:textId="63D72163" w:rsidR="0041601E" w:rsidRDefault="0041601E">
      <w:pPr>
        <w:spacing w:after="160" w:line="259" w:lineRule="auto"/>
        <w:jc w:val="left"/>
      </w:pPr>
      <w:r>
        <w:br w:type="page"/>
      </w:r>
    </w:p>
    <w:p w14:paraId="5FBED710" w14:textId="235B29B7" w:rsidR="00615D46" w:rsidRPr="00F15667" w:rsidRDefault="00615D46" w:rsidP="00615D46">
      <w:pPr>
        <w:pStyle w:val="Podnadpis"/>
        <w:rPr>
          <w:color w:val="auto"/>
        </w:rPr>
      </w:pPr>
      <w:bookmarkStart w:id="836" w:name="_Toc144104303"/>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64</w:t>
      </w:r>
      <w:r w:rsidRPr="00F15667">
        <w:rPr>
          <w:noProof/>
          <w:color w:val="auto"/>
        </w:rPr>
        <w:fldChar w:fldCharType="end"/>
      </w:r>
      <w:r w:rsidRPr="00F15667">
        <w:rPr>
          <w:color w:val="auto"/>
        </w:rPr>
        <w:t>: KS – vyřizování odvolacích trestních věcí dle soudů</w:t>
      </w:r>
      <w:bookmarkEnd w:id="836"/>
    </w:p>
    <w:tbl>
      <w:tblPr>
        <w:tblW w:w="9195" w:type="dxa"/>
        <w:tblCellMar>
          <w:left w:w="70" w:type="dxa"/>
          <w:right w:w="70" w:type="dxa"/>
        </w:tblCellMar>
        <w:tblLook w:val="04A0" w:firstRow="1" w:lastRow="0" w:firstColumn="1" w:lastColumn="0" w:noHBand="0" w:noVBand="1"/>
      </w:tblPr>
      <w:tblGrid>
        <w:gridCol w:w="1820"/>
        <w:gridCol w:w="1073"/>
        <w:gridCol w:w="922"/>
        <w:gridCol w:w="1039"/>
        <w:gridCol w:w="922"/>
        <w:gridCol w:w="1028"/>
        <w:gridCol w:w="851"/>
        <w:gridCol w:w="1540"/>
      </w:tblGrid>
      <w:tr w:rsidR="00F15667" w:rsidRPr="00F15667" w14:paraId="26F8C444" w14:textId="77777777" w:rsidTr="0041601E">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3B7ACE48" w14:textId="01227BA6" w:rsidR="00615D46" w:rsidRPr="00F15667" w:rsidRDefault="0041601E" w:rsidP="0041601E">
            <w:pPr>
              <w:spacing w:line="240" w:lineRule="auto"/>
              <w:jc w:val="center"/>
              <w:rPr>
                <w:rFonts w:eastAsia="Times New Roman"/>
                <w:b/>
                <w:bCs/>
                <w:szCs w:val="24"/>
                <w:lang w:eastAsia="cs-CZ"/>
              </w:rPr>
            </w:pPr>
            <w:r>
              <w:rPr>
                <w:rFonts w:eastAsia="Times New Roman"/>
                <w:b/>
                <w:bCs/>
                <w:szCs w:val="24"/>
                <w:lang w:eastAsia="cs-CZ"/>
              </w:rPr>
              <w:t>S</w:t>
            </w:r>
            <w:r w:rsidR="00615D46" w:rsidRPr="00F15667">
              <w:rPr>
                <w:rFonts w:eastAsia="Times New Roman"/>
                <w:b/>
                <w:bCs/>
                <w:szCs w:val="24"/>
                <w:lang w:eastAsia="cs-CZ"/>
              </w:rPr>
              <w:t>oud</w:t>
            </w:r>
          </w:p>
        </w:tc>
        <w:tc>
          <w:tcPr>
            <w:tcW w:w="5835" w:type="dxa"/>
            <w:gridSpan w:val="6"/>
            <w:tcBorders>
              <w:top w:val="double" w:sz="6" w:space="0" w:color="auto"/>
              <w:left w:val="nil"/>
              <w:bottom w:val="nil"/>
              <w:right w:val="single" w:sz="4" w:space="0" w:color="000000"/>
            </w:tcBorders>
            <w:shd w:val="clear" w:color="auto" w:fill="auto"/>
            <w:noWrap/>
            <w:vAlign w:val="center"/>
            <w:hideMark/>
          </w:tcPr>
          <w:p w14:paraId="71486B88" w14:textId="77777777" w:rsidR="00615D46" w:rsidRPr="00F15667" w:rsidRDefault="00615D46" w:rsidP="0041601E">
            <w:pPr>
              <w:spacing w:line="240" w:lineRule="auto"/>
              <w:jc w:val="center"/>
              <w:rPr>
                <w:rFonts w:eastAsia="Times New Roman"/>
                <w:b/>
                <w:bCs/>
                <w:szCs w:val="24"/>
                <w:lang w:eastAsia="cs-CZ"/>
              </w:rPr>
            </w:pPr>
            <w:r w:rsidRPr="00F15667">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02523646" w14:textId="77777777" w:rsidR="00615D46" w:rsidRPr="00F15667" w:rsidRDefault="00615D46" w:rsidP="0041601E">
            <w:pPr>
              <w:spacing w:line="240" w:lineRule="auto"/>
              <w:jc w:val="center"/>
              <w:rPr>
                <w:rFonts w:eastAsia="Times New Roman"/>
                <w:b/>
                <w:bCs/>
                <w:szCs w:val="24"/>
                <w:lang w:eastAsia="cs-CZ"/>
              </w:rPr>
            </w:pPr>
            <w:r w:rsidRPr="00F15667">
              <w:rPr>
                <w:rFonts w:eastAsia="Times New Roman"/>
                <w:b/>
                <w:bCs/>
                <w:szCs w:val="24"/>
                <w:lang w:eastAsia="cs-CZ"/>
              </w:rPr>
              <w:t>Míra vyřizování</w:t>
            </w:r>
          </w:p>
        </w:tc>
      </w:tr>
      <w:tr w:rsidR="00F15667" w:rsidRPr="00F15667" w14:paraId="2E236D41" w14:textId="77777777" w:rsidTr="0041601E">
        <w:trPr>
          <w:trHeight w:val="330"/>
        </w:trPr>
        <w:tc>
          <w:tcPr>
            <w:tcW w:w="1820" w:type="dxa"/>
            <w:vMerge/>
            <w:tcBorders>
              <w:top w:val="double" w:sz="6" w:space="0" w:color="auto"/>
              <w:left w:val="nil"/>
              <w:bottom w:val="double" w:sz="6" w:space="0" w:color="000000"/>
              <w:right w:val="nil"/>
            </w:tcBorders>
            <w:vAlign w:val="center"/>
            <w:hideMark/>
          </w:tcPr>
          <w:p w14:paraId="308E3E52" w14:textId="77777777" w:rsidR="00615D46" w:rsidRPr="00F15667" w:rsidRDefault="00615D46" w:rsidP="0041601E">
            <w:pPr>
              <w:spacing w:line="240" w:lineRule="auto"/>
              <w:jc w:val="center"/>
              <w:rPr>
                <w:rFonts w:eastAsia="Times New Roman"/>
                <w:b/>
                <w:bCs/>
                <w:szCs w:val="24"/>
                <w:lang w:eastAsia="cs-CZ"/>
              </w:rPr>
            </w:pPr>
          </w:p>
        </w:tc>
        <w:tc>
          <w:tcPr>
            <w:tcW w:w="1995" w:type="dxa"/>
            <w:gridSpan w:val="2"/>
            <w:tcBorders>
              <w:top w:val="nil"/>
              <w:left w:val="nil"/>
              <w:bottom w:val="double" w:sz="6" w:space="0" w:color="auto"/>
              <w:right w:val="nil"/>
            </w:tcBorders>
            <w:shd w:val="clear" w:color="auto" w:fill="auto"/>
            <w:noWrap/>
            <w:vAlign w:val="center"/>
            <w:hideMark/>
          </w:tcPr>
          <w:p w14:paraId="5BF9A38F" w14:textId="77777777" w:rsidR="00615D46" w:rsidRPr="00F15667" w:rsidRDefault="00615D46" w:rsidP="0041601E">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96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30481A3" w14:textId="77777777" w:rsidR="00615D46" w:rsidRPr="00F15667" w:rsidRDefault="00615D46" w:rsidP="0041601E">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879" w:type="dxa"/>
            <w:gridSpan w:val="2"/>
            <w:tcBorders>
              <w:top w:val="nil"/>
              <w:left w:val="nil"/>
              <w:bottom w:val="double" w:sz="6" w:space="0" w:color="auto"/>
              <w:right w:val="single" w:sz="4" w:space="0" w:color="000000"/>
            </w:tcBorders>
            <w:shd w:val="clear" w:color="auto" w:fill="auto"/>
            <w:noWrap/>
            <w:vAlign w:val="center"/>
            <w:hideMark/>
          </w:tcPr>
          <w:p w14:paraId="2EEE1824" w14:textId="77777777" w:rsidR="00615D46" w:rsidRPr="00F15667" w:rsidRDefault="00615D46" w:rsidP="0041601E">
            <w:pPr>
              <w:spacing w:line="240" w:lineRule="auto"/>
              <w:jc w:val="center"/>
              <w:rPr>
                <w:rFonts w:eastAsia="Times New Roman"/>
                <w:b/>
                <w:bCs/>
                <w:szCs w:val="24"/>
                <w:lang w:eastAsia="cs-CZ"/>
              </w:rPr>
            </w:pPr>
            <w:r w:rsidRPr="00F15667">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7F20F351" w14:textId="77777777" w:rsidR="00615D46" w:rsidRPr="00F15667" w:rsidRDefault="00615D46" w:rsidP="0041601E">
            <w:pPr>
              <w:spacing w:line="240" w:lineRule="auto"/>
              <w:jc w:val="center"/>
              <w:rPr>
                <w:rFonts w:eastAsia="Times New Roman"/>
                <w:b/>
                <w:bCs/>
                <w:szCs w:val="24"/>
                <w:lang w:eastAsia="cs-CZ"/>
              </w:rPr>
            </w:pPr>
          </w:p>
        </w:tc>
      </w:tr>
      <w:tr w:rsidR="00F15667" w:rsidRPr="00F15667" w14:paraId="0396C02D" w14:textId="77777777" w:rsidTr="0041601E">
        <w:trPr>
          <w:trHeight w:val="330"/>
        </w:trPr>
        <w:tc>
          <w:tcPr>
            <w:tcW w:w="1820" w:type="dxa"/>
            <w:tcBorders>
              <w:top w:val="single" w:sz="4" w:space="0" w:color="auto"/>
              <w:left w:val="nil"/>
              <w:bottom w:val="single" w:sz="4" w:space="0" w:color="auto"/>
              <w:right w:val="nil"/>
            </w:tcBorders>
            <w:shd w:val="clear" w:color="auto" w:fill="auto"/>
            <w:noWrap/>
            <w:vAlign w:val="center"/>
            <w:hideMark/>
          </w:tcPr>
          <w:p w14:paraId="20230FC9" w14:textId="77777777" w:rsidR="00615D46" w:rsidRPr="00F15667" w:rsidRDefault="00615D46" w:rsidP="0041601E">
            <w:pPr>
              <w:spacing w:line="240" w:lineRule="auto"/>
              <w:jc w:val="left"/>
              <w:rPr>
                <w:rFonts w:eastAsia="Times New Roman"/>
                <w:szCs w:val="24"/>
                <w:lang w:eastAsia="cs-CZ"/>
              </w:rPr>
            </w:pPr>
            <w:r w:rsidRPr="00F15667">
              <w:rPr>
                <w:rFonts w:eastAsia="Times New Roman"/>
                <w:szCs w:val="24"/>
                <w:lang w:eastAsia="cs-CZ"/>
              </w:rPr>
              <w:t>MS Praha</w:t>
            </w:r>
          </w:p>
        </w:tc>
        <w:tc>
          <w:tcPr>
            <w:tcW w:w="1073" w:type="dxa"/>
            <w:tcBorders>
              <w:top w:val="single" w:sz="4" w:space="0" w:color="auto"/>
              <w:left w:val="nil"/>
              <w:bottom w:val="single" w:sz="4" w:space="0" w:color="auto"/>
              <w:right w:val="nil"/>
            </w:tcBorders>
            <w:shd w:val="clear" w:color="auto" w:fill="auto"/>
            <w:noWrap/>
            <w:vAlign w:val="center"/>
            <w:hideMark/>
          </w:tcPr>
          <w:p w14:paraId="7C215C32"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3 178</w:t>
            </w:r>
          </w:p>
        </w:tc>
        <w:tc>
          <w:tcPr>
            <w:tcW w:w="922" w:type="dxa"/>
            <w:tcBorders>
              <w:top w:val="single" w:sz="4" w:space="0" w:color="auto"/>
              <w:left w:val="nil"/>
              <w:bottom w:val="single" w:sz="4" w:space="0" w:color="auto"/>
              <w:right w:val="nil"/>
            </w:tcBorders>
            <w:shd w:val="clear" w:color="auto" w:fill="auto"/>
            <w:noWrap/>
            <w:vAlign w:val="center"/>
            <w:hideMark/>
          </w:tcPr>
          <w:p w14:paraId="26DAE3A0" w14:textId="22EE2EC7"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039" w:type="dxa"/>
            <w:tcBorders>
              <w:top w:val="single" w:sz="4" w:space="0" w:color="auto"/>
              <w:left w:val="single" w:sz="4" w:space="0" w:color="auto"/>
              <w:bottom w:val="single" w:sz="4" w:space="0" w:color="auto"/>
              <w:right w:val="nil"/>
            </w:tcBorders>
            <w:shd w:val="clear" w:color="auto" w:fill="auto"/>
            <w:noWrap/>
            <w:vAlign w:val="center"/>
            <w:hideMark/>
          </w:tcPr>
          <w:p w14:paraId="365B3589"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3 182</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64219C63" w14:textId="268546DC"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028" w:type="dxa"/>
            <w:tcBorders>
              <w:top w:val="single" w:sz="4" w:space="0" w:color="auto"/>
              <w:left w:val="nil"/>
              <w:bottom w:val="single" w:sz="4" w:space="0" w:color="auto"/>
              <w:right w:val="nil"/>
            </w:tcBorders>
            <w:shd w:val="clear" w:color="auto" w:fill="auto"/>
            <w:noWrap/>
            <w:vAlign w:val="center"/>
            <w:hideMark/>
          </w:tcPr>
          <w:p w14:paraId="78797713"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180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6DA106E" w14:textId="61FC3E99"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56B547F7" w14:textId="58A546FF"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100</w:t>
            </w:r>
            <w:r w:rsidR="00340529" w:rsidRPr="00F15667">
              <w:rPr>
                <w:rFonts w:eastAsia="Times New Roman"/>
                <w:szCs w:val="24"/>
                <w:lang w:eastAsia="cs-CZ"/>
              </w:rPr>
              <w:t>,</w:t>
            </w:r>
            <w:r w:rsidRPr="00F15667">
              <w:rPr>
                <w:rFonts w:eastAsia="Times New Roman"/>
                <w:szCs w:val="24"/>
                <w:lang w:eastAsia="cs-CZ"/>
              </w:rPr>
              <w:t>1 %</w:t>
            </w:r>
          </w:p>
        </w:tc>
      </w:tr>
      <w:tr w:rsidR="00F15667" w:rsidRPr="00F15667" w14:paraId="3D419C75" w14:textId="77777777" w:rsidTr="0041601E">
        <w:trPr>
          <w:trHeight w:val="315"/>
        </w:trPr>
        <w:tc>
          <w:tcPr>
            <w:tcW w:w="1820" w:type="dxa"/>
            <w:tcBorders>
              <w:top w:val="nil"/>
              <w:left w:val="nil"/>
              <w:bottom w:val="single" w:sz="4" w:space="0" w:color="auto"/>
              <w:right w:val="nil"/>
            </w:tcBorders>
            <w:shd w:val="clear" w:color="auto" w:fill="auto"/>
            <w:noWrap/>
            <w:vAlign w:val="center"/>
            <w:hideMark/>
          </w:tcPr>
          <w:p w14:paraId="495731F9" w14:textId="77777777" w:rsidR="00615D46" w:rsidRPr="00F15667" w:rsidRDefault="00615D46" w:rsidP="0041601E">
            <w:pPr>
              <w:spacing w:line="240" w:lineRule="auto"/>
              <w:jc w:val="left"/>
              <w:rPr>
                <w:rFonts w:eastAsia="Times New Roman"/>
                <w:szCs w:val="24"/>
                <w:lang w:eastAsia="cs-CZ"/>
              </w:rPr>
            </w:pPr>
            <w:r w:rsidRPr="00F15667">
              <w:rPr>
                <w:rFonts w:eastAsia="Times New Roman"/>
                <w:szCs w:val="24"/>
                <w:lang w:eastAsia="cs-CZ"/>
              </w:rPr>
              <w:t>KS Praha</w:t>
            </w:r>
          </w:p>
        </w:tc>
        <w:tc>
          <w:tcPr>
            <w:tcW w:w="1073" w:type="dxa"/>
            <w:tcBorders>
              <w:top w:val="nil"/>
              <w:left w:val="nil"/>
              <w:bottom w:val="single" w:sz="4" w:space="0" w:color="auto"/>
              <w:right w:val="nil"/>
            </w:tcBorders>
            <w:shd w:val="clear" w:color="auto" w:fill="auto"/>
            <w:noWrap/>
            <w:vAlign w:val="center"/>
            <w:hideMark/>
          </w:tcPr>
          <w:p w14:paraId="3124FD11" w14:textId="1BD36FDF"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2</w:t>
            </w:r>
            <w:r w:rsidR="00340529" w:rsidRPr="00F15667">
              <w:rPr>
                <w:rFonts w:eastAsia="Times New Roman"/>
                <w:szCs w:val="24"/>
                <w:lang w:eastAsia="cs-CZ"/>
              </w:rPr>
              <w:t xml:space="preserve"> </w:t>
            </w:r>
            <w:r w:rsidRPr="00F15667">
              <w:rPr>
                <w:rFonts w:eastAsia="Times New Roman"/>
                <w:szCs w:val="24"/>
                <w:lang w:eastAsia="cs-CZ"/>
              </w:rPr>
              <w:t>397</w:t>
            </w:r>
          </w:p>
        </w:tc>
        <w:tc>
          <w:tcPr>
            <w:tcW w:w="922" w:type="dxa"/>
            <w:tcBorders>
              <w:top w:val="nil"/>
              <w:left w:val="nil"/>
              <w:bottom w:val="single" w:sz="4" w:space="0" w:color="auto"/>
              <w:right w:val="nil"/>
            </w:tcBorders>
            <w:shd w:val="clear" w:color="auto" w:fill="auto"/>
            <w:noWrap/>
            <w:vAlign w:val="center"/>
            <w:hideMark/>
          </w:tcPr>
          <w:p w14:paraId="730D4652" w14:textId="24FA5F85"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039" w:type="dxa"/>
            <w:tcBorders>
              <w:top w:val="nil"/>
              <w:left w:val="single" w:sz="4" w:space="0" w:color="auto"/>
              <w:bottom w:val="single" w:sz="4" w:space="0" w:color="auto"/>
              <w:right w:val="nil"/>
            </w:tcBorders>
            <w:shd w:val="clear" w:color="auto" w:fill="auto"/>
            <w:noWrap/>
            <w:vAlign w:val="center"/>
            <w:hideMark/>
          </w:tcPr>
          <w:p w14:paraId="5F4FAD20" w14:textId="347D46D9"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2</w:t>
            </w:r>
            <w:r w:rsidR="00340529" w:rsidRPr="00F15667">
              <w:rPr>
                <w:rFonts w:eastAsia="Times New Roman"/>
                <w:szCs w:val="24"/>
                <w:lang w:eastAsia="cs-CZ"/>
              </w:rPr>
              <w:t xml:space="preserve"> </w:t>
            </w:r>
            <w:r w:rsidRPr="00F15667">
              <w:rPr>
                <w:rFonts w:eastAsia="Times New Roman"/>
                <w:szCs w:val="24"/>
                <w:lang w:eastAsia="cs-CZ"/>
              </w:rPr>
              <w:t>409</w:t>
            </w:r>
          </w:p>
        </w:tc>
        <w:tc>
          <w:tcPr>
            <w:tcW w:w="922" w:type="dxa"/>
            <w:tcBorders>
              <w:top w:val="nil"/>
              <w:left w:val="nil"/>
              <w:bottom w:val="single" w:sz="4" w:space="0" w:color="auto"/>
              <w:right w:val="single" w:sz="4" w:space="0" w:color="auto"/>
            </w:tcBorders>
            <w:shd w:val="clear" w:color="auto" w:fill="auto"/>
            <w:noWrap/>
            <w:vAlign w:val="center"/>
            <w:hideMark/>
          </w:tcPr>
          <w:p w14:paraId="0EB18FDA" w14:textId="342F2AB6"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028" w:type="dxa"/>
            <w:tcBorders>
              <w:top w:val="nil"/>
              <w:left w:val="nil"/>
              <w:bottom w:val="single" w:sz="4" w:space="0" w:color="auto"/>
              <w:right w:val="nil"/>
            </w:tcBorders>
            <w:shd w:val="clear" w:color="auto" w:fill="auto"/>
            <w:noWrap/>
            <w:vAlign w:val="center"/>
            <w:hideMark/>
          </w:tcPr>
          <w:p w14:paraId="4CE84EE6"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33</w:t>
            </w:r>
          </w:p>
        </w:tc>
        <w:tc>
          <w:tcPr>
            <w:tcW w:w="851" w:type="dxa"/>
            <w:tcBorders>
              <w:top w:val="nil"/>
              <w:left w:val="nil"/>
              <w:bottom w:val="single" w:sz="4" w:space="0" w:color="auto"/>
              <w:right w:val="single" w:sz="4" w:space="0" w:color="auto"/>
            </w:tcBorders>
            <w:shd w:val="clear" w:color="auto" w:fill="auto"/>
            <w:noWrap/>
            <w:vAlign w:val="center"/>
            <w:hideMark/>
          </w:tcPr>
          <w:p w14:paraId="0727A9F2" w14:textId="10866734"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-27 %</w:t>
            </w:r>
          </w:p>
        </w:tc>
        <w:tc>
          <w:tcPr>
            <w:tcW w:w="1540" w:type="dxa"/>
            <w:tcBorders>
              <w:top w:val="nil"/>
              <w:left w:val="nil"/>
              <w:bottom w:val="single" w:sz="4" w:space="0" w:color="auto"/>
              <w:right w:val="nil"/>
            </w:tcBorders>
            <w:shd w:val="clear" w:color="auto" w:fill="auto"/>
            <w:noWrap/>
            <w:vAlign w:val="center"/>
            <w:hideMark/>
          </w:tcPr>
          <w:p w14:paraId="17AF5AF8" w14:textId="57A181C5"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100</w:t>
            </w:r>
            <w:r w:rsidR="00340529" w:rsidRPr="00F15667">
              <w:rPr>
                <w:rFonts w:eastAsia="Times New Roman"/>
                <w:szCs w:val="24"/>
                <w:lang w:eastAsia="cs-CZ"/>
              </w:rPr>
              <w:t>,</w:t>
            </w:r>
            <w:r w:rsidRPr="00F15667">
              <w:rPr>
                <w:rFonts w:eastAsia="Times New Roman"/>
                <w:szCs w:val="24"/>
                <w:lang w:eastAsia="cs-CZ"/>
              </w:rPr>
              <w:t>5 %</w:t>
            </w:r>
          </w:p>
        </w:tc>
      </w:tr>
      <w:tr w:rsidR="00F15667" w:rsidRPr="00F15667" w14:paraId="76D380BC" w14:textId="77777777" w:rsidTr="0041601E">
        <w:trPr>
          <w:trHeight w:val="315"/>
        </w:trPr>
        <w:tc>
          <w:tcPr>
            <w:tcW w:w="1820" w:type="dxa"/>
            <w:tcBorders>
              <w:top w:val="nil"/>
              <w:left w:val="nil"/>
              <w:bottom w:val="single" w:sz="4" w:space="0" w:color="auto"/>
              <w:right w:val="nil"/>
            </w:tcBorders>
            <w:shd w:val="clear" w:color="auto" w:fill="auto"/>
            <w:noWrap/>
            <w:vAlign w:val="center"/>
            <w:hideMark/>
          </w:tcPr>
          <w:p w14:paraId="191C0F78" w14:textId="77777777" w:rsidR="00615D46" w:rsidRPr="00F15667" w:rsidRDefault="00615D46" w:rsidP="0041601E">
            <w:pPr>
              <w:spacing w:line="240" w:lineRule="auto"/>
              <w:jc w:val="left"/>
              <w:rPr>
                <w:rFonts w:eastAsia="Times New Roman"/>
                <w:szCs w:val="24"/>
                <w:lang w:eastAsia="cs-CZ"/>
              </w:rPr>
            </w:pPr>
            <w:r w:rsidRPr="00F15667">
              <w:rPr>
                <w:rFonts w:eastAsia="Times New Roman"/>
                <w:szCs w:val="24"/>
                <w:lang w:eastAsia="cs-CZ"/>
              </w:rPr>
              <w:t>KS Č. Budějovice</w:t>
            </w:r>
          </w:p>
        </w:tc>
        <w:tc>
          <w:tcPr>
            <w:tcW w:w="1073" w:type="dxa"/>
            <w:tcBorders>
              <w:top w:val="nil"/>
              <w:left w:val="nil"/>
              <w:bottom w:val="single" w:sz="4" w:space="0" w:color="auto"/>
              <w:right w:val="nil"/>
            </w:tcBorders>
            <w:shd w:val="clear" w:color="auto" w:fill="auto"/>
            <w:noWrap/>
            <w:vAlign w:val="center"/>
            <w:hideMark/>
          </w:tcPr>
          <w:p w14:paraId="648A35B3"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882</w:t>
            </w:r>
          </w:p>
        </w:tc>
        <w:tc>
          <w:tcPr>
            <w:tcW w:w="922" w:type="dxa"/>
            <w:tcBorders>
              <w:top w:val="nil"/>
              <w:left w:val="nil"/>
              <w:bottom w:val="single" w:sz="4" w:space="0" w:color="auto"/>
              <w:right w:val="nil"/>
            </w:tcBorders>
            <w:shd w:val="clear" w:color="auto" w:fill="auto"/>
            <w:noWrap/>
            <w:vAlign w:val="center"/>
            <w:hideMark/>
          </w:tcPr>
          <w:p w14:paraId="253AFC54" w14:textId="0F31FCA0"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039" w:type="dxa"/>
            <w:tcBorders>
              <w:top w:val="nil"/>
              <w:left w:val="single" w:sz="4" w:space="0" w:color="auto"/>
              <w:bottom w:val="single" w:sz="4" w:space="0" w:color="auto"/>
              <w:right w:val="nil"/>
            </w:tcBorders>
            <w:shd w:val="clear" w:color="auto" w:fill="auto"/>
            <w:noWrap/>
            <w:vAlign w:val="center"/>
            <w:hideMark/>
          </w:tcPr>
          <w:p w14:paraId="62EEF65C"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886</w:t>
            </w:r>
          </w:p>
        </w:tc>
        <w:tc>
          <w:tcPr>
            <w:tcW w:w="922" w:type="dxa"/>
            <w:tcBorders>
              <w:top w:val="nil"/>
              <w:left w:val="nil"/>
              <w:bottom w:val="single" w:sz="4" w:space="0" w:color="auto"/>
              <w:right w:val="single" w:sz="4" w:space="0" w:color="auto"/>
            </w:tcBorders>
            <w:shd w:val="clear" w:color="auto" w:fill="auto"/>
            <w:noWrap/>
            <w:vAlign w:val="center"/>
            <w:hideMark/>
          </w:tcPr>
          <w:p w14:paraId="046E0B15" w14:textId="0BB54B96"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1028" w:type="dxa"/>
            <w:tcBorders>
              <w:top w:val="nil"/>
              <w:left w:val="nil"/>
              <w:bottom w:val="single" w:sz="4" w:space="0" w:color="auto"/>
              <w:right w:val="nil"/>
            </w:tcBorders>
            <w:shd w:val="clear" w:color="auto" w:fill="auto"/>
            <w:noWrap/>
            <w:vAlign w:val="center"/>
            <w:hideMark/>
          </w:tcPr>
          <w:p w14:paraId="0CABC813"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93</w:t>
            </w:r>
          </w:p>
        </w:tc>
        <w:tc>
          <w:tcPr>
            <w:tcW w:w="851" w:type="dxa"/>
            <w:tcBorders>
              <w:top w:val="nil"/>
              <w:left w:val="nil"/>
              <w:bottom w:val="single" w:sz="4" w:space="0" w:color="auto"/>
              <w:right w:val="single" w:sz="4" w:space="0" w:color="auto"/>
            </w:tcBorders>
            <w:shd w:val="clear" w:color="auto" w:fill="auto"/>
            <w:noWrap/>
            <w:vAlign w:val="center"/>
            <w:hideMark/>
          </w:tcPr>
          <w:p w14:paraId="35273128" w14:textId="45217B94"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540" w:type="dxa"/>
            <w:tcBorders>
              <w:top w:val="nil"/>
              <w:left w:val="nil"/>
              <w:bottom w:val="single" w:sz="4" w:space="0" w:color="auto"/>
              <w:right w:val="nil"/>
            </w:tcBorders>
            <w:shd w:val="clear" w:color="auto" w:fill="auto"/>
            <w:noWrap/>
            <w:vAlign w:val="center"/>
            <w:hideMark/>
          </w:tcPr>
          <w:p w14:paraId="3B95A479" w14:textId="69FC5A4D"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100</w:t>
            </w:r>
            <w:r w:rsidR="00340529" w:rsidRPr="00F15667">
              <w:rPr>
                <w:rFonts w:eastAsia="Times New Roman"/>
                <w:szCs w:val="24"/>
                <w:lang w:eastAsia="cs-CZ"/>
              </w:rPr>
              <w:t>,</w:t>
            </w:r>
            <w:r w:rsidRPr="00F15667">
              <w:rPr>
                <w:rFonts w:eastAsia="Times New Roman"/>
                <w:szCs w:val="24"/>
                <w:lang w:eastAsia="cs-CZ"/>
              </w:rPr>
              <w:t>5 %</w:t>
            </w:r>
          </w:p>
        </w:tc>
      </w:tr>
      <w:tr w:rsidR="00F15667" w:rsidRPr="00F15667" w14:paraId="4B81CD07" w14:textId="77777777" w:rsidTr="0041601E">
        <w:trPr>
          <w:trHeight w:val="315"/>
        </w:trPr>
        <w:tc>
          <w:tcPr>
            <w:tcW w:w="1820" w:type="dxa"/>
            <w:tcBorders>
              <w:top w:val="nil"/>
              <w:left w:val="nil"/>
              <w:bottom w:val="single" w:sz="4" w:space="0" w:color="auto"/>
              <w:right w:val="nil"/>
            </w:tcBorders>
            <w:shd w:val="clear" w:color="auto" w:fill="auto"/>
            <w:noWrap/>
            <w:vAlign w:val="center"/>
            <w:hideMark/>
          </w:tcPr>
          <w:p w14:paraId="2AFE90C7" w14:textId="77777777" w:rsidR="00615D46" w:rsidRPr="00F15667" w:rsidRDefault="00615D46" w:rsidP="0041601E">
            <w:pPr>
              <w:spacing w:line="240" w:lineRule="auto"/>
              <w:jc w:val="left"/>
              <w:rPr>
                <w:rFonts w:eastAsia="Times New Roman"/>
                <w:szCs w:val="24"/>
                <w:lang w:eastAsia="cs-CZ"/>
              </w:rPr>
            </w:pPr>
            <w:r w:rsidRPr="00F15667">
              <w:rPr>
                <w:rFonts w:eastAsia="Times New Roman"/>
                <w:szCs w:val="24"/>
                <w:lang w:eastAsia="cs-CZ"/>
              </w:rPr>
              <w:t>KS Plzeň</w:t>
            </w:r>
          </w:p>
        </w:tc>
        <w:tc>
          <w:tcPr>
            <w:tcW w:w="1073" w:type="dxa"/>
            <w:tcBorders>
              <w:top w:val="nil"/>
              <w:left w:val="nil"/>
              <w:bottom w:val="single" w:sz="4" w:space="0" w:color="auto"/>
              <w:right w:val="nil"/>
            </w:tcBorders>
            <w:shd w:val="clear" w:color="auto" w:fill="auto"/>
            <w:noWrap/>
            <w:vAlign w:val="center"/>
            <w:hideMark/>
          </w:tcPr>
          <w:p w14:paraId="0304EC1A" w14:textId="229FE44A"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710</w:t>
            </w:r>
          </w:p>
        </w:tc>
        <w:tc>
          <w:tcPr>
            <w:tcW w:w="922" w:type="dxa"/>
            <w:tcBorders>
              <w:top w:val="nil"/>
              <w:left w:val="nil"/>
              <w:bottom w:val="single" w:sz="4" w:space="0" w:color="auto"/>
              <w:right w:val="nil"/>
            </w:tcBorders>
            <w:shd w:val="clear" w:color="auto" w:fill="auto"/>
            <w:noWrap/>
            <w:vAlign w:val="center"/>
            <w:hideMark/>
          </w:tcPr>
          <w:p w14:paraId="6EE251B2" w14:textId="308EBE8C"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039" w:type="dxa"/>
            <w:tcBorders>
              <w:top w:val="nil"/>
              <w:left w:val="single" w:sz="4" w:space="0" w:color="auto"/>
              <w:bottom w:val="single" w:sz="4" w:space="0" w:color="auto"/>
              <w:right w:val="nil"/>
            </w:tcBorders>
            <w:shd w:val="clear" w:color="auto" w:fill="auto"/>
            <w:noWrap/>
            <w:vAlign w:val="center"/>
            <w:hideMark/>
          </w:tcPr>
          <w:p w14:paraId="7B6518F7" w14:textId="4513C5DA"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779</w:t>
            </w:r>
          </w:p>
        </w:tc>
        <w:tc>
          <w:tcPr>
            <w:tcW w:w="922" w:type="dxa"/>
            <w:tcBorders>
              <w:top w:val="nil"/>
              <w:left w:val="nil"/>
              <w:bottom w:val="single" w:sz="4" w:space="0" w:color="auto"/>
              <w:right w:val="single" w:sz="4" w:space="0" w:color="auto"/>
            </w:tcBorders>
            <w:shd w:val="clear" w:color="auto" w:fill="auto"/>
            <w:noWrap/>
            <w:vAlign w:val="center"/>
            <w:hideMark/>
          </w:tcPr>
          <w:p w14:paraId="707BC3DF" w14:textId="6F30DC45"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1028" w:type="dxa"/>
            <w:tcBorders>
              <w:top w:val="nil"/>
              <w:left w:val="nil"/>
              <w:bottom w:val="single" w:sz="4" w:space="0" w:color="auto"/>
              <w:right w:val="nil"/>
            </w:tcBorders>
            <w:shd w:val="clear" w:color="auto" w:fill="auto"/>
            <w:noWrap/>
            <w:vAlign w:val="center"/>
            <w:hideMark/>
          </w:tcPr>
          <w:p w14:paraId="571643DD"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120</w:t>
            </w:r>
          </w:p>
        </w:tc>
        <w:tc>
          <w:tcPr>
            <w:tcW w:w="851" w:type="dxa"/>
            <w:tcBorders>
              <w:top w:val="nil"/>
              <w:left w:val="nil"/>
              <w:bottom w:val="single" w:sz="4" w:space="0" w:color="auto"/>
              <w:right w:val="single" w:sz="4" w:space="0" w:color="auto"/>
            </w:tcBorders>
            <w:shd w:val="clear" w:color="auto" w:fill="auto"/>
            <w:noWrap/>
            <w:vAlign w:val="center"/>
            <w:hideMark/>
          </w:tcPr>
          <w:p w14:paraId="0C3646E3" w14:textId="407F33FC"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-37 %</w:t>
            </w:r>
          </w:p>
        </w:tc>
        <w:tc>
          <w:tcPr>
            <w:tcW w:w="1540" w:type="dxa"/>
            <w:tcBorders>
              <w:top w:val="nil"/>
              <w:left w:val="nil"/>
              <w:bottom w:val="single" w:sz="4" w:space="0" w:color="auto"/>
              <w:right w:val="nil"/>
            </w:tcBorders>
            <w:shd w:val="clear" w:color="auto" w:fill="auto"/>
            <w:noWrap/>
            <w:vAlign w:val="center"/>
            <w:hideMark/>
          </w:tcPr>
          <w:p w14:paraId="194A1E86" w14:textId="11211FDB"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104</w:t>
            </w:r>
            <w:r w:rsidR="00340529" w:rsidRPr="00F15667">
              <w:rPr>
                <w:rFonts w:eastAsia="Times New Roman"/>
                <w:szCs w:val="24"/>
                <w:lang w:eastAsia="cs-CZ"/>
              </w:rPr>
              <w:t>,</w:t>
            </w:r>
            <w:r w:rsidRPr="00F15667">
              <w:rPr>
                <w:rFonts w:eastAsia="Times New Roman"/>
                <w:szCs w:val="24"/>
                <w:lang w:eastAsia="cs-CZ"/>
              </w:rPr>
              <w:t>0 %</w:t>
            </w:r>
          </w:p>
        </w:tc>
      </w:tr>
      <w:tr w:rsidR="00F15667" w:rsidRPr="00F15667" w14:paraId="434D3214" w14:textId="77777777" w:rsidTr="0041601E">
        <w:trPr>
          <w:trHeight w:val="315"/>
        </w:trPr>
        <w:tc>
          <w:tcPr>
            <w:tcW w:w="1820" w:type="dxa"/>
            <w:tcBorders>
              <w:top w:val="nil"/>
              <w:left w:val="nil"/>
              <w:bottom w:val="single" w:sz="4" w:space="0" w:color="auto"/>
              <w:right w:val="nil"/>
            </w:tcBorders>
            <w:shd w:val="clear" w:color="auto" w:fill="auto"/>
            <w:noWrap/>
            <w:vAlign w:val="center"/>
            <w:hideMark/>
          </w:tcPr>
          <w:p w14:paraId="4DA350EC" w14:textId="77777777" w:rsidR="00615D46" w:rsidRPr="00F15667" w:rsidRDefault="00615D46" w:rsidP="0041601E">
            <w:pPr>
              <w:spacing w:line="240" w:lineRule="auto"/>
              <w:jc w:val="left"/>
              <w:rPr>
                <w:rFonts w:eastAsia="Times New Roman"/>
                <w:szCs w:val="24"/>
                <w:lang w:eastAsia="cs-CZ"/>
              </w:rPr>
            </w:pPr>
            <w:r w:rsidRPr="00F15667">
              <w:rPr>
                <w:rFonts w:eastAsia="Times New Roman"/>
                <w:szCs w:val="24"/>
                <w:lang w:eastAsia="cs-CZ"/>
              </w:rPr>
              <w:t>KS Ústí n. Labem</w:t>
            </w:r>
          </w:p>
        </w:tc>
        <w:tc>
          <w:tcPr>
            <w:tcW w:w="1073" w:type="dxa"/>
            <w:tcBorders>
              <w:top w:val="nil"/>
              <w:left w:val="nil"/>
              <w:bottom w:val="single" w:sz="4" w:space="0" w:color="auto"/>
              <w:right w:val="nil"/>
            </w:tcBorders>
            <w:shd w:val="clear" w:color="auto" w:fill="auto"/>
            <w:noWrap/>
            <w:vAlign w:val="center"/>
            <w:hideMark/>
          </w:tcPr>
          <w:p w14:paraId="0D643D3D" w14:textId="307F6704"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2</w:t>
            </w:r>
            <w:r w:rsidR="00340529" w:rsidRPr="00F15667">
              <w:rPr>
                <w:rFonts w:eastAsia="Times New Roman"/>
                <w:szCs w:val="24"/>
                <w:lang w:eastAsia="cs-CZ"/>
              </w:rPr>
              <w:t xml:space="preserve"> </w:t>
            </w:r>
            <w:r w:rsidRPr="00F15667">
              <w:rPr>
                <w:rFonts w:eastAsia="Times New Roman"/>
                <w:szCs w:val="24"/>
                <w:lang w:eastAsia="cs-CZ"/>
              </w:rPr>
              <w:t>894</w:t>
            </w:r>
          </w:p>
        </w:tc>
        <w:tc>
          <w:tcPr>
            <w:tcW w:w="922" w:type="dxa"/>
            <w:tcBorders>
              <w:top w:val="nil"/>
              <w:left w:val="nil"/>
              <w:bottom w:val="single" w:sz="4" w:space="0" w:color="auto"/>
              <w:right w:val="nil"/>
            </w:tcBorders>
            <w:shd w:val="clear" w:color="auto" w:fill="auto"/>
            <w:noWrap/>
            <w:vAlign w:val="center"/>
            <w:hideMark/>
          </w:tcPr>
          <w:p w14:paraId="598DF5EB" w14:textId="6AFA1A31"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039" w:type="dxa"/>
            <w:tcBorders>
              <w:top w:val="nil"/>
              <w:left w:val="single" w:sz="4" w:space="0" w:color="auto"/>
              <w:bottom w:val="single" w:sz="4" w:space="0" w:color="auto"/>
              <w:right w:val="nil"/>
            </w:tcBorders>
            <w:shd w:val="clear" w:color="auto" w:fill="auto"/>
            <w:noWrap/>
            <w:vAlign w:val="center"/>
            <w:hideMark/>
          </w:tcPr>
          <w:p w14:paraId="36203162" w14:textId="1DE2E588"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2</w:t>
            </w:r>
            <w:r w:rsidR="00340529" w:rsidRPr="00F15667">
              <w:rPr>
                <w:rFonts w:eastAsia="Times New Roman"/>
                <w:szCs w:val="24"/>
                <w:lang w:eastAsia="cs-CZ"/>
              </w:rPr>
              <w:t xml:space="preserve"> </w:t>
            </w:r>
            <w:r w:rsidRPr="00F15667">
              <w:rPr>
                <w:rFonts w:eastAsia="Times New Roman"/>
                <w:szCs w:val="24"/>
                <w:lang w:eastAsia="cs-CZ"/>
              </w:rPr>
              <w:t>977</w:t>
            </w:r>
          </w:p>
        </w:tc>
        <w:tc>
          <w:tcPr>
            <w:tcW w:w="922" w:type="dxa"/>
            <w:tcBorders>
              <w:top w:val="nil"/>
              <w:left w:val="nil"/>
              <w:bottom w:val="single" w:sz="4" w:space="0" w:color="auto"/>
              <w:right w:val="single" w:sz="4" w:space="0" w:color="auto"/>
            </w:tcBorders>
            <w:shd w:val="clear" w:color="auto" w:fill="auto"/>
            <w:noWrap/>
            <w:vAlign w:val="center"/>
            <w:hideMark/>
          </w:tcPr>
          <w:p w14:paraId="0C133D7E" w14:textId="17CBCD3A"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1028" w:type="dxa"/>
            <w:tcBorders>
              <w:top w:val="nil"/>
              <w:left w:val="nil"/>
              <w:bottom w:val="single" w:sz="4" w:space="0" w:color="auto"/>
              <w:right w:val="nil"/>
            </w:tcBorders>
            <w:shd w:val="clear" w:color="auto" w:fill="auto"/>
            <w:noWrap/>
            <w:vAlign w:val="center"/>
            <w:hideMark/>
          </w:tcPr>
          <w:p w14:paraId="592AC9C9"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267</w:t>
            </w:r>
          </w:p>
        </w:tc>
        <w:tc>
          <w:tcPr>
            <w:tcW w:w="851" w:type="dxa"/>
            <w:tcBorders>
              <w:top w:val="nil"/>
              <w:left w:val="nil"/>
              <w:bottom w:val="single" w:sz="4" w:space="0" w:color="auto"/>
              <w:right w:val="single" w:sz="4" w:space="0" w:color="auto"/>
            </w:tcBorders>
            <w:shd w:val="clear" w:color="auto" w:fill="auto"/>
            <w:noWrap/>
            <w:vAlign w:val="center"/>
            <w:hideMark/>
          </w:tcPr>
          <w:p w14:paraId="598C1B01" w14:textId="008CF4A1"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-24 %</w:t>
            </w:r>
          </w:p>
        </w:tc>
        <w:tc>
          <w:tcPr>
            <w:tcW w:w="1540" w:type="dxa"/>
            <w:tcBorders>
              <w:top w:val="nil"/>
              <w:left w:val="nil"/>
              <w:bottom w:val="single" w:sz="4" w:space="0" w:color="auto"/>
              <w:right w:val="nil"/>
            </w:tcBorders>
            <w:shd w:val="clear" w:color="auto" w:fill="auto"/>
            <w:noWrap/>
            <w:vAlign w:val="center"/>
            <w:hideMark/>
          </w:tcPr>
          <w:p w14:paraId="6EF4E049" w14:textId="3ECFCCE8"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102</w:t>
            </w:r>
            <w:r w:rsidR="00340529" w:rsidRPr="00F15667">
              <w:rPr>
                <w:rFonts w:eastAsia="Times New Roman"/>
                <w:szCs w:val="24"/>
                <w:lang w:eastAsia="cs-CZ"/>
              </w:rPr>
              <w:t>,</w:t>
            </w:r>
            <w:r w:rsidRPr="00F15667">
              <w:rPr>
                <w:rFonts w:eastAsia="Times New Roman"/>
                <w:szCs w:val="24"/>
                <w:lang w:eastAsia="cs-CZ"/>
              </w:rPr>
              <w:t>9 %</w:t>
            </w:r>
          </w:p>
        </w:tc>
      </w:tr>
      <w:tr w:rsidR="00F15667" w:rsidRPr="00F15667" w14:paraId="0D0FB42A" w14:textId="77777777" w:rsidTr="0041601E">
        <w:trPr>
          <w:trHeight w:val="315"/>
        </w:trPr>
        <w:tc>
          <w:tcPr>
            <w:tcW w:w="1820" w:type="dxa"/>
            <w:tcBorders>
              <w:top w:val="nil"/>
              <w:left w:val="nil"/>
              <w:bottom w:val="single" w:sz="4" w:space="0" w:color="auto"/>
              <w:right w:val="nil"/>
            </w:tcBorders>
            <w:shd w:val="clear" w:color="auto" w:fill="auto"/>
            <w:noWrap/>
            <w:vAlign w:val="center"/>
            <w:hideMark/>
          </w:tcPr>
          <w:p w14:paraId="0386EFED" w14:textId="77777777" w:rsidR="00615D46" w:rsidRPr="00F15667" w:rsidRDefault="00615D46" w:rsidP="0041601E">
            <w:pPr>
              <w:spacing w:line="240" w:lineRule="auto"/>
              <w:jc w:val="left"/>
              <w:rPr>
                <w:rFonts w:eastAsia="Times New Roman"/>
                <w:szCs w:val="24"/>
                <w:lang w:eastAsia="cs-CZ"/>
              </w:rPr>
            </w:pPr>
            <w:r w:rsidRPr="00F15667">
              <w:rPr>
                <w:rFonts w:eastAsia="Times New Roman"/>
                <w:szCs w:val="24"/>
                <w:lang w:eastAsia="cs-CZ"/>
              </w:rPr>
              <w:t>KS Hr. Králové</w:t>
            </w:r>
          </w:p>
        </w:tc>
        <w:tc>
          <w:tcPr>
            <w:tcW w:w="1073" w:type="dxa"/>
            <w:tcBorders>
              <w:top w:val="nil"/>
              <w:left w:val="nil"/>
              <w:bottom w:val="single" w:sz="4" w:space="0" w:color="auto"/>
              <w:right w:val="nil"/>
            </w:tcBorders>
            <w:shd w:val="clear" w:color="auto" w:fill="auto"/>
            <w:noWrap/>
            <w:vAlign w:val="center"/>
            <w:hideMark/>
          </w:tcPr>
          <w:p w14:paraId="6AAF1596" w14:textId="0C04D581"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789</w:t>
            </w:r>
          </w:p>
        </w:tc>
        <w:tc>
          <w:tcPr>
            <w:tcW w:w="922" w:type="dxa"/>
            <w:tcBorders>
              <w:top w:val="nil"/>
              <w:left w:val="nil"/>
              <w:bottom w:val="single" w:sz="4" w:space="0" w:color="auto"/>
              <w:right w:val="nil"/>
            </w:tcBorders>
            <w:shd w:val="clear" w:color="auto" w:fill="auto"/>
            <w:noWrap/>
            <w:vAlign w:val="center"/>
            <w:hideMark/>
          </w:tcPr>
          <w:p w14:paraId="59DC0810" w14:textId="3A916DB3"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039" w:type="dxa"/>
            <w:tcBorders>
              <w:top w:val="nil"/>
              <w:left w:val="single" w:sz="4" w:space="0" w:color="auto"/>
              <w:bottom w:val="single" w:sz="4" w:space="0" w:color="auto"/>
              <w:right w:val="nil"/>
            </w:tcBorders>
            <w:shd w:val="clear" w:color="auto" w:fill="auto"/>
            <w:noWrap/>
            <w:vAlign w:val="center"/>
            <w:hideMark/>
          </w:tcPr>
          <w:p w14:paraId="692E2F38" w14:textId="3D4D7122"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784</w:t>
            </w:r>
          </w:p>
        </w:tc>
        <w:tc>
          <w:tcPr>
            <w:tcW w:w="922" w:type="dxa"/>
            <w:tcBorders>
              <w:top w:val="nil"/>
              <w:left w:val="nil"/>
              <w:bottom w:val="single" w:sz="4" w:space="0" w:color="auto"/>
              <w:right w:val="single" w:sz="4" w:space="0" w:color="auto"/>
            </w:tcBorders>
            <w:shd w:val="clear" w:color="auto" w:fill="auto"/>
            <w:noWrap/>
            <w:vAlign w:val="center"/>
            <w:hideMark/>
          </w:tcPr>
          <w:p w14:paraId="2BD65648" w14:textId="782A421E"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028" w:type="dxa"/>
            <w:tcBorders>
              <w:top w:val="nil"/>
              <w:left w:val="nil"/>
              <w:bottom w:val="single" w:sz="4" w:space="0" w:color="auto"/>
              <w:right w:val="nil"/>
            </w:tcBorders>
            <w:shd w:val="clear" w:color="auto" w:fill="auto"/>
            <w:noWrap/>
            <w:vAlign w:val="center"/>
            <w:hideMark/>
          </w:tcPr>
          <w:p w14:paraId="58B8C0F3"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84</w:t>
            </w:r>
          </w:p>
        </w:tc>
        <w:tc>
          <w:tcPr>
            <w:tcW w:w="851" w:type="dxa"/>
            <w:tcBorders>
              <w:top w:val="nil"/>
              <w:left w:val="nil"/>
              <w:bottom w:val="single" w:sz="4" w:space="0" w:color="auto"/>
              <w:right w:val="single" w:sz="4" w:space="0" w:color="auto"/>
            </w:tcBorders>
            <w:shd w:val="clear" w:color="auto" w:fill="auto"/>
            <w:noWrap/>
            <w:vAlign w:val="center"/>
            <w:hideMark/>
          </w:tcPr>
          <w:p w14:paraId="42CF1E57" w14:textId="08377941"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1540" w:type="dxa"/>
            <w:tcBorders>
              <w:top w:val="nil"/>
              <w:left w:val="nil"/>
              <w:bottom w:val="single" w:sz="4" w:space="0" w:color="auto"/>
              <w:right w:val="nil"/>
            </w:tcBorders>
            <w:shd w:val="clear" w:color="auto" w:fill="auto"/>
            <w:noWrap/>
            <w:vAlign w:val="center"/>
            <w:hideMark/>
          </w:tcPr>
          <w:p w14:paraId="1ECBD74F" w14:textId="44F4AA89"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99</w:t>
            </w:r>
            <w:r w:rsidR="00340529" w:rsidRPr="00F15667">
              <w:rPr>
                <w:rFonts w:eastAsia="Times New Roman"/>
                <w:szCs w:val="24"/>
                <w:lang w:eastAsia="cs-CZ"/>
              </w:rPr>
              <w:t>,</w:t>
            </w:r>
            <w:r w:rsidRPr="00F15667">
              <w:rPr>
                <w:rFonts w:eastAsia="Times New Roman"/>
                <w:szCs w:val="24"/>
                <w:lang w:eastAsia="cs-CZ"/>
              </w:rPr>
              <w:t>7 %</w:t>
            </w:r>
          </w:p>
        </w:tc>
      </w:tr>
      <w:tr w:rsidR="00F15667" w:rsidRPr="00F15667" w14:paraId="5C3B72BB" w14:textId="77777777" w:rsidTr="0041601E">
        <w:trPr>
          <w:trHeight w:val="315"/>
        </w:trPr>
        <w:tc>
          <w:tcPr>
            <w:tcW w:w="1820" w:type="dxa"/>
            <w:tcBorders>
              <w:top w:val="nil"/>
              <w:left w:val="nil"/>
              <w:bottom w:val="single" w:sz="4" w:space="0" w:color="auto"/>
              <w:right w:val="nil"/>
            </w:tcBorders>
            <w:shd w:val="clear" w:color="auto" w:fill="auto"/>
            <w:noWrap/>
            <w:vAlign w:val="center"/>
            <w:hideMark/>
          </w:tcPr>
          <w:p w14:paraId="2E7F6728" w14:textId="77777777" w:rsidR="00615D46" w:rsidRPr="00F15667" w:rsidRDefault="00615D46" w:rsidP="0041601E">
            <w:pPr>
              <w:spacing w:line="240" w:lineRule="auto"/>
              <w:jc w:val="left"/>
              <w:rPr>
                <w:rFonts w:eastAsia="Times New Roman"/>
                <w:szCs w:val="24"/>
                <w:lang w:eastAsia="cs-CZ"/>
              </w:rPr>
            </w:pPr>
            <w:r w:rsidRPr="00F15667">
              <w:rPr>
                <w:rFonts w:eastAsia="Times New Roman"/>
                <w:szCs w:val="24"/>
                <w:lang w:eastAsia="cs-CZ"/>
              </w:rPr>
              <w:t>KS Brno</w:t>
            </w:r>
          </w:p>
        </w:tc>
        <w:tc>
          <w:tcPr>
            <w:tcW w:w="1073" w:type="dxa"/>
            <w:tcBorders>
              <w:top w:val="nil"/>
              <w:left w:val="nil"/>
              <w:bottom w:val="single" w:sz="4" w:space="0" w:color="auto"/>
              <w:right w:val="nil"/>
            </w:tcBorders>
            <w:shd w:val="clear" w:color="auto" w:fill="auto"/>
            <w:noWrap/>
            <w:vAlign w:val="center"/>
            <w:hideMark/>
          </w:tcPr>
          <w:p w14:paraId="68A53056" w14:textId="28AD45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2</w:t>
            </w:r>
            <w:r w:rsidR="00340529" w:rsidRPr="00F15667">
              <w:rPr>
                <w:rFonts w:eastAsia="Times New Roman"/>
                <w:szCs w:val="24"/>
                <w:lang w:eastAsia="cs-CZ"/>
              </w:rPr>
              <w:t xml:space="preserve"> </w:t>
            </w:r>
            <w:r w:rsidRPr="00F15667">
              <w:rPr>
                <w:rFonts w:eastAsia="Times New Roman"/>
                <w:szCs w:val="24"/>
                <w:lang w:eastAsia="cs-CZ"/>
              </w:rPr>
              <w:t>553</w:t>
            </w:r>
          </w:p>
        </w:tc>
        <w:tc>
          <w:tcPr>
            <w:tcW w:w="922" w:type="dxa"/>
            <w:tcBorders>
              <w:top w:val="nil"/>
              <w:left w:val="nil"/>
              <w:bottom w:val="single" w:sz="4" w:space="0" w:color="auto"/>
              <w:right w:val="nil"/>
            </w:tcBorders>
            <w:shd w:val="clear" w:color="auto" w:fill="auto"/>
            <w:noWrap/>
            <w:vAlign w:val="center"/>
            <w:hideMark/>
          </w:tcPr>
          <w:p w14:paraId="243C4609" w14:textId="53336BEF"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039" w:type="dxa"/>
            <w:tcBorders>
              <w:top w:val="nil"/>
              <w:left w:val="single" w:sz="4" w:space="0" w:color="auto"/>
              <w:bottom w:val="single" w:sz="4" w:space="0" w:color="auto"/>
              <w:right w:val="nil"/>
            </w:tcBorders>
            <w:shd w:val="clear" w:color="auto" w:fill="auto"/>
            <w:noWrap/>
            <w:vAlign w:val="center"/>
            <w:hideMark/>
          </w:tcPr>
          <w:p w14:paraId="3757853C" w14:textId="5EFA0183"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2</w:t>
            </w:r>
            <w:r w:rsidR="00340529" w:rsidRPr="00F15667">
              <w:rPr>
                <w:rFonts w:eastAsia="Times New Roman"/>
                <w:szCs w:val="24"/>
                <w:lang w:eastAsia="cs-CZ"/>
              </w:rPr>
              <w:t xml:space="preserve"> </w:t>
            </w:r>
            <w:r w:rsidRPr="00F15667">
              <w:rPr>
                <w:rFonts w:eastAsia="Times New Roman"/>
                <w:szCs w:val="24"/>
                <w:lang w:eastAsia="cs-CZ"/>
              </w:rPr>
              <w:t>543</w:t>
            </w:r>
          </w:p>
        </w:tc>
        <w:tc>
          <w:tcPr>
            <w:tcW w:w="922" w:type="dxa"/>
            <w:tcBorders>
              <w:top w:val="nil"/>
              <w:left w:val="nil"/>
              <w:bottom w:val="single" w:sz="4" w:space="0" w:color="auto"/>
              <w:right w:val="single" w:sz="4" w:space="0" w:color="auto"/>
            </w:tcBorders>
            <w:shd w:val="clear" w:color="auto" w:fill="auto"/>
            <w:noWrap/>
            <w:vAlign w:val="center"/>
            <w:hideMark/>
          </w:tcPr>
          <w:p w14:paraId="339F30F4" w14:textId="76C087F0"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028" w:type="dxa"/>
            <w:tcBorders>
              <w:top w:val="nil"/>
              <w:left w:val="nil"/>
              <w:bottom w:val="single" w:sz="4" w:space="0" w:color="auto"/>
              <w:right w:val="nil"/>
            </w:tcBorders>
            <w:shd w:val="clear" w:color="auto" w:fill="auto"/>
            <w:noWrap/>
            <w:vAlign w:val="center"/>
            <w:hideMark/>
          </w:tcPr>
          <w:p w14:paraId="7D25D887"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230</w:t>
            </w:r>
          </w:p>
        </w:tc>
        <w:tc>
          <w:tcPr>
            <w:tcW w:w="851" w:type="dxa"/>
            <w:tcBorders>
              <w:top w:val="nil"/>
              <w:left w:val="nil"/>
              <w:bottom w:val="single" w:sz="4" w:space="0" w:color="auto"/>
              <w:right w:val="single" w:sz="4" w:space="0" w:color="auto"/>
            </w:tcBorders>
            <w:shd w:val="clear" w:color="auto" w:fill="auto"/>
            <w:noWrap/>
            <w:vAlign w:val="center"/>
            <w:hideMark/>
          </w:tcPr>
          <w:p w14:paraId="2FF0B5B8" w14:textId="532BF367"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540" w:type="dxa"/>
            <w:tcBorders>
              <w:top w:val="nil"/>
              <w:left w:val="nil"/>
              <w:bottom w:val="single" w:sz="4" w:space="0" w:color="auto"/>
              <w:right w:val="nil"/>
            </w:tcBorders>
            <w:shd w:val="clear" w:color="auto" w:fill="auto"/>
            <w:noWrap/>
            <w:vAlign w:val="center"/>
            <w:hideMark/>
          </w:tcPr>
          <w:p w14:paraId="4078254B" w14:textId="793F23D5"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99</w:t>
            </w:r>
            <w:r w:rsidR="00340529" w:rsidRPr="00F15667">
              <w:rPr>
                <w:rFonts w:eastAsia="Times New Roman"/>
                <w:szCs w:val="24"/>
                <w:lang w:eastAsia="cs-CZ"/>
              </w:rPr>
              <w:t>,</w:t>
            </w:r>
            <w:r w:rsidRPr="00F15667">
              <w:rPr>
                <w:rFonts w:eastAsia="Times New Roman"/>
                <w:szCs w:val="24"/>
                <w:lang w:eastAsia="cs-CZ"/>
              </w:rPr>
              <w:t>6 %</w:t>
            </w:r>
          </w:p>
        </w:tc>
      </w:tr>
      <w:tr w:rsidR="00F15667" w:rsidRPr="00F15667" w14:paraId="73BC33EC" w14:textId="77777777" w:rsidTr="0041601E">
        <w:trPr>
          <w:trHeight w:val="330"/>
        </w:trPr>
        <w:tc>
          <w:tcPr>
            <w:tcW w:w="1820" w:type="dxa"/>
            <w:tcBorders>
              <w:top w:val="nil"/>
              <w:left w:val="nil"/>
              <w:bottom w:val="double" w:sz="6" w:space="0" w:color="auto"/>
              <w:right w:val="nil"/>
            </w:tcBorders>
            <w:shd w:val="clear" w:color="auto" w:fill="auto"/>
            <w:noWrap/>
            <w:vAlign w:val="center"/>
            <w:hideMark/>
          </w:tcPr>
          <w:p w14:paraId="6FAD4A85" w14:textId="77777777" w:rsidR="00615D46" w:rsidRPr="00F15667" w:rsidRDefault="00615D46" w:rsidP="0041601E">
            <w:pPr>
              <w:spacing w:line="240" w:lineRule="auto"/>
              <w:jc w:val="left"/>
              <w:rPr>
                <w:rFonts w:eastAsia="Times New Roman"/>
                <w:szCs w:val="24"/>
                <w:lang w:eastAsia="cs-CZ"/>
              </w:rPr>
            </w:pPr>
            <w:r w:rsidRPr="00F15667">
              <w:rPr>
                <w:rFonts w:eastAsia="Times New Roman"/>
                <w:szCs w:val="24"/>
                <w:lang w:eastAsia="cs-CZ"/>
              </w:rPr>
              <w:t>KS Ostrava</w:t>
            </w:r>
          </w:p>
        </w:tc>
        <w:tc>
          <w:tcPr>
            <w:tcW w:w="1073" w:type="dxa"/>
            <w:tcBorders>
              <w:top w:val="nil"/>
              <w:left w:val="nil"/>
              <w:bottom w:val="double" w:sz="6" w:space="0" w:color="auto"/>
              <w:right w:val="nil"/>
            </w:tcBorders>
            <w:shd w:val="clear" w:color="auto" w:fill="auto"/>
            <w:noWrap/>
            <w:vAlign w:val="center"/>
            <w:hideMark/>
          </w:tcPr>
          <w:p w14:paraId="6610C14E" w14:textId="6F9B021F"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3</w:t>
            </w:r>
            <w:r w:rsidR="00340529" w:rsidRPr="00F15667">
              <w:rPr>
                <w:rFonts w:eastAsia="Times New Roman"/>
                <w:szCs w:val="24"/>
                <w:lang w:eastAsia="cs-CZ"/>
              </w:rPr>
              <w:t xml:space="preserve"> </w:t>
            </w:r>
            <w:r w:rsidRPr="00F15667">
              <w:rPr>
                <w:rFonts w:eastAsia="Times New Roman"/>
                <w:szCs w:val="24"/>
                <w:lang w:eastAsia="cs-CZ"/>
              </w:rPr>
              <w:t>063</w:t>
            </w:r>
          </w:p>
        </w:tc>
        <w:tc>
          <w:tcPr>
            <w:tcW w:w="922" w:type="dxa"/>
            <w:tcBorders>
              <w:top w:val="nil"/>
              <w:left w:val="nil"/>
              <w:bottom w:val="double" w:sz="6" w:space="0" w:color="auto"/>
              <w:right w:val="nil"/>
            </w:tcBorders>
            <w:shd w:val="clear" w:color="auto" w:fill="auto"/>
            <w:noWrap/>
            <w:vAlign w:val="center"/>
            <w:hideMark/>
          </w:tcPr>
          <w:p w14:paraId="2BD4CA3E" w14:textId="5825A1F0"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039" w:type="dxa"/>
            <w:tcBorders>
              <w:top w:val="nil"/>
              <w:left w:val="single" w:sz="4" w:space="0" w:color="auto"/>
              <w:bottom w:val="double" w:sz="6" w:space="0" w:color="auto"/>
              <w:right w:val="nil"/>
            </w:tcBorders>
            <w:shd w:val="clear" w:color="auto" w:fill="auto"/>
            <w:noWrap/>
            <w:vAlign w:val="center"/>
            <w:hideMark/>
          </w:tcPr>
          <w:p w14:paraId="1D5F7E7F" w14:textId="6D21B8E8"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3</w:t>
            </w:r>
            <w:r w:rsidR="00340529" w:rsidRPr="00F15667">
              <w:rPr>
                <w:rFonts w:eastAsia="Times New Roman"/>
                <w:szCs w:val="24"/>
                <w:lang w:eastAsia="cs-CZ"/>
              </w:rPr>
              <w:t xml:space="preserve"> </w:t>
            </w:r>
            <w:r w:rsidRPr="00F15667">
              <w:rPr>
                <w:rFonts w:eastAsia="Times New Roman"/>
                <w:szCs w:val="24"/>
                <w:lang w:eastAsia="cs-CZ"/>
              </w:rPr>
              <w:t>052</w:t>
            </w:r>
          </w:p>
        </w:tc>
        <w:tc>
          <w:tcPr>
            <w:tcW w:w="922" w:type="dxa"/>
            <w:tcBorders>
              <w:top w:val="nil"/>
              <w:left w:val="nil"/>
              <w:bottom w:val="double" w:sz="6" w:space="0" w:color="auto"/>
              <w:right w:val="single" w:sz="4" w:space="0" w:color="auto"/>
            </w:tcBorders>
            <w:shd w:val="clear" w:color="auto" w:fill="auto"/>
            <w:noWrap/>
            <w:vAlign w:val="center"/>
            <w:hideMark/>
          </w:tcPr>
          <w:p w14:paraId="73849D09" w14:textId="36C26721"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1028" w:type="dxa"/>
            <w:tcBorders>
              <w:top w:val="nil"/>
              <w:left w:val="nil"/>
              <w:bottom w:val="double" w:sz="6" w:space="0" w:color="auto"/>
              <w:right w:val="nil"/>
            </w:tcBorders>
            <w:shd w:val="clear" w:color="auto" w:fill="auto"/>
            <w:noWrap/>
            <w:vAlign w:val="center"/>
            <w:hideMark/>
          </w:tcPr>
          <w:p w14:paraId="41894660" w14:textId="77777777"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349</w:t>
            </w:r>
          </w:p>
        </w:tc>
        <w:tc>
          <w:tcPr>
            <w:tcW w:w="851" w:type="dxa"/>
            <w:tcBorders>
              <w:top w:val="nil"/>
              <w:left w:val="nil"/>
              <w:bottom w:val="double" w:sz="6" w:space="0" w:color="auto"/>
              <w:right w:val="single" w:sz="4" w:space="0" w:color="auto"/>
            </w:tcBorders>
            <w:shd w:val="clear" w:color="auto" w:fill="auto"/>
            <w:noWrap/>
            <w:vAlign w:val="center"/>
            <w:hideMark/>
          </w:tcPr>
          <w:p w14:paraId="4A5D9E20" w14:textId="5AFB28E4" w:rsidR="00615D46" w:rsidRPr="00F15667" w:rsidRDefault="00615D46"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540" w:type="dxa"/>
            <w:tcBorders>
              <w:top w:val="nil"/>
              <w:left w:val="nil"/>
              <w:bottom w:val="nil"/>
              <w:right w:val="nil"/>
            </w:tcBorders>
            <w:shd w:val="clear" w:color="auto" w:fill="auto"/>
            <w:noWrap/>
            <w:vAlign w:val="center"/>
            <w:hideMark/>
          </w:tcPr>
          <w:p w14:paraId="048815E2" w14:textId="064E88F6" w:rsidR="00615D46" w:rsidRPr="00F15667" w:rsidRDefault="00615D46" w:rsidP="0041601E">
            <w:pPr>
              <w:spacing w:line="240" w:lineRule="auto"/>
              <w:jc w:val="center"/>
              <w:rPr>
                <w:rFonts w:eastAsia="Times New Roman"/>
                <w:szCs w:val="24"/>
                <w:lang w:eastAsia="cs-CZ"/>
              </w:rPr>
            </w:pPr>
            <w:r w:rsidRPr="00F15667">
              <w:rPr>
                <w:rFonts w:eastAsia="Times New Roman"/>
                <w:szCs w:val="24"/>
                <w:lang w:eastAsia="cs-CZ"/>
              </w:rPr>
              <w:t>99</w:t>
            </w:r>
            <w:r w:rsidR="00340529" w:rsidRPr="00F15667">
              <w:rPr>
                <w:rFonts w:eastAsia="Times New Roman"/>
                <w:szCs w:val="24"/>
                <w:lang w:eastAsia="cs-CZ"/>
              </w:rPr>
              <w:t>,</w:t>
            </w:r>
            <w:r w:rsidRPr="00F15667">
              <w:rPr>
                <w:rFonts w:eastAsia="Times New Roman"/>
                <w:szCs w:val="24"/>
                <w:lang w:eastAsia="cs-CZ"/>
              </w:rPr>
              <w:t>6 %</w:t>
            </w:r>
          </w:p>
        </w:tc>
      </w:tr>
      <w:tr w:rsidR="00F15667" w:rsidRPr="00F15667" w14:paraId="0A7C1EDF" w14:textId="77777777" w:rsidTr="0041601E">
        <w:trPr>
          <w:trHeight w:val="345"/>
        </w:trPr>
        <w:tc>
          <w:tcPr>
            <w:tcW w:w="1820" w:type="dxa"/>
            <w:tcBorders>
              <w:top w:val="nil"/>
              <w:left w:val="nil"/>
              <w:bottom w:val="double" w:sz="6" w:space="0" w:color="auto"/>
              <w:right w:val="nil"/>
            </w:tcBorders>
            <w:shd w:val="clear" w:color="auto" w:fill="auto"/>
            <w:noWrap/>
            <w:vAlign w:val="center"/>
            <w:hideMark/>
          </w:tcPr>
          <w:p w14:paraId="1620E71D" w14:textId="77777777" w:rsidR="00615D46" w:rsidRPr="00F15667" w:rsidRDefault="00615D46" w:rsidP="0041601E">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73" w:type="dxa"/>
            <w:tcBorders>
              <w:top w:val="nil"/>
              <w:left w:val="nil"/>
              <w:bottom w:val="double" w:sz="6" w:space="0" w:color="auto"/>
              <w:right w:val="nil"/>
            </w:tcBorders>
            <w:shd w:val="clear" w:color="auto" w:fill="auto"/>
            <w:noWrap/>
            <w:vAlign w:val="center"/>
            <w:hideMark/>
          </w:tcPr>
          <w:p w14:paraId="074EF91D" w14:textId="203992AF" w:rsidR="00615D46" w:rsidRPr="00F15667" w:rsidRDefault="00615D46" w:rsidP="0041601E">
            <w:pPr>
              <w:spacing w:line="240" w:lineRule="auto"/>
              <w:jc w:val="center"/>
              <w:rPr>
                <w:rFonts w:eastAsia="Times New Roman"/>
                <w:b/>
                <w:bCs/>
                <w:szCs w:val="24"/>
                <w:lang w:eastAsia="cs-CZ"/>
              </w:rPr>
            </w:pPr>
            <w:r w:rsidRPr="00F15667">
              <w:rPr>
                <w:rFonts w:eastAsia="Times New Roman"/>
                <w:b/>
                <w:bCs/>
                <w:szCs w:val="24"/>
                <w:lang w:eastAsia="cs-CZ"/>
              </w:rPr>
              <w:t>18</w:t>
            </w:r>
            <w:r w:rsidR="00340529" w:rsidRPr="00F15667">
              <w:rPr>
                <w:rFonts w:eastAsia="Times New Roman"/>
                <w:b/>
                <w:bCs/>
                <w:szCs w:val="24"/>
                <w:lang w:eastAsia="cs-CZ"/>
              </w:rPr>
              <w:t xml:space="preserve"> </w:t>
            </w:r>
            <w:r w:rsidRPr="00F15667">
              <w:rPr>
                <w:rFonts w:eastAsia="Times New Roman"/>
                <w:b/>
                <w:bCs/>
                <w:szCs w:val="24"/>
                <w:lang w:eastAsia="cs-CZ"/>
              </w:rPr>
              <w:t>466</w:t>
            </w:r>
          </w:p>
        </w:tc>
        <w:tc>
          <w:tcPr>
            <w:tcW w:w="922" w:type="dxa"/>
            <w:tcBorders>
              <w:top w:val="nil"/>
              <w:left w:val="nil"/>
              <w:bottom w:val="double" w:sz="6" w:space="0" w:color="auto"/>
              <w:right w:val="nil"/>
            </w:tcBorders>
            <w:shd w:val="clear" w:color="auto" w:fill="auto"/>
            <w:noWrap/>
            <w:vAlign w:val="center"/>
            <w:hideMark/>
          </w:tcPr>
          <w:p w14:paraId="7BB77C23" w14:textId="705C8CBD" w:rsidR="00615D46" w:rsidRPr="00F15667" w:rsidRDefault="00615D46"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c>
          <w:tcPr>
            <w:tcW w:w="1039" w:type="dxa"/>
            <w:tcBorders>
              <w:top w:val="nil"/>
              <w:left w:val="single" w:sz="4" w:space="0" w:color="auto"/>
              <w:bottom w:val="double" w:sz="6" w:space="0" w:color="auto"/>
              <w:right w:val="nil"/>
            </w:tcBorders>
            <w:shd w:val="clear" w:color="auto" w:fill="auto"/>
            <w:noWrap/>
            <w:vAlign w:val="center"/>
            <w:hideMark/>
          </w:tcPr>
          <w:p w14:paraId="49224A2B" w14:textId="3818E877" w:rsidR="00615D46" w:rsidRPr="00F15667" w:rsidRDefault="00615D46" w:rsidP="0041601E">
            <w:pPr>
              <w:spacing w:line="240" w:lineRule="auto"/>
              <w:jc w:val="center"/>
              <w:rPr>
                <w:rFonts w:eastAsia="Times New Roman"/>
                <w:b/>
                <w:bCs/>
                <w:szCs w:val="24"/>
                <w:lang w:eastAsia="cs-CZ"/>
              </w:rPr>
            </w:pPr>
            <w:r w:rsidRPr="00F15667">
              <w:rPr>
                <w:rFonts w:eastAsia="Times New Roman"/>
                <w:b/>
                <w:bCs/>
                <w:szCs w:val="24"/>
                <w:lang w:eastAsia="cs-CZ"/>
              </w:rPr>
              <w:t>18</w:t>
            </w:r>
            <w:r w:rsidR="00340529" w:rsidRPr="00F15667">
              <w:rPr>
                <w:rFonts w:eastAsia="Times New Roman"/>
                <w:b/>
                <w:bCs/>
                <w:szCs w:val="24"/>
                <w:lang w:eastAsia="cs-CZ"/>
              </w:rPr>
              <w:t xml:space="preserve"> </w:t>
            </w:r>
            <w:r w:rsidRPr="00F15667">
              <w:rPr>
                <w:rFonts w:eastAsia="Times New Roman"/>
                <w:b/>
                <w:bCs/>
                <w:szCs w:val="24"/>
                <w:lang w:eastAsia="cs-CZ"/>
              </w:rPr>
              <w:t>612</w:t>
            </w:r>
          </w:p>
        </w:tc>
        <w:tc>
          <w:tcPr>
            <w:tcW w:w="922" w:type="dxa"/>
            <w:tcBorders>
              <w:top w:val="nil"/>
              <w:left w:val="nil"/>
              <w:bottom w:val="double" w:sz="6" w:space="0" w:color="auto"/>
              <w:right w:val="single" w:sz="4" w:space="0" w:color="auto"/>
            </w:tcBorders>
            <w:shd w:val="clear" w:color="auto" w:fill="auto"/>
            <w:noWrap/>
            <w:vAlign w:val="center"/>
            <w:hideMark/>
          </w:tcPr>
          <w:p w14:paraId="43842C69" w14:textId="29902DAA" w:rsidR="00615D46" w:rsidRPr="00F15667" w:rsidRDefault="00615D46"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c>
          <w:tcPr>
            <w:tcW w:w="1028" w:type="dxa"/>
            <w:tcBorders>
              <w:top w:val="nil"/>
              <w:left w:val="nil"/>
              <w:bottom w:val="double" w:sz="6" w:space="0" w:color="auto"/>
              <w:right w:val="nil"/>
            </w:tcBorders>
            <w:shd w:val="clear" w:color="auto" w:fill="auto"/>
            <w:noWrap/>
            <w:vAlign w:val="center"/>
            <w:hideMark/>
          </w:tcPr>
          <w:p w14:paraId="40A89B5A" w14:textId="577D06CB" w:rsidR="00615D46" w:rsidRPr="00F15667" w:rsidRDefault="00615D46" w:rsidP="0041601E">
            <w:pPr>
              <w:spacing w:line="240" w:lineRule="auto"/>
              <w:jc w:val="center"/>
              <w:rPr>
                <w:rFonts w:eastAsia="Times New Roman"/>
                <w:b/>
                <w:bCs/>
                <w:szCs w:val="24"/>
                <w:lang w:eastAsia="cs-CZ"/>
              </w:rPr>
            </w:pPr>
            <w:r w:rsidRPr="00F15667">
              <w:rPr>
                <w:rFonts w:eastAsia="Times New Roman"/>
                <w:b/>
                <w:bCs/>
                <w:szCs w:val="24"/>
                <w:lang w:eastAsia="cs-CZ"/>
              </w:rPr>
              <w:t>1</w:t>
            </w:r>
            <w:r w:rsidR="00340529" w:rsidRPr="00F15667">
              <w:rPr>
                <w:rFonts w:eastAsia="Times New Roman"/>
                <w:b/>
                <w:bCs/>
                <w:szCs w:val="24"/>
                <w:lang w:eastAsia="cs-CZ"/>
              </w:rPr>
              <w:t xml:space="preserve"> </w:t>
            </w:r>
            <w:r w:rsidRPr="00F15667">
              <w:rPr>
                <w:rFonts w:eastAsia="Times New Roman"/>
                <w:b/>
                <w:bCs/>
                <w:szCs w:val="24"/>
                <w:lang w:eastAsia="cs-CZ"/>
              </w:rPr>
              <w:t>356</w:t>
            </w:r>
          </w:p>
        </w:tc>
        <w:tc>
          <w:tcPr>
            <w:tcW w:w="851" w:type="dxa"/>
            <w:tcBorders>
              <w:top w:val="nil"/>
              <w:left w:val="nil"/>
              <w:bottom w:val="double" w:sz="6" w:space="0" w:color="auto"/>
              <w:right w:val="single" w:sz="4" w:space="0" w:color="auto"/>
            </w:tcBorders>
            <w:shd w:val="clear" w:color="auto" w:fill="auto"/>
            <w:noWrap/>
            <w:vAlign w:val="center"/>
            <w:hideMark/>
          </w:tcPr>
          <w:p w14:paraId="1F5C920E" w14:textId="1B34A81B" w:rsidR="00615D46" w:rsidRPr="00F15667" w:rsidRDefault="00615D46"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-10 %</w:t>
            </w:r>
          </w:p>
        </w:tc>
        <w:tc>
          <w:tcPr>
            <w:tcW w:w="1540" w:type="dxa"/>
            <w:tcBorders>
              <w:top w:val="double" w:sz="6" w:space="0" w:color="auto"/>
              <w:left w:val="nil"/>
              <w:bottom w:val="double" w:sz="6" w:space="0" w:color="auto"/>
              <w:right w:val="nil"/>
            </w:tcBorders>
            <w:shd w:val="clear" w:color="auto" w:fill="auto"/>
            <w:noWrap/>
            <w:vAlign w:val="center"/>
            <w:hideMark/>
          </w:tcPr>
          <w:p w14:paraId="3D5BEC11" w14:textId="0DE8EC1C" w:rsidR="00615D46" w:rsidRPr="00F15667" w:rsidRDefault="00615D46" w:rsidP="0041601E">
            <w:pPr>
              <w:spacing w:line="240" w:lineRule="auto"/>
              <w:jc w:val="center"/>
              <w:rPr>
                <w:rFonts w:eastAsia="Times New Roman"/>
                <w:b/>
                <w:bCs/>
                <w:szCs w:val="24"/>
                <w:lang w:eastAsia="cs-CZ"/>
              </w:rPr>
            </w:pPr>
            <w:r w:rsidRPr="00F15667">
              <w:rPr>
                <w:rFonts w:eastAsia="Times New Roman"/>
                <w:b/>
                <w:bCs/>
                <w:szCs w:val="24"/>
                <w:lang w:eastAsia="cs-CZ"/>
              </w:rPr>
              <w:t>100</w:t>
            </w:r>
            <w:r w:rsidR="00340529" w:rsidRPr="00F15667">
              <w:rPr>
                <w:rFonts w:eastAsia="Times New Roman"/>
                <w:b/>
                <w:bCs/>
                <w:szCs w:val="24"/>
                <w:lang w:eastAsia="cs-CZ"/>
              </w:rPr>
              <w:t>,</w:t>
            </w:r>
            <w:r w:rsidRPr="00F15667">
              <w:rPr>
                <w:rFonts w:eastAsia="Times New Roman"/>
                <w:b/>
                <w:bCs/>
                <w:szCs w:val="24"/>
                <w:lang w:eastAsia="cs-CZ"/>
              </w:rPr>
              <w:t>8 %</w:t>
            </w:r>
          </w:p>
        </w:tc>
      </w:tr>
      <w:tr w:rsidR="00F15667" w:rsidRPr="00F15667" w14:paraId="6A502E8D" w14:textId="77777777" w:rsidTr="0041601E">
        <w:trPr>
          <w:trHeight w:val="330"/>
        </w:trPr>
        <w:tc>
          <w:tcPr>
            <w:tcW w:w="1820" w:type="dxa"/>
            <w:tcBorders>
              <w:top w:val="nil"/>
              <w:left w:val="nil"/>
              <w:bottom w:val="nil"/>
              <w:right w:val="nil"/>
            </w:tcBorders>
            <w:shd w:val="clear" w:color="auto" w:fill="auto"/>
            <w:noWrap/>
            <w:vAlign w:val="center"/>
            <w:hideMark/>
          </w:tcPr>
          <w:p w14:paraId="56B90A8E" w14:textId="77777777" w:rsidR="00615D46" w:rsidRPr="00F15667" w:rsidRDefault="00615D46" w:rsidP="0041601E">
            <w:pPr>
              <w:spacing w:line="240" w:lineRule="auto"/>
              <w:jc w:val="center"/>
              <w:rPr>
                <w:rFonts w:eastAsia="Times New Roman"/>
                <w:b/>
                <w:bCs/>
                <w:szCs w:val="24"/>
                <w:lang w:eastAsia="cs-CZ"/>
              </w:rPr>
            </w:pPr>
          </w:p>
        </w:tc>
        <w:tc>
          <w:tcPr>
            <w:tcW w:w="1073" w:type="dxa"/>
            <w:tcBorders>
              <w:top w:val="nil"/>
              <w:left w:val="nil"/>
              <w:bottom w:val="nil"/>
              <w:right w:val="nil"/>
            </w:tcBorders>
            <w:shd w:val="clear" w:color="auto" w:fill="auto"/>
            <w:noWrap/>
            <w:vAlign w:val="center"/>
            <w:hideMark/>
          </w:tcPr>
          <w:p w14:paraId="13D6D69C" w14:textId="77777777" w:rsidR="00615D46" w:rsidRPr="00F15667" w:rsidRDefault="00615D46" w:rsidP="0041601E">
            <w:pPr>
              <w:spacing w:line="240" w:lineRule="auto"/>
              <w:jc w:val="center"/>
              <w:rPr>
                <w:rFonts w:ascii="Times New Roman" w:eastAsia="Times New Roman" w:hAnsi="Times New Roman"/>
                <w:sz w:val="20"/>
                <w:szCs w:val="20"/>
                <w:lang w:eastAsia="cs-CZ"/>
              </w:rPr>
            </w:pPr>
          </w:p>
        </w:tc>
        <w:tc>
          <w:tcPr>
            <w:tcW w:w="922" w:type="dxa"/>
            <w:tcBorders>
              <w:top w:val="nil"/>
              <w:left w:val="nil"/>
              <w:bottom w:val="nil"/>
              <w:right w:val="nil"/>
            </w:tcBorders>
            <w:shd w:val="clear" w:color="auto" w:fill="auto"/>
            <w:noWrap/>
            <w:vAlign w:val="center"/>
            <w:hideMark/>
          </w:tcPr>
          <w:p w14:paraId="33F3DD2A" w14:textId="77777777" w:rsidR="00615D46" w:rsidRPr="00F15667" w:rsidRDefault="00615D46" w:rsidP="0041601E">
            <w:pPr>
              <w:spacing w:line="240" w:lineRule="auto"/>
              <w:jc w:val="center"/>
              <w:rPr>
                <w:rFonts w:ascii="Times New Roman" w:eastAsia="Times New Roman" w:hAnsi="Times New Roman"/>
                <w:sz w:val="20"/>
                <w:szCs w:val="20"/>
                <w:lang w:eastAsia="cs-CZ"/>
              </w:rPr>
            </w:pPr>
          </w:p>
        </w:tc>
        <w:tc>
          <w:tcPr>
            <w:tcW w:w="1039" w:type="dxa"/>
            <w:tcBorders>
              <w:top w:val="nil"/>
              <w:left w:val="nil"/>
              <w:bottom w:val="nil"/>
              <w:right w:val="nil"/>
            </w:tcBorders>
            <w:shd w:val="clear" w:color="auto" w:fill="auto"/>
            <w:noWrap/>
            <w:vAlign w:val="center"/>
            <w:hideMark/>
          </w:tcPr>
          <w:p w14:paraId="2D785A78" w14:textId="77777777" w:rsidR="00615D46" w:rsidRPr="00F15667" w:rsidRDefault="00615D46" w:rsidP="0041601E">
            <w:pPr>
              <w:spacing w:line="240" w:lineRule="auto"/>
              <w:jc w:val="center"/>
              <w:rPr>
                <w:rFonts w:ascii="Times New Roman" w:eastAsia="Times New Roman" w:hAnsi="Times New Roman"/>
                <w:sz w:val="20"/>
                <w:szCs w:val="20"/>
                <w:lang w:eastAsia="cs-CZ"/>
              </w:rPr>
            </w:pPr>
          </w:p>
        </w:tc>
        <w:tc>
          <w:tcPr>
            <w:tcW w:w="922" w:type="dxa"/>
            <w:tcBorders>
              <w:top w:val="nil"/>
              <w:left w:val="nil"/>
              <w:bottom w:val="nil"/>
              <w:right w:val="nil"/>
            </w:tcBorders>
            <w:shd w:val="clear" w:color="auto" w:fill="auto"/>
            <w:noWrap/>
            <w:vAlign w:val="center"/>
            <w:hideMark/>
          </w:tcPr>
          <w:p w14:paraId="7D3368A2" w14:textId="77777777" w:rsidR="00615D46" w:rsidRPr="00F15667" w:rsidRDefault="00615D46" w:rsidP="0041601E">
            <w:pPr>
              <w:spacing w:line="240" w:lineRule="auto"/>
              <w:jc w:val="center"/>
              <w:rPr>
                <w:rFonts w:ascii="Times New Roman" w:eastAsia="Times New Roman" w:hAnsi="Times New Roman"/>
                <w:sz w:val="20"/>
                <w:szCs w:val="20"/>
                <w:lang w:eastAsia="cs-CZ"/>
              </w:rPr>
            </w:pPr>
          </w:p>
        </w:tc>
        <w:tc>
          <w:tcPr>
            <w:tcW w:w="1028" w:type="dxa"/>
            <w:tcBorders>
              <w:top w:val="nil"/>
              <w:left w:val="nil"/>
              <w:bottom w:val="nil"/>
              <w:right w:val="nil"/>
            </w:tcBorders>
            <w:shd w:val="clear" w:color="auto" w:fill="auto"/>
            <w:noWrap/>
            <w:vAlign w:val="center"/>
            <w:hideMark/>
          </w:tcPr>
          <w:p w14:paraId="38421426" w14:textId="77777777" w:rsidR="00615D46" w:rsidRPr="00F15667" w:rsidRDefault="00615D46" w:rsidP="0041601E">
            <w:pPr>
              <w:spacing w:line="240" w:lineRule="auto"/>
              <w:jc w:val="center"/>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center"/>
            <w:hideMark/>
          </w:tcPr>
          <w:p w14:paraId="5A0BD50A" w14:textId="77777777" w:rsidR="00615D46" w:rsidRPr="00F15667" w:rsidRDefault="00615D46" w:rsidP="0041601E">
            <w:pPr>
              <w:spacing w:line="240" w:lineRule="auto"/>
              <w:jc w:val="center"/>
              <w:rPr>
                <w:rFonts w:ascii="Times New Roman" w:eastAsia="Times New Roman" w:hAnsi="Times New Roman"/>
                <w:sz w:val="20"/>
                <w:szCs w:val="20"/>
                <w:lang w:eastAsia="cs-CZ"/>
              </w:rPr>
            </w:pPr>
          </w:p>
        </w:tc>
        <w:tc>
          <w:tcPr>
            <w:tcW w:w="1540" w:type="dxa"/>
            <w:tcBorders>
              <w:top w:val="nil"/>
              <w:left w:val="nil"/>
              <w:bottom w:val="nil"/>
              <w:right w:val="nil"/>
            </w:tcBorders>
            <w:shd w:val="clear" w:color="auto" w:fill="auto"/>
            <w:noWrap/>
            <w:vAlign w:val="center"/>
            <w:hideMark/>
          </w:tcPr>
          <w:p w14:paraId="12F8B54E" w14:textId="77777777" w:rsidR="00615D46" w:rsidRPr="00F15667" w:rsidRDefault="00615D46" w:rsidP="0041601E">
            <w:pPr>
              <w:spacing w:line="240" w:lineRule="auto"/>
              <w:jc w:val="center"/>
              <w:rPr>
                <w:rFonts w:ascii="Times New Roman" w:eastAsia="Times New Roman" w:hAnsi="Times New Roman"/>
                <w:sz w:val="20"/>
                <w:szCs w:val="20"/>
                <w:lang w:eastAsia="cs-CZ"/>
              </w:rPr>
            </w:pPr>
          </w:p>
        </w:tc>
      </w:tr>
    </w:tbl>
    <w:p w14:paraId="13FD4A7E" w14:textId="77777777" w:rsidR="00E77F6B" w:rsidRPr="00F15667" w:rsidRDefault="00E77F6B" w:rsidP="00E77F6B">
      <w:pPr>
        <w:pStyle w:val="Nadpis3"/>
        <w:numPr>
          <w:ilvl w:val="2"/>
          <w:numId w:val="1"/>
        </w:numPr>
        <w:rPr>
          <w:color w:val="auto"/>
        </w:rPr>
      </w:pPr>
      <w:bookmarkStart w:id="837" w:name="_Toc109801383"/>
      <w:bookmarkStart w:id="838" w:name="_Toc144104385"/>
      <w:r w:rsidRPr="00F15667">
        <w:rPr>
          <w:color w:val="auto"/>
        </w:rPr>
        <w:t>Vyřizování v přepočtu na soudce</w:t>
      </w:r>
      <w:bookmarkEnd w:id="837"/>
      <w:bookmarkEnd w:id="838"/>
    </w:p>
    <w:p w14:paraId="771F7333" w14:textId="767CE9EB" w:rsidR="00E77F6B" w:rsidRPr="00F15667" w:rsidRDefault="00E77F6B" w:rsidP="00E77F6B">
      <w:r w:rsidRPr="00F15667">
        <w:t>Tabulka opět uvádí přepočet na skutečný úvazek dle dostupných dat. V počtu vyřízených a příchozích věcí na soudce (míněno na skutečný úvazek) vidíme, že mezi soudy jsou určité rozdíly, ale žádný soud extrémně nevybočuje. Suverénně nejméně nevyřízených věcí na soudce má KS Praha, nejvíce jich pak má KS Ostrava (dříve</w:t>
      </w:r>
      <w:r w:rsidR="00CD5F5C" w:rsidRPr="00F15667">
        <w:t xml:space="preserve"> to bylo Ústí nad Labem).</w:t>
      </w:r>
    </w:p>
    <w:p w14:paraId="0C936AE9" w14:textId="1F71FE99" w:rsidR="00E77F6B" w:rsidRPr="00F15667" w:rsidRDefault="00E77F6B" w:rsidP="00E77F6B">
      <w:pPr>
        <w:pStyle w:val="Podnadpis"/>
        <w:rPr>
          <w:color w:val="auto"/>
        </w:rPr>
      </w:pPr>
      <w:bookmarkStart w:id="839" w:name="_Toc43931234"/>
      <w:bookmarkStart w:id="840" w:name="_Toc75952367"/>
      <w:bookmarkStart w:id="841" w:name="_Toc106106822"/>
      <w:bookmarkStart w:id="842" w:name="_Toc109802145"/>
      <w:bookmarkStart w:id="843" w:name="_Toc144104304"/>
      <w:bookmarkStart w:id="844" w:name="_Hlk137211257"/>
      <w:r w:rsidRPr="00F15667">
        <w:rPr>
          <w:color w:val="auto"/>
        </w:rPr>
        <w:t xml:space="preserve">Tabulka </w:t>
      </w:r>
      <w:r w:rsidRPr="00F15667">
        <w:rPr>
          <w:noProof/>
          <w:color w:val="auto"/>
        </w:rPr>
        <w:fldChar w:fldCharType="begin"/>
      </w:r>
      <w:r w:rsidRPr="00F15667">
        <w:rPr>
          <w:noProof/>
          <w:color w:val="auto"/>
        </w:rPr>
        <w:instrText xml:space="preserve"> SEQ Tabulka \* ARABIC </w:instrText>
      </w:r>
      <w:r w:rsidRPr="00F15667">
        <w:rPr>
          <w:noProof/>
          <w:color w:val="auto"/>
        </w:rPr>
        <w:fldChar w:fldCharType="separate"/>
      </w:r>
      <w:r w:rsidR="001E1A67">
        <w:rPr>
          <w:noProof/>
          <w:color w:val="auto"/>
        </w:rPr>
        <w:t>65</w:t>
      </w:r>
      <w:r w:rsidRPr="00F15667">
        <w:rPr>
          <w:noProof/>
          <w:color w:val="auto"/>
        </w:rPr>
        <w:fldChar w:fldCharType="end"/>
      </w:r>
      <w:r w:rsidRPr="00F15667">
        <w:rPr>
          <w:color w:val="auto"/>
        </w:rPr>
        <w:t>: KS – vyřiz. odvolacích tr. věcí na skutečný úvazek dle soudů</w:t>
      </w:r>
      <w:bookmarkEnd w:id="839"/>
      <w:bookmarkEnd w:id="840"/>
      <w:bookmarkEnd w:id="841"/>
      <w:bookmarkEnd w:id="842"/>
      <w:bookmarkEnd w:id="843"/>
    </w:p>
    <w:tbl>
      <w:tblPr>
        <w:tblW w:w="9247" w:type="dxa"/>
        <w:tblCellMar>
          <w:left w:w="70" w:type="dxa"/>
          <w:right w:w="70" w:type="dxa"/>
        </w:tblCellMar>
        <w:tblLook w:val="04A0" w:firstRow="1" w:lastRow="0" w:firstColumn="1" w:lastColumn="0" w:noHBand="0" w:noVBand="1"/>
      </w:tblPr>
      <w:tblGrid>
        <w:gridCol w:w="1985"/>
        <w:gridCol w:w="1060"/>
        <w:gridCol w:w="1168"/>
        <w:gridCol w:w="897"/>
        <w:gridCol w:w="1168"/>
        <w:gridCol w:w="897"/>
        <w:gridCol w:w="1047"/>
        <w:gridCol w:w="1025"/>
      </w:tblGrid>
      <w:tr w:rsidR="00F15667" w:rsidRPr="00F15667" w14:paraId="2367FD40" w14:textId="77777777" w:rsidTr="0041601E">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bookmarkEnd w:id="844"/>
          <w:p w14:paraId="4FC5D4A2" w14:textId="3AAC67F1" w:rsidR="00E77F6B" w:rsidRPr="00F15667" w:rsidRDefault="0041601E" w:rsidP="0041601E">
            <w:pPr>
              <w:spacing w:line="240" w:lineRule="auto"/>
              <w:jc w:val="center"/>
              <w:rPr>
                <w:rFonts w:eastAsia="Times New Roman"/>
                <w:b/>
                <w:bCs/>
                <w:szCs w:val="24"/>
                <w:lang w:eastAsia="cs-CZ"/>
              </w:rPr>
            </w:pPr>
            <w:r>
              <w:rPr>
                <w:rFonts w:eastAsia="Times New Roman"/>
                <w:b/>
                <w:bCs/>
                <w:szCs w:val="24"/>
                <w:lang w:eastAsia="cs-CZ"/>
              </w:rPr>
              <w:t>S</w:t>
            </w:r>
            <w:r w:rsidR="00E77F6B" w:rsidRPr="00F15667">
              <w:rPr>
                <w:rFonts w:eastAsia="Times New Roman"/>
                <w:b/>
                <w:bCs/>
                <w:szCs w:val="24"/>
                <w:lang w:eastAsia="cs-CZ"/>
              </w:rPr>
              <w:t>oud</w:t>
            </w:r>
          </w:p>
        </w:tc>
        <w:tc>
          <w:tcPr>
            <w:tcW w:w="1060" w:type="dxa"/>
            <w:vMerge w:val="restart"/>
            <w:tcBorders>
              <w:top w:val="double" w:sz="6" w:space="0" w:color="auto"/>
              <w:left w:val="nil"/>
              <w:bottom w:val="double" w:sz="6" w:space="0" w:color="000000"/>
              <w:right w:val="nil"/>
            </w:tcBorders>
            <w:shd w:val="clear" w:color="auto" w:fill="auto"/>
            <w:vAlign w:val="center"/>
            <w:hideMark/>
          </w:tcPr>
          <w:p w14:paraId="737B1973" w14:textId="77777777" w:rsidR="00E77F6B" w:rsidRPr="00F15667" w:rsidRDefault="00E77F6B" w:rsidP="0041601E">
            <w:pPr>
              <w:spacing w:line="240" w:lineRule="auto"/>
              <w:jc w:val="center"/>
              <w:rPr>
                <w:rFonts w:eastAsia="Times New Roman"/>
                <w:b/>
                <w:bCs/>
                <w:szCs w:val="24"/>
                <w:lang w:eastAsia="cs-CZ"/>
              </w:rPr>
            </w:pPr>
            <w:r w:rsidRPr="00F15667">
              <w:rPr>
                <w:rFonts w:eastAsia="Times New Roman"/>
                <w:b/>
                <w:bCs/>
                <w:szCs w:val="24"/>
                <w:lang w:eastAsia="cs-CZ"/>
              </w:rPr>
              <w:t>Počet úvazků</w:t>
            </w:r>
          </w:p>
        </w:tc>
        <w:tc>
          <w:tcPr>
            <w:tcW w:w="6202" w:type="dxa"/>
            <w:gridSpan w:val="6"/>
            <w:tcBorders>
              <w:top w:val="double" w:sz="6" w:space="0" w:color="auto"/>
              <w:left w:val="nil"/>
              <w:bottom w:val="nil"/>
              <w:right w:val="nil"/>
            </w:tcBorders>
            <w:shd w:val="clear" w:color="auto" w:fill="auto"/>
            <w:noWrap/>
            <w:vAlign w:val="center"/>
            <w:hideMark/>
          </w:tcPr>
          <w:p w14:paraId="548C3F5F" w14:textId="73C6CEBC" w:rsidR="00E77F6B" w:rsidRPr="00F15667" w:rsidRDefault="0046332C" w:rsidP="0041601E">
            <w:pPr>
              <w:spacing w:line="240" w:lineRule="auto"/>
              <w:jc w:val="center"/>
              <w:rPr>
                <w:rFonts w:eastAsia="Times New Roman"/>
                <w:b/>
                <w:bCs/>
                <w:szCs w:val="24"/>
                <w:lang w:eastAsia="cs-CZ"/>
              </w:rPr>
            </w:pPr>
            <w:r>
              <w:rPr>
                <w:rFonts w:eastAsia="Times New Roman"/>
                <w:b/>
                <w:bCs/>
                <w:szCs w:val="24"/>
                <w:lang w:eastAsia="cs-CZ"/>
              </w:rPr>
              <w:t>Počet věcí na úvazek</w:t>
            </w:r>
          </w:p>
        </w:tc>
      </w:tr>
      <w:tr w:rsidR="00F15667" w:rsidRPr="00F15667" w14:paraId="5F8C8A37" w14:textId="77777777" w:rsidTr="0041601E">
        <w:trPr>
          <w:trHeight w:val="330"/>
        </w:trPr>
        <w:tc>
          <w:tcPr>
            <w:tcW w:w="1985" w:type="dxa"/>
            <w:vMerge/>
            <w:tcBorders>
              <w:top w:val="double" w:sz="6" w:space="0" w:color="auto"/>
              <w:left w:val="nil"/>
              <w:bottom w:val="double" w:sz="6" w:space="0" w:color="000000"/>
              <w:right w:val="nil"/>
            </w:tcBorders>
            <w:vAlign w:val="center"/>
            <w:hideMark/>
          </w:tcPr>
          <w:p w14:paraId="676B3CA4" w14:textId="77777777" w:rsidR="00E77F6B" w:rsidRPr="00F15667" w:rsidRDefault="00E77F6B" w:rsidP="0041601E">
            <w:pPr>
              <w:spacing w:line="240" w:lineRule="auto"/>
              <w:jc w:val="center"/>
              <w:rPr>
                <w:rFonts w:eastAsia="Times New Roman"/>
                <w:b/>
                <w:bCs/>
                <w:szCs w:val="24"/>
                <w:lang w:eastAsia="cs-CZ"/>
              </w:rPr>
            </w:pPr>
          </w:p>
        </w:tc>
        <w:tc>
          <w:tcPr>
            <w:tcW w:w="1060" w:type="dxa"/>
            <w:vMerge/>
            <w:tcBorders>
              <w:top w:val="double" w:sz="6" w:space="0" w:color="auto"/>
              <w:left w:val="nil"/>
              <w:bottom w:val="double" w:sz="6" w:space="0" w:color="000000"/>
              <w:right w:val="nil"/>
            </w:tcBorders>
            <w:vAlign w:val="center"/>
            <w:hideMark/>
          </w:tcPr>
          <w:p w14:paraId="180248DB" w14:textId="77777777" w:rsidR="00E77F6B" w:rsidRPr="00F15667" w:rsidRDefault="00E77F6B" w:rsidP="0041601E">
            <w:pPr>
              <w:spacing w:line="240" w:lineRule="auto"/>
              <w:jc w:val="center"/>
              <w:rPr>
                <w:rFonts w:eastAsia="Times New Roman"/>
                <w:b/>
                <w:bCs/>
                <w:szCs w:val="24"/>
                <w:lang w:eastAsia="cs-CZ"/>
              </w:rPr>
            </w:pPr>
          </w:p>
        </w:tc>
        <w:tc>
          <w:tcPr>
            <w:tcW w:w="2065" w:type="dxa"/>
            <w:gridSpan w:val="2"/>
            <w:tcBorders>
              <w:top w:val="nil"/>
              <w:left w:val="nil"/>
              <w:bottom w:val="double" w:sz="6" w:space="0" w:color="auto"/>
              <w:right w:val="nil"/>
            </w:tcBorders>
            <w:shd w:val="clear" w:color="auto" w:fill="auto"/>
            <w:noWrap/>
            <w:vAlign w:val="center"/>
            <w:hideMark/>
          </w:tcPr>
          <w:p w14:paraId="2AB1B4E7" w14:textId="77777777" w:rsidR="00E77F6B" w:rsidRPr="00F15667" w:rsidRDefault="00E77F6B" w:rsidP="0041601E">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206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E75D65C" w14:textId="77777777" w:rsidR="00E77F6B" w:rsidRPr="00F15667" w:rsidRDefault="00E77F6B" w:rsidP="0041601E">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2072" w:type="dxa"/>
            <w:gridSpan w:val="2"/>
            <w:tcBorders>
              <w:top w:val="nil"/>
              <w:left w:val="nil"/>
              <w:bottom w:val="double" w:sz="6" w:space="0" w:color="auto"/>
              <w:right w:val="nil"/>
            </w:tcBorders>
            <w:shd w:val="clear" w:color="auto" w:fill="auto"/>
            <w:noWrap/>
            <w:vAlign w:val="center"/>
            <w:hideMark/>
          </w:tcPr>
          <w:p w14:paraId="09AD7C77" w14:textId="77777777" w:rsidR="00E77F6B" w:rsidRPr="00F15667" w:rsidRDefault="00E77F6B" w:rsidP="0041601E">
            <w:pPr>
              <w:spacing w:line="240" w:lineRule="auto"/>
              <w:jc w:val="center"/>
              <w:rPr>
                <w:rFonts w:eastAsia="Times New Roman"/>
                <w:b/>
                <w:bCs/>
                <w:szCs w:val="24"/>
                <w:lang w:eastAsia="cs-CZ"/>
              </w:rPr>
            </w:pPr>
            <w:r w:rsidRPr="00F15667">
              <w:rPr>
                <w:rFonts w:eastAsia="Times New Roman"/>
                <w:b/>
                <w:bCs/>
                <w:szCs w:val="24"/>
                <w:lang w:eastAsia="cs-CZ"/>
              </w:rPr>
              <w:t>Nevyřízeno</w:t>
            </w:r>
          </w:p>
        </w:tc>
      </w:tr>
      <w:tr w:rsidR="00F15667" w:rsidRPr="00F15667" w14:paraId="5F40A0CB" w14:textId="77777777" w:rsidTr="0041601E">
        <w:trPr>
          <w:trHeight w:val="330"/>
        </w:trPr>
        <w:tc>
          <w:tcPr>
            <w:tcW w:w="1985" w:type="dxa"/>
            <w:tcBorders>
              <w:top w:val="single" w:sz="4" w:space="0" w:color="auto"/>
              <w:left w:val="nil"/>
              <w:bottom w:val="single" w:sz="4" w:space="0" w:color="auto"/>
              <w:right w:val="nil"/>
            </w:tcBorders>
            <w:shd w:val="clear" w:color="auto" w:fill="auto"/>
            <w:noWrap/>
            <w:vAlign w:val="center"/>
            <w:hideMark/>
          </w:tcPr>
          <w:p w14:paraId="2D9F4788" w14:textId="77777777" w:rsidR="00E77F6B" w:rsidRPr="00F15667" w:rsidRDefault="00E77F6B" w:rsidP="0041601E">
            <w:pPr>
              <w:spacing w:line="240" w:lineRule="auto"/>
              <w:jc w:val="left"/>
              <w:rPr>
                <w:rFonts w:eastAsia="Times New Roman"/>
                <w:szCs w:val="24"/>
                <w:lang w:eastAsia="cs-CZ"/>
              </w:rPr>
            </w:pPr>
            <w:r w:rsidRPr="00F15667">
              <w:rPr>
                <w:rFonts w:eastAsia="Times New Roman"/>
                <w:szCs w:val="24"/>
                <w:lang w:eastAsia="cs-CZ"/>
              </w:rPr>
              <w:t>MS Praha</w:t>
            </w:r>
          </w:p>
        </w:tc>
        <w:tc>
          <w:tcPr>
            <w:tcW w:w="1060" w:type="dxa"/>
            <w:tcBorders>
              <w:top w:val="single" w:sz="4" w:space="0" w:color="auto"/>
              <w:left w:val="nil"/>
              <w:bottom w:val="single" w:sz="4" w:space="0" w:color="auto"/>
              <w:right w:val="nil"/>
            </w:tcBorders>
            <w:shd w:val="clear" w:color="auto" w:fill="auto"/>
            <w:noWrap/>
            <w:vAlign w:val="center"/>
            <w:hideMark/>
          </w:tcPr>
          <w:p w14:paraId="5288074B" w14:textId="6E4311C7"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21,3</w:t>
            </w:r>
          </w:p>
        </w:tc>
        <w:tc>
          <w:tcPr>
            <w:tcW w:w="1168" w:type="dxa"/>
            <w:tcBorders>
              <w:top w:val="single" w:sz="4" w:space="0" w:color="auto"/>
              <w:left w:val="nil"/>
              <w:bottom w:val="single" w:sz="4" w:space="0" w:color="auto"/>
              <w:right w:val="nil"/>
            </w:tcBorders>
            <w:shd w:val="clear" w:color="auto" w:fill="auto"/>
            <w:noWrap/>
            <w:vAlign w:val="center"/>
            <w:hideMark/>
          </w:tcPr>
          <w:p w14:paraId="478CAEBF" w14:textId="1A0F7CE3"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149,20</w:t>
            </w:r>
          </w:p>
        </w:tc>
        <w:tc>
          <w:tcPr>
            <w:tcW w:w="897" w:type="dxa"/>
            <w:tcBorders>
              <w:top w:val="single" w:sz="4" w:space="0" w:color="auto"/>
              <w:left w:val="nil"/>
              <w:bottom w:val="single" w:sz="4" w:space="0" w:color="auto"/>
              <w:right w:val="nil"/>
            </w:tcBorders>
            <w:shd w:val="clear" w:color="auto" w:fill="auto"/>
            <w:noWrap/>
            <w:vAlign w:val="center"/>
            <w:hideMark/>
          </w:tcPr>
          <w:p w14:paraId="7B18C1CE" w14:textId="035DDFD2"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168" w:type="dxa"/>
            <w:tcBorders>
              <w:top w:val="nil"/>
              <w:left w:val="single" w:sz="4" w:space="0" w:color="auto"/>
              <w:bottom w:val="single" w:sz="4" w:space="0" w:color="auto"/>
              <w:right w:val="nil"/>
            </w:tcBorders>
            <w:shd w:val="clear" w:color="auto" w:fill="auto"/>
            <w:noWrap/>
            <w:vAlign w:val="center"/>
            <w:hideMark/>
          </w:tcPr>
          <w:p w14:paraId="7FCFF5AA" w14:textId="5401DAF8"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149,39</w:t>
            </w:r>
          </w:p>
        </w:tc>
        <w:tc>
          <w:tcPr>
            <w:tcW w:w="897" w:type="dxa"/>
            <w:tcBorders>
              <w:top w:val="nil"/>
              <w:left w:val="nil"/>
              <w:bottom w:val="single" w:sz="4" w:space="0" w:color="auto"/>
              <w:right w:val="single" w:sz="4" w:space="0" w:color="auto"/>
            </w:tcBorders>
            <w:shd w:val="clear" w:color="auto" w:fill="auto"/>
            <w:noWrap/>
            <w:vAlign w:val="center"/>
            <w:hideMark/>
          </w:tcPr>
          <w:p w14:paraId="68108872" w14:textId="43602746"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047" w:type="dxa"/>
            <w:tcBorders>
              <w:top w:val="single" w:sz="4" w:space="0" w:color="auto"/>
              <w:left w:val="nil"/>
              <w:bottom w:val="single" w:sz="4" w:space="0" w:color="auto"/>
              <w:right w:val="nil"/>
            </w:tcBorders>
            <w:shd w:val="clear" w:color="auto" w:fill="auto"/>
            <w:noWrap/>
            <w:vAlign w:val="center"/>
            <w:hideMark/>
          </w:tcPr>
          <w:p w14:paraId="5D4F69D5" w14:textId="65E598F2"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8,45</w:t>
            </w:r>
          </w:p>
        </w:tc>
        <w:tc>
          <w:tcPr>
            <w:tcW w:w="1025" w:type="dxa"/>
            <w:tcBorders>
              <w:top w:val="single" w:sz="4" w:space="0" w:color="auto"/>
              <w:left w:val="nil"/>
              <w:bottom w:val="single" w:sz="4" w:space="0" w:color="auto"/>
              <w:right w:val="nil"/>
            </w:tcBorders>
            <w:shd w:val="clear" w:color="auto" w:fill="auto"/>
            <w:noWrap/>
            <w:vAlign w:val="center"/>
            <w:hideMark/>
          </w:tcPr>
          <w:p w14:paraId="4A9C0A36" w14:textId="5ACF73CE"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+0 %</w:t>
            </w:r>
          </w:p>
        </w:tc>
      </w:tr>
      <w:tr w:rsidR="00F15667" w:rsidRPr="00F15667" w14:paraId="786FD0CB" w14:textId="77777777" w:rsidTr="0041601E">
        <w:trPr>
          <w:trHeight w:val="315"/>
        </w:trPr>
        <w:tc>
          <w:tcPr>
            <w:tcW w:w="1985" w:type="dxa"/>
            <w:tcBorders>
              <w:top w:val="nil"/>
              <w:left w:val="nil"/>
              <w:bottom w:val="single" w:sz="4" w:space="0" w:color="auto"/>
              <w:right w:val="nil"/>
            </w:tcBorders>
            <w:shd w:val="clear" w:color="auto" w:fill="auto"/>
            <w:noWrap/>
            <w:vAlign w:val="center"/>
            <w:hideMark/>
          </w:tcPr>
          <w:p w14:paraId="4D656A28" w14:textId="77777777" w:rsidR="00E77F6B" w:rsidRPr="00F15667" w:rsidRDefault="00E77F6B" w:rsidP="0041601E">
            <w:pPr>
              <w:spacing w:line="240" w:lineRule="auto"/>
              <w:jc w:val="left"/>
              <w:rPr>
                <w:rFonts w:eastAsia="Times New Roman"/>
                <w:szCs w:val="24"/>
                <w:lang w:eastAsia="cs-CZ"/>
              </w:rPr>
            </w:pPr>
            <w:r w:rsidRPr="00F15667">
              <w:rPr>
                <w:rFonts w:eastAsia="Times New Roman"/>
                <w:szCs w:val="24"/>
                <w:lang w:eastAsia="cs-CZ"/>
              </w:rPr>
              <w:t>KS Praha</w:t>
            </w:r>
          </w:p>
        </w:tc>
        <w:tc>
          <w:tcPr>
            <w:tcW w:w="1060" w:type="dxa"/>
            <w:tcBorders>
              <w:top w:val="nil"/>
              <w:left w:val="nil"/>
              <w:bottom w:val="single" w:sz="4" w:space="0" w:color="auto"/>
              <w:right w:val="nil"/>
            </w:tcBorders>
            <w:shd w:val="clear" w:color="auto" w:fill="auto"/>
            <w:noWrap/>
            <w:vAlign w:val="center"/>
            <w:hideMark/>
          </w:tcPr>
          <w:p w14:paraId="46A65546" w14:textId="77777777"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18</w:t>
            </w:r>
          </w:p>
        </w:tc>
        <w:tc>
          <w:tcPr>
            <w:tcW w:w="1168" w:type="dxa"/>
            <w:tcBorders>
              <w:top w:val="nil"/>
              <w:left w:val="nil"/>
              <w:bottom w:val="single" w:sz="4" w:space="0" w:color="auto"/>
              <w:right w:val="nil"/>
            </w:tcBorders>
            <w:shd w:val="clear" w:color="auto" w:fill="auto"/>
            <w:noWrap/>
            <w:vAlign w:val="center"/>
            <w:hideMark/>
          </w:tcPr>
          <w:p w14:paraId="762248FA" w14:textId="348313FB"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133,17</w:t>
            </w:r>
          </w:p>
        </w:tc>
        <w:tc>
          <w:tcPr>
            <w:tcW w:w="897" w:type="dxa"/>
            <w:tcBorders>
              <w:top w:val="nil"/>
              <w:left w:val="nil"/>
              <w:bottom w:val="single" w:sz="4" w:space="0" w:color="auto"/>
              <w:right w:val="nil"/>
            </w:tcBorders>
            <w:shd w:val="clear" w:color="auto" w:fill="auto"/>
            <w:noWrap/>
            <w:vAlign w:val="center"/>
            <w:hideMark/>
          </w:tcPr>
          <w:p w14:paraId="1C5683E7" w14:textId="639A9BB2"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168" w:type="dxa"/>
            <w:tcBorders>
              <w:top w:val="nil"/>
              <w:left w:val="single" w:sz="4" w:space="0" w:color="auto"/>
              <w:bottom w:val="single" w:sz="4" w:space="0" w:color="auto"/>
              <w:right w:val="nil"/>
            </w:tcBorders>
            <w:shd w:val="clear" w:color="auto" w:fill="auto"/>
            <w:noWrap/>
            <w:vAlign w:val="center"/>
            <w:hideMark/>
          </w:tcPr>
          <w:p w14:paraId="3E0EE9BE" w14:textId="23B9637D"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133,83</w:t>
            </w:r>
          </w:p>
        </w:tc>
        <w:tc>
          <w:tcPr>
            <w:tcW w:w="897" w:type="dxa"/>
            <w:tcBorders>
              <w:top w:val="nil"/>
              <w:left w:val="nil"/>
              <w:bottom w:val="single" w:sz="4" w:space="0" w:color="auto"/>
              <w:right w:val="single" w:sz="4" w:space="0" w:color="auto"/>
            </w:tcBorders>
            <w:shd w:val="clear" w:color="auto" w:fill="auto"/>
            <w:noWrap/>
            <w:vAlign w:val="center"/>
            <w:hideMark/>
          </w:tcPr>
          <w:p w14:paraId="5D29FA09" w14:textId="3D53F127"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047" w:type="dxa"/>
            <w:tcBorders>
              <w:top w:val="nil"/>
              <w:left w:val="nil"/>
              <w:bottom w:val="single" w:sz="4" w:space="0" w:color="auto"/>
              <w:right w:val="nil"/>
            </w:tcBorders>
            <w:shd w:val="clear" w:color="auto" w:fill="auto"/>
            <w:noWrap/>
            <w:vAlign w:val="center"/>
            <w:hideMark/>
          </w:tcPr>
          <w:p w14:paraId="2E6A0735" w14:textId="690096B6"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1,83</w:t>
            </w:r>
          </w:p>
        </w:tc>
        <w:tc>
          <w:tcPr>
            <w:tcW w:w="1025" w:type="dxa"/>
            <w:tcBorders>
              <w:top w:val="nil"/>
              <w:left w:val="nil"/>
              <w:bottom w:val="single" w:sz="4" w:space="0" w:color="auto"/>
              <w:right w:val="nil"/>
            </w:tcBorders>
            <w:shd w:val="clear" w:color="auto" w:fill="auto"/>
            <w:noWrap/>
            <w:vAlign w:val="center"/>
            <w:hideMark/>
          </w:tcPr>
          <w:p w14:paraId="34A35139" w14:textId="585737D0"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-27 %</w:t>
            </w:r>
          </w:p>
        </w:tc>
      </w:tr>
      <w:tr w:rsidR="00F15667" w:rsidRPr="00F15667" w14:paraId="4BA8694E" w14:textId="77777777" w:rsidTr="0041601E">
        <w:trPr>
          <w:trHeight w:val="315"/>
        </w:trPr>
        <w:tc>
          <w:tcPr>
            <w:tcW w:w="1985" w:type="dxa"/>
            <w:tcBorders>
              <w:top w:val="nil"/>
              <w:left w:val="nil"/>
              <w:bottom w:val="single" w:sz="4" w:space="0" w:color="auto"/>
              <w:right w:val="nil"/>
            </w:tcBorders>
            <w:shd w:val="clear" w:color="auto" w:fill="auto"/>
            <w:noWrap/>
            <w:vAlign w:val="center"/>
            <w:hideMark/>
          </w:tcPr>
          <w:p w14:paraId="74A9FAD2" w14:textId="77777777" w:rsidR="00E77F6B" w:rsidRPr="00F15667" w:rsidRDefault="00E77F6B" w:rsidP="0041601E">
            <w:pPr>
              <w:spacing w:line="240" w:lineRule="auto"/>
              <w:jc w:val="left"/>
              <w:rPr>
                <w:rFonts w:eastAsia="Times New Roman"/>
                <w:szCs w:val="24"/>
                <w:lang w:eastAsia="cs-CZ"/>
              </w:rPr>
            </w:pPr>
            <w:r w:rsidRPr="00F15667">
              <w:rPr>
                <w:rFonts w:eastAsia="Times New Roman"/>
                <w:szCs w:val="24"/>
                <w:lang w:eastAsia="cs-CZ"/>
              </w:rPr>
              <w:t>KS Č. Budějovice</w:t>
            </w:r>
          </w:p>
        </w:tc>
        <w:tc>
          <w:tcPr>
            <w:tcW w:w="1060" w:type="dxa"/>
            <w:tcBorders>
              <w:top w:val="nil"/>
              <w:left w:val="nil"/>
              <w:bottom w:val="single" w:sz="4" w:space="0" w:color="auto"/>
              <w:right w:val="nil"/>
            </w:tcBorders>
            <w:shd w:val="clear" w:color="auto" w:fill="auto"/>
            <w:noWrap/>
            <w:vAlign w:val="center"/>
            <w:hideMark/>
          </w:tcPr>
          <w:p w14:paraId="38084CE4" w14:textId="398F5AC9"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9,8</w:t>
            </w:r>
          </w:p>
        </w:tc>
        <w:tc>
          <w:tcPr>
            <w:tcW w:w="1168" w:type="dxa"/>
            <w:tcBorders>
              <w:top w:val="nil"/>
              <w:left w:val="nil"/>
              <w:bottom w:val="single" w:sz="4" w:space="0" w:color="auto"/>
              <w:right w:val="nil"/>
            </w:tcBorders>
            <w:shd w:val="clear" w:color="auto" w:fill="auto"/>
            <w:noWrap/>
            <w:vAlign w:val="center"/>
            <w:hideMark/>
          </w:tcPr>
          <w:p w14:paraId="317A9162" w14:textId="07742D47"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90,00</w:t>
            </w:r>
          </w:p>
        </w:tc>
        <w:tc>
          <w:tcPr>
            <w:tcW w:w="897" w:type="dxa"/>
            <w:tcBorders>
              <w:top w:val="nil"/>
              <w:left w:val="nil"/>
              <w:bottom w:val="single" w:sz="4" w:space="0" w:color="auto"/>
              <w:right w:val="nil"/>
            </w:tcBorders>
            <w:shd w:val="clear" w:color="auto" w:fill="auto"/>
            <w:noWrap/>
            <w:vAlign w:val="center"/>
            <w:hideMark/>
          </w:tcPr>
          <w:p w14:paraId="46282C2D" w14:textId="25050DD1"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168" w:type="dxa"/>
            <w:tcBorders>
              <w:top w:val="nil"/>
              <w:left w:val="single" w:sz="4" w:space="0" w:color="auto"/>
              <w:bottom w:val="single" w:sz="4" w:space="0" w:color="auto"/>
              <w:right w:val="nil"/>
            </w:tcBorders>
            <w:shd w:val="clear" w:color="auto" w:fill="auto"/>
            <w:noWrap/>
            <w:vAlign w:val="center"/>
            <w:hideMark/>
          </w:tcPr>
          <w:p w14:paraId="0E339072" w14:textId="1E225F43"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90,41</w:t>
            </w:r>
          </w:p>
        </w:tc>
        <w:tc>
          <w:tcPr>
            <w:tcW w:w="897" w:type="dxa"/>
            <w:tcBorders>
              <w:top w:val="nil"/>
              <w:left w:val="nil"/>
              <w:bottom w:val="single" w:sz="4" w:space="0" w:color="auto"/>
              <w:right w:val="single" w:sz="4" w:space="0" w:color="auto"/>
            </w:tcBorders>
            <w:shd w:val="clear" w:color="auto" w:fill="auto"/>
            <w:noWrap/>
            <w:vAlign w:val="center"/>
            <w:hideMark/>
          </w:tcPr>
          <w:p w14:paraId="6B390D93" w14:textId="4DEFC9F1"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047" w:type="dxa"/>
            <w:tcBorders>
              <w:top w:val="nil"/>
              <w:left w:val="nil"/>
              <w:bottom w:val="single" w:sz="4" w:space="0" w:color="auto"/>
              <w:right w:val="nil"/>
            </w:tcBorders>
            <w:shd w:val="clear" w:color="auto" w:fill="auto"/>
            <w:noWrap/>
            <w:vAlign w:val="center"/>
            <w:hideMark/>
          </w:tcPr>
          <w:p w14:paraId="06CAA808" w14:textId="415C4CE5"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9,49</w:t>
            </w:r>
          </w:p>
        </w:tc>
        <w:tc>
          <w:tcPr>
            <w:tcW w:w="1025" w:type="dxa"/>
            <w:tcBorders>
              <w:top w:val="nil"/>
              <w:left w:val="nil"/>
              <w:bottom w:val="single" w:sz="4" w:space="0" w:color="auto"/>
              <w:right w:val="nil"/>
            </w:tcBorders>
            <w:shd w:val="clear" w:color="auto" w:fill="auto"/>
            <w:noWrap/>
            <w:vAlign w:val="center"/>
            <w:hideMark/>
          </w:tcPr>
          <w:p w14:paraId="279CF67A" w14:textId="0322F32D"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r>
      <w:tr w:rsidR="00F15667" w:rsidRPr="00F15667" w14:paraId="3421A3B2" w14:textId="77777777" w:rsidTr="0041601E">
        <w:trPr>
          <w:trHeight w:val="315"/>
        </w:trPr>
        <w:tc>
          <w:tcPr>
            <w:tcW w:w="1985" w:type="dxa"/>
            <w:tcBorders>
              <w:top w:val="nil"/>
              <w:left w:val="nil"/>
              <w:bottom w:val="single" w:sz="4" w:space="0" w:color="auto"/>
              <w:right w:val="nil"/>
            </w:tcBorders>
            <w:shd w:val="clear" w:color="auto" w:fill="auto"/>
            <w:noWrap/>
            <w:vAlign w:val="center"/>
            <w:hideMark/>
          </w:tcPr>
          <w:p w14:paraId="16DCBE03" w14:textId="77777777" w:rsidR="00E77F6B" w:rsidRPr="00F15667" w:rsidRDefault="00E77F6B" w:rsidP="0041601E">
            <w:pPr>
              <w:spacing w:line="240" w:lineRule="auto"/>
              <w:jc w:val="left"/>
              <w:rPr>
                <w:rFonts w:eastAsia="Times New Roman"/>
                <w:szCs w:val="24"/>
                <w:lang w:eastAsia="cs-CZ"/>
              </w:rPr>
            </w:pPr>
            <w:r w:rsidRPr="00F15667">
              <w:rPr>
                <w:rFonts w:eastAsia="Times New Roman"/>
                <w:szCs w:val="24"/>
                <w:lang w:eastAsia="cs-CZ"/>
              </w:rPr>
              <w:t>KS Plzeň</w:t>
            </w:r>
          </w:p>
        </w:tc>
        <w:tc>
          <w:tcPr>
            <w:tcW w:w="1060" w:type="dxa"/>
            <w:tcBorders>
              <w:top w:val="nil"/>
              <w:left w:val="nil"/>
              <w:bottom w:val="single" w:sz="4" w:space="0" w:color="auto"/>
              <w:right w:val="nil"/>
            </w:tcBorders>
            <w:shd w:val="clear" w:color="auto" w:fill="auto"/>
            <w:noWrap/>
            <w:vAlign w:val="center"/>
            <w:hideMark/>
          </w:tcPr>
          <w:p w14:paraId="2D72496A" w14:textId="228E4D74"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17,3</w:t>
            </w:r>
          </w:p>
        </w:tc>
        <w:tc>
          <w:tcPr>
            <w:tcW w:w="1168" w:type="dxa"/>
            <w:tcBorders>
              <w:top w:val="nil"/>
              <w:left w:val="nil"/>
              <w:bottom w:val="single" w:sz="4" w:space="0" w:color="auto"/>
              <w:right w:val="nil"/>
            </w:tcBorders>
            <w:shd w:val="clear" w:color="auto" w:fill="auto"/>
            <w:noWrap/>
            <w:vAlign w:val="center"/>
            <w:hideMark/>
          </w:tcPr>
          <w:p w14:paraId="1477368F" w14:textId="1460FFEC"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98,84</w:t>
            </w:r>
          </w:p>
        </w:tc>
        <w:tc>
          <w:tcPr>
            <w:tcW w:w="897" w:type="dxa"/>
            <w:tcBorders>
              <w:top w:val="nil"/>
              <w:left w:val="nil"/>
              <w:bottom w:val="single" w:sz="4" w:space="0" w:color="auto"/>
              <w:right w:val="nil"/>
            </w:tcBorders>
            <w:shd w:val="clear" w:color="auto" w:fill="auto"/>
            <w:noWrap/>
            <w:vAlign w:val="center"/>
            <w:hideMark/>
          </w:tcPr>
          <w:p w14:paraId="3C74D7A1" w14:textId="6ED7C9E8"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-18 %</w:t>
            </w:r>
          </w:p>
        </w:tc>
        <w:tc>
          <w:tcPr>
            <w:tcW w:w="1168" w:type="dxa"/>
            <w:tcBorders>
              <w:top w:val="nil"/>
              <w:left w:val="single" w:sz="4" w:space="0" w:color="auto"/>
              <w:bottom w:val="single" w:sz="4" w:space="0" w:color="auto"/>
              <w:right w:val="nil"/>
            </w:tcBorders>
            <w:shd w:val="clear" w:color="auto" w:fill="auto"/>
            <w:noWrap/>
            <w:vAlign w:val="center"/>
            <w:hideMark/>
          </w:tcPr>
          <w:p w14:paraId="6981007F" w14:textId="7A8DB805"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102,83</w:t>
            </w:r>
          </w:p>
        </w:tc>
        <w:tc>
          <w:tcPr>
            <w:tcW w:w="897" w:type="dxa"/>
            <w:tcBorders>
              <w:top w:val="nil"/>
              <w:left w:val="nil"/>
              <w:bottom w:val="single" w:sz="4" w:space="0" w:color="auto"/>
              <w:right w:val="single" w:sz="4" w:space="0" w:color="auto"/>
            </w:tcBorders>
            <w:shd w:val="clear" w:color="auto" w:fill="auto"/>
            <w:noWrap/>
            <w:vAlign w:val="center"/>
            <w:hideMark/>
          </w:tcPr>
          <w:p w14:paraId="14FCED25" w14:textId="6769AAD7"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1047" w:type="dxa"/>
            <w:tcBorders>
              <w:top w:val="nil"/>
              <w:left w:val="nil"/>
              <w:bottom w:val="single" w:sz="4" w:space="0" w:color="auto"/>
              <w:right w:val="nil"/>
            </w:tcBorders>
            <w:shd w:val="clear" w:color="auto" w:fill="auto"/>
            <w:noWrap/>
            <w:vAlign w:val="center"/>
            <w:hideMark/>
          </w:tcPr>
          <w:p w14:paraId="46225239" w14:textId="1B1CEFFA"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6,94</w:t>
            </w:r>
          </w:p>
        </w:tc>
        <w:tc>
          <w:tcPr>
            <w:tcW w:w="1025" w:type="dxa"/>
            <w:tcBorders>
              <w:top w:val="nil"/>
              <w:left w:val="nil"/>
              <w:bottom w:val="single" w:sz="4" w:space="0" w:color="auto"/>
              <w:right w:val="nil"/>
            </w:tcBorders>
            <w:shd w:val="clear" w:color="auto" w:fill="auto"/>
            <w:noWrap/>
            <w:vAlign w:val="center"/>
            <w:hideMark/>
          </w:tcPr>
          <w:p w14:paraId="2DB92DE0" w14:textId="5BCBD7B1"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-40 %</w:t>
            </w:r>
          </w:p>
        </w:tc>
      </w:tr>
      <w:tr w:rsidR="00F15667" w:rsidRPr="00F15667" w14:paraId="41B8FC93" w14:textId="77777777" w:rsidTr="0041601E">
        <w:trPr>
          <w:trHeight w:val="315"/>
        </w:trPr>
        <w:tc>
          <w:tcPr>
            <w:tcW w:w="1985" w:type="dxa"/>
            <w:tcBorders>
              <w:top w:val="nil"/>
              <w:left w:val="nil"/>
              <w:bottom w:val="single" w:sz="4" w:space="0" w:color="auto"/>
              <w:right w:val="nil"/>
            </w:tcBorders>
            <w:shd w:val="clear" w:color="auto" w:fill="auto"/>
            <w:noWrap/>
            <w:vAlign w:val="center"/>
            <w:hideMark/>
          </w:tcPr>
          <w:p w14:paraId="0991BBC9" w14:textId="77777777" w:rsidR="00E77F6B" w:rsidRPr="00F15667" w:rsidRDefault="00E77F6B" w:rsidP="0041601E">
            <w:pPr>
              <w:spacing w:line="240" w:lineRule="auto"/>
              <w:jc w:val="left"/>
              <w:rPr>
                <w:rFonts w:eastAsia="Times New Roman"/>
                <w:szCs w:val="24"/>
                <w:lang w:eastAsia="cs-CZ"/>
              </w:rPr>
            </w:pPr>
            <w:r w:rsidRPr="00F15667">
              <w:rPr>
                <w:rFonts w:eastAsia="Times New Roman"/>
                <w:szCs w:val="24"/>
                <w:lang w:eastAsia="cs-CZ"/>
              </w:rPr>
              <w:t>KS Ústí n. Labem</w:t>
            </w:r>
          </w:p>
        </w:tc>
        <w:tc>
          <w:tcPr>
            <w:tcW w:w="1060" w:type="dxa"/>
            <w:tcBorders>
              <w:top w:val="nil"/>
              <w:left w:val="nil"/>
              <w:bottom w:val="single" w:sz="4" w:space="0" w:color="auto"/>
              <w:right w:val="nil"/>
            </w:tcBorders>
            <w:shd w:val="clear" w:color="auto" w:fill="auto"/>
            <w:noWrap/>
            <w:vAlign w:val="center"/>
            <w:hideMark/>
          </w:tcPr>
          <w:p w14:paraId="36DDB283" w14:textId="6941958B"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22,8</w:t>
            </w:r>
          </w:p>
        </w:tc>
        <w:tc>
          <w:tcPr>
            <w:tcW w:w="1168" w:type="dxa"/>
            <w:tcBorders>
              <w:top w:val="nil"/>
              <w:left w:val="nil"/>
              <w:bottom w:val="single" w:sz="4" w:space="0" w:color="auto"/>
              <w:right w:val="nil"/>
            </w:tcBorders>
            <w:shd w:val="clear" w:color="auto" w:fill="auto"/>
            <w:noWrap/>
            <w:vAlign w:val="center"/>
            <w:hideMark/>
          </w:tcPr>
          <w:p w14:paraId="721610AC" w14:textId="31863DF5"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126,93</w:t>
            </w:r>
          </w:p>
        </w:tc>
        <w:tc>
          <w:tcPr>
            <w:tcW w:w="897" w:type="dxa"/>
            <w:tcBorders>
              <w:top w:val="nil"/>
              <w:left w:val="nil"/>
              <w:bottom w:val="single" w:sz="4" w:space="0" w:color="auto"/>
              <w:right w:val="nil"/>
            </w:tcBorders>
            <w:shd w:val="clear" w:color="auto" w:fill="auto"/>
            <w:noWrap/>
            <w:vAlign w:val="center"/>
            <w:hideMark/>
          </w:tcPr>
          <w:p w14:paraId="538A8275" w14:textId="361E761F"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168" w:type="dxa"/>
            <w:tcBorders>
              <w:top w:val="nil"/>
              <w:left w:val="single" w:sz="4" w:space="0" w:color="auto"/>
              <w:bottom w:val="single" w:sz="4" w:space="0" w:color="auto"/>
              <w:right w:val="nil"/>
            </w:tcBorders>
            <w:shd w:val="clear" w:color="auto" w:fill="auto"/>
            <w:noWrap/>
            <w:vAlign w:val="center"/>
            <w:hideMark/>
          </w:tcPr>
          <w:p w14:paraId="03BB929B" w14:textId="565C97E4"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130,57</w:t>
            </w:r>
          </w:p>
        </w:tc>
        <w:tc>
          <w:tcPr>
            <w:tcW w:w="897" w:type="dxa"/>
            <w:tcBorders>
              <w:top w:val="nil"/>
              <w:left w:val="nil"/>
              <w:bottom w:val="single" w:sz="4" w:space="0" w:color="auto"/>
              <w:right w:val="single" w:sz="4" w:space="0" w:color="auto"/>
            </w:tcBorders>
            <w:shd w:val="clear" w:color="auto" w:fill="auto"/>
            <w:noWrap/>
            <w:vAlign w:val="center"/>
            <w:hideMark/>
          </w:tcPr>
          <w:p w14:paraId="4DF3FE74" w14:textId="49A64E6A"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047" w:type="dxa"/>
            <w:tcBorders>
              <w:top w:val="nil"/>
              <w:left w:val="nil"/>
              <w:bottom w:val="single" w:sz="4" w:space="0" w:color="auto"/>
              <w:right w:val="nil"/>
            </w:tcBorders>
            <w:shd w:val="clear" w:color="auto" w:fill="auto"/>
            <w:noWrap/>
            <w:vAlign w:val="center"/>
            <w:hideMark/>
          </w:tcPr>
          <w:p w14:paraId="2475802F" w14:textId="4C3F2F6B"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11,71</w:t>
            </w:r>
          </w:p>
        </w:tc>
        <w:tc>
          <w:tcPr>
            <w:tcW w:w="1025" w:type="dxa"/>
            <w:tcBorders>
              <w:top w:val="nil"/>
              <w:left w:val="nil"/>
              <w:bottom w:val="single" w:sz="4" w:space="0" w:color="auto"/>
              <w:right w:val="nil"/>
            </w:tcBorders>
            <w:shd w:val="clear" w:color="auto" w:fill="auto"/>
            <w:noWrap/>
            <w:vAlign w:val="center"/>
            <w:hideMark/>
          </w:tcPr>
          <w:p w14:paraId="4AC34EF5" w14:textId="0C1B1978"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-26 %</w:t>
            </w:r>
          </w:p>
        </w:tc>
      </w:tr>
      <w:tr w:rsidR="00F15667" w:rsidRPr="00F15667" w14:paraId="4DD1AE2B" w14:textId="77777777" w:rsidTr="0041601E">
        <w:trPr>
          <w:trHeight w:val="315"/>
        </w:trPr>
        <w:tc>
          <w:tcPr>
            <w:tcW w:w="1985" w:type="dxa"/>
            <w:tcBorders>
              <w:top w:val="nil"/>
              <w:left w:val="nil"/>
              <w:bottom w:val="single" w:sz="4" w:space="0" w:color="auto"/>
              <w:right w:val="nil"/>
            </w:tcBorders>
            <w:shd w:val="clear" w:color="auto" w:fill="auto"/>
            <w:noWrap/>
            <w:vAlign w:val="center"/>
            <w:hideMark/>
          </w:tcPr>
          <w:p w14:paraId="70BE58A2" w14:textId="77777777" w:rsidR="00E77F6B" w:rsidRPr="00F15667" w:rsidRDefault="00E77F6B" w:rsidP="0041601E">
            <w:pPr>
              <w:spacing w:line="240" w:lineRule="auto"/>
              <w:jc w:val="left"/>
              <w:rPr>
                <w:rFonts w:eastAsia="Times New Roman"/>
                <w:szCs w:val="24"/>
                <w:lang w:eastAsia="cs-CZ"/>
              </w:rPr>
            </w:pPr>
            <w:r w:rsidRPr="00F15667">
              <w:rPr>
                <w:rFonts w:eastAsia="Times New Roman"/>
                <w:szCs w:val="24"/>
                <w:lang w:eastAsia="cs-CZ"/>
              </w:rPr>
              <w:t>KS Hr. Králové</w:t>
            </w:r>
          </w:p>
        </w:tc>
        <w:tc>
          <w:tcPr>
            <w:tcW w:w="1060" w:type="dxa"/>
            <w:tcBorders>
              <w:top w:val="nil"/>
              <w:left w:val="nil"/>
              <w:bottom w:val="single" w:sz="4" w:space="0" w:color="auto"/>
              <w:right w:val="nil"/>
            </w:tcBorders>
            <w:shd w:val="clear" w:color="auto" w:fill="auto"/>
            <w:noWrap/>
            <w:vAlign w:val="center"/>
            <w:hideMark/>
          </w:tcPr>
          <w:p w14:paraId="515B38C2" w14:textId="77777777"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14</w:t>
            </w:r>
          </w:p>
        </w:tc>
        <w:tc>
          <w:tcPr>
            <w:tcW w:w="1168" w:type="dxa"/>
            <w:tcBorders>
              <w:top w:val="nil"/>
              <w:left w:val="nil"/>
              <w:bottom w:val="single" w:sz="4" w:space="0" w:color="auto"/>
              <w:right w:val="nil"/>
            </w:tcBorders>
            <w:shd w:val="clear" w:color="auto" w:fill="auto"/>
            <w:noWrap/>
            <w:vAlign w:val="center"/>
            <w:hideMark/>
          </w:tcPr>
          <w:p w14:paraId="339D58B2" w14:textId="522DBC8A"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127,79</w:t>
            </w:r>
          </w:p>
        </w:tc>
        <w:tc>
          <w:tcPr>
            <w:tcW w:w="897" w:type="dxa"/>
            <w:tcBorders>
              <w:top w:val="nil"/>
              <w:left w:val="nil"/>
              <w:bottom w:val="single" w:sz="4" w:space="0" w:color="auto"/>
              <w:right w:val="nil"/>
            </w:tcBorders>
            <w:shd w:val="clear" w:color="auto" w:fill="auto"/>
            <w:noWrap/>
            <w:vAlign w:val="center"/>
            <w:hideMark/>
          </w:tcPr>
          <w:p w14:paraId="366085EC" w14:textId="06ACC5B9"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1168" w:type="dxa"/>
            <w:tcBorders>
              <w:top w:val="nil"/>
              <w:left w:val="single" w:sz="4" w:space="0" w:color="auto"/>
              <w:bottom w:val="single" w:sz="4" w:space="0" w:color="auto"/>
              <w:right w:val="nil"/>
            </w:tcBorders>
            <w:shd w:val="clear" w:color="auto" w:fill="auto"/>
            <w:noWrap/>
            <w:vAlign w:val="center"/>
            <w:hideMark/>
          </w:tcPr>
          <w:p w14:paraId="2FFE7FBC" w14:textId="7EB72245"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127,43</w:t>
            </w:r>
          </w:p>
        </w:tc>
        <w:tc>
          <w:tcPr>
            <w:tcW w:w="897" w:type="dxa"/>
            <w:tcBorders>
              <w:top w:val="nil"/>
              <w:left w:val="nil"/>
              <w:bottom w:val="single" w:sz="4" w:space="0" w:color="auto"/>
              <w:right w:val="single" w:sz="4" w:space="0" w:color="auto"/>
            </w:tcBorders>
            <w:shd w:val="clear" w:color="auto" w:fill="auto"/>
            <w:noWrap/>
            <w:vAlign w:val="center"/>
            <w:hideMark/>
          </w:tcPr>
          <w:p w14:paraId="51771055" w14:textId="2D29F55E"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-12 %</w:t>
            </w:r>
          </w:p>
        </w:tc>
        <w:tc>
          <w:tcPr>
            <w:tcW w:w="1047" w:type="dxa"/>
            <w:tcBorders>
              <w:top w:val="nil"/>
              <w:left w:val="nil"/>
              <w:bottom w:val="single" w:sz="4" w:space="0" w:color="auto"/>
              <w:right w:val="nil"/>
            </w:tcBorders>
            <w:shd w:val="clear" w:color="auto" w:fill="auto"/>
            <w:noWrap/>
            <w:vAlign w:val="center"/>
            <w:hideMark/>
          </w:tcPr>
          <w:p w14:paraId="5FBA8031" w14:textId="7B11825B"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6,00</w:t>
            </w:r>
          </w:p>
        </w:tc>
        <w:tc>
          <w:tcPr>
            <w:tcW w:w="1025" w:type="dxa"/>
            <w:tcBorders>
              <w:top w:val="nil"/>
              <w:left w:val="nil"/>
              <w:bottom w:val="single" w:sz="4" w:space="0" w:color="auto"/>
              <w:right w:val="nil"/>
            </w:tcBorders>
            <w:shd w:val="clear" w:color="auto" w:fill="auto"/>
            <w:noWrap/>
            <w:vAlign w:val="center"/>
            <w:hideMark/>
          </w:tcPr>
          <w:p w14:paraId="10D4C68C" w14:textId="3DB6E29A"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-9 %</w:t>
            </w:r>
          </w:p>
        </w:tc>
      </w:tr>
      <w:tr w:rsidR="00F15667" w:rsidRPr="00F15667" w14:paraId="476781DF" w14:textId="77777777" w:rsidTr="0041601E">
        <w:trPr>
          <w:trHeight w:val="315"/>
        </w:trPr>
        <w:tc>
          <w:tcPr>
            <w:tcW w:w="1985" w:type="dxa"/>
            <w:tcBorders>
              <w:top w:val="nil"/>
              <w:left w:val="nil"/>
              <w:bottom w:val="single" w:sz="4" w:space="0" w:color="auto"/>
              <w:right w:val="nil"/>
            </w:tcBorders>
            <w:shd w:val="clear" w:color="auto" w:fill="auto"/>
            <w:noWrap/>
            <w:vAlign w:val="center"/>
            <w:hideMark/>
          </w:tcPr>
          <w:p w14:paraId="00138224" w14:textId="77777777" w:rsidR="00E77F6B" w:rsidRPr="00F15667" w:rsidRDefault="00E77F6B" w:rsidP="0041601E">
            <w:pPr>
              <w:spacing w:line="240" w:lineRule="auto"/>
              <w:jc w:val="left"/>
              <w:rPr>
                <w:rFonts w:eastAsia="Times New Roman"/>
                <w:szCs w:val="24"/>
                <w:lang w:eastAsia="cs-CZ"/>
              </w:rPr>
            </w:pPr>
            <w:r w:rsidRPr="00F15667">
              <w:rPr>
                <w:rFonts w:eastAsia="Times New Roman"/>
                <w:szCs w:val="24"/>
                <w:lang w:eastAsia="cs-CZ"/>
              </w:rPr>
              <w:t>KS Brno</w:t>
            </w:r>
          </w:p>
        </w:tc>
        <w:tc>
          <w:tcPr>
            <w:tcW w:w="1060" w:type="dxa"/>
            <w:tcBorders>
              <w:top w:val="nil"/>
              <w:left w:val="nil"/>
              <w:bottom w:val="single" w:sz="4" w:space="0" w:color="auto"/>
              <w:right w:val="nil"/>
            </w:tcBorders>
            <w:shd w:val="clear" w:color="auto" w:fill="auto"/>
            <w:noWrap/>
            <w:vAlign w:val="center"/>
            <w:hideMark/>
          </w:tcPr>
          <w:p w14:paraId="07743C61" w14:textId="77777777"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18</w:t>
            </w:r>
          </w:p>
        </w:tc>
        <w:tc>
          <w:tcPr>
            <w:tcW w:w="1168" w:type="dxa"/>
            <w:tcBorders>
              <w:top w:val="nil"/>
              <w:left w:val="nil"/>
              <w:bottom w:val="single" w:sz="4" w:space="0" w:color="auto"/>
              <w:right w:val="nil"/>
            </w:tcBorders>
            <w:shd w:val="clear" w:color="auto" w:fill="auto"/>
            <w:noWrap/>
            <w:vAlign w:val="center"/>
            <w:hideMark/>
          </w:tcPr>
          <w:p w14:paraId="113D098B" w14:textId="746FBC7E"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141,83</w:t>
            </w:r>
          </w:p>
        </w:tc>
        <w:tc>
          <w:tcPr>
            <w:tcW w:w="897" w:type="dxa"/>
            <w:tcBorders>
              <w:top w:val="nil"/>
              <w:left w:val="nil"/>
              <w:bottom w:val="single" w:sz="4" w:space="0" w:color="auto"/>
              <w:right w:val="nil"/>
            </w:tcBorders>
            <w:shd w:val="clear" w:color="auto" w:fill="auto"/>
            <w:noWrap/>
            <w:vAlign w:val="center"/>
            <w:hideMark/>
          </w:tcPr>
          <w:p w14:paraId="6DA3D262" w14:textId="2C20046A"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168" w:type="dxa"/>
            <w:tcBorders>
              <w:top w:val="nil"/>
              <w:left w:val="single" w:sz="4" w:space="0" w:color="auto"/>
              <w:bottom w:val="single" w:sz="4" w:space="0" w:color="auto"/>
              <w:right w:val="nil"/>
            </w:tcBorders>
            <w:shd w:val="clear" w:color="auto" w:fill="auto"/>
            <w:noWrap/>
            <w:vAlign w:val="center"/>
            <w:hideMark/>
          </w:tcPr>
          <w:p w14:paraId="40CAECC9" w14:textId="5F96B76C"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141,28</w:t>
            </w:r>
          </w:p>
        </w:tc>
        <w:tc>
          <w:tcPr>
            <w:tcW w:w="897" w:type="dxa"/>
            <w:tcBorders>
              <w:top w:val="nil"/>
              <w:left w:val="nil"/>
              <w:bottom w:val="single" w:sz="4" w:space="0" w:color="auto"/>
              <w:right w:val="single" w:sz="4" w:space="0" w:color="auto"/>
            </w:tcBorders>
            <w:shd w:val="clear" w:color="auto" w:fill="auto"/>
            <w:noWrap/>
            <w:vAlign w:val="center"/>
            <w:hideMark/>
          </w:tcPr>
          <w:p w14:paraId="43EAB41C" w14:textId="63562182"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047" w:type="dxa"/>
            <w:tcBorders>
              <w:top w:val="nil"/>
              <w:left w:val="nil"/>
              <w:bottom w:val="single" w:sz="4" w:space="0" w:color="auto"/>
              <w:right w:val="nil"/>
            </w:tcBorders>
            <w:shd w:val="clear" w:color="auto" w:fill="auto"/>
            <w:noWrap/>
            <w:vAlign w:val="center"/>
            <w:hideMark/>
          </w:tcPr>
          <w:p w14:paraId="1E0C6EE4" w14:textId="245EE528"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12,78</w:t>
            </w:r>
          </w:p>
        </w:tc>
        <w:tc>
          <w:tcPr>
            <w:tcW w:w="1025" w:type="dxa"/>
            <w:tcBorders>
              <w:top w:val="nil"/>
              <w:left w:val="nil"/>
              <w:bottom w:val="single" w:sz="4" w:space="0" w:color="auto"/>
              <w:right w:val="nil"/>
            </w:tcBorders>
            <w:shd w:val="clear" w:color="auto" w:fill="auto"/>
            <w:noWrap/>
            <w:vAlign w:val="center"/>
            <w:hideMark/>
          </w:tcPr>
          <w:p w14:paraId="5E06D6B3" w14:textId="7A50719B"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2CF337C4" w14:textId="77777777" w:rsidTr="0041601E">
        <w:trPr>
          <w:trHeight w:val="330"/>
        </w:trPr>
        <w:tc>
          <w:tcPr>
            <w:tcW w:w="1985" w:type="dxa"/>
            <w:tcBorders>
              <w:top w:val="nil"/>
              <w:left w:val="nil"/>
              <w:bottom w:val="double" w:sz="6" w:space="0" w:color="auto"/>
              <w:right w:val="nil"/>
            </w:tcBorders>
            <w:shd w:val="clear" w:color="auto" w:fill="auto"/>
            <w:noWrap/>
            <w:vAlign w:val="center"/>
            <w:hideMark/>
          </w:tcPr>
          <w:p w14:paraId="68EE109D" w14:textId="77777777" w:rsidR="00E77F6B" w:rsidRPr="00F15667" w:rsidRDefault="00E77F6B" w:rsidP="0041601E">
            <w:pPr>
              <w:spacing w:line="240" w:lineRule="auto"/>
              <w:jc w:val="left"/>
              <w:rPr>
                <w:rFonts w:eastAsia="Times New Roman"/>
                <w:szCs w:val="24"/>
                <w:lang w:eastAsia="cs-CZ"/>
              </w:rPr>
            </w:pPr>
            <w:r w:rsidRPr="00F15667">
              <w:rPr>
                <w:rFonts w:eastAsia="Times New Roman"/>
                <w:szCs w:val="24"/>
                <w:lang w:eastAsia="cs-CZ"/>
              </w:rPr>
              <w:t>KS Ostrava</w:t>
            </w:r>
          </w:p>
        </w:tc>
        <w:tc>
          <w:tcPr>
            <w:tcW w:w="1060" w:type="dxa"/>
            <w:tcBorders>
              <w:top w:val="nil"/>
              <w:left w:val="nil"/>
              <w:bottom w:val="double" w:sz="6" w:space="0" w:color="auto"/>
              <w:right w:val="nil"/>
            </w:tcBorders>
            <w:shd w:val="clear" w:color="auto" w:fill="auto"/>
            <w:noWrap/>
            <w:vAlign w:val="center"/>
            <w:hideMark/>
          </w:tcPr>
          <w:p w14:paraId="1000579E" w14:textId="77777777"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26</w:t>
            </w:r>
          </w:p>
        </w:tc>
        <w:tc>
          <w:tcPr>
            <w:tcW w:w="1168" w:type="dxa"/>
            <w:tcBorders>
              <w:top w:val="nil"/>
              <w:left w:val="nil"/>
              <w:bottom w:val="double" w:sz="6" w:space="0" w:color="auto"/>
              <w:right w:val="nil"/>
            </w:tcBorders>
            <w:shd w:val="clear" w:color="auto" w:fill="auto"/>
            <w:noWrap/>
            <w:vAlign w:val="center"/>
            <w:hideMark/>
          </w:tcPr>
          <w:p w14:paraId="782DF02F" w14:textId="3185C200"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117,81</w:t>
            </w:r>
          </w:p>
        </w:tc>
        <w:tc>
          <w:tcPr>
            <w:tcW w:w="897" w:type="dxa"/>
            <w:tcBorders>
              <w:top w:val="nil"/>
              <w:left w:val="nil"/>
              <w:bottom w:val="double" w:sz="6" w:space="0" w:color="auto"/>
              <w:right w:val="nil"/>
            </w:tcBorders>
            <w:shd w:val="clear" w:color="auto" w:fill="auto"/>
            <w:noWrap/>
            <w:vAlign w:val="center"/>
            <w:hideMark/>
          </w:tcPr>
          <w:p w14:paraId="1564263A" w14:textId="7B235166"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168" w:type="dxa"/>
            <w:tcBorders>
              <w:top w:val="nil"/>
              <w:left w:val="single" w:sz="4" w:space="0" w:color="auto"/>
              <w:bottom w:val="double" w:sz="6" w:space="0" w:color="auto"/>
              <w:right w:val="nil"/>
            </w:tcBorders>
            <w:shd w:val="clear" w:color="auto" w:fill="auto"/>
            <w:noWrap/>
            <w:vAlign w:val="center"/>
            <w:hideMark/>
          </w:tcPr>
          <w:p w14:paraId="3E1B28F5" w14:textId="3695390E"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117,38</w:t>
            </w:r>
          </w:p>
        </w:tc>
        <w:tc>
          <w:tcPr>
            <w:tcW w:w="897" w:type="dxa"/>
            <w:tcBorders>
              <w:top w:val="nil"/>
              <w:left w:val="nil"/>
              <w:bottom w:val="double" w:sz="6" w:space="0" w:color="auto"/>
              <w:right w:val="single" w:sz="4" w:space="0" w:color="auto"/>
            </w:tcBorders>
            <w:shd w:val="clear" w:color="auto" w:fill="auto"/>
            <w:noWrap/>
            <w:vAlign w:val="center"/>
            <w:hideMark/>
          </w:tcPr>
          <w:p w14:paraId="32FF0716" w14:textId="14F6AD45"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047" w:type="dxa"/>
            <w:tcBorders>
              <w:top w:val="nil"/>
              <w:left w:val="nil"/>
              <w:bottom w:val="double" w:sz="6" w:space="0" w:color="auto"/>
              <w:right w:val="nil"/>
            </w:tcBorders>
            <w:shd w:val="clear" w:color="auto" w:fill="auto"/>
            <w:noWrap/>
            <w:vAlign w:val="center"/>
            <w:hideMark/>
          </w:tcPr>
          <w:p w14:paraId="7CBFA6CA" w14:textId="34058991" w:rsidR="00E77F6B" w:rsidRPr="00F15667" w:rsidRDefault="00E77F6B" w:rsidP="0041601E">
            <w:pPr>
              <w:spacing w:line="240" w:lineRule="auto"/>
              <w:jc w:val="center"/>
              <w:rPr>
                <w:rFonts w:eastAsia="Times New Roman"/>
                <w:szCs w:val="24"/>
                <w:lang w:eastAsia="cs-CZ"/>
              </w:rPr>
            </w:pPr>
            <w:r w:rsidRPr="00F15667">
              <w:rPr>
                <w:rFonts w:eastAsia="Times New Roman"/>
                <w:szCs w:val="24"/>
                <w:lang w:eastAsia="cs-CZ"/>
              </w:rPr>
              <w:t>13,42</w:t>
            </w:r>
          </w:p>
        </w:tc>
        <w:tc>
          <w:tcPr>
            <w:tcW w:w="1025" w:type="dxa"/>
            <w:tcBorders>
              <w:top w:val="nil"/>
              <w:left w:val="nil"/>
              <w:bottom w:val="double" w:sz="6" w:space="0" w:color="auto"/>
              <w:right w:val="nil"/>
            </w:tcBorders>
            <w:shd w:val="clear" w:color="auto" w:fill="auto"/>
            <w:noWrap/>
            <w:vAlign w:val="center"/>
            <w:hideMark/>
          </w:tcPr>
          <w:p w14:paraId="5F6E7E61" w14:textId="5661E33E" w:rsidR="00E77F6B" w:rsidRPr="00F15667" w:rsidRDefault="00E77F6B" w:rsidP="0041601E">
            <w:pPr>
              <w:spacing w:line="240" w:lineRule="auto"/>
              <w:jc w:val="center"/>
              <w:rPr>
                <w:rFonts w:eastAsia="Times New Roman"/>
                <w:sz w:val="20"/>
                <w:szCs w:val="20"/>
                <w:lang w:eastAsia="cs-CZ"/>
              </w:rPr>
            </w:pPr>
            <w:r w:rsidRPr="00F15667">
              <w:rPr>
                <w:rFonts w:eastAsia="Times New Roman"/>
                <w:sz w:val="20"/>
                <w:szCs w:val="20"/>
                <w:lang w:eastAsia="cs-CZ"/>
              </w:rPr>
              <w:t>+17 %</w:t>
            </w:r>
          </w:p>
        </w:tc>
      </w:tr>
      <w:tr w:rsidR="00F15667" w:rsidRPr="00F15667" w14:paraId="518A936D" w14:textId="77777777" w:rsidTr="0041601E">
        <w:trPr>
          <w:trHeight w:val="345"/>
        </w:trPr>
        <w:tc>
          <w:tcPr>
            <w:tcW w:w="1985" w:type="dxa"/>
            <w:tcBorders>
              <w:top w:val="nil"/>
              <w:left w:val="nil"/>
              <w:bottom w:val="double" w:sz="6" w:space="0" w:color="auto"/>
              <w:right w:val="nil"/>
            </w:tcBorders>
            <w:shd w:val="clear" w:color="auto" w:fill="auto"/>
            <w:noWrap/>
            <w:vAlign w:val="center"/>
            <w:hideMark/>
          </w:tcPr>
          <w:p w14:paraId="09AF1C98" w14:textId="77777777" w:rsidR="00E77F6B" w:rsidRPr="00F15667" w:rsidRDefault="00E77F6B" w:rsidP="0041601E">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60" w:type="dxa"/>
            <w:tcBorders>
              <w:top w:val="nil"/>
              <w:left w:val="nil"/>
              <w:bottom w:val="double" w:sz="6" w:space="0" w:color="auto"/>
              <w:right w:val="nil"/>
            </w:tcBorders>
            <w:shd w:val="clear" w:color="auto" w:fill="auto"/>
            <w:noWrap/>
            <w:vAlign w:val="center"/>
            <w:hideMark/>
          </w:tcPr>
          <w:p w14:paraId="1DE8A426" w14:textId="3A155D71" w:rsidR="00E77F6B" w:rsidRPr="00F15667" w:rsidRDefault="00E77F6B" w:rsidP="0041601E">
            <w:pPr>
              <w:spacing w:line="240" w:lineRule="auto"/>
              <w:jc w:val="center"/>
              <w:rPr>
                <w:rFonts w:eastAsia="Times New Roman"/>
                <w:b/>
                <w:bCs/>
                <w:szCs w:val="24"/>
                <w:lang w:eastAsia="cs-CZ"/>
              </w:rPr>
            </w:pPr>
            <w:r w:rsidRPr="00F15667">
              <w:rPr>
                <w:rFonts w:eastAsia="Times New Roman"/>
                <w:b/>
                <w:bCs/>
                <w:szCs w:val="24"/>
                <w:lang w:eastAsia="cs-CZ"/>
              </w:rPr>
              <w:t>147,2</w:t>
            </w:r>
          </w:p>
        </w:tc>
        <w:tc>
          <w:tcPr>
            <w:tcW w:w="1168" w:type="dxa"/>
            <w:tcBorders>
              <w:top w:val="nil"/>
              <w:left w:val="nil"/>
              <w:bottom w:val="double" w:sz="6" w:space="0" w:color="auto"/>
              <w:right w:val="nil"/>
            </w:tcBorders>
            <w:shd w:val="clear" w:color="auto" w:fill="auto"/>
            <w:noWrap/>
            <w:vAlign w:val="center"/>
            <w:hideMark/>
          </w:tcPr>
          <w:p w14:paraId="00EE10BD" w14:textId="2367B1C7" w:rsidR="00E77F6B" w:rsidRPr="00F15667" w:rsidRDefault="00E77F6B" w:rsidP="0041601E">
            <w:pPr>
              <w:spacing w:line="240" w:lineRule="auto"/>
              <w:jc w:val="center"/>
              <w:rPr>
                <w:rFonts w:eastAsia="Times New Roman"/>
                <w:b/>
                <w:bCs/>
                <w:szCs w:val="24"/>
                <w:lang w:eastAsia="cs-CZ"/>
              </w:rPr>
            </w:pPr>
            <w:r w:rsidRPr="00F15667">
              <w:rPr>
                <w:rFonts w:eastAsia="Times New Roman"/>
                <w:b/>
                <w:bCs/>
                <w:szCs w:val="24"/>
                <w:lang w:eastAsia="cs-CZ"/>
              </w:rPr>
              <w:t>125,45</w:t>
            </w:r>
          </w:p>
        </w:tc>
        <w:tc>
          <w:tcPr>
            <w:tcW w:w="897" w:type="dxa"/>
            <w:tcBorders>
              <w:top w:val="nil"/>
              <w:left w:val="nil"/>
              <w:bottom w:val="double" w:sz="6" w:space="0" w:color="auto"/>
              <w:right w:val="nil"/>
            </w:tcBorders>
            <w:shd w:val="clear" w:color="auto" w:fill="auto"/>
            <w:noWrap/>
            <w:vAlign w:val="center"/>
            <w:hideMark/>
          </w:tcPr>
          <w:p w14:paraId="4804C859" w14:textId="04579DB0" w:rsidR="00E77F6B" w:rsidRPr="00F15667" w:rsidRDefault="00E77F6B"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c>
          <w:tcPr>
            <w:tcW w:w="1168" w:type="dxa"/>
            <w:tcBorders>
              <w:top w:val="nil"/>
              <w:left w:val="single" w:sz="4" w:space="0" w:color="auto"/>
              <w:bottom w:val="double" w:sz="6" w:space="0" w:color="auto"/>
              <w:right w:val="nil"/>
            </w:tcBorders>
            <w:shd w:val="clear" w:color="auto" w:fill="auto"/>
            <w:noWrap/>
            <w:vAlign w:val="center"/>
            <w:hideMark/>
          </w:tcPr>
          <w:p w14:paraId="7A86E62E" w14:textId="37682814" w:rsidR="00E77F6B" w:rsidRPr="00F15667" w:rsidRDefault="00E77F6B" w:rsidP="0041601E">
            <w:pPr>
              <w:spacing w:line="240" w:lineRule="auto"/>
              <w:jc w:val="center"/>
              <w:rPr>
                <w:rFonts w:eastAsia="Times New Roman"/>
                <w:b/>
                <w:bCs/>
                <w:szCs w:val="24"/>
                <w:lang w:eastAsia="cs-CZ"/>
              </w:rPr>
            </w:pPr>
            <w:r w:rsidRPr="00F15667">
              <w:rPr>
                <w:rFonts w:eastAsia="Times New Roman"/>
                <w:b/>
                <w:bCs/>
                <w:szCs w:val="24"/>
                <w:lang w:eastAsia="cs-CZ"/>
              </w:rPr>
              <w:t>126,44</w:t>
            </w:r>
          </w:p>
        </w:tc>
        <w:tc>
          <w:tcPr>
            <w:tcW w:w="897" w:type="dxa"/>
            <w:tcBorders>
              <w:top w:val="nil"/>
              <w:left w:val="nil"/>
              <w:bottom w:val="double" w:sz="6" w:space="0" w:color="auto"/>
              <w:right w:val="single" w:sz="4" w:space="0" w:color="auto"/>
            </w:tcBorders>
            <w:shd w:val="clear" w:color="auto" w:fill="auto"/>
            <w:noWrap/>
            <w:vAlign w:val="center"/>
            <w:hideMark/>
          </w:tcPr>
          <w:p w14:paraId="243974F0" w14:textId="30492C73" w:rsidR="00E77F6B" w:rsidRPr="00F15667" w:rsidRDefault="00E77F6B"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c>
          <w:tcPr>
            <w:tcW w:w="1047" w:type="dxa"/>
            <w:tcBorders>
              <w:top w:val="nil"/>
              <w:left w:val="nil"/>
              <w:bottom w:val="double" w:sz="6" w:space="0" w:color="auto"/>
              <w:right w:val="nil"/>
            </w:tcBorders>
            <w:shd w:val="clear" w:color="auto" w:fill="auto"/>
            <w:noWrap/>
            <w:vAlign w:val="center"/>
            <w:hideMark/>
          </w:tcPr>
          <w:p w14:paraId="4B47E956" w14:textId="0583BB13" w:rsidR="00E77F6B" w:rsidRPr="00F15667" w:rsidRDefault="00E77F6B" w:rsidP="0041601E">
            <w:pPr>
              <w:spacing w:line="240" w:lineRule="auto"/>
              <w:jc w:val="center"/>
              <w:rPr>
                <w:rFonts w:eastAsia="Times New Roman"/>
                <w:b/>
                <w:bCs/>
                <w:szCs w:val="24"/>
                <w:lang w:eastAsia="cs-CZ"/>
              </w:rPr>
            </w:pPr>
            <w:r w:rsidRPr="00F15667">
              <w:rPr>
                <w:rFonts w:eastAsia="Times New Roman"/>
                <w:b/>
                <w:bCs/>
                <w:szCs w:val="24"/>
                <w:lang w:eastAsia="cs-CZ"/>
              </w:rPr>
              <w:t>9,21</w:t>
            </w:r>
          </w:p>
        </w:tc>
        <w:tc>
          <w:tcPr>
            <w:tcW w:w="1025" w:type="dxa"/>
            <w:tcBorders>
              <w:top w:val="nil"/>
              <w:left w:val="nil"/>
              <w:bottom w:val="double" w:sz="6" w:space="0" w:color="auto"/>
              <w:right w:val="nil"/>
            </w:tcBorders>
            <w:shd w:val="clear" w:color="auto" w:fill="auto"/>
            <w:noWrap/>
            <w:vAlign w:val="center"/>
            <w:hideMark/>
          </w:tcPr>
          <w:p w14:paraId="20CF7364" w14:textId="023B0482" w:rsidR="00E77F6B" w:rsidRPr="00F15667" w:rsidRDefault="00E77F6B"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-9 %</w:t>
            </w:r>
          </w:p>
        </w:tc>
      </w:tr>
      <w:tr w:rsidR="00F15667" w:rsidRPr="00F15667" w14:paraId="4A99C4DE" w14:textId="77777777" w:rsidTr="0041601E">
        <w:trPr>
          <w:trHeight w:val="330"/>
        </w:trPr>
        <w:tc>
          <w:tcPr>
            <w:tcW w:w="1985" w:type="dxa"/>
            <w:tcBorders>
              <w:top w:val="nil"/>
              <w:left w:val="nil"/>
              <w:bottom w:val="nil"/>
              <w:right w:val="nil"/>
            </w:tcBorders>
            <w:shd w:val="clear" w:color="auto" w:fill="auto"/>
            <w:noWrap/>
            <w:vAlign w:val="center"/>
            <w:hideMark/>
          </w:tcPr>
          <w:p w14:paraId="4C469D1B" w14:textId="77777777" w:rsidR="00E77F6B" w:rsidRPr="00F15667" w:rsidRDefault="00E77F6B" w:rsidP="0041601E">
            <w:pPr>
              <w:spacing w:line="240" w:lineRule="auto"/>
              <w:jc w:val="center"/>
              <w:rPr>
                <w:rFonts w:eastAsia="Times New Roman"/>
                <w:b/>
                <w:bCs/>
                <w:sz w:val="20"/>
                <w:szCs w:val="20"/>
                <w:lang w:eastAsia="cs-CZ"/>
              </w:rPr>
            </w:pPr>
          </w:p>
        </w:tc>
        <w:tc>
          <w:tcPr>
            <w:tcW w:w="1060" w:type="dxa"/>
            <w:tcBorders>
              <w:top w:val="nil"/>
              <w:left w:val="nil"/>
              <w:bottom w:val="nil"/>
              <w:right w:val="nil"/>
            </w:tcBorders>
            <w:shd w:val="clear" w:color="auto" w:fill="auto"/>
            <w:noWrap/>
            <w:vAlign w:val="center"/>
            <w:hideMark/>
          </w:tcPr>
          <w:p w14:paraId="4C05ECD9" w14:textId="77777777" w:rsidR="00E77F6B" w:rsidRPr="00F15667" w:rsidRDefault="00E77F6B" w:rsidP="0041601E">
            <w:pPr>
              <w:spacing w:line="240" w:lineRule="auto"/>
              <w:jc w:val="center"/>
              <w:rPr>
                <w:rFonts w:ascii="Times New Roman" w:eastAsia="Times New Roman" w:hAnsi="Times New Roman"/>
                <w:sz w:val="20"/>
                <w:szCs w:val="20"/>
                <w:lang w:eastAsia="cs-CZ"/>
              </w:rPr>
            </w:pPr>
          </w:p>
        </w:tc>
        <w:tc>
          <w:tcPr>
            <w:tcW w:w="1168" w:type="dxa"/>
            <w:tcBorders>
              <w:top w:val="nil"/>
              <w:left w:val="nil"/>
              <w:bottom w:val="nil"/>
              <w:right w:val="nil"/>
            </w:tcBorders>
            <w:shd w:val="clear" w:color="auto" w:fill="auto"/>
            <w:noWrap/>
            <w:vAlign w:val="center"/>
            <w:hideMark/>
          </w:tcPr>
          <w:p w14:paraId="1A5C2B15" w14:textId="77777777" w:rsidR="00E77F6B" w:rsidRPr="00F15667" w:rsidRDefault="00E77F6B" w:rsidP="0041601E">
            <w:pPr>
              <w:spacing w:line="240" w:lineRule="auto"/>
              <w:jc w:val="center"/>
              <w:rPr>
                <w:rFonts w:ascii="Times New Roman" w:eastAsia="Times New Roman" w:hAnsi="Times New Roman"/>
                <w:sz w:val="20"/>
                <w:szCs w:val="20"/>
                <w:lang w:eastAsia="cs-CZ"/>
              </w:rPr>
            </w:pPr>
          </w:p>
        </w:tc>
        <w:tc>
          <w:tcPr>
            <w:tcW w:w="897" w:type="dxa"/>
            <w:tcBorders>
              <w:top w:val="nil"/>
              <w:left w:val="nil"/>
              <w:bottom w:val="nil"/>
              <w:right w:val="nil"/>
            </w:tcBorders>
            <w:shd w:val="clear" w:color="auto" w:fill="auto"/>
            <w:noWrap/>
            <w:vAlign w:val="center"/>
            <w:hideMark/>
          </w:tcPr>
          <w:p w14:paraId="5CED8DD5" w14:textId="77777777" w:rsidR="00E77F6B" w:rsidRPr="00F15667" w:rsidRDefault="00E77F6B" w:rsidP="0041601E">
            <w:pPr>
              <w:spacing w:line="240" w:lineRule="auto"/>
              <w:jc w:val="center"/>
              <w:rPr>
                <w:rFonts w:ascii="Times New Roman" w:eastAsia="Times New Roman" w:hAnsi="Times New Roman"/>
                <w:sz w:val="20"/>
                <w:szCs w:val="20"/>
                <w:lang w:eastAsia="cs-CZ"/>
              </w:rPr>
            </w:pPr>
          </w:p>
        </w:tc>
        <w:tc>
          <w:tcPr>
            <w:tcW w:w="1168" w:type="dxa"/>
            <w:tcBorders>
              <w:top w:val="nil"/>
              <w:left w:val="nil"/>
              <w:bottom w:val="nil"/>
              <w:right w:val="nil"/>
            </w:tcBorders>
            <w:shd w:val="clear" w:color="auto" w:fill="auto"/>
            <w:noWrap/>
            <w:vAlign w:val="center"/>
            <w:hideMark/>
          </w:tcPr>
          <w:p w14:paraId="20670FFA" w14:textId="77777777" w:rsidR="00E77F6B" w:rsidRPr="00F15667" w:rsidRDefault="00E77F6B" w:rsidP="0041601E">
            <w:pPr>
              <w:spacing w:line="240" w:lineRule="auto"/>
              <w:jc w:val="center"/>
              <w:rPr>
                <w:rFonts w:ascii="Times New Roman" w:eastAsia="Times New Roman" w:hAnsi="Times New Roman"/>
                <w:sz w:val="20"/>
                <w:szCs w:val="20"/>
                <w:lang w:eastAsia="cs-CZ"/>
              </w:rPr>
            </w:pPr>
          </w:p>
        </w:tc>
        <w:tc>
          <w:tcPr>
            <w:tcW w:w="897" w:type="dxa"/>
            <w:tcBorders>
              <w:top w:val="nil"/>
              <w:left w:val="nil"/>
              <w:bottom w:val="nil"/>
              <w:right w:val="nil"/>
            </w:tcBorders>
            <w:shd w:val="clear" w:color="auto" w:fill="auto"/>
            <w:noWrap/>
            <w:vAlign w:val="center"/>
            <w:hideMark/>
          </w:tcPr>
          <w:p w14:paraId="2CDCBD5E" w14:textId="77777777" w:rsidR="00E77F6B" w:rsidRPr="00F15667" w:rsidRDefault="00E77F6B" w:rsidP="0041601E">
            <w:pPr>
              <w:spacing w:line="240" w:lineRule="auto"/>
              <w:jc w:val="center"/>
              <w:rPr>
                <w:rFonts w:ascii="Times New Roman" w:eastAsia="Times New Roman" w:hAnsi="Times New Roman"/>
                <w:sz w:val="20"/>
                <w:szCs w:val="20"/>
                <w:lang w:eastAsia="cs-CZ"/>
              </w:rPr>
            </w:pPr>
          </w:p>
        </w:tc>
        <w:tc>
          <w:tcPr>
            <w:tcW w:w="1047" w:type="dxa"/>
            <w:tcBorders>
              <w:top w:val="nil"/>
              <w:left w:val="nil"/>
              <w:bottom w:val="nil"/>
              <w:right w:val="nil"/>
            </w:tcBorders>
            <w:shd w:val="clear" w:color="auto" w:fill="auto"/>
            <w:noWrap/>
            <w:vAlign w:val="center"/>
            <w:hideMark/>
          </w:tcPr>
          <w:p w14:paraId="2B5986EE" w14:textId="77777777" w:rsidR="00E77F6B" w:rsidRPr="00F15667" w:rsidRDefault="00E77F6B" w:rsidP="0041601E">
            <w:pPr>
              <w:spacing w:line="240" w:lineRule="auto"/>
              <w:jc w:val="center"/>
              <w:rPr>
                <w:rFonts w:ascii="Times New Roman" w:eastAsia="Times New Roman" w:hAnsi="Times New Roman"/>
                <w:sz w:val="20"/>
                <w:szCs w:val="20"/>
                <w:lang w:eastAsia="cs-CZ"/>
              </w:rPr>
            </w:pPr>
          </w:p>
        </w:tc>
        <w:tc>
          <w:tcPr>
            <w:tcW w:w="1025" w:type="dxa"/>
            <w:tcBorders>
              <w:top w:val="nil"/>
              <w:left w:val="nil"/>
              <w:bottom w:val="nil"/>
              <w:right w:val="nil"/>
            </w:tcBorders>
            <w:shd w:val="clear" w:color="auto" w:fill="auto"/>
            <w:noWrap/>
            <w:vAlign w:val="center"/>
            <w:hideMark/>
          </w:tcPr>
          <w:p w14:paraId="249A32C0" w14:textId="77777777" w:rsidR="00E77F6B" w:rsidRPr="00F15667" w:rsidRDefault="00E77F6B" w:rsidP="0041601E">
            <w:pPr>
              <w:spacing w:line="240" w:lineRule="auto"/>
              <w:jc w:val="center"/>
              <w:rPr>
                <w:rFonts w:ascii="Times New Roman" w:eastAsia="Times New Roman" w:hAnsi="Times New Roman"/>
                <w:sz w:val="20"/>
                <w:szCs w:val="20"/>
                <w:lang w:eastAsia="cs-CZ"/>
              </w:rPr>
            </w:pPr>
          </w:p>
        </w:tc>
      </w:tr>
    </w:tbl>
    <w:p w14:paraId="0D95A365" w14:textId="71D02A44" w:rsidR="00CD5F5C" w:rsidRPr="00F15667" w:rsidRDefault="00CD5F5C" w:rsidP="00CD5F5C">
      <w:pPr>
        <w:pStyle w:val="OdstavecASR"/>
      </w:pPr>
      <w:bookmarkStart w:id="845" w:name="_Hlk137210836"/>
      <w:bookmarkStart w:id="846" w:name="_Toc75952366"/>
      <w:bookmarkStart w:id="847" w:name="_Toc106106821"/>
      <w:bookmarkStart w:id="848" w:name="_Toc109802144"/>
      <w:r w:rsidRPr="00F15667">
        <w:t>Oproti loňskému roku se snížil skutečný počet soudců (úvazků) o 2 (ze 149 na 147).</w:t>
      </w:r>
    </w:p>
    <w:p w14:paraId="0B2883DF" w14:textId="77777777" w:rsidR="0041601E" w:rsidRDefault="00CD5F5C" w:rsidP="00CD5F5C">
      <w:pPr>
        <w:pStyle w:val="OdstavecASR"/>
      </w:pPr>
      <w:r w:rsidRPr="00F15667">
        <w:t>Prvostupňovou agendu vyřizuje 88 soudců a odvolací agendu 147 soudců, vidíme tedy, že odvolací úsek je zhruba o dvě třetiny větší než úsek prvostupňový. Pokud oba počty soudců sečteme, dostaneme v roce 2022 číslo 225, které je prakticky shodné s evidenčním počtem soudců. Vidíme tedy, že na rozdíl od okresních soudů je evidenční počet podobný jako „reálný“ počet soudců. Roli zde mimo jiné určitě budou hrát mateřské/rodičovské dovolené, kterých je u krajských soudů výrazně méně. Vliv mohou mít i stáže soudců z okresních soudů, které se do evidenčního počtu krajského soudu nepromítají.</w:t>
      </w:r>
      <w:bookmarkEnd w:id="845"/>
    </w:p>
    <w:p w14:paraId="53C74A62" w14:textId="7C4FB8CF" w:rsidR="00A47A03" w:rsidRPr="00F15667" w:rsidRDefault="008430BD" w:rsidP="008430BD">
      <w:pPr>
        <w:pStyle w:val="Nadpis3"/>
        <w:numPr>
          <w:ilvl w:val="2"/>
          <w:numId w:val="1"/>
        </w:numPr>
        <w:rPr>
          <w:color w:val="auto"/>
        </w:rPr>
      </w:pPr>
      <w:bookmarkStart w:id="849" w:name="_Toc515871265"/>
      <w:bookmarkStart w:id="850" w:name="_Toc106092773"/>
      <w:bookmarkStart w:id="851" w:name="_Toc144104386"/>
      <w:bookmarkEnd w:id="846"/>
      <w:bookmarkEnd w:id="847"/>
      <w:bookmarkEnd w:id="848"/>
      <w:r w:rsidRPr="00F15667">
        <w:rPr>
          <w:color w:val="auto"/>
        </w:rPr>
        <w:lastRenderedPageBreak/>
        <w:t>Disposition time</w:t>
      </w:r>
      <w:bookmarkEnd w:id="849"/>
      <w:r w:rsidRPr="00F15667">
        <w:rPr>
          <w:color w:val="auto"/>
        </w:rPr>
        <w:t xml:space="preserve"> (dispoziční čas)</w:t>
      </w:r>
      <w:bookmarkEnd w:id="850"/>
      <w:bookmarkEnd w:id="851"/>
    </w:p>
    <w:p w14:paraId="42160E50" w14:textId="27E3B15A" w:rsidR="004F0D9D" w:rsidRPr="00F15667" w:rsidRDefault="004F0D9D" w:rsidP="004F0D9D">
      <w:r w:rsidRPr="00F15667">
        <w:t>Z grafu je patrné, že DT je opravdu nízký a z dlouhodobého hlediska poměrně neměnný, což vyplývá z poměru vyřízených a nevyřízených věcí a z toho, že jsou tyto ukazatele také poměrně neměnné. Vzhledem k poklesu nápadu</w:t>
      </w:r>
      <w:r w:rsidR="00C20FD1" w:rsidRPr="00F15667">
        <w:t xml:space="preserve">, </w:t>
      </w:r>
      <w:r w:rsidRPr="00F15667">
        <w:t>i vyřízených věcí</w:t>
      </w:r>
      <w:r w:rsidR="00C20FD1" w:rsidRPr="00F15667">
        <w:t>,</w:t>
      </w:r>
      <w:r w:rsidRPr="00F15667">
        <w:t xml:space="preserve"> i mírnému růstu počtu nevyřízených věcí, DT v roce 2020 vzrostl. Nárůst činil 7 dnů, což ale představuje 29 %. Následně v roce 2021 DT opět o něco klesl. V roce 2022 došlo k naprosto minimální změně – DT poklesl o 1.</w:t>
      </w:r>
    </w:p>
    <w:p w14:paraId="5672B767" w14:textId="40F2EA5F" w:rsidR="004F0D9D" w:rsidRPr="00F15667" w:rsidRDefault="004F0D9D" w:rsidP="004F0D9D">
      <w:r w:rsidRPr="00F15667">
        <w:t>Je možné, že DT opět klesne na úroveň před rokem 2020. Předpokládalo by to ale, že dojde k trvalejšímu poklesu v počtu nevyřízených věcí či opětovnému nárůstu v počtu věcí vyřízených. Z reálného hlediska však nejsou takto nevýznamné statistické změny důležité.</w:t>
      </w:r>
    </w:p>
    <w:p w14:paraId="4D3E940D" w14:textId="50D744F8" w:rsidR="004F0D9D" w:rsidRPr="00F15667" w:rsidRDefault="004F0D9D" w:rsidP="004F0D9D">
      <w:pPr>
        <w:pStyle w:val="Podnadpis"/>
        <w:numPr>
          <w:ilvl w:val="0"/>
          <w:numId w:val="0"/>
        </w:numPr>
        <w:rPr>
          <w:color w:val="auto"/>
        </w:rPr>
      </w:pPr>
      <w:bookmarkStart w:id="852" w:name="_Toc515871396"/>
      <w:bookmarkStart w:id="853" w:name="_Toc11135127"/>
      <w:bookmarkStart w:id="854" w:name="_Toc43841446"/>
      <w:bookmarkStart w:id="855" w:name="_Toc75952248"/>
      <w:bookmarkStart w:id="856" w:name="_Toc106106707"/>
      <w:bookmarkStart w:id="857" w:name="_Toc109802031"/>
      <w:bookmarkStart w:id="858" w:name="_Toc144104181"/>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69</w:t>
      </w:r>
      <w:r w:rsidR="009A10E2" w:rsidRPr="00F15667">
        <w:rPr>
          <w:color w:val="auto"/>
        </w:rPr>
        <w:fldChar w:fldCharType="end"/>
      </w:r>
      <w:r w:rsidRPr="00F15667">
        <w:rPr>
          <w:color w:val="auto"/>
        </w:rPr>
        <w:t>: KS – DT odvolacího trestního řízení v letech 2008–</w:t>
      </w:r>
      <w:bookmarkEnd w:id="852"/>
      <w:r w:rsidRPr="00F15667">
        <w:rPr>
          <w:color w:val="auto"/>
        </w:rPr>
        <w:t>20</w:t>
      </w:r>
      <w:bookmarkEnd w:id="853"/>
      <w:bookmarkEnd w:id="854"/>
      <w:r w:rsidRPr="00F15667">
        <w:rPr>
          <w:color w:val="auto"/>
        </w:rPr>
        <w:t>2</w:t>
      </w:r>
      <w:bookmarkEnd w:id="855"/>
      <w:r w:rsidRPr="00F15667">
        <w:rPr>
          <w:color w:val="auto"/>
        </w:rPr>
        <w:t>1</w:t>
      </w:r>
      <w:bookmarkEnd w:id="856"/>
      <w:bookmarkEnd w:id="857"/>
      <w:bookmarkEnd w:id="858"/>
    </w:p>
    <w:p w14:paraId="1971D310" w14:textId="10C80039" w:rsidR="004F0D9D" w:rsidRPr="00F15667" w:rsidRDefault="004F0D9D" w:rsidP="0041601E">
      <w:pPr>
        <w:pStyle w:val="OdstavecASR"/>
      </w:pPr>
      <w:r w:rsidRPr="00F15667">
        <w:rPr>
          <w:noProof/>
          <w:lang w:eastAsia="cs-CZ"/>
        </w:rPr>
        <w:drawing>
          <wp:inline distT="0" distB="0" distL="0" distR="0" wp14:anchorId="5E3EF199" wp14:editId="579BDFB9">
            <wp:extent cx="5029200" cy="3657600"/>
            <wp:effectExtent l="0" t="0" r="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76ECA86" w14:textId="5E1BC5F2" w:rsidR="004F0D9D" w:rsidRPr="00F15667" w:rsidRDefault="004F0D9D" w:rsidP="004F0D9D">
      <w:pPr>
        <w:pStyle w:val="Podnadpis"/>
        <w:rPr>
          <w:color w:val="auto"/>
        </w:rPr>
      </w:pPr>
      <w:bookmarkStart w:id="859" w:name="_Toc11133256"/>
      <w:bookmarkStart w:id="860" w:name="_Toc43931235"/>
      <w:bookmarkStart w:id="861" w:name="_Toc75952368"/>
      <w:bookmarkStart w:id="862" w:name="_Toc106106823"/>
      <w:bookmarkStart w:id="863" w:name="_Toc109802146"/>
      <w:bookmarkStart w:id="864" w:name="_Toc144104305"/>
      <w:r w:rsidRPr="00F15667">
        <w:rPr>
          <w:color w:val="auto"/>
        </w:rPr>
        <w:t xml:space="preserve">Tabulka </w:t>
      </w:r>
      <w:r w:rsidRPr="00F15667">
        <w:rPr>
          <w:noProof/>
          <w:color w:val="auto"/>
        </w:rPr>
        <w:fldChar w:fldCharType="begin"/>
      </w:r>
      <w:r w:rsidRPr="00F15667">
        <w:rPr>
          <w:noProof/>
          <w:color w:val="auto"/>
        </w:rPr>
        <w:instrText xml:space="preserve"> SEQ Tabulka \* ARABIC </w:instrText>
      </w:r>
      <w:r w:rsidRPr="00F15667">
        <w:rPr>
          <w:noProof/>
          <w:color w:val="auto"/>
        </w:rPr>
        <w:fldChar w:fldCharType="separate"/>
      </w:r>
      <w:r w:rsidR="001E1A67">
        <w:rPr>
          <w:noProof/>
          <w:color w:val="auto"/>
        </w:rPr>
        <w:t>66</w:t>
      </w:r>
      <w:r w:rsidRPr="00F15667">
        <w:rPr>
          <w:noProof/>
          <w:color w:val="auto"/>
        </w:rPr>
        <w:fldChar w:fldCharType="end"/>
      </w:r>
      <w:r w:rsidRPr="00F15667">
        <w:rPr>
          <w:color w:val="auto"/>
        </w:rPr>
        <w:t>: KS – DT odvolacího trestního řízení dle soudů</w:t>
      </w:r>
      <w:bookmarkEnd w:id="859"/>
      <w:bookmarkEnd w:id="860"/>
      <w:bookmarkEnd w:id="861"/>
      <w:bookmarkEnd w:id="862"/>
      <w:bookmarkEnd w:id="863"/>
      <w:bookmarkEnd w:id="864"/>
    </w:p>
    <w:tbl>
      <w:tblPr>
        <w:tblW w:w="5812" w:type="dxa"/>
        <w:tblCellMar>
          <w:left w:w="70" w:type="dxa"/>
          <w:right w:w="70" w:type="dxa"/>
        </w:tblCellMar>
        <w:tblLook w:val="04A0" w:firstRow="1" w:lastRow="0" w:firstColumn="1" w:lastColumn="0" w:noHBand="0" w:noVBand="1"/>
      </w:tblPr>
      <w:tblGrid>
        <w:gridCol w:w="2780"/>
        <w:gridCol w:w="1615"/>
        <w:gridCol w:w="1417"/>
      </w:tblGrid>
      <w:tr w:rsidR="00F15667" w:rsidRPr="00F15667" w14:paraId="5FB71DA2" w14:textId="77777777" w:rsidTr="0041601E">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124B2095" w14:textId="77777777" w:rsidR="004F0D9D" w:rsidRPr="00F15667" w:rsidRDefault="004F0D9D" w:rsidP="0041601E">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3032" w:type="dxa"/>
            <w:gridSpan w:val="2"/>
            <w:tcBorders>
              <w:top w:val="double" w:sz="6" w:space="0" w:color="auto"/>
              <w:left w:val="nil"/>
              <w:bottom w:val="double" w:sz="6" w:space="0" w:color="auto"/>
              <w:right w:val="nil"/>
            </w:tcBorders>
            <w:shd w:val="clear" w:color="auto" w:fill="auto"/>
            <w:noWrap/>
            <w:vAlign w:val="center"/>
            <w:hideMark/>
          </w:tcPr>
          <w:p w14:paraId="672DB64A" w14:textId="77777777" w:rsidR="004F0D9D" w:rsidRPr="00F15667" w:rsidRDefault="004F0D9D" w:rsidP="0041601E">
            <w:pPr>
              <w:spacing w:line="240" w:lineRule="auto"/>
              <w:jc w:val="center"/>
              <w:rPr>
                <w:rFonts w:eastAsia="Times New Roman"/>
                <w:b/>
                <w:bCs/>
                <w:szCs w:val="24"/>
                <w:lang w:eastAsia="cs-CZ"/>
              </w:rPr>
            </w:pPr>
            <w:r w:rsidRPr="00F15667">
              <w:rPr>
                <w:rFonts w:eastAsia="Times New Roman"/>
                <w:b/>
                <w:bCs/>
                <w:szCs w:val="24"/>
                <w:lang w:eastAsia="cs-CZ"/>
              </w:rPr>
              <w:t>Disposition time</w:t>
            </w:r>
          </w:p>
        </w:tc>
      </w:tr>
      <w:tr w:rsidR="00F15667" w:rsidRPr="00F15667" w14:paraId="1E5B2D3E" w14:textId="77777777" w:rsidTr="0041601E">
        <w:trPr>
          <w:trHeight w:val="330"/>
        </w:trPr>
        <w:tc>
          <w:tcPr>
            <w:tcW w:w="2780" w:type="dxa"/>
            <w:tcBorders>
              <w:top w:val="nil"/>
              <w:left w:val="nil"/>
              <w:bottom w:val="single" w:sz="4" w:space="0" w:color="auto"/>
              <w:right w:val="nil"/>
            </w:tcBorders>
            <w:shd w:val="clear" w:color="auto" w:fill="auto"/>
            <w:noWrap/>
            <w:vAlign w:val="center"/>
            <w:hideMark/>
          </w:tcPr>
          <w:p w14:paraId="0EF8A725" w14:textId="77777777" w:rsidR="004F0D9D" w:rsidRPr="00F15667" w:rsidRDefault="004F0D9D" w:rsidP="0041601E">
            <w:pPr>
              <w:spacing w:line="240" w:lineRule="auto"/>
              <w:jc w:val="left"/>
              <w:rPr>
                <w:rFonts w:eastAsia="Times New Roman"/>
                <w:szCs w:val="24"/>
                <w:lang w:eastAsia="cs-CZ"/>
              </w:rPr>
            </w:pPr>
            <w:r w:rsidRPr="00F15667">
              <w:rPr>
                <w:rFonts w:eastAsia="Times New Roman"/>
                <w:szCs w:val="24"/>
                <w:lang w:eastAsia="cs-CZ"/>
              </w:rPr>
              <w:t>MS Praha</w:t>
            </w:r>
          </w:p>
        </w:tc>
        <w:tc>
          <w:tcPr>
            <w:tcW w:w="1615" w:type="dxa"/>
            <w:tcBorders>
              <w:top w:val="nil"/>
              <w:left w:val="nil"/>
              <w:bottom w:val="single" w:sz="4" w:space="0" w:color="auto"/>
              <w:right w:val="nil"/>
            </w:tcBorders>
            <w:shd w:val="clear" w:color="auto" w:fill="auto"/>
            <w:noWrap/>
            <w:vAlign w:val="center"/>
            <w:hideMark/>
          </w:tcPr>
          <w:p w14:paraId="7431015E" w14:textId="77777777" w:rsidR="004F0D9D" w:rsidRPr="00F15667" w:rsidRDefault="004F0D9D" w:rsidP="0041601E">
            <w:pPr>
              <w:spacing w:line="240" w:lineRule="auto"/>
              <w:jc w:val="center"/>
              <w:rPr>
                <w:rFonts w:eastAsia="Times New Roman"/>
                <w:szCs w:val="24"/>
                <w:lang w:eastAsia="cs-CZ"/>
              </w:rPr>
            </w:pPr>
            <w:r w:rsidRPr="00F15667">
              <w:rPr>
                <w:rFonts w:eastAsia="Times New Roman"/>
                <w:szCs w:val="24"/>
                <w:lang w:eastAsia="cs-CZ"/>
              </w:rPr>
              <w:t>21</w:t>
            </w:r>
          </w:p>
        </w:tc>
        <w:tc>
          <w:tcPr>
            <w:tcW w:w="1417" w:type="dxa"/>
            <w:tcBorders>
              <w:top w:val="nil"/>
              <w:left w:val="nil"/>
              <w:bottom w:val="single" w:sz="4" w:space="0" w:color="auto"/>
              <w:right w:val="nil"/>
            </w:tcBorders>
            <w:shd w:val="clear" w:color="auto" w:fill="auto"/>
            <w:noWrap/>
            <w:vAlign w:val="center"/>
            <w:hideMark/>
          </w:tcPr>
          <w:p w14:paraId="170E6591" w14:textId="01683169" w:rsidR="004F0D9D" w:rsidRPr="00F15667" w:rsidRDefault="004F0D9D" w:rsidP="0041601E">
            <w:pPr>
              <w:spacing w:line="240" w:lineRule="auto"/>
              <w:jc w:val="center"/>
              <w:rPr>
                <w:rFonts w:eastAsia="Times New Roman"/>
                <w:sz w:val="20"/>
                <w:szCs w:val="20"/>
                <w:lang w:eastAsia="cs-CZ"/>
              </w:rPr>
            </w:pPr>
            <w:r w:rsidRPr="00F15667">
              <w:rPr>
                <w:rFonts w:eastAsia="Times New Roman"/>
                <w:sz w:val="20"/>
                <w:szCs w:val="20"/>
                <w:lang w:eastAsia="cs-CZ"/>
              </w:rPr>
              <w:t>-2 %</w:t>
            </w:r>
          </w:p>
        </w:tc>
      </w:tr>
      <w:tr w:rsidR="00F15667" w:rsidRPr="00F15667" w14:paraId="10BF97E9" w14:textId="77777777" w:rsidTr="0041601E">
        <w:trPr>
          <w:trHeight w:val="315"/>
        </w:trPr>
        <w:tc>
          <w:tcPr>
            <w:tcW w:w="2780" w:type="dxa"/>
            <w:tcBorders>
              <w:top w:val="nil"/>
              <w:left w:val="nil"/>
              <w:bottom w:val="single" w:sz="4" w:space="0" w:color="auto"/>
              <w:right w:val="nil"/>
            </w:tcBorders>
            <w:shd w:val="clear" w:color="auto" w:fill="auto"/>
            <w:noWrap/>
            <w:vAlign w:val="center"/>
            <w:hideMark/>
          </w:tcPr>
          <w:p w14:paraId="2AE35487" w14:textId="77777777" w:rsidR="004F0D9D" w:rsidRPr="00F15667" w:rsidRDefault="004F0D9D" w:rsidP="0041601E">
            <w:pPr>
              <w:spacing w:line="240" w:lineRule="auto"/>
              <w:jc w:val="left"/>
              <w:rPr>
                <w:rFonts w:eastAsia="Times New Roman"/>
                <w:szCs w:val="24"/>
                <w:lang w:eastAsia="cs-CZ"/>
              </w:rPr>
            </w:pPr>
            <w:r w:rsidRPr="00F15667">
              <w:rPr>
                <w:rFonts w:eastAsia="Times New Roman"/>
                <w:szCs w:val="24"/>
                <w:lang w:eastAsia="cs-CZ"/>
              </w:rPr>
              <w:t>KS Praha</w:t>
            </w:r>
          </w:p>
        </w:tc>
        <w:tc>
          <w:tcPr>
            <w:tcW w:w="1615" w:type="dxa"/>
            <w:tcBorders>
              <w:top w:val="nil"/>
              <w:left w:val="nil"/>
              <w:bottom w:val="single" w:sz="4" w:space="0" w:color="auto"/>
              <w:right w:val="nil"/>
            </w:tcBorders>
            <w:shd w:val="clear" w:color="auto" w:fill="auto"/>
            <w:noWrap/>
            <w:vAlign w:val="center"/>
            <w:hideMark/>
          </w:tcPr>
          <w:p w14:paraId="6E2E90F0" w14:textId="77777777" w:rsidR="004F0D9D" w:rsidRPr="00F15667" w:rsidRDefault="004F0D9D" w:rsidP="0041601E">
            <w:pPr>
              <w:spacing w:line="240" w:lineRule="auto"/>
              <w:jc w:val="center"/>
              <w:rPr>
                <w:rFonts w:eastAsia="Times New Roman"/>
                <w:szCs w:val="24"/>
                <w:lang w:eastAsia="cs-CZ"/>
              </w:rPr>
            </w:pPr>
            <w:r w:rsidRPr="00F15667">
              <w:rPr>
                <w:rFonts w:eastAsia="Times New Roman"/>
                <w:szCs w:val="24"/>
                <w:lang w:eastAsia="cs-CZ"/>
              </w:rPr>
              <w:t>5</w:t>
            </w:r>
          </w:p>
        </w:tc>
        <w:tc>
          <w:tcPr>
            <w:tcW w:w="1417" w:type="dxa"/>
            <w:tcBorders>
              <w:top w:val="nil"/>
              <w:left w:val="nil"/>
              <w:bottom w:val="single" w:sz="4" w:space="0" w:color="auto"/>
              <w:right w:val="nil"/>
            </w:tcBorders>
            <w:shd w:val="clear" w:color="auto" w:fill="auto"/>
            <w:noWrap/>
            <w:vAlign w:val="center"/>
            <w:hideMark/>
          </w:tcPr>
          <w:p w14:paraId="0B7B357C" w14:textId="153C3894" w:rsidR="004F0D9D" w:rsidRPr="00F15667" w:rsidRDefault="004F0D9D" w:rsidP="0041601E">
            <w:pPr>
              <w:spacing w:line="240" w:lineRule="auto"/>
              <w:jc w:val="center"/>
              <w:rPr>
                <w:rFonts w:eastAsia="Times New Roman"/>
                <w:sz w:val="20"/>
                <w:szCs w:val="20"/>
                <w:lang w:eastAsia="cs-CZ"/>
              </w:rPr>
            </w:pPr>
            <w:r w:rsidRPr="00F15667">
              <w:rPr>
                <w:rFonts w:eastAsia="Times New Roman"/>
                <w:sz w:val="20"/>
                <w:szCs w:val="20"/>
                <w:lang w:eastAsia="cs-CZ"/>
              </w:rPr>
              <w:t>-21 %</w:t>
            </w:r>
          </w:p>
        </w:tc>
      </w:tr>
      <w:tr w:rsidR="00F15667" w:rsidRPr="00F15667" w14:paraId="596A05F1" w14:textId="77777777" w:rsidTr="0041601E">
        <w:trPr>
          <w:trHeight w:val="315"/>
        </w:trPr>
        <w:tc>
          <w:tcPr>
            <w:tcW w:w="2780" w:type="dxa"/>
            <w:tcBorders>
              <w:top w:val="nil"/>
              <w:left w:val="nil"/>
              <w:bottom w:val="single" w:sz="4" w:space="0" w:color="auto"/>
              <w:right w:val="nil"/>
            </w:tcBorders>
            <w:shd w:val="clear" w:color="auto" w:fill="auto"/>
            <w:noWrap/>
            <w:vAlign w:val="center"/>
            <w:hideMark/>
          </w:tcPr>
          <w:p w14:paraId="21339286" w14:textId="77777777" w:rsidR="004F0D9D" w:rsidRPr="00F15667" w:rsidRDefault="004F0D9D" w:rsidP="0041601E">
            <w:pPr>
              <w:spacing w:line="240" w:lineRule="auto"/>
              <w:jc w:val="left"/>
              <w:rPr>
                <w:rFonts w:eastAsia="Times New Roman"/>
                <w:szCs w:val="24"/>
                <w:lang w:eastAsia="cs-CZ"/>
              </w:rPr>
            </w:pPr>
            <w:r w:rsidRPr="00F15667">
              <w:rPr>
                <w:rFonts w:eastAsia="Times New Roman"/>
                <w:szCs w:val="24"/>
                <w:lang w:eastAsia="cs-CZ"/>
              </w:rPr>
              <w:t>KS Č. Budějovice</w:t>
            </w:r>
          </w:p>
        </w:tc>
        <w:tc>
          <w:tcPr>
            <w:tcW w:w="1615" w:type="dxa"/>
            <w:tcBorders>
              <w:top w:val="nil"/>
              <w:left w:val="nil"/>
              <w:bottom w:val="single" w:sz="4" w:space="0" w:color="auto"/>
              <w:right w:val="nil"/>
            </w:tcBorders>
            <w:shd w:val="clear" w:color="auto" w:fill="auto"/>
            <w:noWrap/>
            <w:vAlign w:val="center"/>
            <w:hideMark/>
          </w:tcPr>
          <w:p w14:paraId="5288E017" w14:textId="77777777" w:rsidR="004F0D9D" w:rsidRPr="00F15667" w:rsidRDefault="004F0D9D" w:rsidP="0041601E">
            <w:pPr>
              <w:spacing w:line="240" w:lineRule="auto"/>
              <w:jc w:val="center"/>
              <w:rPr>
                <w:rFonts w:eastAsia="Times New Roman"/>
                <w:szCs w:val="24"/>
                <w:lang w:eastAsia="cs-CZ"/>
              </w:rPr>
            </w:pPr>
            <w:r w:rsidRPr="00F15667">
              <w:rPr>
                <w:rFonts w:eastAsia="Times New Roman"/>
                <w:szCs w:val="24"/>
                <w:lang w:eastAsia="cs-CZ"/>
              </w:rPr>
              <w:t>38</w:t>
            </w:r>
          </w:p>
        </w:tc>
        <w:tc>
          <w:tcPr>
            <w:tcW w:w="1417" w:type="dxa"/>
            <w:tcBorders>
              <w:top w:val="nil"/>
              <w:left w:val="nil"/>
              <w:bottom w:val="single" w:sz="4" w:space="0" w:color="auto"/>
              <w:right w:val="nil"/>
            </w:tcBorders>
            <w:shd w:val="clear" w:color="auto" w:fill="auto"/>
            <w:noWrap/>
            <w:vAlign w:val="center"/>
            <w:hideMark/>
          </w:tcPr>
          <w:p w14:paraId="6809C225" w14:textId="4253386B" w:rsidR="004F0D9D" w:rsidRPr="00F15667" w:rsidRDefault="004F0D9D" w:rsidP="0041601E">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61CBAAE1" w14:textId="77777777" w:rsidTr="0041601E">
        <w:trPr>
          <w:trHeight w:val="315"/>
        </w:trPr>
        <w:tc>
          <w:tcPr>
            <w:tcW w:w="2780" w:type="dxa"/>
            <w:tcBorders>
              <w:top w:val="nil"/>
              <w:left w:val="nil"/>
              <w:bottom w:val="single" w:sz="4" w:space="0" w:color="auto"/>
              <w:right w:val="nil"/>
            </w:tcBorders>
            <w:shd w:val="clear" w:color="auto" w:fill="auto"/>
            <w:noWrap/>
            <w:vAlign w:val="center"/>
            <w:hideMark/>
          </w:tcPr>
          <w:p w14:paraId="5372DC18" w14:textId="77777777" w:rsidR="004F0D9D" w:rsidRPr="00F15667" w:rsidRDefault="004F0D9D" w:rsidP="0041601E">
            <w:pPr>
              <w:spacing w:line="240" w:lineRule="auto"/>
              <w:jc w:val="left"/>
              <w:rPr>
                <w:rFonts w:eastAsia="Times New Roman"/>
                <w:szCs w:val="24"/>
                <w:lang w:eastAsia="cs-CZ"/>
              </w:rPr>
            </w:pPr>
            <w:r w:rsidRPr="00F15667">
              <w:rPr>
                <w:rFonts w:eastAsia="Times New Roman"/>
                <w:szCs w:val="24"/>
                <w:lang w:eastAsia="cs-CZ"/>
              </w:rPr>
              <w:t>KS Plzeň</w:t>
            </w:r>
          </w:p>
        </w:tc>
        <w:tc>
          <w:tcPr>
            <w:tcW w:w="1615" w:type="dxa"/>
            <w:tcBorders>
              <w:top w:val="nil"/>
              <w:left w:val="nil"/>
              <w:bottom w:val="single" w:sz="4" w:space="0" w:color="auto"/>
              <w:right w:val="nil"/>
            </w:tcBorders>
            <w:shd w:val="clear" w:color="auto" w:fill="auto"/>
            <w:noWrap/>
            <w:vAlign w:val="center"/>
            <w:hideMark/>
          </w:tcPr>
          <w:p w14:paraId="787273FC" w14:textId="77777777" w:rsidR="004F0D9D" w:rsidRPr="00F15667" w:rsidRDefault="004F0D9D" w:rsidP="0041601E">
            <w:pPr>
              <w:spacing w:line="240" w:lineRule="auto"/>
              <w:jc w:val="center"/>
              <w:rPr>
                <w:rFonts w:eastAsia="Times New Roman"/>
                <w:szCs w:val="24"/>
                <w:lang w:eastAsia="cs-CZ"/>
              </w:rPr>
            </w:pPr>
            <w:r w:rsidRPr="00F15667">
              <w:rPr>
                <w:rFonts w:eastAsia="Times New Roman"/>
                <w:szCs w:val="24"/>
                <w:lang w:eastAsia="cs-CZ"/>
              </w:rPr>
              <w:t>25</w:t>
            </w:r>
          </w:p>
        </w:tc>
        <w:tc>
          <w:tcPr>
            <w:tcW w:w="1417" w:type="dxa"/>
            <w:tcBorders>
              <w:top w:val="nil"/>
              <w:left w:val="nil"/>
              <w:bottom w:val="single" w:sz="4" w:space="0" w:color="auto"/>
              <w:right w:val="nil"/>
            </w:tcBorders>
            <w:shd w:val="clear" w:color="auto" w:fill="auto"/>
            <w:noWrap/>
            <w:vAlign w:val="center"/>
            <w:hideMark/>
          </w:tcPr>
          <w:p w14:paraId="59D880A2" w14:textId="0DA83E1F" w:rsidR="004F0D9D" w:rsidRPr="00F15667" w:rsidRDefault="004F0D9D" w:rsidP="0041601E">
            <w:pPr>
              <w:spacing w:line="240" w:lineRule="auto"/>
              <w:jc w:val="center"/>
              <w:rPr>
                <w:rFonts w:eastAsia="Times New Roman"/>
                <w:sz w:val="20"/>
                <w:szCs w:val="20"/>
                <w:lang w:eastAsia="cs-CZ"/>
              </w:rPr>
            </w:pPr>
            <w:r w:rsidRPr="00F15667">
              <w:rPr>
                <w:rFonts w:eastAsia="Times New Roman"/>
                <w:sz w:val="20"/>
                <w:szCs w:val="20"/>
                <w:lang w:eastAsia="cs-CZ"/>
              </w:rPr>
              <w:t>-29 %</w:t>
            </w:r>
          </w:p>
        </w:tc>
      </w:tr>
      <w:tr w:rsidR="00F15667" w:rsidRPr="00F15667" w14:paraId="714C2062" w14:textId="77777777" w:rsidTr="0041601E">
        <w:trPr>
          <w:trHeight w:val="315"/>
        </w:trPr>
        <w:tc>
          <w:tcPr>
            <w:tcW w:w="2780" w:type="dxa"/>
            <w:tcBorders>
              <w:top w:val="nil"/>
              <w:left w:val="nil"/>
              <w:bottom w:val="single" w:sz="4" w:space="0" w:color="auto"/>
              <w:right w:val="nil"/>
            </w:tcBorders>
            <w:shd w:val="clear" w:color="auto" w:fill="auto"/>
            <w:noWrap/>
            <w:vAlign w:val="center"/>
            <w:hideMark/>
          </w:tcPr>
          <w:p w14:paraId="5D676662" w14:textId="77777777" w:rsidR="004F0D9D" w:rsidRPr="00F15667" w:rsidRDefault="004F0D9D" w:rsidP="0041601E">
            <w:pPr>
              <w:spacing w:line="240" w:lineRule="auto"/>
              <w:jc w:val="left"/>
              <w:rPr>
                <w:rFonts w:eastAsia="Times New Roman"/>
                <w:szCs w:val="24"/>
                <w:lang w:eastAsia="cs-CZ"/>
              </w:rPr>
            </w:pPr>
            <w:r w:rsidRPr="00F15667">
              <w:rPr>
                <w:rFonts w:eastAsia="Times New Roman"/>
                <w:szCs w:val="24"/>
                <w:lang w:eastAsia="cs-CZ"/>
              </w:rPr>
              <w:t>KS Ústí n. Labem</w:t>
            </w:r>
          </w:p>
        </w:tc>
        <w:tc>
          <w:tcPr>
            <w:tcW w:w="1615" w:type="dxa"/>
            <w:tcBorders>
              <w:top w:val="nil"/>
              <w:left w:val="nil"/>
              <w:bottom w:val="single" w:sz="4" w:space="0" w:color="auto"/>
              <w:right w:val="nil"/>
            </w:tcBorders>
            <w:shd w:val="clear" w:color="auto" w:fill="auto"/>
            <w:noWrap/>
            <w:vAlign w:val="center"/>
            <w:hideMark/>
          </w:tcPr>
          <w:p w14:paraId="62CFA5FA" w14:textId="77777777" w:rsidR="004F0D9D" w:rsidRPr="00F15667" w:rsidRDefault="004F0D9D" w:rsidP="0041601E">
            <w:pPr>
              <w:spacing w:line="240" w:lineRule="auto"/>
              <w:jc w:val="center"/>
              <w:rPr>
                <w:rFonts w:eastAsia="Times New Roman"/>
                <w:szCs w:val="24"/>
                <w:lang w:eastAsia="cs-CZ"/>
              </w:rPr>
            </w:pPr>
            <w:r w:rsidRPr="00F15667">
              <w:rPr>
                <w:rFonts w:eastAsia="Times New Roman"/>
                <w:szCs w:val="24"/>
                <w:lang w:eastAsia="cs-CZ"/>
              </w:rPr>
              <w:t>33</w:t>
            </w:r>
          </w:p>
        </w:tc>
        <w:tc>
          <w:tcPr>
            <w:tcW w:w="1417" w:type="dxa"/>
            <w:tcBorders>
              <w:top w:val="nil"/>
              <w:left w:val="nil"/>
              <w:bottom w:val="single" w:sz="4" w:space="0" w:color="auto"/>
              <w:right w:val="nil"/>
            </w:tcBorders>
            <w:shd w:val="clear" w:color="auto" w:fill="auto"/>
            <w:noWrap/>
            <w:vAlign w:val="center"/>
            <w:hideMark/>
          </w:tcPr>
          <w:p w14:paraId="531F42A2" w14:textId="0A63F3F2" w:rsidR="004F0D9D" w:rsidRPr="00F15667" w:rsidRDefault="004F0D9D" w:rsidP="0041601E">
            <w:pPr>
              <w:spacing w:line="240" w:lineRule="auto"/>
              <w:jc w:val="center"/>
              <w:rPr>
                <w:rFonts w:eastAsia="Times New Roman"/>
                <w:sz w:val="20"/>
                <w:szCs w:val="20"/>
                <w:lang w:eastAsia="cs-CZ"/>
              </w:rPr>
            </w:pPr>
            <w:r w:rsidRPr="00F15667">
              <w:rPr>
                <w:rFonts w:eastAsia="Times New Roman"/>
                <w:sz w:val="20"/>
                <w:szCs w:val="20"/>
                <w:lang w:eastAsia="cs-CZ"/>
              </w:rPr>
              <w:t>-24 %</w:t>
            </w:r>
          </w:p>
        </w:tc>
      </w:tr>
      <w:tr w:rsidR="00F15667" w:rsidRPr="00F15667" w14:paraId="59201407" w14:textId="77777777" w:rsidTr="0041601E">
        <w:trPr>
          <w:trHeight w:val="315"/>
        </w:trPr>
        <w:tc>
          <w:tcPr>
            <w:tcW w:w="2780" w:type="dxa"/>
            <w:tcBorders>
              <w:top w:val="nil"/>
              <w:left w:val="nil"/>
              <w:bottom w:val="single" w:sz="4" w:space="0" w:color="auto"/>
              <w:right w:val="nil"/>
            </w:tcBorders>
            <w:shd w:val="clear" w:color="auto" w:fill="auto"/>
            <w:noWrap/>
            <w:vAlign w:val="center"/>
            <w:hideMark/>
          </w:tcPr>
          <w:p w14:paraId="10834026" w14:textId="77777777" w:rsidR="004F0D9D" w:rsidRPr="00F15667" w:rsidRDefault="004F0D9D" w:rsidP="0041601E">
            <w:pPr>
              <w:spacing w:line="240" w:lineRule="auto"/>
              <w:jc w:val="left"/>
              <w:rPr>
                <w:rFonts w:eastAsia="Times New Roman"/>
                <w:szCs w:val="24"/>
                <w:lang w:eastAsia="cs-CZ"/>
              </w:rPr>
            </w:pPr>
            <w:r w:rsidRPr="00F15667">
              <w:rPr>
                <w:rFonts w:eastAsia="Times New Roman"/>
                <w:szCs w:val="24"/>
                <w:lang w:eastAsia="cs-CZ"/>
              </w:rPr>
              <w:t>KS Hr. Králové</w:t>
            </w:r>
          </w:p>
        </w:tc>
        <w:tc>
          <w:tcPr>
            <w:tcW w:w="1615" w:type="dxa"/>
            <w:tcBorders>
              <w:top w:val="nil"/>
              <w:left w:val="nil"/>
              <w:bottom w:val="single" w:sz="4" w:space="0" w:color="auto"/>
              <w:right w:val="nil"/>
            </w:tcBorders>
            <w:shd w:val="clear" w:color="auto" w:fill="auto"/>
            <w:noWrap/>
            <w:vAlign w:val="center"/>
            <w:hideMark/>
          </w:tcPr>
          <w:p w14:paraId="16409EB1" w14:textId="77777777" w:rsidR="004F0D9D" w:rsidRPr="00F15667" w:rsidRDefault="004F0D9D" w:rsidP="0041601E">
            <w:pPr>
              <w:spacing w:line="240" w:lineRule="auto"/>
              <w:jc w:val="center"/>
              <w:rPr>
                <w:rFonts w:eastAsia="Times New Roman"/>
                <w:szCs w:val="24"/>
                <w:lang w:eastAsia="cs-CZ"/>
              </w:rPr>
            </w:pPr>
            <w:r w:rsidRPr="00F15667">
              <w:rPr>
                <w:rFonts w:eastAsia="Times New Roman"/>
                <w:szCs w:val="24"/>
                <w:lang w:eastAsia="cs-CZ"/>
              </w:rPr>
              <w:t>17</w:t>
            </w:r>
          </w:p>
        </w:tc>
        <w:tc>
          <w:tcPr>
            <w:tcW w:w="1417" w:type="dxa"/>
            <w:tcBorders>
              <w:top w:val="nil"/>
              <w:left w:val="nil"/>
              <w:bottom w:val="single" w:sz="4" w:space="0" w:color="auto"/>
              <w:right w:val="nil"/>
            </w:tcBorders>
            <w:shd w:val="clear" w:color="auto" w:fill="auto"/>
            <w:noWrap/>
            <w:vAlign w:val="center"/>
            <w:hideMark/>
          </w:tcPr>
          <w:p w14:paraId="48149835" w14:textId="379245BC" w:rsidR="004F0D9D" w:rsidRPr="00F15667" w:rsidRDefault="004F0D9D"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r>
      <w:tr w:rsidR="00F15667" w:rsidRPr="00F15667" w14:paraId="4DB39EAF" w14:textId="77777777" w:rsidTr="0041601E">
        <w:trPr>
          <w:trHeight w:val="315"/>
        </w:trPr>
        <w:tc>
          <w:tcPr>
            <w:tcW w:w="2780" w:type="dxa"/>
            <w:tcBorders>
              <w:top w:val="nil"/>
              <w:left w:val="nil"/>
              <w:bottom w:val="single" w:sz="4" w:space="0" w:color="auto"/>
              <w:right w:val="nil"/>
            </w:tcBorders>
            <w:shd w:val="clear" w:color="auto" w:fill="auto"/>
            <w:noWrap/>
            <w:vAlign w:val="center"/>
            <w:hideMark/>
          </w:tcPr>
          <w:p w14:paraId="3EAD242A" w14:textId="77777777" w:rsidR="004F0D9D" w:rsidRPr="00F15667" w:rsidRDefault="004F0D9D" w:rsidP="0041601E">
            <w:pPr>
              <w:spacing w:line="240" w:lineRule="auto"/>
              <w:jc w:val="left"/>
              <w:rPr>
                <w:rFonts w:eastAsia="Times New Roman"/>
                <w:szCs w:val="24"/>
                <w:lang w:eastAsia="cs-CZ"/>
              </w:rPr>
            </w:pPr>
            <w:r w:rsidRPr="00F15667">
              <w:rPr>
                <w:rFonts w:eastAsia="Times New Roman"/>
                <w:szCs w:val="24"/>
                <w:lang w:eastAsia="cs-CZ"/>
              </w:rPr>
              <w:t>KS Brno</w:t>
            </w:r>
          </w:p>
        </w:tc>
        <w:tc>
          <w:tcPr>
            <w:tcW w:w="1615" w:type="dxa"/>
            <w:tcBorders>
              <w:top w:val="nil"/>
              <w:left w:val="nil"/>
              <w:bottom w:val="single" w:sz="4" w:space="0" w:color="auto"/>
              <w:right w:val="nil"/>
            </w:tcBorders>
            <w:shd w:val="clear" w:color="auto" w:fill="auto"/>
            <w:noWrap/>
            <w:vAlign w:val="center"/>
            <w:hideMark/>
          </w:tcPr>
          <w:p w14:paraId="13512E03" w14:textId="77777777" w:rsidR="004F0D9D" w:rsidRPr="00F15667" w:rsidRDefault="004F0D9D" w:rsidP="0041601E">
            <w:pPr>
              <w:spacing w:line="240" w:lineRule="auto"/>
              <w:jc w:val="center"/>
              <w:rPr>
                <w:rFonts w:eastAsia="Times New Roman"/>
                <w:szCs w:val="24"/>
                <w:lang w:eastAsia="cs-CZ"/>
              </w:rPr>
            </w:pPr>
            <w:r w:rsidRPr="00F15667">
              <w:rPr>
                <w:rFonts w:eastAsia="Times New Roman"/>
                <w:szCs w:val="24"/>
                <w:lang w:eastAsia="cs-CZ"/>
              </w:rPr>
              <w:t>33</w:t>
            </w:r>
          </w:p>
        </w:tc>
        <w:tc>
          <w:tcPr>
            <w:tcW w:w="1417" w:type="dxa"/>
            <w:tcBorders>
              <w:top w:val="nil"/>
              <w:left w:val="nil"/>
              <w:bottom w:val="single" w:sz="4" w:space="0" w:color="auto"/>
              <w:right w:val="nil"/>
            </w:tcBorders>
            <w:shd w:val="clear" w:color="auto" w:fill="auto"/>
            <w:noWrap/>
            <w:vAlign w:val="center"/>
            <w:hideMark/>
          </w:tcPr>
          <w:p w14:paraId="2C5ED8E5" w14:textId="018A0755" w:rsidR="004F0D9D" w:rsidRPr="00F15667" w:rsidRDefault="004F0D9D" w:rsidP="0041601E">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7B26B4B2" w14:textId="77777777" w:rsidTr="0041601E">
        <w:trPr>
          <w:trHeight w:val="330"/>
        </w:trPr>
        <w:tc>
          <w:tcPr>
            <w:tcW w:w="2780" w:type="dxa"/>
            <w:tcBorders>
              <w:top w:val="nil"/>
              <w:left w:val="nil"/>
              <w:bottom w:val="double" w:sz="6" w:space="0" w:color="auto"/>
              <w:right w:val="nil"/>
            </w:tcBorders>
            <w:shd w:val="clear" w:color="auto" w:fill="auto"/>
            <w:noWrap/>
            <w:vAlign w:val="center"/>
            <w:hideMark/>
          </w:tcPr>
          <w:p w14:paraId="7EDB8313" w14:textId="77777777" w:rsidR="004F0D9D" w:rsidRPr="00F15667" w:rsidRDefault="004F0D9D" w:rsidP="0041601E">
            <w:pPr>
              <w:spacing w:line="240" w:lineRule="auto"/>
              <w:jc w:val="left"/>
              <w:rPr>
                <w:rFonts w:eastAsia="Times New Roman"/>
                <w:szCs w:val="24"/>
                <w:lang w:eastAsia="cs-CZ"/>
              </w:rPr>
            </w:pPr>
            <w:r w:rsidRPr="00F15667">
              <w:rPr>
                <w:rFonts w:eastAsia="Times New Roman"/>
                <w:szCs w:val="24"/>
                <w:lang w:eastAsia="cs-CZ"/>
              </w:rPr>
              <w:t>KS Ostrava</w:t>
            </w:r>
          </w:p>
        </w:tc>
        <w:tc>
          <w:tcPr>
            <w:tcW w:w="1615" w:type="dxa"/>
            <w:tcBorders>
              <w:top w:val="nil"/>
              <w:left w:val="nil"/>
              <w:bottom w:val="double" w:sz="6" w:space="0" w:color="auto"/>
              <w:right w:val="nil"/>
            </w:tcBorders>
            <w:shd w:val="clear" w:color="auto" w:fill="auto"/>
            <w:noWrap/>
            <w:vAlign w:val="center"/>
            <w:hideMark/>
          </w:tcPr>
          <w:p w14:paraId="4640787F" w14:textId="77777777" w:rsidR="004F0D9D" w:rsidRPr="00F15667" w:rsidRDefault="004F0D9D" w:rsidP="0041601E">
            <w:pPr>
              <w:spacing w:line="240" w:lineRule="auto"/>
              <w:jc w:val="center"/>
              <w:rPr>
                <w:rFonts w:eastAsia="Times New Roman"/>
                <w:szCs w:val="24"/>
                <w:lang w:eastAsia="cs-CZ"/>
              </w:rPr>
            </w:pPr>
            <w:r w:rsidRPr="00F15667">
              <w:rPr>
                <w:rFonts w:eastAsia="Times New Roman"/>
                <w:szCs w:val="24"/>
                <w:lang w:eastAsia="cs-CZ"/>
              </w:rPr>
              <w:t>42</w:t>
            </w:r>
          </w:p>
        </w:tc>
        <w:tc>
          <w:tcPr>
            <w:tcW w:w="1417" w:type="dxa"/>
            <w:tcBorders>
              <w:top w:val="nil"/>
              <w:left w:val="nil"/>
              <w:bottom w:val="double" w:sz="6" w:space="0" w:color="auto"/>
              <w:right w:val="nil"/>
            </w:tcBorders>
            <w:shd w:val="clear" w:color="auto" w:fill="auto"/>
            <w:noWrap/>
            <w:vAlign w:val="center"/>
            <w:hideMark/>
          </w:tcPr>
          <w:p w14:paraId="325B7F12" w14:textId="2747E6AD" w:rsidR="004F0D9D" w:rsidRPr="00F15667" w:rsidRDefault="004F0D9D" w:rsidP="0041601E">
            <w:pPr>
              <w:spacing w:line="240" w:lineRule="auto"/>
              <w:jc w:val="center"/>
              <w:rPr>
                <w:rFonts w:eastAsia="Times New Roman"/>
                <w:sz w:val="20"/>
                <w:szCs w:val="20"/>
                <w:lang w:eastAsia="cs-CZ"/>
              </w:rPr>
            </w:pPr>
            <w:r w:rsidRPr="00F15667">
              <w:rPr>
                <w:rFonts w:eastAsia="Times New Roman"/>
                <w:sz w:val="20"/>
                <w:szCs w:val="20"/>
                <w:lang w:eastAsia="cs-CZ"/>
              </w:rPr>
              <w:t>+10 %</w:t>
            </w:r>
          </w:p>
        </w:tc>
      </w:tr>
      <w:tr w:rsidR="00F15667" w:rsidRPr="00F15667" w14:paraId="34FBA8FB" w14:textId="77777777" w:rsidTr="0041601E">
        <w:trPr>
          <w:trHeight w:val="345"/>
        </w:trPr>
        <w:tc>
          <w:tcPr>
            <w:tcW w:w="2780" w:type="dxa"/>
            <w:tcBorders>
              <w:top w:val="nil"/>
              <w:left w:val="nil"/>
              <w:bottom w:val="double" w:sz="6" w:space="0" w:color="auto"/>
              <w:right w:val="nil"/>
            </w:tcBorders>
            <w:shd w:val="clear" w:color="auto" w:fill="auto"/>
            <w:noWrap/>
            <w:vAlign w:val="center"/>
            <w:hideMark/>
          </w:tcPr>
          <w:p w14:paraId="16EF04BB" w14:textId="77777777" w:rsidR="004F0D9D" w:rsidRPr="00F15667" w:rsidRDefault="004F0D9D" w:rsidP="0041601E">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615" w:type="dxa"/>
            <w:tcBorders>
              <w:top w:val="nil"/>
              <w:left w:val="nil"/>
              <w:bottom w:val="double" w:sz="6" w:space="0" w:color="auto"/>
              <w:right w:val="nil"/>
            </w:tcBorders>
            <w:shd w:val="clear" w:color="auto" w:fill="auto"/>
            <w:noWrap/>
            <w:vAlign w:val="center"/>
            <w:hideMark/>
          </w:tcPr>
          <w:p w14:paraId="6A953B58" w14:textId="77777777" w:rsidR="004F0D9D" w:rsidRPr="00F15667" w:rsidRDefault="004F0D9D" w:rsidP="0041601E">
            <w:pPr>
              <w:spacing w:line="240" w:lineRule="auto"/>
              <w:jc w:val="center"/>
              <w:rPr>
                <w:rFonts w:eastAsia="Times New Roman"/>
                <w:b/>
                <w:bCs/>
                <w:szCs w:val="24"/>
                <w:lang w:eastAsia="cs-CZ"/>
              </w:rPr>
            </w:pPr>
            <w:r w:rsidRPr="00F15667">
              <w:rPr>
                <w:rFonts w:eastAsia="Times New Roman"/>
                <w:b/>
                <w:bCs/>
                <w:szCs w:val="24"/>
                <w:lang w:eastAsia="cs-CZ"/>
              </w:rPr>
              <w:t>27</w:t>
            </w:r>
          </w:p>
        </w:tc>
        <w:tc>
          <w:tcPr>
            <w:tcW w:w="1417" w:type="dxa"/>
            <w:tcBorders>
              <w:top w:val="nil"/>
              <w:left w:val="nil"/>
              <w:bottom w:val="double" w:sz="6" w:space="0" w:color="auto"/>
              <w:right w:val="nil"/>
            </w:tcBorders>
            <w:shd w:val="clear" w:color="auto" w:fill="auto"/>
            <w:noWrap/>
            <w:vAlign w:val="center"/>
            <w:hideMark/>
          </w:tcPr>
          <w:p w14:paraId="7A128EC2" w14:textId="0C69476E" w:rsidR="004F0D9D" w:rsidRPr="00F15667" w:rsidRDefault="004F0D9D"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-7 %</w:t>
            </w:r>
          </w:p>
        </w:tc>
      </w:tr>
      <w:tr w:rsidR="00F15667" w:rsidRPr="00F15667" w14:paraId="7D36B46E" w14:textId="77777777" w:rsidTr="0041601E">
        <w:trPr>
          <w:trHeight w:val="330"/>
        </w:trPr>
        <w:tc>
          <w:tcPr>
            <w:tcW w:w="2780" w:type="dxa"/>
            <w:tcBorders>
              <w:top w:val="nil"/>
              <w:left w:val="nil"/>
              <w:bottom w:val="nil"/>
              <w:right w:val="nil"/>
            </w:tcBorders>
            <w:shd w:val="clear" w:color="auto" w:fill="auto"/>
            <w:noWrap/>
            <w:vAlign w:val="center"/>
            <w:hideMark/>
          </w:tcPr>
          <w:p w14:paraId="358E6C71" w14:textId="77777777" w:rsidR="004F0D9D" w:rsidRPr="00F15667" w:rsidRDefault="004F0D9D" w:rsidP="0041601E">
            <w:pPr>
              <w:spacing w:line="240" w:lineRule="auto"/>
              <w:jc w:val="center"/>
              <w:rPr>
                <w:rFonts w:eastAsia="Times New Roman"/>
                <w:b/>
                <w:bCs/>
                <w:sz w:val="20"/>
                <w:szCs w:val="20"/>
                <w:lang w:eastAsia="cs-CZ"/>
              </w:rPr>
            </w:pPr>
          </w:p>
        </w:tc>
        <w:tc>
          <w:tcPr>
            <w:tcW w:w="1615" w:type="dxa"/>
            <w:tcBorders>
              <w:top w:val="nil"/>
              <w:left w:val="nil"/>
              <w:bottom w:val="nil"/>
              <w:right w:val="nil"/>
            </w:tcBorders>
            <w:shd w:val="clear" w:color="auto" w:fill="auto"/>
            <w:noWrap/>
            <w:vAlign w:val="center"/>
            <w:hideMark/>
          </w:tcPr>
          <w:p w14:paraId="33E2FAED" w14:textId="77777777" w:rsidR="004F0D9D" w:rsidRPr="00F15667" w:rsidRDefault="004F0D9D" w:rsidP="0041601E">
            <w:pPr>
              <w:spacing w:line="240" w:lineRule="auto"/>
              <w:jc w:val="center"/>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center"/>
            <w:hideMark/>
          </w:tcPr>
          <w:p w14:paraId="25C121B4" w14:textId="77777777" w:rsidR="004F0D9D" w:rsidRPr="00F15667" w:rsidRDefault="004F0D9D" w:rsidP="0041601E">
            <w:pPr>
              <w:spacing w:line="240" w:lineRule="auto"/>
              <w:jc w:val="center"/>
              <w:rPr>
                <w:rFonts w:ascii="Times New Roman" w:eastAsia="Times New Roman" w:hAnsi="Times New Roman"/>
                <w:sz w:val="20"/>
                <w:szCs w:val="20"/>
                <w:lang w:eastAsia="cs-CZ"/>
              </w:rPr>
            </w:pPr>
          </w:p>
        </w:tc>
      </w:tr>
    </w:tbl>
    <w:p w14:paraId="0FE4F88F" w14:textId="7D1D6246" w:rsidR="004F0D9D" w:rsidRPr="00F15667" w:rsidRDefault="004F0D9D" w:rsidP="004F0D9D">
      <w:pPr>
        <w:pStyle w:val="OdstavecASR"/>
      </w:pPr>
      <w:r w:rsidRPr="00F15667">
        <w:t xml:space="preserve">V tabulce vidíme, že relativní změny jsou u některých soudů poměrně významné (o desítky procent). Absolutní změny jsou ale opět malé. Výsledky v této podkapitole korespondují s výsledky </w:t>
      </w:r>
      <w:r w:rsidRPr="00F15667">
        <w:lastRenderedPageBreak/>
        <w:t>z podkapitol </w:t>
      </w:r>
      <w:r w:rsidRPr="00F15667">
        <w:fldChar w:fldCharType="begin"/>
      </w:r>
      <w:r w:rsidRPr="00F15667">
        <w:instrText xml:space="preserve"> REF _Ref511391169 \r \h  \* MERGEFORMAT </w:instrText>
      </w:r>
      <w:r w:rsidRPr="00F15667">
        <w:fldChar w:fldCharType="separate"/>
      </w:r>
      <w:r w:rsidR="001E1A67">
        <w:t>3.5.1</w:t>
      </w:r>
      <w:r w:rsidRPr="00F15667">
        <w:fldChar w:fldCharType="end"/>
      </w:r>
      <w:r w:rsidRPr="00F15667">
        <w:t xml:space="preserve"> a </w:t>
      </w:r>
      <w:r w:rsidRPr="00F15667">
        <w:fldChar w:fldCharType="begin"/>
      </w:r>
      <w:r w:rsidRPr="00F15667">
        <w:instrText xml:space="preserve"> REF _Ref40897302 \r \h  \* MERGEFORMAT </w:instrText>
      </w:r>
      <w:r w:rsidRPr="00F15667">
        <w:fldChar w:fldCharType="separate"/>
      </w:r>
      <w:r w:rsidR="001E1A67">
        <w:t>3.5.2</w:t>
      </w:r>
      <w:r w:rsidRPr="00F15667">
        <w:fldChar w:fldCharType="end"/>
      </w:r>
      <w:r w:rsidRPr="00F15667">
        <w:t>. Agenda je ze statistického hlediska na vyřizování v zásadě bezproblémová.</w:t>
      </w:r>
    </w:p>
    <w:p w14:paraId="441737DE" w14:textId="77777777" w:rsidR="004F0D9D" w:rsidRPr="00F15667" w:rsidRDefault="004F0D9D">
      <w:pPr>
        <w:spacing w:after="160" w:line="259" w:lineRule="auto"/>
        <w:jc w:val="left"/>
      </w:pPr>
      <w:r w:rsidRPr="00F15667">
        <w:br w:type="page"/>
      </w:r>
    </w:p>
    <w:p w14:paraId="4C3CFCB6" w14:textId="49C71C2F" w:rsidR="008430BD" w:rsidRPr="00F15667" w:rsidRDefault="008430BD" w:rsidP="008430BD">
      <w:pPr>
        <w:pStyle w:val="Nadpis2"/>
        <w:numPr>
          <w:ilvl w:val="1"/>
          <w:numId w:val="1"/>
        </w:numPr>
        <w:spacing w:before="120"/>
        <w:rPr>
          <w:color w:val="auto"/>
        </w:rPr>
      </w:pPr>
      <w:bookmarkStart w:id="865" w:name="_Toc515871266"/>
      <w:bookmarkStart w:id="866" w:name="_Ref70586663"/>
      <w:bookmarkStart w:id="867" w:name="_Toc106092774"/>
      <w:bookmarkStart w:id="868" w:name="_Toc144104387"/>
      <w:r w:rsidRPr="00F15667">
        <w:rPr>
          <w:color w:val="auto"/>
        </w:rPr>
        <w:lastRenderedPageBreak/>
        <w:t>Správní agenda</w:t>
      </w:r>
      <w:bookmarkEnd w:id="865"/>
      <w:bookmarkEnd w:id="866"/>
      <w:bookmarkEnd w:id="867"/>
      <w:bookmarkEnd w:id="868"/>
    </w:p>
    <w:p w14:paraId="27BCAA6B" w14:textId="77777777" w:rsidR="004F0D9D" w:rsidRPr="00F15667" w:rsidRDefault="004F0D9D" w:rsidP="004F0D9D">
      <w:pPr>
        <w:pStyle w:val="OdstavecASR"/>
      </w:pPr>
      <w:r w:rsidRPr="00F15667">
        <w:t>Správní agenda krajských soudů zahrnuje rejstříky A (všeobecná správní agenda), Af (agenda ve věcech finanční správy), Ad (sociální a důchodová agenda) a Az (azylová agenda). V roce 2010 došlo ke změně ve vykazování. Do roku 2009 totiž správní agenda zahrnovala rejstříky Az, Ca a Cad. K žádným dalším změnám ve vedení statistik nedošlo. V roce 2012 došlo ke změně v příslušnosti správních soudů, která do určité míry ulevila Městskému soudu v Praze. Tento soud totiž byl na správním úseku dlouhodobě přetížený.</w:t>
      </w:r>
    </w:p>
    <w:p w14:paraId="527DB0FD" w14:textId="79BDB71C" w:rsidR="008430BD" w:rsidRPr="00F15667" w:rsidRDefault="008430BD" w:rsidP="008430BD">
      <w:pPr>
        <w:pStyle w:val="Nadpis3"/>
        <w:numPr>
          <w:ilvl w:val="2"/>
          <w:numId w:val="1"/>
        </w:numPr>
        <w:rPr>
          <w:color w:val="auto"/>
        </w:rPr>
      </w:pPr>
      <w:bookmarkStart w:id="869" w:name="_Toc43903076"/>
      <w:bookmarkStart w:id="870" w:name="_Toc106092775"/>
      <w:bookmarkStart w:id="871" w:name="_Toc144104388"/>
      <w:r w:rsidRPr="00F15667">
        <w:rPr>
          <w:color w:val="auto"/>
        </w:rPr>
        <w:t>Délka řízení</w:t>
      </w:r>
      <w:bookmarkEnd w:id="869"/>
      <w:bookmarkEnd w:id="870"/>
      <w:bookmarkEnd w:id="871"/>
    </w:p>
    <w:p w14:paraId="54F771F1" w14:textId="2CF5EC2C" w:rsidR="00AD12F6" w:rsidRPr="00F15667" w:rsidRDefault="00AD12F6" w:rsidP="00AD12F6">
      <w:pPr>
        <w:pStyle w:val="OdstavecASR"/>
      </w:pPr>
      <w:r w:rsidRPr="00F15667">
        <w:t>Kolem roku 2017 se podařilo nepříznivý trend krátkodobě zastavit. V roce 2017 sice mírně vzrostl medián, ale na druhou stranu klesl devadesátý percentil. V roce 2018 dokonce klesl medián, průměr i devadesátý percentil. V roce 2019 a 2020 ale začaly ukazatele opět růst. Průměr a medián byl nejvyšší ve sledovaném období. V roce 2021 došlo k mírnému poklesu. Výše uvedené skutečnosti naznač</w:t>
      </w:r>
      <w:r w:rsidR="00CC6FF4" w:rsidRPr="00F15667">
        <w:t>ovali</w:t>
      </w:r>
      <w:r w:rsidRPr="00F15667">
        <w:t>, že pokud jde o délku řízení, situace ve správním soudnictví se doposud výrazněji nezlepšila. Nicméně se změnilo složení portfolia vyřizovaných věcí v daném období, kde se zvýšil podíl vyřízení dlouhodobě nevyřízených věcí; to naznač</w:t>
      </w:r>
      <w:r w:rsidR="005D4592" w:rsidRPr="00F15667">
        <w:t>ovalo</w:t>
      </w:r>
      <w:r w:rsidRPr="00F15667">
        <w:t>, že ke zlepšení délek řízení by mělo dojít v dohledné době.</w:t>
      </w:r>
      <w:r w:rsidR="00CC6FF4" w:rsidRPr="00F15667">
        <w:t xml:space="preserve"> A to se stalo v roce 2022, kdy došlo k významnému poklesu v délkách řízení: medián klesl o 62 dnů a je nejnižší od roku 2013, průměr klesl o 72 dnů a je nejnižší od roku 2012 a percentil 90 klesl o 190 dnů a je nejnižší od roku 2011. Postupné vylepšování statistik nevyřízených věcí se tedy nakonec zřejmě promítlo i do délek řízení, alespoň tedy u </w:t>
      </w:r>
      <w:r w:rsidR="00D27D3C">
        <w:t>nejvíce</w:t>
      </w:r>
      <w:r w:rsidR="00D27D3C" w:rsidRPr="00F15667">
        <w:t xml:space="preserve"> </w:t>
      </w:r>
      <w:r w:rsidR="00CC6FF4" w:rsidRPr="00F15667">
        <w:t>přetížených soudů.</w:t>
      </w:r>
    </w:p>
    <w:p w14:paraId="33DB1FD1" w14:textId="1EE6ECDB" w:rsidR="00AD12F6" w:rsidRPr="00F15667" w:rsidRDefault="00AD12F6" w:rsidP="00AD12F6">
      <w:pPr>
        <w:pStyle w:val="Podnadpis"/>
        <w:numPr>
          <w:ilvl w:val="0"/>
          <w:numId w:val="0"/>
        </w:numPr>
        <w:rPr>
          <w:color w:val="auto"/>
        </w:rPr>
      </w:pPr>
      <w:bookmarkStart w:id="872" w:name="_Toc75952249"/>
      <w:bookmarkStart w:id="873" w:name="_Toc106106708"/>
      <w:bookmarkStart w:id="874" w:name="_Toc109802032"/>
      <w:bookmarkStart w:id="875" w:name="_Toc144104182"/>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70</w:t>
      </w:r>
      <w:r w:rsidR="009A10E2" w:rsidRPr="00F15667">
        <w:rPr>
          <w:color w:val="auto"/>
        </w:rPr>
        <w:fldChar w:fldCharType="end"/>
      </w:r>
      <w:r w:rsidRPr="00F15667">
        <w:rPr>
          <w:color w:val="auto"/>
        </w:rPr>
        <w:t>: KS – délka správního řízení u KS v letech 2008–202</w:t>
      </w:r>
      <w:bookmarkEnd w:id="872"/>
      <w:bookmarkEnd w:id="873"/>
      <w:bookmarkEnd w:id="874"/>
      <w:r w:rsidRPr="00F15667">
        <w:rPr>
          <w:color w:val="auto"/>
        </w:rPr>
        <w:t>2</w:t>
      </w:r>
      <w:bookmarkEnd w:id="875"/>
    </w:p>
    <w:p w14:paraId="69741292" w14:textId="168ADF94" w:rsidR="00AD12F6" w:rsidRPr="00F15667" w:rsidRDefault="00CC6FF4" w:rsidP="0041601E">
      <w:pPr>
        <w:pStyle w:val="OdstavecASR"/>
      </w:pPr>
      <w:r w:rsidRPr="00F15667">
        <w:rPr>
          <w:noProof/>
          <w:lang w:eastAsia="cs-CZ"/>
        </w:rPr>
        <w:drawing>
          <wp:inline distT="0" distB="0" distL="0" distR="0" wp14:anchorId="075DEC66" wp14:editId="596BC5AA">
            <wp:extent cx="5029200" cy="3657600"/>
            <wp:effectExtent l="0" t="0" r="0" b="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BF0AEB0" w14:textId="77777777" w:rsidR="00CC6FF4" w:rsidRPr="0041601E" w:rsidRDefault="00CC6FF4" w:rsidP="0041601E">
      <w:pPr>
        <w:pStyle w:val="OdstavecASR"/>
      </w:pPr>
      <w:r w:rsidRPr="00F15667">
        <w:br w:type="page"/>
      </w:r>
    </w:p>
    <w:p w14:paraId="23AD415D" w14:textId="70686D9B" w:rsidR="00DB200B" w:rsidRPr="00F15667" w:rsidRDefault="00CC6FF4" w:rsidP="00CC6FF4">
      <w:pPr>
        <w:pStyle w:val="Podnadpis"/>
        <w:rPr>
          <w:color w:val="auto"/>
        </w:rPr>
      </w:pPr>
      <w:bookmarkStart w:id="876" w:name="_Toc144104306"/>
      <w:r w:rsidRPr="00F15667">
        <w:rPr>
          <w:color w:val="auto"/>
        </w:rPr>
        <w:lastRenderedPageBreak/>
        <w:t xml:space="preserve">Tabulka </w:t>
      </w:r>
      <w:r w:rsidR="00D27D3C" w:rsidRPr="00F15667">
        <w:rPr>
          <w:noProof/>
          <w:color w:val="auto"/>
        </w:rPr>
        <w:fldChar w:fldCharType="begin"/>
      </w:r>
      <w:r w:rsidR="00D27D3C" w:rsidRPr="00F15667">
        <w:rPr>
          <w:noProof/>
          <w:color w:val="auto"/>
        </w:rPr>
        <w:instrText xml:space="preserve"> SEQ Tabulka \* ARABIC </w:instrText>
      </w:r>
      <w:r w:rsidR="00D27D3C" w:rsidRPr="00F15667">
        <w:rPr>
          <w:noProof/>
          <w:color w:val="auto"/>
        </w:rPr>
        <w:fldChar w:fldCharType="separate"/>
      </w:r>
      <w:r w:rsidR="001E1A67">
        <w:rPr>
          <w:noProof/>
          <w:color w:val="auto"/>
        </w:rPr>
        <w:t>67</w:t>
      </w:r>
      <w:r w:rsidR="00D27D3C" w:rsidRPr="00F15667">
        <w:rPr>
          <w:noProof/>
          <w:color w:val="auto"/>
        </w:rPr>
        <w:fldChar w:fldCharType="end"/>
      </w:r>
      <w:r w:rsidRPr="00F15667">
        <w:rPr>
          <w:color w:val="auto"/>
        </w:rPr>
        <w:t>: KS – délky správního řízení dle soudů</w:t>
      </w:r>
      <w:bookmarkEnd w:id="876"/>
    </w:p>
    <w:tbl>
      <w:tblPr>
        <w:tblW w:w="8534" w:type="dxa"/>
        <w:tblCellMar>
          <w:left w:w="70" w:type="dxa"/>
          <w:right w:w="70" w:type="dxa"/>
        </w:tblCellMar>
        <w:tblLook w:val="04A0" w:firstRow="1" w:lastRow="0" w:firstColumn="1" w:lastColumn="0" w:noHBand="0" w:noVBand="1"/>
      </w:tblPr>
      <w:tblGrid>
        <w:gridCol w:w="2480"/>
        <w:gridCol w:w="1064"/>
        <w:gridCol w:w="1003"/>
        <w:gridCol w:w="6"/>
        <w:gridCol w:w="1117"/>
        <w:gridCol w:w="878"/>
        <w:gridCol w:w="14"/>
        <w:gridCol w:w="951"/>
        <w:gridCol w:w="1003"/>
        <w:gridCol w:w="18"/>
      </w:tblGrid>
      <w:tr w:rsidR="00F15667" w:rsidRPr="00F15667" w14:paraId="02FC0FD8" w14:textId="77777777" w:rsidTr="0041601E">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31B1AF8" w14:textId="062AFCBA" w:rsidR="00CC6FF4" w:rsidRPr="00F15667" w:rsidRDefault="0041601E" w:rsidP="0041601E">
            <w:pPr>
              <w:spacing w:line="240" w:lineRule="auto"/>
              <w:jc w:val="center"/>
              <w:rPr>
                <w:rFonts w:eastAsia="Times New Roman"/>
                <w:b/>
                <w:bCs/>
                <w:szCs w:val="24"/>
                <w:lang w:eastAsia="cs-CZ"/>
              </w:rPr>
            </w:pPr>
            <w:r>
              <w:rPr>
                <w:rFonts w:eastAsia="Times New Roman"/>
                <w:b/>
                <w:bCs/>
                <w:szCs w:val="24"/>
                <w:lang w:eastAsia="cs-CZ"/>
              </w:rPr>
              <w:t>S</w:t>
            </w:r>
            <w:r w:rsidR="00CC6FF4" w:rsidRPr="00F15667">
              <w:rPr>
                <w:rFonts w:eastAsia="Times New Roman"/>
                <w:b/>
                <w:bCs/>
                <w:szCs w:val="24"/>
                <w:lang w:eastAsia="cs-CZ"/>
              </w:rPr>
              <w:t>oud</w:t>
            </w:r>
          </w:p>
        </w:tc>
        <w:tc>
          <w:tcPr>
            <w:tcW w:w="6054" w:type="dxa"/>
            <w:gridSpan w:val="9"/>
            <w:tcBorders>
              <w:top w:val="double" w:sz="6" w:space="0" w:color="auto"/>
              <w:left w:val="nil"/>
              <w:bottom w:val="nil"/>
              <w:right w:val="nil"/>
            </w:tcBorders>
            <w:shd w:val="clear" w:color="auto" w:fill="auto"/>
            <w:noWrap/>
            <w:vAlign w:val="center"/>
            <w:hideMark/>
          </w:tcPr>
          <w:p w14:paraId="01E68153" w14:textId="77777777" w:rsidR="00CC6FF4" w:rsidRPr="00F15667" w:rsidRDefault="00CC6FF4" w:rsidP="0041601E">
            <w:pPr>
              <w:spacing w:line="240" w:lineRule="auto"/>
              <w:jc w:val="center"/>
              <w:rPr>
                <w:rFonts w:eastAsia="Times New Roman"/>
                <w:b/>
                <w:bCs/>
                <w:szCs w:val="24"/>
                <w:lang w:eastAsia="cs-CZ"/>
              </w:rPr>
            </w:pPr>
            <w:r w:rsidRPr="00F15667">
              <w:rPr>
                <w:rFonts w:eastAsia="Times New Roman"/>
                <w:b/>
                <w:bCs/>
                <w:szCs w:val="24"/>
                <w:lang w:eastAsia="cs-CZ"/>
              </w:rPr>
              <w:t>Délka řízení</w:t>
            </w:r>
          </w:p>
        </w:tc>
      </w:tr>
      <w:tr w:rsidR="00F15667" w:rsidRPr="00F15667" w14:paraId="60460985" w14:textId="77777777" w:rsidTr="0041601E">
        <w:trPr>
          <w:trHeight w:val="330"/>
        </w:trPr>
        <w:tc>
          <w:tcPr>
            <w:tcW w:w="2480" w:type="dxa"/>
            <w:vMerge/>
            <w:tcBorders>
              <w:top w:val="double" w:sz="6" w:space="0" w:color="auto"/>
              <w:left w:val="nil"/>
              <w:bottom w:val="double" w:sz="6" w:space="0" w:color="000000"/>
              <w:right w:val="nil"/>
            </w:tcBorders>
            <w:vAlign w:val="center"/>
            <w:hideMark/>
          </w:tcPr>
          <w:p w14:paraId="1AF877E9" w14:textId="77777777" w:rsidR="00CC6FF4" w:rsidRPr="00F15667" w:rsidRDefault="00CC6FF4" w:rsidP="0041601E">
            <w:pPr>
              <w:spacing w:line="240" w:lineRule="auto"/>
              <w:jc w:val="center"/>
              <w:rPr>
                <w:rFonts w:eastAsia="Times New Roman"/>
                <w:b/>
                <w:bCs/>
                <w:szCs w:val="24"/>
                <w:lang w:eastAsia="cs-CZ"/>
              </w:rPr>
            </w:pPr>
          </w:p>
        </w:tc>
        <w:tc>
          <w:tcPr>
            <w:tcW w:w="2073" w:type="dxa"/>
            <w:gridSpan w:val="3"/>
            <w:tcBorders>
              <w:top w:val="nil"/>
              <w:left w:val="nil"/>
              <w:bottom w:val="double" w:sz="6" w:space="0" w:color="auto"/>
              <w:right w:val="nil"/>
            </w:tcBorders>
            <w:shd w:val="clear" w:color="auto" w:fill="auto"/>
            <w:noWrap/>
            <w:vAlign w:val="center"/>
            <w:hideMark/>
          </w:tcPr>
          <w:p w14:paraId="491CF716" w14:textId="77777777" w:rsidR="00CC6FF4" w:rsidRPr="00F15667" w:rsidRDefault="00CC6FF4" w:rsidP="0041601E">
            <w:pPr>
              <w:spacing w:line="240" w:lineRule="auto"/>
              <w:jc w:val="center"/>
              <w:rPr>
                <w:rFonts w:eastAsia="Times New Roman"/>
                <w:b/>
                <w:bCs/>
                <w:szCs w:val="24"/>
                <w:lang w:eastAsia="cs-CZ"/>
              </w:rPr>
            </w:pPr>
            <w:r w:rsidRPr="00F15667">
              <w:rPr>
                <w:rFonts w:eastAsia="Times New Roman"/>
                <w:b/>
                <w:bCs/>
                <w:szCs w:val="24"/>
                <w:lang w:eastAsia="cs-CZ"/>
              </w:rPr>
              <w:t>Průměr</w:t>
            </w:r>
          </w:p>
        </w:tc>
        <w:tc>
          <w:tcPr>
            <w:tcW w:w="2009"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773FEA32" w14:textId="77777777" w:rsidR="00CC6FF4" w:rsidRPr="00F15667" w:rsidRDefault="00CC6FF4" w:rsidP="0041601E">
            <w:pPr>
              <w:spacing w:line="240" w:lineRule="auto"/>
              <w:jc w:val="center"/>
              <w:rPr>
                <w:rFonts w:eastAsia="Times New Roman"/>
                <w:b/>
                <w:bCs/>
                <w:szCs w:val="24"/>
                <w:lang w:eastAsia="cs-CZ"/>
              </w:rPr>
            </w:pPr>
            <w:r w:rsidRPr="00F15667">
              <w:rPr>
                <w:rFonts w:eastAsia="Times New Roman"/>
                <w:b/>
                <w:bCs/>
                <w:szCs w:val="24"/>
                <w:lang w:eastAsia="cs-CZ"/>
              </w:rPr>
              <w:t>Medián</w:t>
            </w:r>
          </w:p>
        </w:tc>
        <w:tc>
          <w:tcPr>
            <w:tcW w:w="1972" w:type="dxa"/>
            <w:gridSpan w:val="3"/>
            <w:tcBorders>
              <w:top w:val="nil"/>
              <w:left w:val="nil"/>
              <w:bottom w:val="double" w:sz="6" w:space="0" w:color="auto"/>
              <w:right w:val="nil"/>
            </w:tcBorders>
            <w:shd w:val="clear" w:color="auto" w:fill="auto"/>
            <w:noWrap/>
            <w:vAlign w:val="center"/>
            <w:hideMark/>
          </w:tcPr>
          <w:p w14:paraId="6A086CE2" w14:textId="77777777" w:rsidR="00CC6FF4" w:rsidRPr="00F15667" w:rsidRDefault="00CC6FF4" w:rsidP="0041601E">
            <w:pPr>
              <w:spacing w:line="240" w:lineRule="auto"/>
              <w:jc w:val="center"/>
              <w:rPr>
                <w:rFonts w:eastAsia="Times New Roman"/>
                <w:b/>
                <w:bCs/>
                <w:szCs w:val="24"/>
                <w:lang w:eastAsia="cs-CZ"/>
              </w:rPr>
            </w:pPr>
            <w:r w:rsidRPr="00F15667">
              <w:rPr>
                <w:rFonts w:eastAsia="Times New Roman"/>
                <w:b/>
                <w:bCs/>
                <w:szCs w:val="24"/>
                <w:lang w:eastAsia="cs-CZ"/>
              </w:rPr>
              <w:t>Percentil 90</w:t>
            </w:r>
          </w:p>
        </w:tc>
      </w:tr>
      <w:tr w:rsidR="00F15667" w:rsidRPr="00F15667" w14:paraId="2E8E4FAC" w14:textId="77777777" w:rsidTr="0041601E">
        <w:trPr>
          <w:gridAfter w:val="1"/>
          <w:wAfter w:w="18" w:type="dxa"/>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79E810F9" w14:textId="77777777" w:rsidR="00CC6FF4" w:rsidRPr="00F15667" w:rsidRDefault="00CC6FF4" w:rsidP="0041601E">
            <w:pPr>
              <w:spacing w:line="240" w:lineRule="auto"/>
              <w:jc w:val="left"/>
              <w:rPr>
                <w:rFonts w:eastAsia="Times New Roman"/>
                <w:szCs w:val="24"/>
                <w:lang w:eastAsia="cs-CZ"/>
              </w:rPr>
            </w:pPr>
            <w:r w:rsidRPr="00F15667">
              <w:rPr>
                <w:rFonts w:eastAsia="Times New Roman"/>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center"/>
            <w:hideMark/>
          </w:tcPr>
          <w:p w14:paraId="56E0229B"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532</w:t>
            </w:r>
          </w:p>
        </w:tc>
        <w:tc>
          <w:tcPr>
            <w:tcW w:w="1003" w:type="dxa"/>
            <w:tcBorders>
              <w:top w:val="single" w:sz="4" w:space="0" w:color="auto"/>
              <w:left w:val="nil"/>
              <w:bottom w:val="single" w:sz="4" w:space="0" w:color="auto"/>
              <w:right w:val="nil"/>
            </w:tcBorders>
            <w:shd w:val="clear" w:color="auto" w:fill="auto"/>
            <w:noWrap/>
            <w:vAlign w:val="center"/>
            <w:hideMark/>
          </w:tcPr>
          <w:p w14:paraId="6F9C81C7" w14:textId="2D4E00E1"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-17 %</w:t>
            </w:r>
          </w:p>
        </w:tc>
        <w:tc>
          <w:tcPr>
            <w:tcW w:w="1123" w:type="dxa"/>
            <w:gridSpan w:val="2"/>
            <w:tcBorders>
              <w:top w:val="nil"/>
              <w:left w:val="single" w:sz="4" w:space="0" w:color="auto"/>
              <w:bottom w:val="single" w:sz="4" w:space="0" w:color="auto"/>
              <w:right w:val="nil"/>
            </w:tcBorders>
            <w:shd w:val="clear" w:color="auto" w:fill="auto"/>
            <w:noWrap/>
            <w:vAlign w:val="center"/>
            <w:hideMark/>
          </w:tcPr>
          <w:p w14:paraId="622B9797"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463</w:t>
            </w:r>
          </w:p>
        </w:tc>
        <w:tc>
          <w:tcPr>
            <w:tcW w:w="878" w:type="dxa"/>
            <w:tcBorders>
              <w:top w:val="nil"/>
              <w:left w:val="nil"/>
              <w:bottom w:val="single" w:sz="4" w:space="0" w:color="auto"/>
              <w:right w:val="single" w:sz="4" w:space="0" w:color="auto"/>
            </w:tcBorders>
            <w:shd w:val="clear" w:color="auto" w:fill="auto"/>
            <w:noWrap/>
            <w:vAlign w:val="center"/>
            <w:hideMark/>
          </w:tcPr>
          <w:p w14:paraId="3D637610" w14:textId="24849507"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-18 %</w:t>
            </w:r>
          </w:p>
        </w:tc>
        <w:tc>
          <w:tcPr>
            <w:tcW w:w="965" w:type="dxa"/>
            <w:gridSpan w:val="2"/>
            <w:tcBorders>
              <w:top w:val="single" w:sz="4" w:space="0" w:color="auto"/>
              <w:left w:val="nil"/>
              <w:bottom w:val="single" w:sz="4" w:space="0" w:color="auto"/>
              <w:right w:val="nil"/>
            </w:tcBorders>
            <w:shd w:val="clear" w:color="auto" w:fill="auto"/>
            <w:noWrap/>
            <w:vAlign w:val="center"/>
            <w:hideMark/>
          </w:tcPr>
          <w:p w14:paraId="2BB52778" w14:textId="62546E9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046</w:t>
            </w:r>
          </w:p>
        </w:tc>
        <w:tc>
          <w:tcPr>
            <w:tcW w:w="1003" w:type="dxa"/>
            <w:tcBorders>
              <w:top w:val="single" w:sz="4" w:space="0" w:color="auto"/>
              <w:left w:val="nil"/>
              <w:bottom w:val="single" w:sz="4" w:space="0" w:color="auto"/>
              <w:right w:val="nil"/>
            </w:tcBorders>
            <w:shd w:val="clear" w:color="auto" w:fill="auto"/>
            <w:noWrap/>
            <w:vAlign w:val="center"/>
            <w:hideMark/>
          </w:tcPr>
          <w:p w14:paraId="5FB7F066" w14:textId="0D55E67E"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-18 %</w:t>
            </w:r>
          </w:p>
        </w:tc>
      </w:tr>
      <w:tr w:rsidR="00F15667" w:rsidRPr="00F15667" w14:paraId="40808523" w14:textId="77777777" w:rsidTr="0041601E">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2493526D" w14:textId="77777777" w:rsidR="00CC6FF4" w:rsidRPr="00F15667" w:rsidRDefault="00CC6FF4" w:rsidP="0041601E">
            <w:pPr>
              <w:spacing w:line="240" w:lineRule="auto"/>
              <w:jc w:val="left"/>
              <w:rPr>
                <w:rFonts w:eastAsia="Times New Roman"/>
                <w:szCs w:val="24"/>
                <w:lang w:eastAsia="cs-CZ"/>
              </w:rPr>
            </w:pPr>
            <w:r w:rsidRPr="00F15667">
              <w:rPr>
                <w:rFonts w:eastAsia="Times New Roman"/>
                <w:szCs w:val="24"/>
                <w:lang w:eastAsia="cs-CZ"/>
              </w:rPr>
              <w:t>KS Praha</w:t>
            </w:r>
          </w:p>
        </w:tc>
        <w:tc>
          <w:tcPr>
            <w:tcW w:w="1064" w:type="dxa"/>
            <w:tcBorders>
              <w:top w:val="nil"/>
              <w:left w:val="nil"/>
              <w:bottom w:val="single" w:sz="4" w:space="0" w:color="auto"/>
              <w:right w:val="nil"/>
            </w:tcBorders>
            <w:shd w:val="clear" w:color="auto" w:fill="auto"/>
            <w:noWrap/>
            <w:vAlign w:val="center"/>
            <w:hideMark/>
          </w:tcPr>
          <w:p w14:paraId="42CDEA60"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345</w:t>
            </w:r>
          </w:p>
        </w:tc>
        <w:tc>
          <w:tcPr>
            <w:tcW w:w="1003" w:type="dxa"/>
            <w:tcBorders>
              <w:top w:val="nil"/>
              <w:left w:val="nil"/>
              <w:bottom w:val="single" w:sz="4" w:space="0" w:color="auto"/>
              <w:right w:val="nil"/>
            </w:tcBorders>
            <w:shd w:val="clear" w:color="auto" w:fill="auto"/>
            <w:noWrap/>
            <w:vAlign w:val="center"/>
            <w:hideMark/>
          </w:tcPr>
          <w:p w14:paraId="70A5495A" w14:textId="3378250C"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-29 %</w:t>
            </w:r>
          </w:p>
        </w:tc>
        <w:tc>
          <w:tcPr>
            <w:tcW w:w="1123" w:type="dxa"/>
            <w:gridSpan w:val="2"/>
            <w:tcBorders>
              <w:top w:val="nil"/>
              <w:left w:val="single" w:sz="4" w:space="0" w:color="auto"/>
              <w:bottom w:val="single" w:sz="4" w:space="0" w:color="auto"/>
              <w:right w:val="nil"/>
            </w:tcBorders>
            <w:shd w:val="clear" w:color="auto" w:fill="auto"/>
            <w:noWrap/>
            <w:vAlign w:val="center"/>
            <w:hideMark/>
          </w:tcPr>
          <w:p w14:paraId="0FFBF1CB"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299</w:t>
            </w:r>
          </w:p>
        </w:tc>
        <w:tc>
          <w:tcPr>
            <w:tcW w:w="878" w:type="dxa"/>
            <w:tcBorders>
              <w:top w:val="nil"/>
              <w:left w:val="nil"/>
              <w:bottom w:val="single" w:sz="4" w:space="0" w:color="auto"/>
              <w:right w:val="single" w:sz="4" w:space="0" w:color="auto"/>
            </w:tcBorders>
            <w:shd w:val="clear" w:color="auto" w:fill="auto"/>
            <w:noWrap/>
            <w:vAlign w:val="center"/>
            <w:hideMark/>
          </w:tcPr>
          <w:p w14:paraId="4F77A208" w14:textId="23321CD2"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-35 %</w:t>
            </w:r>
          </w:p>
        </w:tc>
        <w:tc>
          <w:tcPr>
            <w:tcW w:w="965" w:type="dxa"/>
            <w:gridSpan w:val="2"/>
            <w:tcBorders>
              <w:top w:val="nil"/>
              <w:left w:val="nil"/>
              <w:bottom w:val="single" w:sz="4" w:space="0" w:color="auto"/>
              <w:right w:val="nil"/>
            </w:tcBorders>
            <w:shd w:val="clear" w:color="auto" w:fill="auto"/>
            <w:noWrap/>
            <w:vAlign w:val="center"/>
            <w:hideMark/>
          </w:tcPr>
          <w:p w14:paraId="3B8FE9F8"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785</w:t>
            </w:r>
          </w:p>
        </w:tc>
        <w:tc>
          <w:tcPr>
            <w:tcW w:w="1003" w:type="dxa"/>
            <w:tcBorders>
              <w:top w:val="nil"/>
              <w:left w:val="nil"/>
              <w:bottom w:val="single" w:sz="4" w:space="0" w:color="auto"/>
              <w:right w:val="nil"/>
            </w:tcBorders>
            <w:shd w:val="clear" w:color="auto" w:fill="auto"/>
            <w:noWrap/>
            <w:vAlign w:val="center"/>
            <w:hideMark/>
          </w:tcPr>
          <w:p w14:paraId="1B0F9980" w14:textId="54886780"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-16 %</w:t>
            </w:r>
          </w:p>
        </w:tc>
      </w:tr>
      <w:tr w:rsidR="00F15667" w:rsidRPr="00F15667" w14:paraId="02B82F72" w14:textId="77777777" w:rsidTr="0041601E">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1D806E0D" w14:textId="77777777" w:rsidR="00CC6FF4" w:rsidRPr="00F15667" w:rsidRDefault="00CC6FF4" w:rsidP="0041601E">
            <w:pPr>
              <w:spacing w:line="240" w:lineRule="auto"/>
              <w:jc w:val="left"/>
              <w:rPr>
                <w:rFonts w:eastAsia="Times New Roman"/>
                <w:szCs w:val="24"/>
                <w:lang w:eastAsia="cs-CZ"/>
              </w:rPr>
            </w:pPr>
            <w:r w:rsidRPr="00F15667">
              <w:rPr>
                <w:rFonts w:eastAsia="Times New Roman"/>
                <w:szCs w:val="24"/>
                <w:lang w:eastAsia="cs-CZ"/>
              </w:rPr>
              <w:t>KS Č. Budějovice</w:t>
            </w:r>
          </w:p>
        </w:tc>
        <w:tc>
          <w:tcPr>
            <w:tcW w:w="1064" w:type="dxa"/>
            <w:tcBorders>
              <w:top w:val="nil"/>
              <w:left w:val="nil"/>
              <w:bottom w:val="single" w:sz="4" w:space="0" w:color="auto"/>
              <w:right w:val="nil"/>
            </w:tcBorders>
            <w:shd w:val="clear" w:color="auto" w:fill="auto"/>
            <w:noWrap/>
            <w:vAlign w:val="center"/>
            <w:hideMark/>
          </w:tcPr>
          <w:p w14:paraId="630AB67F"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285</w:t>
            </w:r>
          </w:p>
        </w:tc>
        <w:tc>
          <w:tcPr>
            <w:tcW w:w="1003" w:type="dxa"/>
            <w:tcBorders>
              <w:top w:val="nil"/>
              <w:left w:val="nil"/>
              <w:bottom w:val="single" w:sz="4" w:space="0" w:color="auto"/>
              <w:right w:val="nil"/>
            </w:tcBorders>
            <w:shd w:val="clear" w:color="auto" w:fill="auto"/>
            <w:noWrap/>
            <w:vAlign w:val="center"/>
            <w:hideMark/>
          </w:tcPr>
          <w:p w14:paraId="2D0814CF" w14:textId="0FF770B8"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+40 %</w:t>
            </w:r>
          </w:p>
        </w:tc>
        <w:tc>
          <w:tcPr>
            <w:tcW w:w="1123" w:type="dxa"/>
            <w:gridSpan w:val="2"/>
            <w:tcBorders>
              <w:top w:val="nil"/>
              <w:left w:val="single" w:sz="4" w:space="0" w:color="auto"/>
              <w:bottom w:val="single" w:sz="4" w:space="0" w:color="auto"/>
              <w:right w:val="nil"/>
            </w:tcBorders>
            <w:shd w:val="clear" w:color="auto" w:fill="auto"/>
            <w:noWrap/>
            <w:vAlign w:val="center"/>
            <w:hideMark/>
          </w:tcPr>
          <w:p w14:paraId="2A13078B"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163</w:t>
            </w:r>
          </w:p>
        </w:tc>
        <w:tc>
          <w:tcPr>
            <w:tcW w:w="878" w:type="dxa"/>
            <w:tcBorders>
              <w:top w:val="nil"/>
              <w:left w:val="nil"/>
              <w:bottom w:val="single" w:sz="4" w:space="0" w:color="auto"/>
              <w:right w:val="single" w:sz="4" w:space="0" w:color="auto"/>
            </w:tcBorders>
            <w:shd w:val="clear" w:color="auto" w:fill="auto"/>
            <w:noWrap/>
            <w:vAlign w:val="center"/>
            <w:hideMark/>
          </w:tcPr>
          <w:p w14:paraId="371517C5" w14:textId="22AC06CE"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965" w:type="dxa"/>
            <w:gridSpan w:val="2"/>
            <w:tcBorders>
              <w:top w:val="nil"/>
              <w:left w:val="nil"/>
              <w:bottom w:val="single" w:sz="4" w:space="0" w:color="auto"/>
              <w:right w:val="nil"/>
            </w:tcBorders>
            <w:shd w:val="clear" w:color="auto" w:fill="auto"/>
            <w:noWrap/>
            <w:vAlign w:val="center"/>
            <w:hideMark/>
          </w:tcPr>
          <w:p w14:paraId="3F3DA3DA"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703</w:t>
            </w:r>
          </w:p>
        </w:tc>
        <w:tc>
          <w:tcPr>
            <w:tcW w:w="1003" w:type="dxa"/>
            <w:tcBorders>
              <w:top w:val="nil"/>
              <w:left w:val="nil"/>
              <w:bottom w:val="single" w:sz="4" w:space="0" w:color="auto"/>
              <w:right w:val="nil"/>
            </w:tcBorders>
            <w:shd w:val="clear" w:color="auto" w:fill="auto"/>
            <w:noWrap/>
            <w:vAlign w:val="center"/>
            <w:hideMark/>
          </w:tcPr>
          <w:p w14:paraId="3AC3C061" w14:textId="3C8DDD02"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+96 %</w:t>
            </w:r>
          </w:p>
        </w:tc>
      </w:tr>
      <w:tr w:rsidR="00F15667" w:rsidRPr="00F15667" w14:paraId="6E4E4FD4" w14:textId="77777777" w:rsidTr="0041601E">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6F00D299" w14:textId="77777777" w:rsidR="00CC6FF4" w:rsidRPr="00F15667" w:rsidRDefault="00CC6FF4" w:rsidP="0041601E">
            <w:pPr>
              <w:spacing w:line="240" w:lineRule="auto"/>
              <w:jc w:val="left"/>
              <w:rPr>
                <w:rFonts w:eastAsia="Times New Roman"/>
                <w:szCs w:val="24"/>
                <w:lang w:eastAsia="cs-CZ"/>
              </w:rPr>
            </w:pPr>
            <w:r w:rsidRPr="00F15667">
              <w:rPr>
                <w:rFonts w:eastAsia="Times New Roman"/>
                <w:szCs w:val="24"/>
                <w:lang w:eastAsia="cs-CZ"/>
              </w:rPr>
              <w:t>KS Plzeň</w:t>
            </w:r>
          </w:p>
        </w:tc>
        <w:tc>
          <w:tcPr>
            <w:tcW w:w="1064" w:type="dxa"/>
            <w:tcBorders>
              <w:top w:val="nil"/>
              <w:left w:val="nil"/>
              <w:bottom w:val="single" w:sz="4" w:space="0" w:color="auto"/>
              <w:right w:val="nil"/>
            </w:tcBorders>
            <w:shd w:val="clear" w:color="auto" w:fill="auto"/>
            <w:noWrap/>
            <w:vAlign w:val="center"/>
            <w:hideMark/>
          </w:tcPr>
          <w:p w14:paraId="0D9C1B8B"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302</w:t>
            </w:r>
          </w:p>
        </w:tc>
        <w:tc>
          <w:tcPr>
            <w:tcW w:w="1003" w:type="dxa"/>
            <w:tcBorders>
              <w:top w:val="nil"/>
              <w:left w:val="nil"/>
              <w:bottom w:val="single" w:sz="4" w:space="0" w:color="auto"/>
              <w:right w:val="nil"/>
            </w:tcBorders>
            <w:shd w:val="clear" w:color="auto" w:fill="auto"/>
            <w:noWrap/>
            <w:vAlign w:val="center"/>
            <w:hideMark/>
          </w:tcPr>
          <w:p w14:paraId="38D95387" w14:textId="29647D34"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123" w:type="dxa"/>
            <w:gridSpan w:val="2"/>
            <w:tcBorders>
              <w:top w:val="nil"/>
              <w:left w:val="single" w:sz="4" w:space="0" w:color="auto"/>
              <w:bottom w:val="single" w:sz="4" w:space="0" w:color="auto"/>
              <w:right w:val="nil"/>
            </w:tcBorders>
            <w:shd w:val="clear" w:color="auto" w:fill="auto"/>
            <w:noWrap/>
            <w:vAlign w:val="center"/>
            <w:hideMark/>
          </w:tcPr>
          <w:p w14:paraId="04662615"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211</w:t>
            </w:r>
          </w:p>
        </w:tc>
        <w:tc>
          <w:tcPr>
            <w:tcW w:w="878" w:type="dxa"/>
            <w:tcBorders>
              <w:top w:val="nil"/>
              <w:left w:val="nil"/>
              <w:bottom w:val="single" w:sz="4" w:space="0" w:color="auto"/>
              <w:right w:val="single" w:sz="4" w:space="0" w:color="auto"/>
            </w:tcBorders>
            <w:shd w:val="clear" w:color="auto" w:fill="auto"/>
            <w:noWrap/>
            <w:vAlign w:val="center"/>
            <w:hideMark/>
          </w:tcPr>
          <w:p w14:paraId="5DCFA468" w14:textId="0F2407D0"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965" w:type="dxa"/>
            <w:gridSpan w:val="2"/>
            <w:tcBorders>
              <w:top w:val="nil"/>
              <w:left w:val="nil"/>
              <w:bottom w:val="single" w:sz="4" w:space="0" w:color="auto"/>
              <w:right w:val="nil"/>
            </w:tcBorders>
            <w:shd w:val="clear" w:color="auto" w:fill="auto"/>
            <w:noWrap/>
            <w:vAlign w:val="center"/>
            <w:hideMark/>
          </w:tcPr>
          <w:p w14:paraId="01E30D24"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766</w:t>
            </w:r>
          </w:p>
        </w:tc>
        <w:tc>
          <w:tcPr>
            <w:tcW w:w="1003" w:type="dxa"/>
            <w:tcBorders>
              <w:top w:val="nil"/>
              <w:left w:val="nil"/>
              <w:bottom w:val="single" w:sz="4" w:space="0" w:color="auto"/>
              <w:right w:val="nil"/>
            </w:tcBorders>
            <w:shd w:val="clear" w:color="auto" w:fill="auto"/>
            <w:noWrap/>
            <w:vAlign w:val="center"/>
            <w:hideMark/>
          </w:tcPr>
          <w:p w14:paraId="7E7BCC01" w14:textId="744C7AD2"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r>
      <w:tr w:rsidR="00F15667" w:rsidRPr="00F15667" w14:paraId="3843570A" w14:textId="77777777" w:rsidTr="0041601E">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4D596689" w14:textId="77777777" w:rsidR="00CC6FF4" w:rsidRPr="00F15667" w:rsidRDefault="00CC6FF4" w:rsidP="0041601E">
            <w:pPr>
              <w:spacing w:line="240" w:lineRule="auto"/>
              <w:jc w:val="left"/>
              <w:rPr>
                <w:rFonts w:eastAsia="Times New Roman"/>
                <w:szCs w:val="24"/>
                <w:lang w:eastAsia="cs-CZ"/>
              </w:rPr>
            </w:pPr>
            <w:r w:rsidRPr="00F15667">
              <w:rPr>
                <w:rFonts w:eastAsia="Times New Roman"/>
                <w:szCs w:val="24"/>
                <w:lang w:eastAsia="cs-CZ"/>
              </w:rPr>
              <w:t>KS Ústí n. Labem</w:t>
            </w:r>
          </w:p>
        </w:tc>
        <w:tc>
          <w:tcPr>
            <w:tcW w:w="1064" w:type="dxa"/>
            <w:tcBorders>
              <w:top w:val="nil"/>
              <w:left w:val="nil"/>
              <w:bottom w:val="single" w:sz="4" w:space="0" w:color="auto"/>
              <w:right w:val="nil"/>
            </w:tcBorders>
            <w:shd w:val="clear" w:color="auto" w:fill="auto"/>
            <w:noWrap/>
            <w:vAlign w:val="center"/>
            <w:hideMark/>
          </w:tcPr>
          <w:p w14:paraId="79BF6C9C"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519</w:t>
            </w:r>
          </w:p>
        </w:tc>
        <w:tc>
          <w:tcPr>
            <w:tcW w:w="1003" w:type="dxa"/>
            <w:tcBorders>
              <w:top w:val="nil"/>
              <w:left w:val="nil"/>
              <w:bottom w:val="single" w:sz="4" w:space="0" w:color="auto"/>
              <w:right w:val="nil"/>
            </w:tcBorders>
            <w:shd w:val="clear" w:color="auto" w:fill="auto"/>
            <w:noWrap/>
            <w:vAlign w:val="center"/>
            <w:hideMark/>
          </w:tcPr>
          <w:p w14:paraId="3FB68A84" w14:textId="3510B656"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-18 %</w:t>
            </w:r>
          </w:p>
        </w:tc>
        <w:tc>
          <w:tcPr>
            <w:tcW w:w="1123" w:type="dxa"/>
            <w:gridSpan w:val="2"/>
            <w:tcBorders>
              <w:top w:val="nil"/>
              <w:left w:val="single" w:sz="4" w:space="0" w:color="auto"/>
              <w:bottom w:val="single" w:sz="4" w:space="0" w:color="auto"/>
              <w:right w:val="nil"/>
            </w:tcBorders>
            <w:shd w:val="clear" w:color="auto" w:fill="auto"/>
            <w:noWrap/>
            <w:vAlign w:val="center"/>
            <w:hideMark/>
          </w:tcPr>
          <w:p w14:paraId="58ECCEE1"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458</w:t>
            </w:r>
          </w:p>
        </w:tc>
        <w:tc>
          <w:tcPr>
            <w:tcW w:w="878" w:type="dxa"/>
            <w:tcBorders>
              <w:top w:val="nil"/>
              <w:left w:val="nil"/>
              <w:bottom w:val="single" w:sz="4" w:space="0" w:color="auto"/>
              <w:right w:val="single" w:sz="4" w:space="0" w:color="auto"/>
            </w:tcBorders>
            <w:shd w:val="clear" w:color="auto" w:fill="auto"/>
            <w:noWrap/>
            <w:vAlign w:val="center"/>
            <w:hideMark/>
          </w:tcPr>
          <w:p w14:paraId="0FC98148" w14:textId="5D2FD862"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-25 %</w:t>
            </w:r>
          </w:p>
        </w:tc>
        <w:tc>
          <w:tcPr>
            <w:tcW w:w="965" w:type="dxa"/>
            <w:gridSpan w:val="2"/>
            <w:tcBorders>
              <w:top w:val="nil"/>
              <w:left w:val="nil"/>
              <w:bottom w:val="single" w:sz="4" w:space="0" w:color="auto"/>
              <w:right w:val="nil"/>
            </w:tcBorders>
            <w:shd w:val="clear" w:color="auto" w:fill="auto"/>
            <w:noWrap/>
            <w:vAlign w:val="center"/>
            <w:hideMark/>
          </w:tcPr>
          <w:p w14:paraId="40715E14" w14:textId="0379E41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017</w:t>
            </w:r>
          </w:p>
        </w:tc>
        <w:tc>
          <w:tcPr>
            <w:tcW w:w="1003" w:type="dxa"/>
            <w:tcBorders>
              <w:top w:val="nil"/>
              <w:left w:val="nil"/>
              <w:bottom w:val="single" w:sz="4" w:space="0" w:color="auto"/>
              <w:right w:val="nil"/>
            </w:tcBorders>
            <w:shd w:val="clear" w:color="auto" w:fill="auto"/>
            <w:noWrap/>
            <w:vAlign w:val="center"/>
            <w:hideMark/>
          </w:tcPr>
          <w:p w14:paraId="58330493" w14:textId="0F8D0AF6"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-18 %</w:t>
            </w:r>
          </w:p>
        </w:tc>
      </w:tr>
      <w:tr w:rsidR="00F15667" w:rsidRPr="00F15667" w14:paraId="0D933B91" w14:textId="77777777" w:rsidTr="0041601E">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0A6EFA18" w14:textId="77777777" w:rsidR="00CC6FF4" w:rsidRPr="00F15667" w:rsidRDefault="00CC6FF4" w:rsidP="0041601E">
            <w:pPr>
              <w:spacing w:line="240" w:lineRule="auto"/>
              <w:jc w:val="left"/>
              <w:rPr>
                <w:rFonts w:eastAsia="Times New Roman"/>
                <w:szCs w:val="24"/>
                <w:lang w:eastAsia="cs-CZ"/>
              </w:rPr>
            </w:pPr>
            <w:r w:rsidRPr="00F15667">
              <w:rPr>
                <w:rFonts w:eastAsia="Times New Roman"/>
                <w:szCs w:val="24"/>
                <w:lang w:eastAsia="cs-CZ"/>
              </w:rPr>
              <w:t>KS Hr. Králové</w:t>
            </w:r>
          </w:p>
        </w:tc>
        <w:tc>
          <w:tcPr>
            <w:tcW w:w="1064" w:type="dxa"/>
            <w:tcBorders>
              <w:top w:val="nil"/>
              <w:left w:val="nil"/>
              <w:bottom w:val="single" w:sz="4" w:space="0" w:color="auto"/>
              <w:right w:val="nil"/>
            </w:tcBorders>
            <w:shd w:val="clear" w:color="auto" w:fill="auto"/>
            <w:noWrap/>
            <w:vAlign w:val="center"/>
            <w:hideMark/>
          </w:tcPr>
          <w:p w14:paraId="5E7D2DEE"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297</w:t>
            </w:r>
          </w:p>
        </w:tc>
        <w:tc>
          <w:tcPr>
            <w:tcW w:w="1003" w:type="dxa"/>
            <w:tcBorders>
              <w:top w:val="nil"/>
              <w:left w:val="nil"/>
              <w:bottom w:val="single" w:sz="4" w:space="0" w:color="auto"/>
              <w:right w:val="nil"/>
            </w:tcBorders>
            <w:shd w:val="clear" w:color="auto" w:fill="auto"/>
            <w:noWrap/>
            <w:vAlign w:val="center"/>
            <w:hideMark/>
          </w:tcPr>
          <w:p w14:paraId="0357DAAE" w14:textId="30EA2D4D"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-19 %</w:t>
            </w:r>
          </w:p>
        </w:tc>
        <w:tc>
          <w:tcPr>
            <w:tcW w:w="1123" w:type="dxa"/>
            <w:gridSpan w:val="2"/>
            <w:tcBorders>
              <w:top w:val="nil"/>
              <w:left w:val="single" w:sz="4" w:space="0" w:color="auto"/>
              <w:bottom w:val="single" w:sz="4" w:space="0" w:color="auto"/>
              <w:right w:val="nil"/>
            </w:tcBorders>
            <w:shd w:val="clear" w:color="auto" w:fill="auto"/>
            <w:noWrap/>
            <w:vAlign w:val="center"/>
            <w:hideMark/>
          </w:tcPr>
          <w:p w14:paraId="5C6D092B"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220</w:t>
            </w:r>
          </w:p>
        </w:tc>
        <w:tc>
          <w:tcPr>
            <w:tcW w:w="878" w:type="dxa"/>
            <w:tcBorders>
              <w:top w:val="nil"/>
              <w:left w:val="nil"/>
              <w:bottom w:val="single" w:sz="4" w:space="0" w:color="auto"/>
              <w:right w:val="single" w:sz="4" w:space="0" w:color="auto"/>
            </w:tcBorders>
            <w:shd w:val="clear" w:color="auto" w:fill="auto"/>
            <w:noWrap/>
            <w:vAlign w:val="center"/>
            <w:hideMark/>
          </w:tcPr>
          <w:p w14:paraId="5E05AD28" w14:textId="22D8A3B6"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-30 %</w:t>
            </w:r>
          </w:p>
        </w:tc>
        <w:tc>
          <w:tcPr>
            <w:tcW w:w="965" w:type="dxa"/>
            <w:gridSpan w:val="2"/>
            <w:tcBorders>
              <w:top w:val="nil"/>
              <w:left w:val="nil"/>
              <w:bottom w:val="single" w:sz="4" w:space="0" w:color="auto"/>
              <w:right w:val="nil"/>
            </w:tcBorders>
            <w:shd w:val="clear" w:color="auto" w:fill="auto"/>
            <w:noWrap/>
            <w:vAlign w:val="center"/>
            <w:hideMark/>
          </w:tcPr>
          <w:p w14:paraId="1AD0BF03"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585</w:t>
            </w:r>
          </w:p>
        </w:tc>
        <w:tc>
          <w:tcPr>
            <w:tcW w:w="1003" w:type="dxa"/>
            <w:tcBorders>
              <w:top w:val="nil"/>
              <w:left w:val="nil"/>
              <w:bottom w:val="single" w:sz="4" w:space="0" w:color="auto"/>
              <w:right w:val="nil"/>
            </w:tcBorders>
            <w:shd w:val="clear" w:color="auto" w:fill="auto"/>
            <w:noWrap/>
            <w:vAlign w:val="center"/>
            <w:hideMark/>
          </w:tcPr>
          <w:p w14:paraId="553C83A5" w14:textId="6C0D548E"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-17 %</w:t>
            </w:r>
          </w:p>
        </w:tc>
      </w:tr>
      <w:tr w:rsidR="00F15667" w:rsidRPr="00F15667" w14:paraId="0C827EEC" w14:textId="77777777" w:rsidTr="0041601E">
        <w:trPr>
          <w:gridAfter w:val="1"/>
          <w:wAfter w:w="18" w:type="dxa"/>
          <w:trHeight w:val="315"/>
        </w:trPr>
        <w:tc>
          <w:tcPr>
            <w:tcW w:w="2480" w:type="dxa"/>
            <w:tcBorders>
              <w:top w:val="nil"/>
              <w:left w:val="nil"/>
              <w:bottom w:val="single" w:sz="4" w:space="0" w:color="auto"/>
              <w:right w:val="nil"/>
            </w:tcBorders>
            <w:shd w:val="clear" w:color="auto" w:fill="auto"/>
            <w:noWrap/>
            <w:vAlign w:val="center"/>
            <w:hideMark/>
          </w:tcPr>
          <w:p w14:paraId="6460EF5B" w14:textId="77777777" w:rsidR="00CC6FF4" w:rsidRPr="00F15667" w:rsidRDefault="00CC6FF4" w:rsidP="0041601E">
            <w:pPr>
              <w:spacing w:line="240" w:lineRule="auto"/>
              <w:jc w:val="left"/>
              <w:rPr>
                <w:rFonts w:eastAsia="Times New Roman"/>
                <w:szCs w:val="24"/>
                <w:lang w:eastAsia="cs-CZ"/>
              </w:rPr>
            </w:pPr>
            <w:r w:rsidRPr="00F15667">
              <w:rPr>
                <w:rFonts w:eastAsia="Times New Roman"/>
                <w:szCs w:val="24"/>
                <w:lang w:eastAsia="cs-CZ"/>
              </w:rPr>
              <w:t>KS Brno</w:t>
            </w:r>
          </w:p>
        </w:tc>
        <w:tc>
          <w:tcPr>
            <w:tcW w:w="1064" w:type="dxa"/>
            <w:tcBorders>
              <w:top w:val="nil"/>
              <w:left w:val="nil"/>
              <w:bottom w:val="single" w:sz="4" w:space="0" w:color="auto"/>
              <w:right w:val="nil"/>
            </w:tcBorders>
            <w:shd w:val="clear" w:color="auto" w:fill="auto"/>
            <w:noWrap/>
            <w:vAlign w:val="center"/>
            <w:hideMark/>
          </w:tcPr>
          <w:p w14:paraId="75CB7369"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509</w:t>
            </w:r>
          </w:p>
        </w:tc>
        <w:tc>
          <w:tcPr>
            <w:tcW w:w="1003" w:type="dxa"/>
            <w:tcBorders>
              <w:top w:val="nil"/>
              <w:left w:val="nil"/>
              <w:bottom w:val="single" w:sz="4" w:space="0" w:color="auto"/>
              <w:right w:val="nil"/>
            </w:tcBorders>
            <w:shd w:val="clear" w:color="auto" w:fill="auto"/>
            <w:noWrap/>
            <w:vAlign w:val="center"/>
            <w:hideMark/>
          </w:tcPr>
          <w:p w14:paraId="19177EEE" w14:textId="5671CAD0"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-9 %</w:t>
            </w:r>
          </w:p>
        </w:tc>
        <w:tc>
          <w:tcPr>
            <w:tcW w:w="1123" w:type="dxa"/>
            <w:gridSpan w:val="2"/>
            <w:tcBorders>
              <w:top w:val="nil"/>
              <w:left w:val="single" w:sz="4" w:space="0" w:color="auto"/>
              <w:bottom w:val="single" w:sz="4" w:space="0" w:color="auto"/>
              <w:right w:val="nil"/>
            </w:tcBorders>
            <w:shd w:val="clear" w:color="auto" w:fill="auto"/>
            <w:noWrap/>
            <w:vAlign w:val="center"/>
            <w:hideMark/>
          </w:tcPr>
          <w:p w14:paraId="356D26A3"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492</w:t>
            </w:r>
          </w:p>
        </w:tc>
        <w:tc>
          <w:tcPr>
            <w:tcW w:w="878" w:type="dxa"/>
            <w:tcBorders>
              <w:top w:val="nil"/>
              <w:left w:val="nil"/>
              <w:bottom w:val="single" w:sz="4" w:space="0" w:color="auto"/>
              <w:right w:val="single" w:sz="4" w:space="0" w:color="auto"/>
            </w:tcBorders>
            <w:shd w:val="clear" w:color="auto" w:fill="auto"/>
            <w:noWrap/>
            <w:vAlign w:val="center"/>
            <w:hideMark/>
          </w:tcPr>
          <w:p w14:paraId="376FFB34" w14:textId="667E77E2"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-18 %</w:t>
            </w:r>
          </w:p>
        </w:tc>
        <w:tc>
          <w:tcPr>
            <w:tcW w:w="965" w:type="dxa"/>
            <w:gridSpan w:val="2"/>
            <w:tcBorders>
              <w:top w:val="nil"/>
              <w:left w:val="nil"/>
              <w:bottom w:val="single" w:sz="4" w:space="0" w:color="auto"/>
              <w:right w:val="nil"/>
            </w:tcBorders>
            <w:shd w:val="clear" w:color="auto" w:fill="auto"/>
            <w:noWrap/>
            <w:vAlign w:val="center"/>
            <w:hideMark/>
          </w:tcPr>
          <w:p w14:paraId="5E04D860"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888</w:t>
            </w:r>
          </w:p>
        </w:tc>
        <w:tc>
          <w:tcPr>
            <w:tcW w:w="1003" w:type="dxa"/>
            <w:tcBorders>
              <w:top w:val="nil"/>
              <w:left w:val="nil"/>
              <w:bottom w:val="single" w:sz="4" w:space="0" w:color="auto"/>
              <w:right w:val="nil"/>
            </w:tcBorders>
            <w:shd w:val="clear" w:color="auto" w:fill="auto"/>
            <w:noWrap/>
            <w:vAlign w:val="center"/>
            <w:hideMark/>
          </w:tcPr>
          <w:p w14:paraId="7AEDB695" w14:textId="1CCA0FA4"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+2 %</w:t>
            </w:r>
          </w:p>
        </w:tc>
      </w:tr>
      <w:tr w:rsidR="00F15667" w:rsidRPr="00F15667" w14:paraId="2F1FDED7" w14:textId="77777777" w:rsidTr="0041601E">
        <w:trPr>
          <w:gridAfter w:val="1"/>
          <w:wAfter w:w="18" w:type="dxa"/>
          <w:trHeight w:val="330"/>
        </w:trPr>
        <w:tc>
          <w:tcPr>
            <w:tcW w:w="2480" w:type="dxa"/>
            <w:tcBorders>
              <w:top w:val="nil"/>
              <w:left w:val="nil"/>
              <w:bottom w:val="double" w:sz="6" w:space="0" w:color="auto"/>
              <w:right w:val="nil"/>
            </w:tcBorders>
            <w:shd w:val="clear" w:color="auto" w:fill="auto"/>
            <w:noWrap/>
            <w:vAlign w:val="center"/>
            <w:hideMark/>
          </w:tcPr>
          <w:p w14:paraId="054BE2E7" w14:textId="77777777" w:rsidR="00CC6FF4" w:rsidRPr="00F15667" w:rsidRDefault="00CC6FF4" w:rsidP="0041601E">
            <w:pPr>
              <w:spacing w:line="240" w:lineRule="auto"/>
              <w:jc w:val="left"/>
              <w:rPr>
                <w:rFonts w:eastAsia="Times New Roman"/>
                <w:szCs w:val="24"/>
                <w:lang w:eastAsia="cs-CZ"/>
              </w:rPr>
            </w:pPr>
            <w:r w:rsidRPr="00F15667">
              <w:rPr>
                <w:rFonts w:eastAsia="Times New Roman"/>
                <w:szCs w:val="24"/>
                <w:lang w:eastAsia="cs-CZ"/>
              </w:rPr>
              <w:t>KS Ostrava</w:t>
            </w:r>
          </w:p>
        </w:tc>
        <w:tc>
          <w:tcPr>
            <w:tcW w:w="1064" w:type="dxa"/>
            <w:tcBorders>
              <w:top w:val="nil"/>
              <w:left w:val="nil"/>
              <w:bottom w:val="double" w:sz="6" w:space="0" w:color="auto"/>
              <w:right w:val="nil"/>
            </w:tcBorders>
            <w:shd w:val="clear" w:color="auto" w:fill="auto"/>
            <w:noWrap/>
            <w:vAlign w:val="center"/>
            <w:hideMark/>
          </w:tcPr>
          <w:p w14:paraId="4B4C701D"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290</w:t>
            </w:r>
          </w:p>
        </w:tc>
        <w:tc>
          <w:tcPr>
            <w:tcW w:w="1003" w:type="dxa"/>
            <w:tcBorders>
              <w:top w:val="nil"/>
              <w:left w:val="nil"/>
              <w:bottom w:val="double" w:sz="6" w:space="0" w:color="auto"/>
              <w:right w:val="nil"/>
            </w:tcBorders>
            <w:shd w:val="clear" w:color="auto" w:fill="auto"/>
            <w:noWrap/>
            <w:vAlign w:val="center"/>
            <w:hideMark/>
          </w:tcPr>
          <w:p w14:paraId="4E75EB37" w14:textId="0EC6C7B2"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123" w:type="dxa"/>
            <w:gridSpan w:val="2"/>
            <w:tcBorders>
              <w:top w:val="nil"/>
              <w:left w:val="single" w:sz="4" w:space="0" w:color="auto"/>
              <w:bottom w:val="double" w:sz="6" w:space="0" w:color="auto"/>
              <w:right w:val="nil"/>
            </w:tcBorders>
            <w:shd w:val="clear" w:color="auto" w:fill="auto"/>
            <w:noWrap/>
            <w:vAlign w:val="center"/>
            <w:hideMark/>
          </w:tcPr>
          <w:p w14:paraId="1CCD7F4A"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213</w:t>
            </w:r>
          </w:p>
        </w:tc>
        <w:tc>
          <w:tcPr>
            <w:tcW w:w="878" w:type="dxa"/>
            <w:tcBorders>
              <w:top w:val="nil"/>
              <w:left w:val="nil"/>
              <w:bottom w:val="double" w:sz="6" w:space="0" w:color="auto"/>
              <w:right w:val="single" w:sz="4" w:space="0" w:color="auto"/>
            </w:tcBorders>
            <w:shd w:val="clear" w:color="auto" w:fill="auto"/>
            <w:noWrap/>
            <w:vAlign w:val="center"/>
            <w:hideMark/>
          </w:tcPr>
          <w:p w14:paraId="1298F95A" w14:textId="7AE7A538"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965" w:type="dxa"/>
            <w:gridSpan w:val="2"/>
            <w:tcBorders>
              <w:top w:val="nil"/>
              <w:left w:val="nil"/>
              <w:bottom w:val="double" w:sz="6" w:space="0" w:color="auto"/>
              <w:right w:val="nil"/>
            </w:tcBorders>
            <w:shd w:val="clear" w:color="auto" w:fill="auto"/>
            <w:noWrap/>
            <w:vAlign w:val="center"/>
            <w:hideMark/>
          </w:tcPr>
          <w:p w14:paraId="11A29F68" w14:textId="77777777" w:rsidR="00CC6FF4" w:rsidRPr="00F15667" w:rsidRDefault="00CC6FF4" w:rsidP="0041601E">
            <w:pPr>
              <w:spacing w:line="240" w:lineRule="auto"/>
              <w:jc w:val="center"/>
              <w:rPr>
                <w:rFonts w:eastAsia="Times New Roman"/>
                <w:szCs w:val="24"/>
                <w:lang w:eastAsia="cs-CZ"/>
              </w:rPr>
            </w:pPr>
            <w:r w:rsidRPr="00F15667">
              <w:rPr>
                <w:rFonts w:eastAsia="Times New Roman"/>
                <w:szCs w:val="24"/>
                <w:lang w:eastAsia="cs-CZ"/>
              </w:rPr>
              <w:t>586</w:t>
            </w:r>
          </w:p>
        </w:tc>
        <w:tc>
          <w:tcPr>
            <w:tcW w:w="1003" w:type="dxa"/>
            <w:tcBorders>
              <w:top w:val="nil"/>
              <w:left w:val="nil"/>
              <w:bottom w:val="double" w:sz="6" w:space="0" w:color="auto"/>
              <w:right w:val="nil"/>
            </w:tcBorders>
            <w:shd w:val="clear" w:color="auto" w:fill="auto"/>
            <w:noWrap/>
            <w:vAlign w:val="center"/>
            <w:hideMark/>
          </w:tcPr>
          <w:p w14:paraId="26CA049E" w14:textId="23BA3FF8" w:rsidR="00CC6FF4" w:rsidRPr="00F15667" w:rsidRDefault="00CC6FF4" w:rsidP="0041601E">
            <w:pPr>
              <w:spacing w:line="240" w:lineRule="auto"/>
              <w:jc w:val="center"/>
              <w:rPr>
                <w:rFonts w:eastAsia="Times New Roman"/>
                <w:sz w:val="20"/>
                <w:szCs w:val="20"/>
                <w:lang w:eastAsia="cs-CZ"/>
              </w:rPr>
            </w:pPr>
            <w:r w:rsidRPr="00F15667">
              <w:rPr>
                <w:rFonts w:eastAsia="Times New Roman"/>
                <w:sz w:val="20"/>
                <w:szCs w:val="20"/>
                <w:lang w:eastAsia="cs-CZ"/>
              </w:rPr>
              <w:t>+9 %</w:t>
            </w:r>
          </w:p>
        </w:tc>
      </w:tr>
      <w:tr w:rsidR="00F15667" w:rsidRPr="00F15667" w14:paraId="479C8E39" w14:textId="77777777" w:rsidTr="0041601E">
        <w:trPr>
          <w:gridAfter w:val="1"/>
          <w:wAfter w:w="18" w:type="dxa"/>
          <w:trHeight w:val="345"/>
        </w:trPr>
        <w:tc>
          <w:tcPr>
            <w:tcW w:w="2480" w:type="dxa"/>
            <w:tcBorders>
              <w:top w:val="nil"/>
              <w:left w:val="nil"/>
              <w:bottom w:val="double" w:sz="6" w:space="0" w:color="auto"/>
              <w:right w:val="nil"/>
            </w:tcBorders>
            <w:shd w:val="clear" w:color="auto" w:fill="auto"/>
            <w:noWrap/>
            <w:vAlign w:val="center"/>
            <w:hideMark/>
          </w:tcPr>
          <w:p w14:paraId="74B4B5D8" w14:textId="77777777" w:rsidR="00CC6FF4" w:rsidRPr="00F15667" w:rsidRDefault="00CC6FF4" w:rsidP="0041601E">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64" w:type="dxa"/>
            <w:tcBorders>
              <w:top w:val="nil"/>
              <w:left w:val="nil"/>
              <w:bottom w:val="double" w:sz="6" w:space="0" w:color="auto"/>
              <w:right w:val="nil"/>
            </w:tcBorders>
            <w:shd w:val="clear" w:color="auto" w:fill="auto"/>
            <w:noWrap/>
            <w:vAlign w:val="center"/>
            <w:hideMark/>
          </w:tcPr>
          <w:p w14:paraId="53B11435" w14:textId="77777777" w:rsidR="00CC6FF4" w:rsidRPr="00F15667" w:rsidRDefault="00CC6FF4" w:rsidP="0041601E">
            <w:pPr>
              <w:spacing w:line="240" w:lineRule="auto"/>
              <w:jc w:val="center"/>
              <w:rPr>
                <w:rFonts w:eastAsia="Times New Roman"/>
                <w:b/>
                <w:bCs/>
                <w:szCs w:val="24"/>
                <w:lang w:eastAsia="cs-CZ"/>
              </w:rPr>
            </w:pPr>
            <w:r w:rsidRPr="00F15667">
              <w:rPr>
                <w:rFonts w:eastAsia="Times New Roman"/>
                <w:b/>
                <w:bCs/>
                <w:szCs w:val="24"/>
                <w:lang w:eastAsia="cs-CZ"/>
              </w:rPr>
              <w:t>439</w:t>
            </w:r>
          </w:p>
        </w:tc>
        <w:tc>
          <w:tcPr>
            <w:tcW w:w="1003" w:type="dxa"/>
            <w:tcBorders>
              <w:top w:val="nil"/>
              <w:left w:val="nil"/>
              <w:bottom w:val="double" w:sz="6" w:space="0" w:color="auto"/>
              <w:right w:val="nil"/>
            </w:tcBorders>
            <w:shd w:val="clear" w:color="auto" w:fill="auto"/>
            <w:noWrap/>
            <w:vAlign w:val="center"/>
            <w:hideMark/>
          </w:tcPr>
          <w:p w14:paraId="4B610F18" w14:textId="3B34D2DA" w:rsidR="00CC6FF4" w:rsidRPr="00F15667" w:rsidRDefault="00CC6FF4"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-14 %</w:t>
            </w:r>
          </w:p>
        </w:tc>
        <w:tc>
          <w:tcPr>
            <w:tcW w:w="1123" w:type="dxa"/>
            <w:gridSpan w:val="2"/>
            <w:tcBorders>
              <w:top w:val="nil"/>
              <w:left w:val="single" w:sz="4" w:space="0" w:color="auto"/>
              <w:bottom w:val="double" w:sz="6" w:space="0" w:color="auto"/>
              <w:right w:val="nil"/>
            </w:tcBorders>
            <w:shd w:val="clear" w:color="auto" w:fill="auto"/>
            <w:noWrap/>
            <w:vAlign w:val="center"/>
            <w:hideMark/>
          </w:tcPr>
          <w:p w14:paraId="658CDD63" w14:textId="77777777" w:rsidR="00CC6FF4" w:rsidRPr="00F15667" w:rsidRDefault="00CC6FF4" w:rsidP="0041601E">
            <w:pPr>
              <w:spacing w:line="240" w:lineRule="auto"/>
              <w:jc w:val="center"/>
              <w:rPr>
                <w:rFonts w:eastAsia="Times New Roman"/>
                <w:b/>
                <w:bCs/>
                <w:szCs w:val="24"/>
                <w:lang w:eastAsia="cs-CZ"/>
              </w:rPr>
            </w:pPr>
            <w:r w:rsidRPr="00F15667">
              <w:rPr>
                <w:rFonts w:eastAsia="Times New Roman"/>
                <w:b/>
                <w:bCs/>
                <w:szCs w:val="24"/>
                <w:lang w:eastAsia="cs-CZ"/>
              </w:rPr>
              <w:t>353</w:t>
            </w:r>
          </w:p>
        </w:tc>
        <w:tc>
          <w:tcPr>
            <w:tcW w:w="878" w:type="dxa"/>
            <w:tcBorders>
              <w:top w:val="nil"/>
              <w:left w:val="nil"/>
              <w:bottom w:val="double" w:sz="6" w:space="0" w:color="auto"/>
              <w:right w:val="single" w:sz="4" w:space="0" w:color="auto"/>
            </w:tcBorders>
            <w:shd w:val="clear" w:color="auto" w:fill="auto"/>
            <w:noWrap/>
            <w:vAlign w:val="center"/>
            <w:hideMark/>
          </w:tcPr>
          <w:p w14:paraId="68161EB7" w14:textId="7489D327" w:rsidR="00CC6FF4" w:rsidRPr="00F15667" w:rsidRDefault="00CC6FF4"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-15 %</w:t>
            </w:r>
          </w:p>
        </w:tc>
        <w:tc>
          <w:tcPr>
            <w:tcW w:w="965" w:type="dxa"/>
            <w:gridSpan w:val="2"/>
            <w:tcBorders>
              <w:top w:val="nil"/>
              <w:left w:val="nil"/>
              <w:bottom w:val="double" w:sz="6" w:space="0" w:color="auto"/>
              <w:right w:val="nil"/>
            </w:tcBorders>
            <w:shd w:val="clear" w:color="auto" w:fill="auto"/>
            <w:noWrap/>
            <w:vAlign w:val="center"/>
            <w:hideMark/>
          </w:tcPr>
          <w:p w14:paraId="33A54712" w14:textId="77777777" w:rsidR="00CC6FF4" w:rsidRPr="00F15667" w:rsidRDefault="00CC6FF4" w:rsidP="0041601E">
            <w:pPr>
              <w:spacing w:line="240" w:lineRule="auto"/>
              <w:jc w:val="center"/>
              <w:rPr>
                <w:rFonts w:eastAsia="Times New Roman"/>
                <w:b/>
                <w:bCs/>
                <w:szCs w:val="24"/>
                <w:lang w:eastAsia="cs-CZ"/>
              </w:rPr>
            </w:pPr>
            <w:r w:rsidRPr="00F15667">
              <w:rPr>
                <w:rFonts w:eastAsia="Times New Roman"/>
                <w:b/>
                <w:bCs/>
                <w:szCs w:val="24"/>
                <w:lang w:eastAsia="cs-CZ"/>
              </w:rPr>
              <w:t>915</w:t>
            </w:r>
          </w:p>
        </w:tc>
        <w:tc>
          <w:tcPr>
            <w:tcW w:w="1003" w:type="dxa"/>
            <w:tcBorders>
              <w:top w:val="nil"/>
              <w:left w:val="nil"/>
              <w:bottom w:val="double" w:sz="6" w:space="0" w:color="auto"/>
              <w:right w:val="nil"/>
            </w:tcBorders>
            <w:shd w:val="clear" w:color="auto" w:fill="auto"/>
            <w:noWrap/>
            <w:vAlign w:val="center"/>
            <w:hideMark/>
          </w:tcPr>
          <w:p w14:paraId="66A4494A" w14:textId="667676D4" w:rsidR="00CC6FF4" w:rsidRPr="00F15667" w:rsidRDefault="00CC6FF4" w:rsidP="0041601E">
            <w:pPr>
              <w:spacing w:line="240" w:lineRule="auto"/>
              <w:jc w:val="center"/>
              <w:rPr>
                <w:rFonts w:eastAsia="Times New Roman"/>
                <w:b/>
                <w:bCs/>
                <w:sz w:val="20"/>
                <w:szCs w:val="20"/>
                <w:lang w:eastAsia="cs-CZ"/>
              </w:rPr>
            </w:pPr>
            <w:r w:rsidRPr="00F15667">
              <w:rPr>
                <w:rFonts w:eastAsia="Times New Roman"/>
                <w:b/>
                <w:bCs/>
                <w:sz w:val="20"/>
                <w:szCs w:val="20"/>
                <w:lang w:eastAsia="cs-CZ"/>
              </w:rPr>
              <w:t>-17 %</w:t>
            </w:r>
          </w:p>
        </w:tc>
      </w:tr>
      <w:tr w:rsidR="00F15667" w:rsidRPr="00F15667" w14:paraId="5C05D78D" w14:textId="77777777" w:rsidTr="0041601E">
        <w:trPr>
          <w:gridAfter w:val="1"/>
          <w:wAfter w:w="18" w:type="dxa"/>
          <w:trHeight w:val="330"/>
        </w:trPr>
        <w:tc>
          <w:tcPr>
            <w:tcW w:w="2480" w:type="dxa"/>
            <w:tcBorders>
              <w:top w:val="nil"/>
              <w:left w:val="nil"/>
              <w:bottom w:val="nil"/>
              <w:right w:val="nil"/>
            </w:tcBorders>
            <w:shd w:val="clear" w:color="auto" w:fill="auto"/>
            <w:noWrap/>
            <w:vAlign w:val="center"/>
            <w:hideMark/>
          </w:tcPr>
          <w:p w14:paraId="5C090197" w14:textId="77777777" w:rsidR="00CC6FF4" w:rsidRPr="00F15667" w:rsidRDefault="00CC6FF4" w:rsidP="0041601E">
            <w:pPr>
              <w:spacing w:line="240" w:lineRule="auto"/>
              <w:jc w:val="center"/>
              <w:rPr>
                <w:rFonts w:eastAsia="Times New Roman"/>
                <w:b/>
                <w:bCs/>
                <w:sz w:val="20"/>
                <w:szCs w:val="20"/>
                <w:lang w:eastAsia="cs-CZ"/>
              </w:rPr>
            </w:pPr>
          </w:p>
        </w:tc>
        <w:tc>
          <w:tcPr>
            <w:tcW w:w="1064" w:type="dxa"/>
            <w:tcBorders>
              <w:top w:val="nil"/>
              <w:left w:val="nil"/>
              <w:bottom w:val="nil"/>
              <w:right w:val="nil"/>
            </w:tcBorders>
            <w:shd w:val="clear" w:color="auto" w:fill="auto"/>
            <w:noWrap/>
            <w:vAlign w:val="center"/>
            <w:hideMark/>
          </w:tcPr>
          <w:p w14:paraId="608ED25F" w14:textId="77777777" w:rsidR="00CC6FF4" w:rsidRPr="00F15667" w:rsidRDefault="00CC6FF4" w:rsidP="0041601E">
            <w:pPr>
              <w:spacing w:line="240" w:lineRule="auto"/>
              <w:jc w:val="center"/>
              <w:rPr>
                <w:rFonts w:ascii="Times New Roman" w:eastAsia="Times New Roman" w:hAnsi="Times New Roman"/>
                <w:sz w:val="20"/>
                <w:szCs w:val="20"/>
                <w:lang w:eastAsia="cs-CZ"/>
              </w:rPr>
            </w:pPr>
          </w:p>
        </w:tc>
        <w:tc>
          <w:tcPr>
            <w:tcW w:w="1003" w:type="dxa"/>
            <w:tcBorders>
              <w:top w:val="nil"/>
              <w:left w:val="nil"/>
              <w:bottom w:val="nil"/>
              <w:right w:val="nil"/>
            </w:tcBorders>
            <w:shd w:val="clear" w:color="auto" w:fill="auto"/>
            <w:noWrap/>
            <w:vAlign w:val="center"/>
            <w:hideMark/>
          </w:tcPr>
          <w:p w14:paraId="62298284" w14:textId="77777777" w:rsidR="00CC6FF4" w:rsidRPr="00F15667" w:rsidRDefault="00CC6FF4" w:rsidP="0041601E">
            <w:pPr>
              <w:spacing w:line="240" w:lineRule="auto"/>
              <w:jc w:val="center"/>
              <w:rPr>
                <w:rFonts w:ascii="Times New Roman" w:eastAsia="Times New Roman" w:hAnsi="Times New Roman"/>
                <w:sz w:val="20"/>
                <w:szCs w:val="20"/>
                <w:lang w:eastAsia="cs-CZ"/>
              </w:rPr>
            </w:pPr>
          </w:p>
        </w:tc>
        <w:tc>
          <w:tcPr>
            <w:tcW w:w="1123" w:type="dxa"/>
            <w:gridSpan w:val="2"/>
            <w:tcBorders>
              <w:top w:val="nil"/>
              <w:left w:val="nil"/>
              <w:bottom w:val="nil"/>
              <w:right w:val="nil"/>
            </w:tcBorders>
            <w:shd w:val="clear" w:color="auto" w:fill="auto"/>
            <w:noWrap/>
            <w:vAlign w:val="center"/>
            <w:hideMark/>
          </w:tcPr>
          <w:p w14:paraId="6D80F364" w14:textId="77777777" w:rsidR="00CC6FF4" w:rsidRPr="00F15667" w:rsidRDefault="00CC6FF4" w:rsidP="0041601E">
            <w:pPr>
              <w:spacing w:line="240" w:lineRule="auto"/>
              <w:jc w:val="center"/>
              <w:rPr>
                <w:rFonts w:ascii="Times New Roman" w:eastAsia="Times New Roman" w:hAnsi="Times New Roman"/>
                <w:sz w:val="20"/>
                <w:szCs w:val="20"/>
                <w:lang w:eastAsia="cs-CZ"/>
              </w:rPr>
            </w:pPr>
          </w:p>
        </w:tc>
        <w:tc>
          <w:tcPr>
            <w:tcW w:w="878" w:type="dxa"/>
            <w:tcBorders>
              <w:top w:val="nil"/>
              <w:left w:val="nil"/>
              <w:bottom w:val="nil"/>
              <w:right w:val="nil"/>
            </w:tcBorders>
            <w:shd w:val="clear" w:color="auto" w:fill="auto"/>
            <w:noWrap/>
            <w:vAlign w:val="center"/>
            <w:hideMark/>
          </w:tcPr>
          <w:p w14:paraId="070643AF" w14:textId="77777777" w:rsidR="00CC6FF4" w:rsidRPr="00F15667" w:rsidRDefault="00CC6FF4" w:rsidP="0041601E">
            <w:pPr>
              <w:spacing w:line="240" w:lineRule="auto"/>
              <w:jc w:val="center"/>
              <w:rPr>
                <w:rFonts w:ascii="Times New Roman" w:eastAsia="Times New Roman" w:hAnsi="Times New Roman"/>
                <w:sz w:val="20"/>
                <w:szCs w:val="20"/>
                <w:lang w:eastAsia="cs-CZ"/>
              </w:rPr>
            </w:pPr>
          </w:p>
        </w:tc>
        <w:tc>
          <w:tcPr>
            <w:tcW w:w="965" w:type="dxa"/>
            <w:gridSpan w:val="2"/>
            <w:tcBorders>
              <w:top w:val="nil"/>
              <w:left w:val="nil"/>
              <w:bottom w:val="nil"/>
              <w:right w:val="nil"/>
            </w:tcBorders>
            <w:shd w:val="clear" w:color="auto" w:fill="auto"/>
            <w:noWrap/>
            <w:vAlign w:val="center"/>
            <w:hideMark/>
          </w:tcPr>
          <w:p w14:paraId="165F49E6" w14:textId="77777777" w:rsidR="00CC6FF4" w:rsidRPr="00F15667" w:rsidRDefault="00CC6FF4" w:rsidP="0041601E">
            <w:pPr>
              <w:spacing w:line="240" w:lineRule="auto"/>
              <w:jc w:val="center"/>
              <w:rPr>
                <w:rFonts w:ascii="Times New Roman" w:eastAsia="Times New Roman" w:hAnsi="Times New Roman"/>
                <w:sz w:val="20"/>
                <w:szCs w:val="20"/>
                <w:lang w:eastAsia="cs-CZ"/>
              </w:rPr>
            </w:pPr>
          </w:p>
        </w:tc>
        <w:tc>
          <w:tcPr>
            <w:tcW w:w="1003" w:type="dxa"/>
            <w:tcBorders>
              <w:top w:val="nil"/>
              <w:left w:val="nil"/>
              <w:bottom w:val="nil"/>
              <w:right w:val="nil"/>
            </w:tcBorders>
            <w:shd w:val="clear" w:color="auto" w:fill="auto"/>
            <w:noWrap/>
            <w:vAlign w:val="center"/>
            <w:hideMark/>
          </w:tcPr>
          <w:p w14:paraId="60A2AE4E" w14:textId="77777777" w:rsidR="00CC6FF4" w:rsidRPr="00F15667" w:rsidRDefault="00CC6FF4" w:rsidP="0041601E">
            <w:pPr>
              <w:spacing w:line="240" w:lineRule="auto"/>
              <w:jc w:val="center"/>
              <w:rPr>
                <w:rFonts w:ascii="Times New Roman" w:eastAsia="Times New Roman" w:hAnsi="Times New Roman"/>
                <w:sz w:val="20"/>
                <w:szCs w:val="20"/>
                <w:lang w:eastAsia="cs-CZ"/>
              </w:rPr>
            </w:pPr>
          </w:p>
        </w:tc>
      </w:tr>
    </w:tbl>
    <w:p w14:paraId="79C762B9" w14:textId="527ACD64" w:rsidR="006D7B52" w:rsidRPr="00F15667" w:rsidRDefault="006D7B52" w:rsidP="006D7B52">
      <w:pPr>
        <w:pStyle w:val="OdstavecASR"/>
      </w:pPr>
      <w:r w:rsidRPr="00F15667">
        <w:t>Z dat uvedených v tabulce je patrné, že MS Praha vykazuje velmi vysoké délky řízení, což potvrzuje výše uvedené tvrzení o zatíženosti soudů. Vysoké délky řízení rovněž vykazuje i například KS Brno a nejdelší řízení v a KS v Ústí nad Labem. Všechny 3 so</w:t>
      </w:r>
      <w:r w:rsidR="001A3544" w:rsidRPr="00F15667">
        <w:t>u</w:t>
      </w:r>
      <w:r w:rsidRPr="00F15667">
        <w:t>dy ovšem zaznamenal</w:t>
      </w:r>
      <w:r w:rsidR="006023DD" w:rsidRPr="00F15667">
        <w:t>y</w:t>
      </w:r>
      <w:r w:rsidRPr="00F15667">
        <w:t xml:space="preserve"> v roce 2022 výrazné zlepšení. Velmi se také zlepšil</w:t>
      </w:r>
      <w:r w:rsidR="006023DD" w:rsidRPr="00F15667">
        <w:t>y</w:t>
      </w:r>
      <w:r w:rsidRPr="00F15667">
        <w:t xml:space="preserve"> KS Praha a KS Hradec Králové. </w:t>
      </w:r>
      <w:r w:rsidR="001A3544" w:rsidRPr="00F15667">
        <w:t>Naopak značný nárůst je vidět u KS v Českých Budějovicích. Tento soud ale dlouhodobě vykazuje nejlepší statistiky.  I přes zlepšení</w:t>
      </w:r>
      <w:r w:rsidRPr="00F15667">
        <w:t xml:space="preserve"> můžeme konstatovat, že se s délkou řízení potýká většina soudů</w:t>
      </w:r>
      <w:r w:rsidR="001A3544" w:rsidRPr="00F15667">
        <w:t xml:space="preserve"> a je zde stále značný prostor pro zlepšení. Ale rozhodně se nyní podařilo nastolit správný trend.</w:t>
      </w:r>
    </w:p>
    <w:p w14:paraId="793DA2A2" w14:textId="19135C19" w:rsidR="001A3544" w:rsidRPr="00F15667" w:rsidRDefault="001A3544" w:rsidP="001A3544">
      <w:pPr>
        <w:pStyle w:val="Podnadpis"/>
        <w:rPr>
          <w:color w:val="auto"/>
        </w:rPr>
      </w:pPr>
      <w:bookmarkStart w:id="877" w:name="_Toc75952250"/>
      <w:bookmarkStart w:id="878" w:name="_Toc106106709"/>
      <w:bookmarkStart w:id="879" w:name="_Toc109802033"/>
      <w:bookmarkStart w:id="880" w:name="_Toc144104183"/>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71</w:t>
      </w:r>
      <w:r w:rsidR="009A10E2" w:rsidRPr="00F15667">
        <w:rPr>
          <w:color w:val="auto"/>
        </w:rPr>
        <w:fldChar w:fldCharType="end"/>
      </w:r>
      <w:r w:rsidRPr="00F15667">
        <w:rPr>
          <w:color w:val="auto"/>
        </w:rPr>
        <w:t>: KS – distribuce délek správního řízení</w:t>
      </w:r>
      <w:bookmarkEnd w:id="877"/>
      <w:bookmarkEnd w:id="878"/>
      <w:bookmarkEnd w:id="879"/>
      <w:bookmarkEnd w:id="880"/>
    </w:p>
    <w:p w14:paraId="64C576BC" w14:textId="1EAAA06E" w:rsidR="00AD12F6" w:rsidRPr="00F15667" w:rsidRDefault="001A3544" w:rsidP="00DB200B">
      <w:pPr>
        <w:pStyle w:val="OdstavecASR"/>
      </w:pPr>
      <w:r w:rsidRPr="00F15667">
        <w:rPr>
          <w:noProof/>
          <w:lang w:eastAsia="cs-CZ"/>
        </w:rPr>
        <w:drawing>
          <wp:inline distT="0" distB="0" distL="0" distR="0" wp14:anchorId="48FB5F76" wp14:editId="24BA6B14">
            <wp:extent cx="5029200" cy="3657600"/>
            <wp:effectExtent l="0" t="0" r="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F65EC0E" w14:textId="77777777" w:rsidR="001A3544" w:rsidRPr="00F15667" w:rsidRDefault="001A3544" w:rsidP="001A3544">
      <w:pPr>
        <w:pStyle w:val="OdstavecASR"/>
      </w:pPr>
      <w:bookmarkStart w:id="881" w:name="_Hlk68866436"/>
      <w:r w:rsidRPr="00F15667">
        <w:t xml:space="preserve">Stejně jako u ostatních agend jsou na závěr délky řízení zobrazeny v histogramu. Šířka intervalu je 50 dnů. V porovnání s ostatními agendami je ve správní agendě vysoký medián a rovněž distribuce </w:t>
      </w:r>
      <w:r w:rsidRPr="00F15667">
        <w:lastRenderedPageBreak/>
        <w:t>délek řízení je jiná, mnohem „plošší“. Četnost délek řízení tedy klesá s rostoucí délkou řízení mnohem pomaleji.</w:t>
      </w:r>
    </w:p>
    <w:p w14:paraId="0065AE79" w14:textId="4516C183" w:rsidR="008430BD" w:rsidRPr="00F15667" w:rsidRDefault="008430BD" w:rsidP="008430BD">
      <w:pPr>
        <w:pStyle w:val="Nadpis3"/>
        <w:numPr>
          <w:ilvl w:val="2"/>
          <w:numId w:val="1"/>
        </w:numPr>
        <w:rPr>
          <w:color w:val="auto"/>
        </w:rPr>
      </w:pPr>
      <w:bookmarkStart w:id="882" w:name="_Toc515871268"/>
      <w:bookmarkStart w:id="883" w:name="_Toc106092776"/>
      <w:bookmarkStart w:id="884" w:name="_Toc144104389"/>
      <w:bookmarkEnd w:id="881"/>
      <w:r w:rsidRPr="00F15667">
        <w:rPr>
          <w:color w:val="auto"/>
        </w:rPr>
        <w:t>Vyřizování věcí</w:t>
      </w:r>
      <w:bookmarkEnd w:id="882"/>
      <w:bookmarkEnd w:id="883"/>
      <w:bookmarkEnd w:id="884"/>
    </w:p>
    <w:p w14:paraId="06E0C3E2" w14:textId="713F1F13" w:rsidR="004E66CB" w:rsidRPr="00F15667" w:rsidRDefault="007A4C05" w:rsidP="007A4C05">
      <w:pPr>
        <w:pStyle w:val="OdstavecASR"/>
      </w:pPr>
      <w:r w:rsidRPr="00F15667">
        <w:t xml:space="preserve">Z grafu níže je patrné, že nápad se v průběhu let poměrně rychle mění. To může plynout z legislativních změn, ze změn v jednotlivých agendách (např. v azylové agendě) nebo jednorázových šoků. Počet vyřízených věcí samozřejmě s určitým zpožděním kopíruje počet věcí napadlých. </w:t>
      </w:r>
      <w:r w:rsidR="00CF4E52" w:rsidRPr="00F15667">
        <w:t xml:space="preserve">V letech 2014 </w:t>
      </w:r>
      <w:r w:rsidR="0041601E">
        <w:t>–</w:t>
      </w:r>
      <w:r w:rsidR="00CF4E52" w:rsidRPr="00F15667">
        <w:t xml:space="preserve"> 2019</w:t>
      </w:r>
      <w:r w:rsidRPr="00F15667">
        <w:t xml:space="preserve"> vidíme dva znepokojivé jevy. Počet příchozích věcí poměrně rychle stoupal a zároveň převyšoval počet věcí vyřízených, což vedlo k trvalému růstu v počtu nevyřízených věcí. Teprve v roce 2019 došlo k značnému poklesu v počtu příchozích věcí, který se promítnul také na poklesu počtu nevyřízených věcí a na značném poklesu disposition time v těchto letech. Počet vyřízených věcí se ale podařilo soudům udržet na úrovni roku 2019 (zřejmě díky velkému množství nedodělků), což vedlo k výraznému poklesu v počtu nevyřízených věcí. Oproti roku 2018 tak poklesl počet příchozích věcí o 16 % a počet nevyřízených věcí dokonce o 32 %.</w:t>
      </w:r>
    </w:p>
    <w:p w14:paraId="36E17480" w14:textId="40F0AAEF" w:rsidR="004E66CB" w:rsidRPr="00F15667" w:rsidRDefault="004E66CB" w:rsidP="007A4C05">
      <w:pPr>
        <w:pStyle w:val="OdstavecASR"/>
      </w:pPr>
      <w:r w:rsidRPr="00F15667">
        <w:t xml:space="preserve">V roce 2022 došlo k dalšímu </w:t>
      </w:r>
      <w:r w:rsidR="00672A35" w:rsidRPr="00F15667">
        <w:t>velmi prudkému</w:t>
      </w:r>
      <w:r w:rsidRPr="00F15667">
        <w:t xml:space="preserve"> poklesu</w:t>
      </w:r>
      <w:r w:rsidR="00672A35" w:rsidRPr="00F15667">
        <w:t xml:space="preserve"> příchozích, vyřízených i nevyřízených věcí. Pokles v počtu nevyřízených věcí nejen, že nezpomalil, on dokonce ještě akceleroval. Počet nevyřízených věcí klesl od roku 2018 téměř na polovinu a je nejmenší za sledované období.</w:t>
      </w:r>
    </w:p>
    <w:p w14:paraId="53415D3A" w14:textId="3D3DD283" w:rsidR="007A4C05" w:rsidRPr="00F15667" w:rsidRDefault="007A4C05" w:rsidP="007A4C05">
      <w:pPr>
        <w:pStyle w:val="OdstavecASR"/>
      </w:pPr>
      <w:r w:rsidRPr="00F15667">
        <w:t xml:space="preserve">To ukazuje, že situace ve správním soudnictví se z hlediska vyřizování věcí </w:t>
      </w:r>
      <w:r w:rsidR="00672A35" w:rsidRPr="00F15667">
        <w:t>stále velmi r</w:t>
      </w:r>
      <w:r w:rsidRPr="00F15667">
        <w:t>ychle zlepšuje, a to z velké části díky klesajícímu nápadu. Pomohlo nicméně i posílení správních úseků některých soudů.</w:t>
      </w:r>
    </w:p>
    <w:p w14:paraId="11710826" w14:textId="1B41A652" w:rsidR="00672A35" w:rsidRPr="00F15667" w:rsidRDefault="00672A35" w:rsidP="00672A35">
      <w:pPr>
        <w:pStyle w:val="Podnadpis"/>
        <w:numPr>
          <w:ilvl w:val="0"/>
          <w:numId w:val="0"/>
        </w:numPr>
        <w:rPr>
          <w:color w:val="auto"/>
        </w:rPr>
      </w:pPr>
      <w:bookmarkStart w:id="885" w:name="_Toc11135130"/>
      <w:bookmarkStart w:id="886" w:name="_Toc43841449"/>
      <w:bookmarkStart w:id="887" w:name="_Toc75952251"/>
      <w:bookmarkStart w:id="888" w:name="_Toc106106710"/>
      <w:bookmarkStart w:id="889" w:name="_Toc109802034"/>
      <w:bookmarkStart w:id="890" w:name="_Toc144104184"/>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72</w:t>
      </w:r>
      <w:r w:rsidR="009A10E2" w:rsidRPr="00F15667">
        <w:rPr>
          <w:color w:val="auto"/>
        </w:rPr>
        <w:fldChar w:fldCharType="end"/>
      </w:r>
      <w:r w:rsidRPr="00F15667">
        <w:rPr>
          <w:color w:val="auto"/>
        </w:rPr>
        <w:t>: KS – vyřizování správních věcí v letech 2008–20</w:t>
      </w:r>
      <w:bookmarkEnd w:id="885"/>
      <w:bookmarkEnd w:id="886"/>
      <w:r w:rsidRPr="00F15667">
        <w:rPr>
          <w:color w:val="auto"/>
        </w:rPr>
        <w:t>2</w:t>
      </w:r>
      <w:bookmarkEnd w:id="887"/>
      <w:bookmarkEnd w:id="888"/>
      <w:bookmarkEnd w:id="889"/>
      <w:r w:rsidR="00075B6D">
        <w:rPr>
          <w:color w:val="auto"/>
        </w:rPr>
        <w:t>2</w:t>
      </w:r>
      <w:bookmarkEnd w:id="890"/>
    </w:p>
    <w:p w14:paraId="0DA25423" w14:textId="38833DA0" w:rsidR="007A4C05" w:rsidRPr="00F15667" w:rsidRDefault="00672A35" w:rsidP="007A4C05">
      <w:pPr>
        <w:pStyle w:val="OdstavecASR"/>
      </w:pPr>
      <w:r w:rsidRPr="00F15667">
        <w:rPr>
          <w:noProof/>
          <w:lang w:eastAsia="cs-CZ"/>
        </w:rPr>
        <w:drawing>
          <wp:inline distT="0" distB="0" distL="0" distR="0" wp14:anchorId="51BF86BD" wp14:editId="23D1DFF0">
            <wp:extent cx="5029200" cy="3657600"/>
            <wp:effectExtent l="0" t="0" r="0" b="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50A9D4D" w14:textId="61799E20" w:rsidR="00173E09" w:rsidRPr="00F15667" w:rsidRDefault="00173E09">
      <w:pPr>
        <w:spacing w:after="160" w:line="259" w:lineRule="auto"/>
        <w:jc w:val="left"/>
      </w:pPr>
      <w:r w:rsidRPr="00F15667">
        <w:br w:type="page"/>
      </w:r>
    </w:p>
    <w:p w14:paraId="43DDBDC1" w14:textId="6215BDF4" w:rsidR="00173E09" w:rsidRPr="00F15667" w:rsidRDefault="00173E09" w:rsidP="00173E09">
      <w:pPr>
        <w:pStyle w:val="Podnadpis"/>
        <w:rPr>
          <w:color w:val="auto"/>
        </w:rPr>
      </w:pPr>
      <w:bookmarkStart w:id="891" w:name="_Toc75952370"/>
      <w:bookmarkStart w:id="892" w:name="_Toc106106825"/>
      <w:bookmarkStart w:id="893" w:name="_Toc109802148"/>
      <w:bookmarkStart w:id="894" w:name="_Toc144104307"/>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68</w:t>
      </w:r>
      <w:r w:rsidRPr="00F15667">
        <w:rPr>
          <w:noProof/>
          <w:color w:val="auto"/>
        </w:rPr>
        <w:fldChar w:fldCharType="end"/>
      </w:r>
      <w:r w:rsidRPr="00F15667">
        <w:rPr>
          <w:color w:val="auto"/>
        </w:rPr>
        <w:t>: KS – vyřizování správních věcí dle soudů</w:t>
      </w:r>
      <w:bookmarkEnd w:id="891"/>
      <w:bookmarkEnd w:id="892"/>
      <w:bookmarkEnd w:id="893"/>
      <w:bookmarkEnd w:id="894"/>
    </w:p>
    <w:tbl>
      <w:tblPr>
        <w:tblW w:w="9214" w:type="dxa"/>
        <w:tblCellMar>
          <w:left w:w="70" w:type="dxa"/>
          <w:right w:w="70" w:type="dxa"/>
        </w:tblCellMar>
        <w:tblLook w:val="04A0" w:firstRow="1" w:lastRow="0" w:firstColumn="1" w:lastColumn="0" w:noHBand="0" w:noVBand="1"/>
      </w:tblPr>
      <w:tblGrid>
        <w:gridCol w:w="2020"/>
        <w:gridCol w:w="968"/>
        <w:gridCol w:w="887"/>
        <w:gridCol w:w="967"/>
        <w:gridCol w:w="1014"/>
        <w:gridCol w:w="967"/>
        <w:gridCol w:w="897"/>
        <w:gridCol w:w="1494"/>
      </w:tblGrid>
      <w:tr w:rsidR="00F15667" w:rsidRPr="00F15667" w14:paraId="023FC2D9" w14:textId="77777777" w:rsidTr="00287277">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1C37885" w14:textId="3D5B0079" w:rsidR="00173E09" w:rsidRPr="00F15667" w:rsidRDefault="007C7D15" w:rsidP="007C7D15">
            <w:pPr>
              <w:spacing w:line="240" w:lineRule="auto"/>
              <w:jc w:val="center"/>
              <w:rPr>
                <w:rFonts w:eastAsia="Times New Roman"/>
                <w:b/>
                <w:bCs/>
                <w:szCs w:val="24"/>
                <w:lang w:eastAsia="cs-CZ"/>
              </w:rPr>
            </w:pPr>
            <w:r>
              <w:rPr>
                <w:rFonts w:eastAsia="Times New Roman"/>
                <w:b/>
                <w:bCs/>
                <w:szCs w:val="24"/>
                <w:lang w:eastAsia="cs-CZ"/>
              </w:rPr>
              <w:t>S</w:t>
            </w:r>
            <w:r w:rsidR="00173E09" w:rsidRPr="00F15667">
              <w:rPr>
                <w:rFonts w:eastAsia="Times New Roman"/>
                <w:b/>
                <w:bCs/>
                <w:szCs w:val="24"/>
                <w:lang w:eastAsia="cs-CZ"/>
              </w:rPr>
              <w:t>oud</w:t>
            </w:r>
          </w:p>
        </w:tc>
        <w:tc>
          <w:tcPr>
            <w:tcW w:w="5700" w:type="dxa"/>
            <w:gridSpan w:val="6"/>
            <w:tcBorders>
              <w:top w:val="double" w:sz="6" w:space="0" w:color="auto"/>
              <w:left w:val="nil"/>
              <w:bottom w:val="nil"/>
              <w:right w:val="single" w:sz="4" w:space="0" w:color="000000"/>
            </w:tcBorders>
            <w:shd w:val="clear" w:color="auto" w:fill="auto"/>
            <w:noWrap/>
            <w:vAlign w:val="center"/>
            <w:hideMark/>
          </w:tcPr>
          <w:p w14:paraId="02F35BAA" w14:textId="77777777" w:rsidR="00173E09" w:rsidRPr="00F15667" w:rsidRDefault="00173E09" w:rsidP="007C7D15">
            <w:pPr>
              <w:spacing w:line="240" w:lineRule="auto"/>
              <w:jc w:val="center"/>
              <w:rPr>
                <w:rFonts w:eastAsia="Times New Roman"/>
                <w:b/>
                <w:bCs/>
                <w:szCs w:val="24"/>
                <w:lang w:eastAsia="cs-CZ"/>
              </w:rPr>
            </w:pPr>
            <w:r w:rsidRPr="00F15667">
              <w:rPr>
                <w:rFonts w:eastAsia="Times New Roman"/>
                <w:b/>
                <w:bCs/>
                <w:szCs w:val="24"/>
                <w:lang w:eastAsia="cs-CZ"/>
              </w:rPr>
              <w:t>Počet věcí</w:t>
            </w:r>
          </w:p>
        </w:tc>
        <w:tc>
          <w:tcPr>
            <w:tcW w:w="1494" w:type="dxa"/>
            <w:vMerge w:val="restart"/>
            <w:tcBorders>
              <w:top w:val="double" w:sz="6" w:space="0" w:color="auto"/>
              <w:left w:val="nil"/>
              <w:bottom w:val="double" w:sz="6" w:space="0" w:color="000000"/>
              <w:right w:val="nil"/>
            </w:tcBorders>
            <w:shd w:val="clear" w:color="auto" w:fill="auto"/>
            <w:vAlign w:val="center"/>
            <w:hideMark/>
          </w:tcPr>
          <w:p w14:paraId="4D1037F6" w14:textId="77777777" w:rsidR="00173E09" w:rsidRPr="00F15667" w:rsidRDefault="00173E09" w:rsidP="007C7D15">
            <w:pPr>
              <w:spacing w:line="240" w:lineRule="auto"/>
              <w:jc w:val="center"/>
              <w:rPr>
                <w:rFonts w:eastAsia="Times New Roman"/>
                <w:b/>
                <w:bCs/>
                <w:szCs w:val="24"/>
                <w:lang w:eastAsia="cs-CZ"/>
              </w:rPr>
            </w:pPr>
            <w:r w:rsidRPr="00F15667">
              <w:rPr>
                <w:rFonts w:eastAsia="Times New Roman"/>
                <w:b/>
                <w:bCs/>
                <w:szCs w:val="24"/>
                <w:lang w:eastAsia="cs-CZ"/>
              </w:rPr>
              <w:t>Míra vyřizování</w:t>
            </w:r>
          </w:p>
        </w:tc>
      </w:tr>
      <w:tr w:rsidR="00F15667" w:rsidRPr="00F15667" w14:paraId="79848C3C" w14:textId="77777777" w:rsidTr="00287277">
        <w:trPr>
          <w:trHeight w:val="330"/>
        </w:trPr>
        <w:tc>
          <w:tcPr>
            <w:tcW w:w="2020" w:type="dxa"/>
            <w:vMerge/>
            <w:tcBorders>
              <w:top w:val="double" w:sz="6" w:space="0" w:color="auto"/>
              <w:left w:val="nil"/>
              <w:bottom w:val="double" w:sz="6" w:space="0" w:color="000000"/>
              <w:right w:val="nil"/>
            </w:tcBorders>
            <w:vAlign w:val="center"/>
            <w:hideMark/>
          </w:tcPr>
          <w:p w14:paraId="6322A737" w14:textId="77777777" w:rsidR="00173E09" w:rsidRPr="00F15667" w:rsidRDefault="00173E09" w:rsidP="007C7D15">
            <w:pPr>
              <w:spacing w:line="240" w:lineRule="auto"/>
              <w:jc w:val="center"/>
              <w:rPr>
                <w:rFonts w:eastAsia="Times New Roman"/>
                <w:b/>
                <w:bCs/>
                <w:szCs w:val="24"/>
                <w:lang w:eastAsia="cs-CZ"/>
              </w:rPr>
            </w:pPr>
          </w:p>
        </w:tc>
        <w:tc>
          <w:tcPr>
            <w:tcW w:w="1855" w:type="dxa"/>
            <w:gridSpan w:val="2"/>
            <w:tcBorders>
              <w:top w:val="nil"/>
              <w:left w:val="nil"/>
              <w:bottom w:val="double" w:sz="6" w:space="0" w:color="auto"/>
              <w:right w:val="nil"/>
            </w:tcBorders>
            <w:shd w:val="clear" w:color="auto" w:fill="auto"/>
            <w:noWrap/>
            <w:vAlign w:val="center"/>
            <w:hideMark/>
          </w:tcPr>
          <w:p w14:paraId="4375E584" w14:textId="77777777" w:rsidR="00173E09" w:rsidRPr="00F15667" w:rsidRDefault="00173E09" w:rsidP="007C7D15">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98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CF2BF17" w14:textId="77777777" w:rsidR="00173E09" w:rsidRPr="00F15667" w:rsidRDefault="00173E09" w:rsidP="007C7D15">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864" w:type="dxa"/>
            <w:gridSpan w:val="2"/>
            <w:tcBorders>
              <w:top w:val="nil"/>
              <w:left w:val="nil"/>
              <w:bottom w:val="double" w:sz="6" w:space="0" w:color="auto"/>
              <w:right w:val="single" w:sz="4" w:space="0" w:color="000000"/>
            </w:tcBorders>
            <w:shd w:val="clear" w:color="auto" w:fill="auto"/>
            <w:noWrap/>
            <w:vAlign w:val="center"/>
            <w:hideMark/>
          </w:tcPr>
          <w:p w14:paraId="2799896F" w14:textId="77777777" w:rsidR="00173E09" w:rsidRPr="00F15667" w:rsidRDefault="00173E09" w:rsidP="007C7D15">
            <w:pPr>
              <w:spacing w:line="240" w:lineRule="auto"/>
              <w:jc w:val="center"/>
              <w:rPr>
                <w:rFonts w:eastAsia="Times New Roman"/>
                <w:b/>
                <w:bCs/>
                <w:szCs w:val="24"/>
                <w:lang w:eastAsia="cs-CZ"/>
              </w:rPr>
            </w:pPr>
            <w:r w:rsidRPr="00F15667">
              <w:rPr>
                <w:rFonts w:eastAsia="Times New Roman"/>
                <w:b/>
                <w:bCs/>
                <w:szCs w:val="24"/>
                <w:lang w:eastAsia="cs-CZ"/>
              </w:rPr>
              <w:t>Nevyřízeno</w:t>
            </w:r>
          </w:p>
        </w:tc>
        <w:tc>
          <w:tcPr>
            <w:tcW w:w="1494" w:type="dxa"/>
            <w:vMerge/>
            <w:tcBorders>
              <w:top w:val="double" w:sz="6" w:space="0" w:color="auto"/>
              <w:left w:val="nil"/>
              <w:bottom w:val="double" w:sz="6" w:space="0" w:color="000000"/>
              <w:right w:val="nil"/>
            </w:tcBorders>
            <w:vAlign w:val="center"/>
            <w:hideMark/>
          </w:tcPr>
          <w:p w14:paraId="483A2404" w14:textId="77777777" w:rsidR="00173E09" w:rsidRPr="00F15667" w:rsidRDefault="00173E09" w:rsidP="007C7D15">
            <w:pPr>
              <w:spacing w:line="240" w:lineRule="auto"/>
              <w:jc w:val="center"/>
              <w:rPr>
                <w:rFonts w:eastAsia="Times New Roman"/>
                <w:b/>
                <w:bCs/>
                <w:szCs w:val="24"/>
                <w:lang w:eastAsia="cs-CZ"/>
              </w:rPr>
            </w:pPr>
          </w:p>
        </w:tc>
      </w:tr>
      <w:tr w:rsidR="00F15667" w:rsidRPr="00F15667" w14:paraId="386606E2" w14:textId="77777777" w:rsidTr="00287277">
        <w:trPr>
          <w:trHeight w:val="330"/>
        </w:trPr>
        <w:tc>
          <w:tcPr>
            <w:tcW w:w="2020" w:type="dxa"/>
            <w:tcBorders>
              <w:top w:val="single" w:sz="4" w:space="0" w:color="auto"/>
              <w:left w:val="nil"/>
              <w:bottom w:val="single" w:sz="4" w:space="0" w:color="auto"/>
              <w:right w:val="nil"/>
            </w:tcBorders>
            <w:shd w:val="clear" w:color="auto" w:fill="auto"/>
            <w:noWrap/>
            <w:vAlign w:val="center"/>
            <w:hideMark/>
          </w:tcPr>
          <w:p w14:paraId="6D04D161" w14:textId="77777777" w:rsidR="00173E09" w:rsidRPr="00F15667" w:rsidRDefault="00173E09" w:rsidP="007C7D15">
            <w:pPr>
              <w:spacing w:line="240" w:lineRule="auto"/>
              <w:jc w:val="left"/>
              <w:rPr>
                <w:rFonts w:eastAsia="Times New Roman"/>
                <w:szCs w:val="24"/>
                <w:lang w:eastAsia="cs-CZ"/>
              </w:rPr>
            </w:pPr>
            <w:r w:rsidRPr="00F15667">
              <w:rPr>
                <w:rFonts w:eastAsia="Times New Roman"/>
                <w:szCs w:val="24"/>
                <w:lang w:eastAsia="cs-CZ"/>
              </w:rPr>
              <w:t>MS Praha</w:t>
            </w:r>
          </w:p>
        </w:tc>
        <w:tc>
          <w:tcPr>
            <w:tcW w:w="968" w:type="dxa"/>
            <w:tcBorders>
              <w:top w:val="single" w:sz="4" w:space="0" w:color="auto"/>
              <w:left w:val="nil"/>
              <w:bottom w:val="single" w:sz="4" w:space="0" w:color="auto"/>
              <w:right w:val="nil"/>
            </w:tcBorders>
            <w:shd w:val="clear" w:color="auto" w:fill="auto"/>
            <w:noWrap/>
            <w:vAlign w:val="center"/>
            <w:hideMark/>
          </w:tcPr>
          <w:p w14:paraId="6CE1728B"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2 383</w:t>
            </w:r>
          </w:p>
        </w:tc>
        <w:tc>
          <w:tcPr>
            <w:tcW w:w="887" w:type="dxa"/>
            <w:tcBorders>
              <w:top w:val="single" w:sz="4" w:space="0" w:color="auto"/>
              <w:left w:val="nil"/>
              <w:bottom w:val="single" w:sz="4" w:space="0" w:color="auto"/>
              <w:right w:val="nil"/>
            </w:tcBorders>
            <w:shd w:val="clear" w:color="auto" w:fill="auto"/>
            <w:noWrap/>
            <w:vAlign w:val="center"/>
            <w:hideMark/>
          </w:tcPr>
          <w:p w14:paraId="1FF42586" w14:textId="672DE46B"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-27 %</w:t>
            </w:r>
          </w:p>
        </w:tc>
        <w:tc>
          <w:tcPr>
            <w:tcW w:w="967" w:type="dxa"/>
            <w:tcBorders>
              <w:top w:val="single" w:sz="4" w:space="0" w:color="auto"/>
              <w:left w:val="single" w:sz="4" w:space="0" w:color="auto"/>
              <w:bottom w:val="single" w:sz="4" w:space="0" w:color="auto"/>
              <w:right w:val="nil"/>
            </w:tcBorders>
            <w:shd w:val="clear" w:color="auto" w:fill="auto"/>
            <w:noWrap/>
            <w:vAlign w:val="center"/>
            <w:hideMark/>
          </w:tcPr>
          <w:p w14:paraId="7450563A"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3 248</w:t>
            </w:r>
          </w:p>
        </w:tc>
        <w:tc>
          <w:tcPr>
            <w:tcW w:w="1014" w:type="dxa"/>
            <w:tcBorders>
              <w:top w:val="single" w:sz="4" w:space="0" w:color="auto"/>
              <w:left w:val="nil"/>
              <w:bottom w:val="single" w:sz="4" w:space="0" w:color="auto"/>
              <w:right w:val="single" w:sz="4" w:space="0" w:color="auto"/>
            </w:tcBorders>
            <w:shd w:val="clear" w:color="auto" w:fill="auto"/>
            <w:noWrap/>
            <w:vAlign w:val="center"/>
            <w:hideMark/>
          </w:tcPr>
          <w:p w14:paraId="4908D306" w14:textId="66A0BB21"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967" w:type="dxa"/>
            <w:tcBorders>
              <w:top w:val="single" w:sz="4" w:space="0" w:color="auto"/>
              <w:left w:val="nil"/>
              <w:bottom w:val="single" w:sz="4" w:space="0" w:color="auto"/>
              <w:right w:val="nil"/>
            </w:tcBorders>
            <w:shd w:val="clear" w:color="auto" w:fill="auto"/>
            <w:noWrap/>
            <w:vAlign w:val="center"/>
            <w:hideMark/>
          </w:tcPr>
          <w:p w14:paraId="72947301"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2 341</w:t>
            </w:r>
          </w:p>
        </w:tc>
        <w:tc>
          <w:tcPr>
            <w:tcW w:w="897" w:type="dxa"/>
            <w:tcBorders>
              <w:top w:val="single" w:sz="4" w:space="0" w:color="auto"/>
              <w:left w:val="nil"/>
              <w:bottom w:val="single" w:sz="4" w:space="0" w:color="auto"/>
              <w:right w:val="single" w:sz="4" w:space="0" w:color="auto"/>
            </w:tcBorders>
            <w:shd w:val="clear" w:color="auto" w:fill="auto"/>
            <w:noWrap/>
            <w:vAlign w:val="center"/>
            <w:hideMark/>
          </w:tcPr>
          <w:p w14:paraId="440CE7CC" w14:textId="3F37CE29"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-27 %</w:t>
            </w:r>
          </w:p>
        </w:tc>
        <w:tc>
          <w:tcPr>
            <w:tcW w:w="1494" w:type="dxa"/>
            <w:tcBorders>
              <w:top w:val="nil"/>
              <w:left w:val="nil"/>
              <w:bottom w:val="single" w:sz="4" w:space="0" w:color="auto"/>
              <w:right w:val="nil"/>
            </w:tcBorders>
            <w:shd w:val="clear" w:color="auto" w:fill="auto"/>
            <w:noWrap/>
            <w:vAlign w:val="center"/>
            <w:hideMark/>
          </w:tcPr>
          <w:p w14:paraId="3E254F75" w14:textId="01F912CD"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136,3 %</w:t>
            </w:r>
          </w:p>
        </w:tc>
      </w:tr>
      <w:tr w:rsidR="00F15667" w:rsidRPr="00F15667" w14:paraId="1FBFD30A" w14:textId="77777777" w:rsidTr="00287277">
        <w:trPr>
          <w:trHeight w:val="315"/>
        </w:trPr>
        <w:tc>
          <w:tcPr>
            <w:tcW w:w="2020" w:type="dxa"/>
            <w:tcBorders>
              <w:top w:val="nil"/>
              <w:left w:val="nil"/>
              <w:bottom w:val="single" w:sz="4" w:space="0" w:color="auto"/>
              <w:right w:val="nil"/>
            </w:tcBorders>
            <w:shd w:val="clear" w:color="auto" w:fill="auto"/>
            <w:noWrap/>
            <w:vAlign w:val="center"/>
            <w:hideMark/>
          </w:tcPr>
          <w:p w14:paraId="3D22DB9A" w14:textId="77777777" w:rsidR="00173E09" w:rsidRPr="00F15667" w:rsidRDefault="00173E09" w:rsidP="007C7D15">
            <w:pPr>
              <w:spacing w:line="240" w:lineRule="auto"/>
              <w:jc w:val="left"/>
              <w:rPr>
                <w:rFonts w:eastAsia="Times New Roman"/>
                <w:szCs w:val="24"/>
                <w:lang w:eastAsia="cs-CZ"/>
              </w:rPr>
            </w:pPr>
            <w:r w:rsidRPr="00F15667">
              <w:rPr>
                <w:rFonts w:eastAsia="Times New Roman"/>
                <w:szCs w:val="24"/>
                <w:lang w:eastAsia="cs-CZ"/>
              </w:rPr>
              <w:t>KS Praha</w:t>
            </w:r>
          </w:p>
        </w:tc>
        <w:tc>
          <w:tcPr>
            <w:tcW w:w="968" w:type="dxa"/>
            <w:tcBorders>
              <w:top w:val="nil"/>
              <w:left w:val="nil"/>
              <w:bottom w:val="single" w:sz="4" w:space="0" w:color="auto"/>
              <w:right w:val="nil"/>
            </w:tcBorders>
            <w:shd w:val="clear" w:color="auto" w:fill="auto"/>
            <w:noWrap/>
            <w:vAlign w:val="center"/>
            <w:hideMark/>
          </w:tcPr>
          <w:p w14:paraId="7D4F7211"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825</w:t>
            </w:r>
          </w:p>
        </w:tc>
        <w:tc>
          <w:tcPr>
            <w:tcW w:w="887" w:type="dxa"/>
            <w:tcBorders>
              <w:top w:val="nil"/>
              <w:left w:val="nil"/>
              <w:bottom w:val="single" w:sz="4" w:space="0" w:color="auto"/>
              <w:right w:val="nil"/>
            </w:tcBorders>
            <w:shd w:val="clear" w:color="auto" w:fill="auto"/>
            <w:noWrap/>
            <w:vAlign w:val="center"/>
            <w:hideMark/>
          </w:tcPr>
          <w:p w14:paraId="6BD7EF2F" w14:textId="5AECC752"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967" w:type="dxa"/>
            <w:tcBorders>
              <w:top w:val="nil"/>
              <w:left w:val="single" w:sz="4" w:space="0" w:color="auto"/>
              <w:bottom w:val="single" w:sz="4" w:space="0" w:color="auto"/>
              <w:right w:val="nil"/>
            </w:tcBorders>
            <w:shd w:val="clear" w:color="auto" w:fill="auto"/>
            <w:noWrap/>
            <w:vAlign w:val="center"/>
            <w:hideMark/>
          </w:tcPr>
          <w:p w14:paraId="55FFC566"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991</w:t>
            </w:r>
          </w:p>
        </w:tc>
        <w:tc>
          <w:tcPr>
            <w:tcW w:w="1014" w:type="dxa"/>
            <w:tcBorders>
              <w:top w:val="nil"/>
              <w:left w:val="nil"/>
              <w:bottom w:val="single" w:sz="4" w:space="0" w:color="auto"/>
              <w:right w:val="single" w:sz="4" w:space="0" w:color="auto"/>
            </w:tcBorders>
            <w:shd w:val="clear" w:color="auto" w:fill="auto"/>
            <w:noWrap/>
            <w:vAlign w:val="center"/>
            <w:hideMark/>
          </w:tcPr>
          <w:p w14:paraId="5044C67A" w14:textId="48A7791E"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967" w:type="dxa"/>
            <w:tcBorders>
              <w:top w:val="nil"/>
              <w:left w:val="nil"/>
              <w:bottom w:val="single" w:sz="4" w:space="0" w:color="auto"/>
              <w:right w:val="nil"/>
            </w:tcBorders>
            <w:shd w:val="clear" w:color="auto" w:fill="auto"/>
            <w:noWrap/>
            <w:vAlign w:val="center"/>
            <w:hideMark/>
          </w:tcPr>
          <w:p w14:paraId="797F09CA"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568</w:t>
            </w:r>
          </w:p>
        </w:tc>
        <w:tc>
          <w:tcPr>
            <w:tcW w:w="897" w:type="dxa"/>
            <w:tcBorders>
              <w:top w:val="nil"/>
              <w:left w:val="nil"/>
              <w:bottom w:val="single" w:sz="4" w:space="0" w:color="auto"/>
              <w:right w:val="single" w:sz="4" w:space="0" w:color="auto"/>
            </w:tcBorders>
            <w:shd w:val="clear" w:color="auto" w:fill="auto"/>
            <w:noWrap/>
            <w:vAlign w:val="center"/>
            <w:hideMark/>
          </w:tcPr>
          <w:p w14:paraId="19A77190" w14:textId="5BDE560E"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-23 %</w:t>
            </w:r>
          </w:p>
        </w:tc>
        <w:tc>
          <w:tcPr>
            <w:tcW w:w="1494" w:type="dxa"/>
            <w:tcBorders>
              <w:top w:val="nil"/>
              <w:left w:val="nil"/>
              <w:bottom w:val="single" w:sz="4" w:space="0" w:color="auto"/>
              <w:right w:val="nil"/>
            </w:tcBorders>
            <w:shd w:val="clear" w:color="auto" w:fill="auto"/>
            <w:noWrap/>
            <w:vAlign w:val="center"/>
            <w:hideMark/>
          </w:tcPr>
          <w:p w14:paraId="47BC596F" w14:textId="470BAFF6"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120,1 %</w:t>
            </w:r>
          </w:p>
        </w:tc>
      </w:tr>
      <w:tr w:rsidR="00F15667" w:rsidRPr="00F15667" w14:paraId="729056F5" w14:textId="77777777" w:rsidTr="00287277">
        <w:trPr>
          <w:trHeight w:val="315"/>
        </w:trPr>
        <w:tc>
          <w:tcPr>
            <w:tcW w:w="2020" w:type="dxa"/>
            <w:tcBorders>
              <w:top w:val="nil"/>
              <w:left w:val="nil"/>
              <w:bottom w:val="single" w:sz="4" w:space="0" w:color="auto"/>
              <w:right w:val="nil"/>
            </w:tcBorders>
            <w:shd w:val="clear" w:color="auto" w:fill="auto"/>
            <w:noWrap/>
            <w:vAlign w:val="center"/>
            <w:hideMark/>
          </w:tcPr>
          <w:p w14:paraId="1D0FE6B3" w14:textId="77777777" w:rsidR="00173E09" w:rsidRPr="00F15667" w:rsidRDefault="00173E09" w:rsidP="007C7D15">
            <w:pPr>
              <w:spacing w:line="240" w:lineRule="auto"/>
              <w:jc w:val="left"/>
              <w:rPr>
                <w:rFonts w:eastAsia="Times New Roman"/>
                <w:szCs w:val="24"/>
                <w:lang w:eastAsia="cs-CZ"/>
              </w:rPr>
            </w:pPr>
            <w:r w:rsidRPr="00F15667">
              <w:rPr>
                <w:rFonts w:eastAsia="Times New Roman"/>
                <w:szCs w:val="24"/>
                <w:lang w:eastAsia="cs-CZ"/>
              </w:rPr>
              <w:t>KS Č. Budějovice</w:t>
            </w:r>
          </w:p>
        </w:tc>
        <w:tc>
          <w:tcPr>
            <w:tcW w:w="968" w:type="dxa"/>
            <w:tcBorders>
              <w:top w:val="nil"/>
              <w:left w:val="nil"/>
              <w:bottom w:val="single" w:sz="4" w:space="0" w:color="auto"/>
              <w:right w:val="nil"/>
            </w:tcBorders>
            <w:shd w:val="clear" w:color="auto" w:fill="auto"/>
            <w:noWrap/>
            <w:vAlign w:val="center"/>
            <w:hideMark/>
          </w:tcPr>
          <w:p w14:paraId="0612201F"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323</w:t>
            </w:r>
          </w:p>
        </w:tc>
        <w:tc>
          <w:tcPr>
            <w:tcW w:w="887" w:type="dxa"/>
            <w:tcBorders>
              <w:top w:val="nil"/>
              <w:left w:val="nil"/>
              <w:bottom w:val="single" w:sz="4" w:space="0" w:color="auto"/>
              <w:right w:val="nil"/>
            </w:tcBorders>
            <w:shd w:val="clear" w:color="auto" w:fill="auto"/>
            <w:noWrap/>
            <w:vAlign w:val="center"/>
            <w:hideMark/>
          </w:tcPr>
          <w:p w14:paraId="0066F67E" w14:textId="7B982EF9"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967" w:type="dxa"/>
            <w:tcBorders>
              <w:top w:val="nil"/>
              <w:left w:val="single" w:sz="4" w:space="0" w:color="auto"/>
              <w:bottom w:val="single" w:sz="4" w:space="0" w:color="auto"/>
              <w:right w:val="nil"/>
            </w:tcBorders>
            <w:shd w:val="clear" w:color="auto" w:fill="auto"/>
            <w:noWrap/>
            <w:vAlign w:val="center"/>
            <w:hideMark/>
          </w:tcPr>
          <w:p w14:paraId="090B0037"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378</w:t>
            </w:r>
          </w:p>
        </w:tc>
        <w:tc>
          <w:tcPr>
            <w:tcW w:w="1014" w:type="dxa"/>
            <w:tcBorders>
              <w:top w:val="nil"/>
              <w:left w:val="nil"/>
              <w:bottom w:val="single" w:sz="4" w:space="0" w:color="auto"/>
              <w:right w:val="single" w:sz="4" w:space="0" w:color="auto"/>
            </w:tcBorders>
            <w:shd w:val="clear" w:color="auto" w:fill="auto"/>
            <w:noWrap/>
            <w:vAlign w:val="center"/>
            <w:hideMark/>
          </w:tcPr>
          <w:p w14:paraId="0613F98E" w14:textId="184F0922"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967" w:type="dxa"/>
            <w:tcBorders>
              <w:top w:val="nil"/>
              <w:left w:val="nil"/>
              <w:bottom w:val="single" w:sz="4" w:space="0" w:color="auto"/>
              <w:right w:val="nil"/>
            </w:tcBorders>
            <w:shd w:val="clear" w:color="auto" w:fill="auto"/>
            <w:noWrap/>
            <w:vAlign w:val="center"/>
            <w:hideMark/>
          </w:tcPr>
          <w:p w14:paraId="47596796"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133</w:t>
            </w:r>
          </w:p>
        </w:tc>
        <w:tc>
          <w:tcPr>
            <w:tcW w:w="897" w:type="dxa"/>
            <w:tcBorders>
              <w:top w:val="nil"/>
              <w:left w:val="nil"/>
              <w:bottom w:val="single" w:sz="4" w:space="0" w:color="auto"/>
              <w:right w:val="single" w:sz="4" w:space="0" w:color="auto"/>
            </w:tcBorders>
            <w:shd w:val="clear" w:color="auto" w:fill="auto"/>
            <w:noWrap/>
            <w:vAlign w:val="center"/>
            <w:hideMark/>
          </w:tcPr>
          <w:p w14:paraId="4BE7BA1D" w14:textId="2B1E2ECD"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-30 %</w:t>
            </w:r>
          </w:p>
        </w:tc>
        <w:tc>
          <w:tcPr>
            <w:tcW w:w="1494" w:type="dxa"/>
            <w:tcBorders>
              <w:top w:val="nil"/>
              <w:left w:val="nil"/>
              <w:bottom w:val="single" w:sz="4" w:space="0" w:color="auto"/>
              <w:right w:val="nil"/>
            </w:tcBorders>
            <w:shd w:val="clear" w:color="auto" w:fill="auto"/>
            <w:noWrap/>
            <w:vAlign w:val="center"/>
            <w:hideMark/>
          </w:tcPr>
          <w:p w14:paraId="13DBCE91" w14:textId="58DB4BD6"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117,0 %</w:t>
            </w:r>
          </w:p>
        </w:tc>
      </w:tr>
      <w:tr w:rsidR="00F15667" w:rsidRPr="00F15667" w14:paraId="7484EC0B" w14:textId="77777777" w:rsidTr="00287277">
        <w:trPr>
          <w:trHeight w:val="315"/>
        </w:trPr>
        <w:tc>
          <w:tcPr>
            <w:tcW w:w="2020" w:type="dxa"/>
            <w:tcBorders>
              <w:top w:val="nil"/>
              <w:left w:val="nil"/>
              <w:bottom w:val="single" w:sz="4" w:space="0" w:color="auto"/>
              <w:right w:val="nil"/>
            </w:tcBorders>
            <w:shd w:val="clear" w:color="auto" w:fill="auto"/>
            <w:noWrap/>
            <w:vAlign w:val="center"/>
            <w:hideMark/>
          </w:tcPr>
          <w:p w14:paraId="2664DD62" w14:textId="77777777" w:rsidR="00173E09" w:rsidRPr="00F15667" w:rsidRDefault="00173E09" w:rsidP="007C7D15">
            <w:pPr>
              <w:spacing w:line="240" w:lineRule="auto"/>
              <w:jc w:val="left"/>
              <w:rPr>
                <w:rFonts w:eastAsia="Times New Roman"/>
                <w:szCs w:val="24"/>
                <w:lang w:eastAsia="cs-CZ"/>
              </w:rPr>
            </w:pPr>
            <w:r w:rsidRPr="00F15667">
              <w:rPr>
                <w:rFonts w:eastAsia="Times New Roman"/>
                <w:szCs w:val="24"/>
                <w:lang w:eastAsia="cs-CZ"/>
              </w:rPr>
              <w:t>KS Plzeň</w:t>
            </w:r>
          </w:p>
        </w:tc>
        <w:tc>
          <w:tcPr>
            <w:tcW w:w="968" w:type="dxa"/>
            <w:tcBorders>
              <w:top w:val="nil"/>
              <w:left w:val="nil"/>
              <w:bottom w:val="single" w:sz="4" w:space="0" w:color="auto"/>
              <w:right w:val="nil"/>
            </w:tcBorders>
            <w:shd w:val="clear" w:color="auto" w:fill="auto"/>
            <w:noWrap/>
            <w:vAlign w:val="center"/>
            <w:hideMark/>
          </w:tcPr>
          <w:p w14:paraId="068DAD21"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627</w:t>
            </w:r>
          </w:p>
        </w:tc>
        <w:tc>
          <w:tcPr>
            <w:tcW w:w="887" w:type="dxa"/>
            <w:tcBorders>
              <w:top w:val="nil"/>
              <w:left w:val="nil"/>
              <w:bottom w:val="single" w:sz="4" w:space="0" w:color="auto"/>
              <w:right w:val="nil"/>
            </w:tcBorders>
            <w:shd w:val="clear" w:color="auto" w:fill="auto"/>
            <w:noWrap/>
            <w:vAlign w:val="center"/>
            <w:hideMark/>
          </w:tcPr>
          <w:p w14:paraId="04378B22" w14:textId="3FF632F5"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967" w:type="dxa"/>
            <w:tcBorders>
              <w:top w:val="nil"/>
              <w:left w:val="single" w:sz="4" w:space="0" w:color="auto"/>
              <w:bottom w:val="single" w:sz="4" w:space="0" w:color="auto"/>
              <w:right w:val="nil"/>
            </w:tcBorders>
            <w:shd w:val="clear" w:color="auto" w:fill="auto"/>
            <w:noWrap/>
            <w:vAlign w:val="center"/>
            <w:hideMark/>
          </w:tcPr>
          <w:p w14:paraId="61E1370B"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710</w:t>
            </w:r>
          </w:p>
        </w:tc>
        <w:tc>
          <w:tcPr>
            <w:tcW w:w="1014" w:type="dxa"/>
            <w:tcBorders>
              <w:top w:val="nil"/>
              <w:left w:val="nil"/>
              <w:bottom w:val="single" w:sz="4" w:space="0" w:color="auto"/>
              <w:right w:val="single" w:sz="4" w:space="0" w:color="auto"/>
            </w:tcBorders>
            <w:shd w:val="clear" w:color="auto" w:fill="auto"/>
            <w:noWrap/>
            <w:vAlign w:val="center"/>
            <w:hideMark/>
          </w:tcPr>
          <w:p w14:paraId="18099AD5" w14:textId="630DBB97"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967" w:type="dxa"/>
            <w:tcBorders>
              <w:top w:val="nil"/>
              <w:left w:val="nil"/>
              <w:bottom w:val="single" w:sz="4" w:space="0" w:color="auto"/>
              <w:right w:val="nil"/>
            </w:tcBorders>
            <w:shd w:val="clear" w:color="auto" w:fill="auto"/>
            <w:noWrap/>
            <w:vAlign w:val="center"/>
            <w:hideMark/>
          </w:tcPr>
          <w:p w14:paraId="43859E31"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301</w:t>
            </w:r>
          </w:p>
        </w:tc>
        <w:tc>
          <w:tcPr>
            <w:tcW w:w="897" w:type="dxa"/>
            <w:tcBorders>
              <w:top w:val="nil"/>
              <w:left w:val="nil"/>
              <w:bottom w:val="single" w:sz="4" w:space="0" w:color="auto"/>
              <w:right w:val="single" w:sz="4" w:space="0" w:color="auto"/>
            </w:tcBorders>
            <w:shd w:val="clear" w:color="auto" w:fill="auto"/>
            <w:noWrap/>
            <w:vAlign w:val="center"/>
            <w:hideMark/>
          </w:tcPr>
          <w:p w14:paraId="78129C35" w14:textId="20E280D9"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-22 %</w:t>
            </w:r>
          </w:p>
        </w:tc>
        <w:tc>
          <w:tcPr>
            <w:tcW w:w="1494" w:type="dxa"/>
            <w:tcBorders>
              <w:top w:val="nil"/>
              <w:left w:val="nil"/>
              <w:bottom w:val="single" w:sz="4" w:space="0" w:color="auto"/>
              <w:right w:val="nil"/>
            </w:tcBorders>
            <w:shd w:val="clear" w:color="auto" w:fill="auto"/>
            <w:noWrap/>
            <w:vAlign w:val="center"/>
            <w:hideMark/>
          </w:tcPr>
          <w:p w14:paraId="7CFF985C" w14:textId="45BDDDF9"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113,2 %</w:t>
            </w:r>
          </w:p>
        </w:tc>
      </w:tr>
      <w:tr w:rsidR="00F15667" w:rsidRPr="00F15667" w14:paraId="020DA99C" w14:textId="77777777" w:rsidTr="00287277">
        <w:trPr>
          <w:trHeight w:val="315"/>
        </w:trPr>
        <w:tc>
          <w:tcPr>
            <w:tcW w:w="2020" w:type="dxa"/>
            <w:tcBorders>
              <w:top w:val="nil"/>
              <w:left w:val="nil"/>
              <w:bottom w:val="single" w:sz="4" w:space="0" w:color="auto"/>
              <w:right w:val="nil"/>
            </w:tcBorders>
            <w:shd w:val="clear" w:color="auto" w:fill="auto"/>
            <w:noWrap/>
            <w:vAlign w:val="center"/>
            <w:hideMark/>
          </w:tcPr>
          <w:p w14:paraId="2A604E1F" w14:textId="77777777" w:rsidR="00173E09" w:rsidRPr="00F15667" w:rsidRDefault="00173E09" w:rsidP="007C7D15">
            <w:pPr>
              <w:spacing w:line="240" w:lineRule="auto"/>
              <w:jc w:val="left"/>
              <w:rPr>
                <w:rFonts w:eastAsia="Times New Roman"/>
                <w:szCs w:val="24"/>
                <w:lang w:eastAsia="cs-CZ"/>
              </w:rPr>
            </w:pPr>
            <w:r w:rsidRPr="00F15667">
              <w:rPr>
                <w:rFonts w:eastAsia="Times New Roman"/>
                <w:szCs w:val="24"/>
                <w:lang w:eastAsia="cs-CZ"/>
              </w:rPr>
              <w:t>KS Ústí n. Labem</w:t>
            </w:r>
          </w:p>
        </w:tc>
        <w:tc>
          <w:tcPr>
            <w:tcW w:w="968" w:type="dxa"/>
            <w:tcBorders>
              <w:top w:val="nil"/>
              <w:left w:val="nil"/>
              <w:bottom w:val="single" w:sz="4" w:space="0" w:color="auto"/>
              <w:right w:val="nil"/>
            </w:tcBorders>
            <w:shd w:val="clear" w:color="auto" w:fill="auto"/>
            <w:noWrap/>
            <w:vAlign w:val="center"/>
            <w:hideMark/>
          </w:tcPr>
          <w:p w14:paraId="4BA1B2EF"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605</w:t>
            </w:r>
          </w:p>
        </w:tc>
        <w:tc>
          <w:tcPr>
            <w:tcW w:w="887" w:type="dxa"/>
            <w:tcBorders>
              <w:top w:val="nil"/>
              <w:left w:val="nil"/>
              <w:bottom w:val="single" w:sz="4" w:space="0" w:color="auto"/>
              <w:right w:val="nil"/>
            </w:tcBorders>
            <w:shd w:val="clear" w:color="auto" w:fill="auto"/>
            <w:noWrap/>
            <w:vAlign w:val="center"/>
            <w:hideMark/>
          </w:tcPr>
          <w:p w14:paraId="155A5318" w14:textId="2C75DB60"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967" w:type="dxa"/>
            <w:tcBorders>
              <w:top w:val="nil"/>
              <w:left w:val="single" w:sz="4" w:space="0" w:color="auto"/>
              <w:bottom w:val="single" w:sz="4" w:space="0" w:color="auto"/>
              <w:right w:val="nil"/>
            </w:tcBorders>
            <w:shd w:val="clear" w:color="auto" w:fill="auto"/>
            <w:noWrap/>
            <w:vAlign w:val="center"/>
            <w:hideMark/>
          </w:tcPr>
          <w:p w14:paraId="45327225"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888</w:t>
            </w:r>
          </w:p>
        </w:tc>
        <w:tc>
          <w:tcPr>
            <w:tcW w:w="1014" w:type="dxa"/>
            <w:tcBorders>
              <w:top w:val="nil"/>
              <w:left w:val="nil"/>
              <w:bottom w:val="single" w:sz="4" w:space="0" w:color="auto"/>
              <w:right w:val="single" w:sz="4" w:space="0" w:color="auto"/>
            </w:tcBorders>
            <w:shd w:val="clear" w:color="auto" w:fill="auto"/>
            <w:noWrap/>
            <w:vAlign w:val="center"/>
            <w:hideMark/>
          </w:tcPr>
          <w:p w14:paraId="3B51D8A6" w14:textId="406DC3D9"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967" w:type="dxa"/>
            <w:tcBorders>
              <w:top w:val="nil"/>
              <w:left w:val="nil"/>
              <w:bottom w:val="single" w:sz="4" w:space="0" w:color="auto"/>
              <w:right w:val="nil"/>
            </w:tcBorders>
            <w:shd w:val="clear" w:color="auto" w:fill="auto"/>
            <w:noWrap/>
            <w:vAlign w:val="center"/>
            <w:hideMark/>
          </w:tcPr>
          <w:p w14:paraId="4DF11EA9"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407</w:t>
            </w:r>
          </w:p>
        </w:tc>
        <w:tc>
          <w:tcPr>
            <w:tcW w:w="897" w:type="dxa"/>
            <w:tcBorders>
              <w:top w:val="nil"/>
              <w:left w:val="nil"/>
              <w:bottom w:val="single" w:sz="4" w:space="0" w:color="auto"/>
              <w:right w:val="single" w:sz="4" w:space="0" w:color="auto"/>
            </w:tcBorders>
            <w:shd w:val="clear" w:color="auto" w:fill="auto"/>
            <w:noWrap/>
            <w:vAlign w:val="center"/>
            <w:hideMark/>
          </w:tcPr>
          <w:p w14:paraId="363228BD" w14:textId="4DFF2ABB"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-41 %</w:t>
            </w:r>
          </w:p>
        </w:tc>
        <w:tc>
          <w:tcPr>
            <w:tcW w:w="1494" w:type="dxa"/>
            <w:tcBorders>
              <w:top w:val="nil"/>
              <w:left w:val="nil"/>
              <w:bottom w:val="single" w:sz="4" w:space="0" w:color="auto"/>
              <w:right w:val="nil"/>
            </w:tcBorders>
            <w:shd w:val="clear" w:color="auto" w:fill="auto"/>
            <w:noWrap/>
            <w:vAlign w:val="center"/>
            <w:hideMark/>
          </w:tcPr>
          <w:p w14:paraId="3D51B15A" w14:textId="3ECC07AA"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146,8 %</w:t>
            </w:r>
          </w:p>
        </w:tc>
      </w:tr>
      <w:tr w:rsidR="00F15667" w:rsidRPr="00F15667" w14:paraId="6F9008A4" w14:textId="77777777" w:rsidTr="00287277">
        <w:trPr>
          <w:trHeight w:val="315"/>
        </w:trPr>
        <w:tc>
          <w:tcPr>
            <w:tcW w:w="2020" w:type="dxa"/>
            <w:tcBorders>
              <w:top w:val="nil"/>
              <w:left w:val="nil"/>
              <w:bottom w:val="single" w:sz="4" w:space="0" w:color="auto"/>
              <w:right w:val="nil"/>
            </w:tcBorders>
            <w:shd w:val="clear" w:color="auto" w:fill="auto"/>
            <w:noWrap/>
            <w:vAlign w:val="center"/>
            <w:hideMark/>
          </w:tcPr>
          <w:p w14:paraId="613065F7" w14:textId="77777777" w:rsidR="00173E09" w:rsidRPr="00F15667" w:rsidRDefault="00173E09" w:rsidP="007C7D15">
            <w:pPr>
              <w:spacing w:line="240" w:lineRule="auto"/>
              <w:jc w:val="left"/>
              <w:rPr>
                <w:rFonts w:eastAsia="Times New Roman"/>
                <w:szCs w:val="24"/>
                <w:lang w:eastAsia="cs-CZ"/>
              </w:rPr>
            </w:pPr>
            <w:r w:rsidRPr="00F15667">
              <w:rPr>
                <w:rFonts w:eastAsia="Times New Roman"/>
                <w:szCs w:val="24"/>
                <w:lang w:eastAsia="cs-CZ"/>
              </w:rPr>
              <w:t>KS Hr. Králové</w:t>
            </w:r>
          </w:p>
        </w:tc>
        <w:tc>
          <w:tcPr>
            <w:tcW w:w="968" w:type="dxa"/>
            <w:tcBorders>
              <w:top w:val="nil"/>
              <w:left w:val="nil"/>
              <w:bottom w:val="single" w:sz="4" w:space="0" w:color="auto"/>
              <w:right w:val="nil"/>
            </w:tcBorders>
            <w:shd w:val="clear" w:color="auto" w:fill="auto"/>
            <w:noWrap/>
            <w:vAlign w:val="center"/>
            <w:hideMark/>
          </w:tcPr>
          <w:p w14:paraId="18C49997"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523</w:t>
            </w:r>
          </w:p>
        </w:tc>
        <w:tc>
          <w:tcPr>
            <w:tcW w:w="887" w:type="dxa"/>
            <w:tcBorders>
              <w:top w:val="nil"/>
              <w:left w:val="nil"/>
              <w:bottom w:val="single" w:sz="4" w:space="0" w:color="auto"/>
              <w:right w:val="nil"/>
            </w:tcBorders>
            <w:shd w:val="clear" w:color="auto" w:fill="auto"/>
            <w:noWrap/>
            <w:vAlign w:val="center"/>
            <w:hideMark/>
          </w:tcPr>
          <w:p w14:paraId="4944ECB4" w14:textId="51172C09"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-19 %</w:t>
            </w:r>
          </w:p>
        </w:tc>
        <w:tc>
          <w:tcPr>
            <w:tcW w:w="967" w:type="dxa"/>
            <w:tcBorders>
              <w:top w:val="nil"/>
              <w:left w:val="single" w:sz="4" w:space="0" w:color="auto"/>
              <w:bottom w:val="single" w:sz="4" w:space="0" w:color="auto"/>
              <w:right w:val="nil"/>
            </w:tcBorders>
            <w:shd w:val="clear" w:color="auto" w:fill="auto"/>
            <w:noWrap/>
            <w:vAlign w:val="center"/>
            <w:hideMark/>
          </w:tcPr>
          <w:p w14:paraId="74398DBA"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696</w:t>
            </w:r>
          </w:p>
        </w:tc>
        <w:tc>
          <w:tcPr>
            <w:tcW w:w="1014" w:type="dxa"/>
            <w:tcBorders>
              <w:top w:val="nil"/>
              <w:left w:val="nil"/>
              <w:bottom w:val="single" w:sz="4" w:space="0" w:color="auto"/>
              <w:right w:val="single" w:sz="4" w:space="0" w:color="auto"/>
            </w:tcBorders>
            <w:shd w:val="clear" w:color="auto" w:fill="auto"/>
            <w:noWrap/>
            <w:vAlign w:val="center"/>
            <w:hideMark/>
          </w:tcPr>
          <w:p w14:paraId="5EFF1EB1" w14:textId="010148E3"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-12 %</w:t>
            </w:r>
          </w:p>
        </w:tc>
        <w:tc>
          <w:tcPr>
            <w:tcW w:w="967" w:type="dxa"/>
            <w:tcBorders>
              <w:top w:val="nil"/>
              <w:left w:val="nil"/>
              <w:bottom w:val="single" w:sz="4" w:space="0" w:color="auto"/>
              <w:right w:val="nil"/>
            </w:tcBorders>
            <w:shd w:val="clear" w:color="auto" w:fill="auto"/>
            <w:noWrap/>
            <w:vAlign w:val="center"/>
            <w:hideMark/>
          </w:tcPr>
          <w:p w14:paraId="7C494B88"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252</w:t>
            </w:r>
          </w:p>
        </w:tc>
        <w:tc>
          <w:tcPr>
            <w:tcW w:w="897" w:type="dxa"/>
            <w:tcBorders>
              <w:top w:val="nil"/>
              <w:left w:val="nil"/>
              <w:bottom w:val="single" w:sz="4" w:space="0" w:color="auto"/>
              <w:right w:val="single" w:sz="4" w:space="0" w:color="auto"/>
            </w:tcBorders>
            <w:shd w:val="clear" w:color="auto" w:fill="auto"/>
            <w:noWrap/>
            <w:vAlign w:val="center"/>
            <w:hideMark/>
          </w:tcPr>
          <w:p w14:paraId="22E39B71" w14:textId="2955EA5B"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-41 %</w:t>
            </w:r>
          </w:p>
        </w:tc>
        <w:tc>
          <w:tcPr>
            <w:tcW w:w="1494" w:type="dxa"/>
            <w:tcBorders>
              <w:top w:val="nil"/>
              <w:left w:val="nil"/>
              <w:bottom w:val="single" w:sz="4" w:space="0" w:color="auto"/>
              <w:right w:val="nil"/>
            </w:tcBorders>
            <w:shd w:val="clear" w:color="auto" w:fill="auto"/>
            <w:noWrap/>
            <w:vAlign w:val="center"/>
            <w:hideMark/>
          </w:tcPr>
          <w:p w14:paraId="10CEFB6C" w14:textId="4D884A3E"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133,1 %</w:t>
            </w:r>
          </w:p>
        </w:tc>
      </w:tr>
      <w:tr w:rsidR="00F15667" w:rsidRPr="00F15667" w14:paraId="09BF7BD6" w14:textId="77777777" w:rsidTr="00287277">
        <w:trPr>
          <w:trHeight w:val="315"/>
        </w:trPr>
        <w:tc>
          <w:tcPr>
            <w:tcW w:w="2020" w:type="dxa"/>
            <w:tcBorders>
              <w:top w:val="nil"/>
              <w:left w:val="nil"/>
              <w:bottom w:val="single" w:sz="4" w:space="0" w:color="auto"/>
              <w:right w:val="nil"/>
            </w:tcBorders>
            <w:shd w:val="clear" w:color="auto" w:fill="auto"/>
            <w:noWrap/>
            <w:vAlign w:val="center"/>
            <w:hideMark/>
          </w:tcPr>
          <w:p w14:paraId="03A87471" w14:textId="77777777" w:rsidR="00173E09" w:rsidRPr="00F15667" w:rsidRDefault="00173E09" w:rsidP="007C7D15">
            <w:pPr>
              <w:spacing w:line="240" w:lineRule="auto"/>
              <w:jc w:val="left"/>
              <w:rPr>
                <w:rFonts w:eastAsia="Times New Roman"/>
                <w:szCs w:val="24"/>
                <w:lang w:eastAsia="cs-CZ"/>
              </w:rPr>
            </w:pPr>
            <w:r w:rsidRPr="00F15667">
              <w:rPr>
                <w:rFonts w:eastAsia="Times New Roman"/>
                <w:szCs w:val="24"/>
                <w:lang w:eastAsia="cs-CZ"/>
              </w:rPr>
              <w:t>KS Brno</w:t>
            </w:r>
          </w:p>
        </w:tc>
        <w:tc>
          <w:tcPr>
            <w:tcW w:w="968" w:type="dxa"/>
            <w:tcBorders>
              <w:top w:val="nil"/>
              <w:left w:val="nil"/>
              <w:bottom w:val="single" w:sz="4" w:space="0" w:color="auto"/>
              <w:right w:val="nil"/>
            </w:tcBorders>
            <w:shd w:val="clear" w:color="auto" w:fill="auto"/>
            <w:noWrap/>
            <w:vAlign w:val="center"/>
            <w:hideMark/>
          </w:tcPr>
          <w:p w14:paraId="7087C613" w14:textId="2C0417C9"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380</w:t>
            </w:r>
          </w:p>
        </w:tc>
        <w:tc>
          <w:tcPr>
            <w:tcW w:w="887" w:type="dxa"/>
            <w:tcBorders>
              <w:top w:val="nil"/>
              <w:left w:val="nil"/>
              <w:bottom w:val="single" w:sz="4" w:space="0" w:color="auto"/>
              <w:right w:val="nil"/>
            </w:tcBorders>
            <w:shd w:val="clear" w:color="auto" w:fill="auto"/>
            <w:noWrap/>
            <w:vAlign w:val="center"/>
            <w:hideMark/>
          </w:tcPr>
          <w:p w14:paraId="23C6BB7E" w14:textId="600C803F"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967" w:type="dxa"/>
            <w:tcBorders>
              <w:top w:val="nil"/>
              <w:left w:val="single" w:sz="4" w:space="0" w:color="auto"/>
              <w:bottom w:val="single" w:sz="4" w:space="0" w:color="auto"/>
              <w:right w:val="nil"/>
            </w:tcBorders>
            <w:shd w:val="clear" w:color="auto" w:fill="auto"/>
            <w:noWrap/>
            <w:vAlign w:val="center"/>
            <w:hideMark/>
          </w:tcPr>
          <w:p w14:paraId="1A139C87" w14:textId="4769418A"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767</w:t>
            </w:r>
          </w:p>
        </w:tc>
        <w:tc>
          <w:tcPr>
            <w:tcW w:w="1014" w:type="dxa"/>
            <w:tcBorders>
              <w:top w:val="nil"/>
              <w:left w:val="nil"/>
              <w:bottom w:val="single" w:sz="4" w:space="0" w:color="auto"/>
              <w:right w:val="single" w:sz="4" w:space="0" w:color="auto"/>
            </w:tcBorders>
            <w:shd w:val="clear" w:color="auto" w:fill="auto"/>
            <w:noWrap/>
            <w:vAlign w:val="center"/>
            <w:hideMark/>
          </w:tcPr>
          <w:p w14:paraId="7D68B304" w14:textId="5AA0D866"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-12 %</w:t>
            </w:r>
          </w:p>
        </w:tc>
        <w:tc>
          <w:tcPr>
            <w:tcW w:w="967" w:type="dxa"/>
            <w:tcBorders>
              <w:top w:val="nil"/>
              <w:left w:val="nil"/>
              <w:bottom w:val="single" w:sz="4" w:space="0" w:color="auto"/>
              <w:right w:val="nil"/>
            </w:tcBorders>
            <w:shd w:val="clear" w:color="auto" w:fill="auto"/>
            <w:noWrap/>
            <w:vAlign w:val="center"/>
            <w:hideMark/>
          </w:tcPr>
          <w:p w14:paraId="34A8A7B3" w14:textId="7FF5083B"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317</w:t>
            </w:r>
          </w:p>
        </w:tc>
        <w:tc>
          <w:tcPr>
            <w:tcW w:w="897" w:type="dxa"/>
            <w:tcBorders>
              <w:top w:val="nil"/>
              <w:left w:val="nil"/>
              <w:bottom w:val="single" w:sz="4" w:space="0" w:color="auto"/>
              <w:right w:val="single" w:sz="4" w:space="0" w:color="auto"/>
            </w:tcBorders>
            <w:shd w:val="clear" w:color="auto" w:fill="auto"/>
            <w:noWrap/>
            <w:vAlign w:val="center"/>
            <w:hideMark/>
          </w:tcPr>
          <w:p w14:paraId="4536529F" w14:textId="679AAB9A"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-23 %</w:t>
            </w:r>
          </w:p>
        </w:tc>
        <w:tc>
          <w:tcPr>
            <w:tcW w:w="1494" w:type="dxa"/>
            <w:tcBorders>
              <w:top w:val="nil"/>
              <w:left w:val="nil"/>
              <w:bottom w:val="single" w:sz="4" w:space="0" w:color="auto"/>
              <w:right w:val="nil"/>
            </w:tcBorders>
            <w:shd w:val="clear" w:color="auto" w:fill="auto"/>
            <w:noWrap/>
            <w:vAlign w:val="center"/>
            <w:hideMark/>
          </w:tcPr>
          <w:p w14:paraId="500C7A5F" w14:textId="6E788298"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128,0 %</w:t>
            </w:r>
          </w:p>
        </w:tc>
      </w:tr>
      <w:tr w:rsidR="00F15667" w:rsidRPr="00F15667" w14:paraId="51BC04A2" w14:textId="77777777" w:rsidTr="00287277">
        <w:trPr>
          <w:trHeight w:val="330"/>
        </w:trPr>
        <w:tc>
          <w:tcPr>
            <w:tcW w:w="2020" w:type="dxa"/>
            <w:tcBorders>
              <w:top w:val="nil"/>
              <w:left w:val="nil"/>
              <w:bottom w:val="double" w:sz="6" w:space="0" w:color="auto"/>
              <w:right w:val="nil"/>
            </w:tcBorders>
            <w:shd w:val="clear" w:color="auto" w:fill="auto"/>
            <w:noWrap/>
            <w:vAlign w:val="center"/>
            <w:hideMark/>
          </w:tcPr>
          <w:p w14:paraId="11FE74BF" w14:textId="77777777" w:rsidR="00173E09" w:rsidRPr="00F15667" w:rsidRDefault="00173E09" w:rsidP="007C7D15">
            <w:pPr>
              <w:spacing w:line="240" w:lineRule="auto"/>
              <w:jc w:val="left"/>
              <w:rPr>
                <w:rFonts w:eastAsia="Times New Roman"/>
                <w:szCs w:val="24"/>
                <w:lang w:eastAsia="cs-CZ"/>
              </w:rPr>
            </w:pPr>
            <w:r w:rsidRPr="00F15667">
              <w:rPr>
                <w:rFonts w:eastAsia="Times New Roman"/>
                <w:szCs w:val="24"/>
                <w:lang w:eastAsia="cs-CZ"/>
              </w:rPr>
              <w:t>KS Ostrava</w:t>
            </w:r>
          </w:p>
        </w:tc>
        <w:tc>
          <w:tcPr>
            <w:tcW w:w="968" w:type="dxa"/>
            <w:tcBorders>
              <w:top w:val="nil"/>
              <w:left w:val="nil"/>
              <w:bottom w:val="double" w:sz="6" w:space="0" w:color="auto"/>
              <w:right w:val="nil"/>
            </w:tcBorders>
            <w:shd w:val="clear" w:color="auto" w:fill="auto"/>
            <w:noWrap/>
            <w:vAlign w:val="center"/>
            <w:hideMark/>
          </w:tcPr>
          <w:p w14:paraId="69D1791C" w14:textId="61FDEEB1"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038</w:t>
            </w:r>
          </w:p>
        </w:tc>
        <w:tc>
          <w:tcPr>
            <w:tcW w:w="887" w:type="dxa"/>
            <w:tcBorders>
              <w:top w:val="nil"/>
              <w:left w:val="nil"/>
              <w:bottom w:val="double" w:sz="6" w:space="0" w:color="auto"/>
              <w:right w:val="nil"/>
            </w:tcBorders>
            <w:shd w:val="clear" w:color="auto" w:fill="auto"/>
            <w:noWrap/>
            <w:vAlign w:val="center"/>
            <w:hideMark/>
          </w:tcPr>
          <w:p w14:paraId="24200A14" w14:textId="33B61806"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967" w:type="dxa"/>
            <w:tcBorders>
              <w:top w:val="nil"/>
              <w:left w:val="single" w:sz="4" w:space="0" w:color="auto"/>
              <w:bottom w:val="double" w:sz="6" w:space="0" w:color="auto"/>
              <w:right w:val="nil"/>
            </w:tcBorders>
            <w:shd w:val="clear" w:color="auto" w:fill="auto"/>
            <w:noWrap/>
            <w:vAlign w:val="center"/>
            <w:hideMark/>
          </w:tcPr>
          <w:p w14:paraId="7C2F721C" w14:textId="7602BC90"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w:t>
            </w:r>
            <w:r w:rsidR="00340529" w:rsidRPr="00F15667">
              <w:rPr>
                <w:rFonts w:eastAsia="Times New Roman"/>
                <w:szCs w:val="24"/>
                <w:lang w:eastAsia="cs-CZ"/>
              </w:rPr>
              <w:t xml:space="preserve"> </w:t>
            </w:r>
            <w:r w:rsidRPr="00F15667">
              <w:rPr>
                <w:rFonts w:eastAsia="Times New Roman"/>
                <w:szCs w:val="24"/>
                <w:lang w:eastAsia="cs-CZ"/>
              </w:rPr>
              <w:t>051</w:t>
            </w:r>
          </w:p>
        </w:tc>
        <w:tc>
          <w:tcPr>
            <w:tcW w:w="1014" w:type="dxa"/>
            <w:tcBorders>
              <w:top w:val="nil"/>
              <w:left w:val="nil"/>
              <w:bottom w:val="double" w:sz="6" w:space="0" w:color="auto"/>
              <w:right w:val="single" w:sz="4" w:space="0" w:color="auto"/>
            </w:tcBorders>
            <w:shd w:val="clear" w:color="auto" w:fill="auto"/>
            <w:noWrap/>
            <w:vAlign w:val="center"/>
            <w:hideMark/>
          </w:tcPr>
          <w:p w14:paraId="43399C00" w14:textId="6BC4794A"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-22 %</w:t>
            </w:r>
          </w:p>
        </w:tc>
        <w:tc>
          <w:tcPr>
            <w:tcW w:w="967" w:type="dxa"/>
            <w:tcBorders>
              <w:top w:val="nil"/>
              <w:left w:val="nil"/>
              <w:bottom w:val="double" w:sz="6" w:space="0" w:color="auto"/>
              <w:right w:val="nil"/>
            </w:tcBorders>
            <w:shd w:val="clear" w:color="auto" w:fill="auto"/>
            <w:noWrap/>
            <w:vAlign w:val="center"/>
            <w:hideMark/>
          </w:tcPr>
          <w:p w14:paraId="14228159" w14:textId="77777777"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679</w:t>
            </w:r>
          </w:p>
        </w:tc>
        <w:tc>
          <w:tcPr>
            <w:tcW w:w="897" w:type="dxa"/>
            <w:tcBorders>
              <w:top w:val="nil"/>
              <w:left w:val="nil"/>
              <w:bottom w:val="double" w:sz="6" w:space="0" w:color="auto"/>
              <w:right w:val="single" w:sz="4" w:space="0" w:color="auto"/>
            </w:tcBorders>
            <w:shd w:val="clear" w:color="auto" w:fill="auto"/>
            <w:noWrap/>
            <w:vAlign w:val="center"/>
            <w:hideMark/>
          </w:tcPr>
          <w:p w14:paraId="0AC8E28A" w14:textId="6B6E074A" w:rsidR="00173E09" w:rsidRPr="00F15667" w:rsidRDefault="00173E09" w:rsidP="007C7D15">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494" w:type="dxa"/>
            <w:tcBorders>
              <w:top w:val="nil"/>
              <w:left w:val="nil"/>
              <w:bottom w:val="nil"/>
              <w:right w:val="nil"/>
            </w:tcBorders>
            <w:shd w:val="clear" w:color="auto" w:fill="auto"/>
            <w:noWrap/>
            <w:vAlign w:val="center"/>
            <w:hideMark/>
          </w:tcPr>
          <w:p w14:paraId="57A78C3E" w14:textId="7897B105" w:rsidR="00173E09" w:rsidRPr="00F15667" w:rsidRDefault="00173E09" w:rsidP="007C7D15">
            <w:pPr>
              <w:spacing w:line="240" w:lineRule="auto"/>
              <w:jc w:val="center"/>
              <w:rPr>
                <w:rFonts w:eastAsia="Times New Roman"/>
                <w:szCs w:val="24"/>
                <w:lang w:eastAsia="cs-CZ"/>
              </w:rPr>
            </w:pPr>
            <w:r w:rsidRPr="00F15667">
              <w:rPr>
                <w:rFonts w:eastAsia="Times New Roman"/>
                <w:szCs w:val="24"/>
                <w:lang w:eastAsia="cs-CZ"/>
              </w:rPr>
              <w:t>101,3 %</w:t>
            </w:r>
          </w:p>
        </w:tc>
      </w:tr>
      <w:tr w:rsidR="00173E09" w:rsidRPr="00F15667" w14:paraId="7A378416" w14:textId="77777777" w:rsidTr="00287277">
        <w:trPr>
          <w:trHeight w:val="345"/>
        </w:trPr>
        <w:tc>
          <w:tcPr>
            <w:tcW w:w="2020" w:type="dxa"/>
            <w:tcBorders>
              <w:top w:val="nil"/>
              <w:left w:val="nil"/>
              <w:bottom w:val="double" w:sz="6" w:space="0" w:color="auto"/>
              <w:right w:val="nil"/>
            </w:tcBorders>
            <w:shd w:val="clear" w:color="auto" w:fill="auto"/>
            <w:noWrap/>
            <w:vAlign w:val="center"/>
            <w:hideMark/>
          </w:tcPr>
          <w:p w14:paraId="350A9A16" w14:textId="77777777" w:rsidR="00173E09" w:rsidRPr="00F15667" w:rsidRDefault="00173E09" w:rsidP="007C7D15">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968" w:type="dxa"/>
            <w:tcBorders>
              <w:top w:val="nil"/>
              <w:left w:val="nil"/>
              <w:bottom w:val="double" w:sz="6" w:space="0" w:color="auto"/>
              <w:right w:val="nil"/>
            </w:tcBorders>
            <w:shd w:val="clear" w:color="auto" w:fill="auto"/>
            <w:noWrap/>
            <w:vAlign w:val="center"/>
            <w:hideMark/>
          </w:tcPr>
          <w:p w14:paraId="72C612A9" w14:textId="77777777" w:rsidR="00173E09" w:rsidRPr="00F15667" w:rsidRDefault="00173E09" w:rsidP="007C7D15">
            <w:pPr>
              <w:spacing w:line="240" w:lineRule="auto"/>
              <w:jc w:val="center"/>
              <w:rPr>
                <w:rFonts w:eastAsia="Times New Roman"/>
                <w:b/>
                <w:bCs/>
                <w:szCs w:val="24"/>
                <w:lang w:eastAsia="cs-CZ"/>
              </w:rPr>
            </w:pPr>
            <w:r w:rsidRPr="00F15667">
              <w:rPr>
                <w:rFonts w:eastAsia="Times New Roman"/>
                <w:b/>
                <w:bCs/>
                <w:szCs w:val="24"/>
                <w:lang w:eastAsia="cs-CZ"/>
              </w:rPr>
              <w:t>7 704</w:t>
            </w:r>
          </w:p>
        </w:tc>
        <w:tc>
          <w:tcPr>
            <w:tcW w:w="887" w:type="dxa"/>
            <w:tcBorders>
              <w:top w:val="nil"/>
              <w:left w:val="nil"/>
              <w:bottom w:val="double" w:sz="6" w:space="0" w:color="auto"/>
              <w:right w:val="nil"/>
            </w:tcBorders>
            <w:shd w:val="clear" w:color="auto" w:fill="auto"/>
            <w:noWrap/>
            <w:vAlign w:val="center"/>
            <w:hideMark/>
          </w:tcPr>
          <w:p w14:paraId="33C6C0FA" w14:textId="771A8203" w:rsidR="00173E09" w:rsidRPr="00F15667" w:rsidRDefault="00173E09" w:rsidP="007C7D15">
            <w:pPr>
              <w:spacing w:line="240" w:lineRule="auto"/>
              <w:jc w:val="center"/>
              <w:rPr>
                <w:rFonts w:eastAsia="Times New Roman"/>
                <w:b/>
                <w:bCs/>
                <w:sz w:val="20"/>
                <w:szCs w:val="20"/>
                <w:lang w:eastAsia="cs-CZ"/>
              </w:rPr>
            </w:pPr>
            <w:r w:rsidRPr="00F15667">
              <w:rPr>
                <w:rFonts w:eastAsia="Times New Roman"/>
                <w:b/>
                <w:bCs/>
                <w:sz w:val="20"/>
                <w:szCs w:val="20"/>
                <w:lang w:eastAsia="cs-CZ"/>
              </w:rPr>
              <w:t>-17 %</w:t>
            </w:r>
          </w:p>
        </w:tc>
        <w:tc>
          <w:tcPr>
            <w:tcW w:w="967" w:type="dxa"/>
            <w:tcBorders>
              <w:top w:val="nil"/>
              <w:left w:val="single" w:sz="4" w:space="0" w:color="auto"/>
              <w:bottom w:val="double" w:sz="6" w:space="0" w:color="auto"/>
              <w:right w:val="nil"/>
            </w:tcBorders>
            <w:shd w:val="clear" w:color="auto" w:fill="auto"/>
            <w:noWrap/>
            <w:vAlign w:val="center"/>
            <w:hideMark/>
          </w:tcPr>
          <w:p w14:paraId="6AE5F9BB" w14:textId="77777777" w:rsidR="00173E09" w:rsidRPr="00F15667" w:rsidRDefault="00173E09" w:rsidP="007C7D15">
            <w:pPr>
              <w:spacing w:line="240" w:lineRule="auto"/>
              <w:jc w:val="center"/>
              <w:rPr>
                <w:rFonts w:eastAsia="Times New Roman"/>
                <w:b/>
                <w:bCs/>
                <w:szCs w:val="24"/>
                <w:lang w:eastAsia="cs-CZ"/>
              </w:rPr>
            </w:pPr>
            <w:r w:rsidRPr="00F15667">
              <w:rPr>
                <w:rFonts w:eastAsia="Times New Roman"/>
                <w:b/>
                <w:bCs/>
                <w:szCs w:val="24"/>
                <w:lang w:eastAsia="cs-CZ"/>
              </w:rPr>
              <w:t>9 729</w:t>
            </w:r>
          </w:p>
        </w:tc>
        <w:tc>
          <w:tcPr>
            <w:tcW w:w="1014" w:type="dxa"/>
            <w:tcBorders>
              <w:top w:val="nil"/>
              <w:left w:val="nil"/>
              <w:bottom w:val="double" w:sz="6" w:space="0" w:color="auto"/>
              <w:right w:val="single" w:sz="4" w:space="0" w:color="auto"/>
            </w:tcBorders>
            <w:shd w:val="clear" w:color="auto" w:fill="auto"/>
            <w:noWrap/>
            <w:vAlign w:val="center"/>
            <w:hideMark/>
          </w:tcPr>
          <w:p w14:paraId="13AA5CA5" w14:textId="4EFAAF17" w:rsidR="00173E09" w:rsidRPr="00F15667" w:rsidRDefault="00173E09" w:rsidP="007C7D15">
            <w:pPr>
              <w:spacing w:line="240" w:lineRule="auto"/>
              <w:jc w:val="center"/>
              <w:rPr>
                <w:rFonts w:eastAsia="Times New Roman"/>
                <w:b/>
                <w:bCs/>
                <w:sz w:val="20"/>
                <w:szCs w:val="20"/>
                <w:lang w:eastAsia="cs-CZ"/>
              </w:rPr>
            </w:pPr>
            <w:r w:rsidRPr="00F15667">
              <w:rPr>
                <w:rFonts w:eastAsia="Times New Roman"/>
                <w:b/>
                <w:bCs/>
                <w:sz w:val="20"/>
                <w:szCs w:val="20"/>
                <w:lang w:eastAsia="cs-CZ"/>
              </w:rPr>
              <w:t>-12 %</w:t>
            </w:r>
          </w:p>
        </w:tc>
        <w:tc>
          <w:tcPr>
            <w:tcW w:w="967" w:type="dxa"/>
            <w:tcBorders>
              <w:top w:val="nil"/>
              <w:left w:val="nil"/>
              <w:bottom w:val="double" w:sz="6" w:space="0" w:color="auto"/>
              <w:right w:val="nil"/>
            </w:tcBorders>
            <w:shd w:val="clear" w:color="auto" w:fill="auto"/>
            <w:noWrap/>
            <w:vAlign w:val="center"/>
            <w:hideMark/>
          </w:tcPr>
          <w:p w14:paraId="09B0D407" w14:textId="77777777" w:rsidR="00173E09" w:rsidRPr="00F15667" w:rsidRDefault="00173E09" w:rsidP="007C7D15">
            <w:pPr>
              <w:spacing w:line="240" w:lineRule="auto"/>
              <w:jc w:val="center"/>
              <w:rPr>
                <w:rFonts w:eastAsia="Times New Roman"/>
                <w:b/>
                <w:bCs/>
                <w:szCs w:val="24"/>
                <w:lang w:eastAsia="cs-CZ"/>
              </w:rPr>
            </w:pPr>
            <w:r w:rsidRPr="00F15667">
              <w:rPr>
                <w:rFonts w:eastAsia="Times New Roman"/>
                <w:b/>
                <w:bCs/>
                <w:szCs w:val="24"/>
                <w:lang w:eastAsia="cs-CZ"/>
              </w:rPr>
              <w:t>5 998</w:t>
            </w:r>
          </w:p>
        </w:tc>
        <w:tc>
          <w:tcPr>
            <w:tcW w:w="897" w:type="dxa"/>
            <w:tcBorders>
              <w:top w:val="nil"/>
              <w:left w:val="nil"/>
              <w:bottom w:val="double" w:sz="6" w:space="0" w:color="auto"/>
              <w:right w:val="single" w:sz="4" w:space="0" w:color="auto"/>
            </w:tcBorders>
            <w:shd w:val="clear" w:color="auto" w:fill="auto"/>
            <w:noWrap/>
            <w:vAlign w:val="center"/>
            <w:hideMark/>
          </w:tcPr>
          <w:p w14:paraId="5FC2B8DA" w14:textId="021BE4E5" w:rsidR="00173E09" w:rsidRPr="00F15667" w:rsidRDefault="00173E09" w:rsidP="007C7D15">
            <w:pPr>
              <w:spacing w:line="240" w:lineRule="auto"/>
              <w:jc w:val="center"/>
              <w:rPr>
                <w:rFonts w:eastAsia="Times New Roman"/>
                <w:b/>
                <w:bCs/>
                <w:sz w:val="20"/>
                <w:szCs w:val="20"/>
                <w:lang w:eastAsia="cs-CZ"/>
              </w:rPr>
            </w:pPr>
            <w:r w:rsidRPr="00F15667">
              <w:rPr>
                <w:rFonts w:eastAsia="Times New Roman"/>
                <w:b/>
                <w:bCs/>
                <w:sz w:val="20"/>
                <w:szCs w:val="20"/>
                <w:lang w:eastAsia="cs-CZ"/>
              </w:rPr>
              <w:t>-25 %</w:t>
            </w:r>
          </w:p>
        </w:tc>
        <w:tc>
          <w:tcPr>
            <w:tcW w:w="1494" w:type="dxa"/>
            <w:tcBorders>
              <w:top w:val="double" w:sz="6" w:space="0" w:color="auto"/>
              <w:left w:val="nil"/>
              <w:bottom w:val="double" w:sz="6" w:space="0" w:color="auto"/>
              <w:right w:val="nil"/>
            </w:tcBorders>
            <w:shd w:val="clear" w:color="auto" w:fill="auto"/>
            <w:noWrap/>
            <w:vAlign w:val="center"/>
            <w:hideMark/>
          </w:tcPr>
          <w:p w14:paraId="4C3A78C2" w14:textId="31B89427" w:rsidR="00173E09" w:rsidRPr="00F15667" w:rsidRDefault="00173E09" w:rsidP="007C7D15">
            <w:pPr>
              <w:spacing w:line="240" w:lineRule="auto"/>
              <w:jc w:val="center"/>
              <w:rPr>
                <w:rFonts w:eastAsia="Times New Roman"/>
                <w:b/>
                <w:bCs/>
                <w:szCs w:val="24"/>
                <w:lang w:eastAsia="cs-CZ"/>
              </w:rPr>
            </w:pPr>
            <w:r w:rsidRPr="00F15667">
              <w:rPr>
                <w:rFonts w:eastAsia="Times New Roman"/>
                <w:b/>
                <w:bCs/>
                <w:szCs w:val="24"/>
                <w:lang w:eastAsia="cs-CZ"/>
              </w:rPr>
              <w:t>126,3 %</w:t>
            </w:r>
          </w:p>
        </w:tc>
      </w:tr>
      <w:tr w:rsidR="007C7D15" w:rsidRPr="00F15667" w14:paraId="004FD4AB" w14:textId="77777777" w:rsidTr="00287277">
        <w:trPr>
          <w:trHeight w:val="345"/>
        </w:trPr>
        <w:tc>
          <w:tcPr>
            <w:tcW w:w="2020" w:type="dxa"/>
            <w:tcBorders>
              <w:top w:val="double" w:sz="6" w:space="0" w:color="auto"/>
              <w:left w:val="nil"/>
            </w:tcBorders>
            <w:shd w:val="clear" w:color="auto" w:fill="auto"/>
            <w:noWrap/>
            <w:vAlign w:val="center"/>
          </w:tcPr>
          <w:p w14:paraId="410A6B41" w14:textId="77777777" w:rsidR="007C7D15" w:rsidRPr="00F15667" w:rsidRDefault="007C7D15" w:rsidP="007C7D15">
            <w:pPr>
              <w:spacing w:line="240" w:lineRule="auto"/>
              <w:jc w:val="center"/>
              <w:rPr>
                <w:rFonts w:eastAsia="Times New Roman"/>
                <w:b/>
                <w:bCs/>
                <w:szCs w:val="24"/>
                <w:lang w:eastAsia="cs-CZ"/>
              </w:rPr>
            </w:pPr>
          </w:p>
        </w:tc>
        <w:tc>
          <w:tcPr>
            <w:tcW w:w="968" w:type="dxa"/>
            <w:tcBorders>
              <w:top w:val="double" w:sz="6" w:space="0" w:color="auto"/>
            </w:tcBorders>
            <w:shd w:val="clear" w:color="auto" w:fill="auto"/>
            <w:noWrap/>
            <w:vAlign w:val="center"/>
          </w:tcPr>
          <w:p w14:paraId="47C1824A" w14:textId="77777777" w:rsidR="007C7D15" w:rsidRPr="00F15667" w:rsidRDefault="007C7D15" w:rsidP="007C7D15">
            <w:pPr>
              <w:spacing w:line="240" w:lineRule="auto"/>
              <w:jc w:val="center"/>
              <w:rPr>
                <w:rFonts w:eastAsia="Times New Roman"/>
                <w:b/>
                <w:bCs/>
                <w:szCs w:val="24"/>
                <w:lang w:eastAsia="cs-CZ"/>
              </w:rPr>
            </w:pPr>
          </w:p>
        </w:tc>
        <w:tc>
          <w:tcPr>
            <w:tcW w:w="887" w:type="dxa"/>
            <w:tcBorders>
              <w:top w:val="double" w:sz="6" w:space="0" w:color="auto"/>
            </w:tcBorders>
            <w:shd w:val="clear" w:color="auto" w:fill="auto"/>
            <w:noWrap/>
            <w:vAlign w:val="center"/>
          </w:tcPr>
          <w:p w14:paraId="65B03D61" w14:textId="77777777" w:rsidR="007C7D15" w:rsidRPr="00F15667" w:rsidRDefault="007C7D15" w:rsidP="007C7D15">
            <w:pPr>
              <w:spacing w:line="240" w:lineRule="auto"/>
              <w:jc w:val="center"/>
              <w:rPr>
                <w:rFonts w:eastAsia="Times New Roman"/>
                <w:b/>
                <w:bCs/>
                <w:sz w:val="20"/>
                <w:szCs w:val="20"/>
                <w:lang w:eastAsia="cs-CZ"/>
              </w:rPr>
            </w:pPr>
          </w:p>
        </w:tc>
        <w:tc>
          <w:tcPr>
            <w:tcW w:w="967" w:type="dxa"/>
            <w:tcBorders>
              <w:top w:val="double" w:sz="6" w:space="0" w:color="auto"/>
            </w:tcBorders>
            <w:shd w:val="clear" w:color="auto" w:fill="auto"/>
            <w:noWrap/>
            <w:vAlign w:val="center"/>
          </w:tcPr>
          <w:p w14:paraId="352F8CAD" w14:textId="77777777" w:rsidR="007C7D15" w:rsidRPr="00F15667" w:rsidRDefault="007C7D15" w:rsidP="007C7D15">
            <w:pPr>
              <w:spacing w:line="240" w:lineRule="auto"/>
              <w:jc w:val="center"/>
              <w:rPr>
                <w:rFonts w:eastAsia="Times New Roman"/>
                <w:b/>
                <w:bCs/>
                <w:szCs w:val="24"/>
                <w:lang w:eastAsia="cs-CZ"/>
              </w:rPr>
            </w:pPr>
          </w:p>
        </w:tc>
        <w:tc>
          <w:tcPr>
            <w:tcW w:w="1014" w:type="dxa"/>
            <w:tcBorders>
              <w:top w:val="double" w:sz="6" w:space="0" w:color="auto"/>
            </w:tcBorders>
            <w:shd w:val="clear" w:color="auto" w:fill="auto"/>
            <w:noWrap/>
            <w:vAlign w:val="center"/>
          </w:tcPr>
          <w:p w14:paraId="7C34ABE6" w14:textId="77777777" w:rsidR="007C7D15" w:rsidRPr="00F15667" w:rsidRDefault="007C7D15" w:rsidP="007C7D15">
            <w:pPr>
              <w:spacing w:line="240" w:lineRule="auto"/>
              <w:jc w:val="center"/>
              <w:rPr>
                <w:rFonts w:eastAsia="Times New Roman"/>
                <w:b/>
                <w:bCs/>
                <w:sz w:val="20"/>
                <w:szCs w:val="20"/>
                <w:lang w:eastAsia="cs-CZ"/>
              </w:rPr>
            </w:pPr>
          </w:p>
        </w:tc>
        <w:tc>
          <w:tcPr>
            <w:tcW w:w="967" w:type="dxa"/>
            <w:tcBorders>
              <w:top w:val="double" w:sz="6" w:space="0" w:color="auto"/>
            </w:tcBorders>
            <w:shd w:val="clear" w:color="auto" w:fill="auto"/>
            <w:noWrap/>
            <w:vAlign w:val="center"/>
          </w:tcPr>
          <w:p w14:paraId="0BB39BB5" w14:textId="77777777" w:rsidR="007C7D15" w:rsidRPr="00F15667" w:rsidRDefault="007C7D15" w:rsidP="007C7D15">
            <w:pPr>
              <w:spacing w:line="240" w:lineRule="auto"/>
              <w:jc w:val="center"/>
              <w:rPr>
                <w:rFonts w:eastAsia="Times New Roman"/>
                <w:b/>
                <w:bCs/>
                <w:szCs w:val="24"/>
                <w:lang w:eastAsia="cs-CZ"/>
              </w:rPr>
            </w:pPr>
          </w:p>
        </w:tc>
        <w:tc>
          <w:tcPr>
            <w:tcW w:w="897" w:type="dxa"/>
            <w:tcBorders>
              <w:top w:val="double" w:sz="6" w:space="0" w:color="auto"/>
            </w:tcBorders>
            <w:shd w:val="clear" w:color="auto" w:fill="auto"/>
            <w:noWrap/>
            <w:vAlign w:val="center"/>
          </w:tcPr>
          <w:p w14:paraId="046919B1" w14:textId="77777777" w:rsidR="007C7D15" w:rsidRPr="00F15667" w:rsidRDefault="007C7D15" w:rsidP="007C7D15">
            <w:pPr>
              <w:spacing w:line="240" w:lineRule="auto"/>
              <w:jc w:val="center"/>
              <w:rPr>
                <w:rFonts w:eastAsia="Times New Roman"/>
                <w:b/>
                <w:bCs/>
                <w:sz w:val="20"/>
                <w:szCs w:val="20"/>
                <w:lang w:eastAsia="cs-CZ"/>
              </w:rPr>
            </w:pPr>
          </w:p>
        </w:tc>
        <w:tc>
          <w:tcPr>
            <w:tcW w:w="1494" w:type="dxa"/>
            <w:tcBorders>
              <w:top w:val="double" w:sz="6" w:space="0" w:color="auto"/>
              <w:right w:val="nil"/>
            </w:tcBorders>
            <w:shd w:val="clear" w:color="auto" w:fill="auto"/>
            <w:noWrap/>
            <w:vAlign w:val="center"/>
          </w:tcPr>
          <w:p w14:paraId="4F0B51D9" w14:textId="77777777" w:rsidR="007C7D15" w:rsidRPr="00F15667" w:rsidRDefault="007C7D15" w:rsidP="007C7D15">
            <w:pPr>
              <w:spacing w:line="240" w:lineRule="auto"/>
              <w:jc w:val="center"/>
              <w:rPr>
                <w:rFonts w:eastAsia="Times New Roman"/>
                <w:b/>
                <w:bCs/>
                <w:szCs w:val="24"/>
                <w:lang w:eastAsia="cs-CZ"/>
              </w:rPr>
            </w:pPr>
          </w:p>
        </w:tc>
      </w:tr>
    </w:tbl>
    <w:p w14:paraId="6889398E" w14:textId="532A5EE1" w:rsidR="00173E09" w:rsidRPr="00F15667" w:rsidRDefault="00CE31B1" w:rsidP="00173E09">
      <w:pPr>
        <w:pStyle w:val="OdstavecASR"/>
        <w:shd w:val="clear" w:color="auto" w:fill="FFFFFF" w:themeFill="background1"/>
      </w:pPr>
      <w:r>
        <w:t>Všechny krajské soudy dokázaly v roce 2022 vyřídit významně více věcí než napadlo či obživlo</w:t>
      </w:r>
      <w:r w:rsidR="00173E09" w:rsidRPr="00F15667">
        <w:t xml:space="preserve">. </w:t>
      </w:r>
      <w:r w:rsidR="00E22BA9">
        <w:t>Pouze KS v Ostravě zmírnil tempo vyřizování (v</w:t>
      </w:r>
      <w:r w:rsidR="00444378">
        <w:t> </w:t>
      </w:r>
      <w:r w:rsidR="00E22BA9">
        <w:t>roce 20</w:t>
      </w:r>
      <w:r w:rsidR="00444378">
        <w:t>2</w:t>
      </w:r>
      <w:r w:rsidR="00E22BA9">
        <w:t>1 činila jeho míra vyřizování 110,6</w:t>
      </w:r>
      <w:r w:rsidR="00404229">
        <w:t> </w:t>
      </w:r>
      <w:r w:rsidR="00E22BA9">
        <w:t>%) a</w:t>
      </w:r>
      <w:r w:rsidR="00444378">
        <w:t> </w:t>
      </w:r>
      <w:r w:rsidR="00E22BA9">
        <w:t>naopak KS v Českých Budějovicích velmi významně míru vyřizování zvýšil (z</w:t>
      </w:r>
      <w:r w:rsidR="00444378">
        <w:t> </w:t>
      </w:r>
      <w:r w:rsidR="00E22BA9">
        <w:t>91,8</w:t>
      </w:r>
      <w:r w:rsidR="00404229">
        <w:t> </w:t>
      </w:r>
      <w:r w:rsidR="00E22BA9">
        <w:t>% v roce 2021 na 120,1</w:t>
      </w:r>
      <w:r w:rsidR="00404229">
        <w:t> </w:t>
      </w:r>
      <w:r w:rsidR="00E22BA9">
        <w:t xml:space="preserve">% v roce 2022). </w:t>
      </w:r>
      <w:r w:rsidR="00173E09" w:rsidRPr="00F15667">
        <w:t xml:space="preserve">Nejvyšší měl KS v Ústí nad Labem </w:t>
      </w:r>
      <w:r w:rsidR="00FD125C" w:rsidRPr="00F15667">
        <w:t>–</w:t>
      </w:r>
      <w:r w:rsidR="00173E09" w:rsidRPr="00F15667">
        <w:t xml:space="preserve"> </w:t>
      </w:r>
      <w:r w:rsidR="00FD125C" w:rsidRPr="00F15667">
        <w:t>146,8</w:t>
      </w:r>
      <w:r w:rsidR="00404229">
        <w:t> </w:t>
      </w:r>
      <w:r w:rsidR="00FD125C" w:rsidRPr="00F15667">
        <w:t>%.</w:t>
      </w:r>
    </w:p>
    <w:p w14:paraId="7371E34F" w14:textId="77777777" w:rsidR="00173E09" w:rsidRPr="00F15667" w:rsidRDefault="00173E09" w:rsidP="00173E09">
      <w:pPr>
        <w:pStyle w:val="OdstavecASR"/>
        <w:shd w:val="clear" w:color="auto" w:fill="FFFFFF" w:themeFill="background1"/>
      </w:pPr>
      <w:r w:rsidRPr="00F15667">
        <w:t>Data v této podkapitole nejsou nijak normalizována, takže nelze činit závěry o celkové zatíženosti jednotlivých soudů. K tomu slouží ostatní podkapitoly.</w:t>
      </w:r>
    </w:p>
    <w:p w14:paraId="6CE9493A" w14:textId="7AC4AB15" w:rsidR="00EE751C" w:rsidRPr="00F15667" w:rsidRDefault="00FD125C" w:rsidP="00EE751C">
      <w:pPr>
        <w:pStyle w:val="OdstavecASR"/>
      </w:pPr>
      <w:r w:rsidRPr="00F15667">
        <w:t xml:space="preserve">U správní agendy rovněž můžeme zkoumat, jak se měnilo složení příchozích věcí. K tomu slouží následující skládaný plošný graf. Graf ukazuje, že v letech 2012-2018 rostl počet příchozích věcí ve všeobecné správní agendě (rejstřík A). V roce 2012, kdy začal růst počet věcí zapisovaných do rejstříku A, byl počet příchozích věcí v tomto rejstříku 3 895 (45,4 % celkového počtu příchozích věcí ve správním soudnictví). V roce 2018 pak 7 002 věcí (62,9 % z celkového počtu). V posledních letech roste také azylová agenda (rejstřík Az). V roce 2019 došlo k poklesu věcí zapsaných především do rejstříku A, mírně rovněž do rejstříku Af. Naopak poněkud vzrostl počet věcí zapsaných do rejstříku Az. V letech 2020 a 2021 pokračoval pokles počtu věcí zapsaných do rejstříku A. Pokles příchozích věcí ve správním soudnictví </w:t>
      </w:r>
      <w:r w:rsidR="00EE751C" w:rsidRPr="00F15667">
        <w:t>tak šlo</w:t>
      </w:r>
      <w:r w:rsidRPr="00F15667">
        <w:t xml:space="preserve"> tedy téměř výhradně přisoudit poklesu počtu věcí zapsaných do rejstříku A.</w:t>
      </w:r>
      <w:r w:rsidR="00EE751C" w:rsidRPr="00F15667">
        <w:t xml:space="preserve"> V roce 2022 byl pokles v rejstříku A stále největší, ale k poklesu došlo i v rejstřících Af a Az.</w:t>
      </w:r>
    </w:p>
    <w:p w14:paraId="4CAB3A51" w14:textId="403A967A" w:rsidR="00EE751C" w:rsidRPr="00F15667" w:rsidRDefault="00EE751C" w:rsidP="00EE751C">
      <w:pPr>
        <w:pStyle w:val="Podnadpis"/>
        <w:rPr>
          <w:color w:val="auto"/>
        </w:rPr>
      </w:pPr>
      <w:bookmarkStart w:id="895" w:name="_Toc144104185"/>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73</w:t>
      </w:r>
      <w:r w:rsidR="009A10E2" w:rsidRPr="00F15667">
        <w:rPr>
          <w:color w:val="auto"/>
        </w:rPr>
        <w:fldChar w:fldCharType="end"/>
      </w:r>
      <w:r w:rsidRPr="00F15667">
        <w:rPr>
          <w:color w:val="auto"/>
        </w:rPr>
        <w:t>: KS – vývoj počtu příchozích věcí dle agend správního soudnictví</w:t>
      </w:r>
      <w:bookmarkEnd w:id="895"/>
    </w:p>
    <w:p w14:paraId="77A8A43B" w14:textId="23747CDF" w:rsidR="00FD125C" w:rsidRPr="00F15667" w:rsidRDefault="00EE751C" w:rsidP="00FD125C">
      <w:pPr>
        <w:pStyle w:val="OdstavecASR"/>
      </w:pPr>
      <w:r w:rsidRPr="00F15667">
        <w:rPr>
          <w:noProof/>
          <w:lang w:eastAsia="cs-CZ"/>
        </w:rPr>
        <w:drawing>
          <wp:inline distT="0" distB="0" distL="0" distR="0" wp14:anchorId="3A5E89F9" wp14:editId="10FBB5A7">
            <wp:extent cx="5029200" cy="3657600"/>
            <wp:effectExtent l="0" t="0" r="0" b="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645134E" w14:textId="5A68D183" w:rsidR="00EE751C" w:rsidRPr="00F15667" w:rsidRDefault="00EE751C" w:rsidP="00EE751C">
      <w:pPr>
        <w:pStyle w:val="OdstavecASR"/>
      </w:pPr>
      <w:r w:rsidRPr="00F15667">
        <w:t xml:space="preserve">Další tabulka ukazuje složení nevyřízených věcí ve správním soudnictví v procentech k 31. 12. 2022. Za nejobtížnější bývá </w:t>
      </w:r>
      <w:r w:rsidR="00CF4E52" w:rsidRPr="00F15667">
        <w:t>obecně</w:t>
      </w:r>
      <w:r w:rsidRPr="00F15667">
        <w:t xml:space="preserve"> považována agenda Af. Byť je toto tvrzení nutno brát s rezervou, zejména vzhledem k vysoké variabilitě skladby „zbytkové“ všeobecné agendy A, potvrzuje jej fakt, že agenda Af tvoří výrazně větší část počtu nevyřízených </w:t>
      </w:r>
      <w:r w:rsidR="00942400" w:rsidRPr="00F15667">
        <w:t>věcí,</w:t>
      </w:r>
      <w:r w:rsidRPr="00F15667">
        <w:t xml:space="preserve"> než je její podíl na celkovém počtu ve věcech příchozích. U soudu tak zůstávají tyto věci v průměru nejdéle nevyřízené, což potvrzuje i délka řízení získaná z pravomocně skončených věcí.</w:t>
      </w:r>
    </w:p>
    <w:p w14:paraId="3C0807B3" w14:textId="6F0B4D62" w:rsidR="00EE751C" w:rsidRPr="00F15667" w:rsidRDefault="00EE751C" w:rsidP="00EE751C">
      <w:pPr>
        <w:pStyle w:val="Podnadpis"/>
        <w:rPr>
          <w:color w:val="auto"/>
        </w:rPr>
      </w:pPr>
      <w:bookmarkStart w:id="896" w:name="_Toc515871492"/>
      <w:bookmarkStart w:id="897" w:name="_Toc11133259"/>
      <w:bookmarkStart w:id="898" w:name="_Toc43931238"/>
      <w:bookmarkStart w:id="899" w:name="_Toc75952371"/>
      <w:bookmarkStart w:id="900" w:name="_Toc106106826"/>
      <w:bookmarkStart w:id="901" w:name="_Toc109802149"/>
      <w:bookmarkStart w:id="902" w:name="_Toc144104308"/>
      <w:bookmarkStart w:id="903" w:name="_Hlk99022221"/>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69</w:t>
      </w:r>
      <w:r w:rsidRPr="00F15667">
        <w:rPr>
          <w:noProof/>
          <w:color w:val="auto"/>
        </w:rPr>
        <w:fldChar w:fldCharType="end"/>
      </w:r>
      <w:r w:rsidRPr="00F15667">
        <w:rPr>
          <w:color w:val="auto"/>
        </w:rPr>
        <w:t>: KS – podíl nevyřízených věcí druhů agendy správního soudnictví</w:t>
      </w:r>
      <w:bookmarkEnd w:id="896"/>
      <w:bookmarkEnd w:id="897"/>
      <w:bookmarkEnd w:id="898"/>
      <w:bookmarkEnd w:id="899"/>
      <w:bookmarkEnd w:id="900"/>
      <w:bookmarkEnd w:id="901"/>
      <w:bookmarkEnd w:id="902"/>
    </w:p>
    <w:tbl>
      <w:tblPr>
        <w:tblW w:w="6200" w:type="dxa"/>
        <w:tblCellMar>
          <w:left w:w="70" w:type="dxa"/>
          <w:right w:w="70" w:type="dxa"/>
        </w:tblCellMar>
        <w:tblLook w:val="04A0" w:firstRow="1" w:lastRow="0" w:firstColumn="1" w:lastColumn="0" w:noHBand="0" w:noVBand="1"/>
      </w:tblPr>
      <w:tblGrid>
        <w:gridCol w:w="2200"/>
        <w:gridCol w:w="1000"/>
        <w:gridCol w:w="1000"/>
        <w:gridCol w:w="1000"/>
        <w:gridCol w:w="1000"/>
      </w:tblGrid>
      <w:tr w:rsidR="00F15667" w:rsidRPr="00F15667" w14:paraId="3EC774DD" w14:textId="77777777" w:rsidTr="00C17A44">
        <w:trPr>
          <w:trHeight w:val="345"/>
        </w:trPr>
        <w:tc>
          <w:tcPr>
            <w:tcW w:w="2200" w:type="dxa"/>
            <w:vMerge w:val="restart"/>
            <w:tcBorders>
              <w:top w:val="double" w:sz="6" w:space="0" w:color="auto"/>
              <w:left w:val="nil"/>
              <w:bottom w:val="double" w:sz="6" w:space="0" w:color="000000"/>
              <w:right w:val="nil"/>
            </w:tcBorders>
            <w:shd w:val="clear" w:color="auto" w:fill="auto"/>
            <w:vAlign w:val="center"/>
            <w:hideMark/>
          </w:tcPr>
          <w:bookmarkEnd w:id="903"/>
          <w:p w14:paraId="68B3EEEB" w14:textId="77777777"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4000" w:type="dxa"/>
            <w:gridSpan w:val="4"/>
            <w:tcBorders>
              <w:top w:val="double" w:sz="6" w:space="0" w:color="auto"/>
              <w:left w:val="nil"/>
              <w:bottom w:val="nil"/>
              <w:right w:val="nil"/>
            </w:tcBorders>
            <w:shd w:val="clear" w:color="auto" w:fill="auto"/>
            <w:noWrap/>
            <w:vAlign w:val="center"/>
            <w:hideMark/>
          </w:tcPr>
          <w:p w14:paraId="59E1996B" w14:textId="77777777"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Agenda</w:t>
            </w:r>
          </w:p>
        </w:tc>
      </w:tr>
      <w:tr w:rsidR="00F15667" w:rsidRPr="00F15667" w14:paraId="530B1326" w14:textId="77777777" w:rsidTr="00C17A44">
        <w:trPr>
          <w:trHeight w:val="345"/>
        </w:trPr>
        <w:tc>
          <w:tcPr>
            <w:tcW w:w="2200" w:type="dxa"/>
            <w:vMerge/>
            <w:tcBorders>
              <w:top w:val="double" w:sz="6" w:space="0" w:color="auto"/>
              <w:left w:val="nil"/>
              <w:bottom w:val="double" w:sz="6" w:space="0" w:color="000000"/>
              <w:right w:val="nil"/>
            </w:tcBorders>
            <w:vAlign w:val="center"/>
            <w:hideMark/>
          </w:tcPr>
          <w:p w14:paraId="04DB17B5" w14:textId="77777777" w:rsidR="00EE751C" w:rsidRPr="00F15667" w:rsidRDefault="00EE751C" w:rsidP="00C17A44">
            <w:pPr>
              <w:spacing w:line="240" w:lineRule="auto"/>
              <w:jc w:val="center"/>
              <w:rPr>
                <w:rFonts w:eastAsia="Times New Roman"/>
                <w:b/>
                <w:bCs/>
                <w:szCs w:val="24"/>
                <w:lang w:eastAsia="cs-CZ"/>
              </w:rPr>
            </w:pPr>
          </w:p>
        </w:tc>
        <w:tc>
          <w:tcPr>
            <w:tcW w:w="1000" w:type="dxa"/>
            <w:tcBorders>
              <w:top w:val="nil"/>
              <w:left w:val="nil"/>
              <w:bottom w:val="double" w:sz="6" w:space="0" w:color="auto"/>
              <w:right w:val="nil"/>
            </w:tcBorders>
            <w:shd w:val="clear" w:color="auto" w:fill="auto"/>
            <w:vAlign w:val="center"/>
            <w:hideMark/>
          </w:tcPr>
          <w:p w14:paraId="642930ED" w14:textId="77777777"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A</w:t>
            </w:r>
          </w:p>
        </w:tc>
        <w:tc>
          <w:tcPr>
            <w:tcW w:w="1000" w:type="dxa"/>
            <w:tcBorders>
              <w:top w:val="nil"/>
              <w:left w:val="nil"/>
              <w:bottom w:val="double" w:sz="6" w:space="0" w:color="auto"/>
              <w:right w:val="nil"/>
            </w:tcBorders>
            <w:shd w:val="clear" w:color="auto" w:fill="auto"/>
            <w:vAlign w:val="center"/>
            <w:hideMark/>
          </w:tcPr>
          <w:p w14:paraId="1B46DA74" w14:textId="77777777"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Af</w:t>
            </w:r>
          </w:p>
        </w:tc>
        <w:tc>
          <w:tcPr>
            <w:tcW w:w="1000" w:type="dxa"/>
            <w:tcBorders>
              <w:top w:val="nil"/>
              <w:left w:val="nil"/>
              <w:bottom w:val="double" w:sz="6" w:space="0" w:color="auto"/>
              <w:right w:val="nil"/>
            </w:tcBorders>
            <w:shd w:val="clear" w:color="auto" w:fill="auto"/>
            <w:vAlign w:val="center"/>
            <w:hideMark/>
          </w:tcPr>
          <w:p w14:paraId="08374C44" w14:textId="77777777"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Ad</w:t>
            </w:r>
          </w:p>
        </w:tc>
        <w:tc>
          <w:tcPr>
            <w:tcW w:w="1000" w:type="dxa"/>
            <w:tcBorders>
              <w:top w:val="nil"/>
              <w:left w:val="nil"/>
              <w:bottom w:val="double" w:sz="6" w:space="0" w:color="auto"/>
              <w:right w:val="nil"/>
            </w:tcBorders>
            <w:shd w:val="clear" w:color="auto" w:fill="auto"/>
            <w:vAlign w:val="center"/>
            <w:hideMark/>
          </w:tcPr>
          <w:p w14:paraId="4C75820D" w14:textId="77777777"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Az</w:t>
            </w:r>
          </w:p>
        </w:tc>
      </w:tr>
      <w:tr w:rsidR="00F15667" w:rsidRPr="00F15667" w14:paraId="2EF61676" w14:textId="77777777" w:rsidTr="00C17A44">
        <w:trPr>
          <w:trHeight w:val="330"/>
        </w:trPr>
        <w:tc>
          <w:tcPr>
            <w:tcW w:w="2200" w:type="dxa"/>
            <w:tcBorders>
              <w:top w:val="nil"/>
              <w:left w:val="nil"/>
              <w:bottom w:val="single" w:sz="4" w:space="0" w:color="auto"/>
              <w:right w:val="nil"/>
            </w:tcBorders>
            <w:shd w:val="clear" w:color="auto" w:fill="auto"/>
            <w:noWrap/>
            <w:vAlign w:val="center"/>
            <w:hideMark/>
          </w:tcPr>
          <w:p w14:paraId="6AEA7E41" w14:textId="77777777" w:rsidR="00EE751C" w:rsidRPr="00F15667" w:rsidRDefault="00EE751C" w:rsidP="00C17A44">
            <w:pPr>
              <w:spacing w:line="240" w:lineRule="auto"/>
              <w:jc w:val="left"/>
              <w:rPr>
                <w:rFonts w:eastAsia="Times New Roman"/>
                <w:szCs w:val="24"/>
                <w:lang w:eastAsia="cs-CZ"/>
              </w:rPr>
            </w:pPr>
            <w:r w:rsidRPr="00F15667">
              <w:rPr>
                <w:rFonts w:eastAsia="Times New Roman"/>
                <w:szCs w:val="24"/>
                <w:lang w:eastAsia="cs-CZ"/>
              </w:rPr>
              <w:t>MS Praha</w:t>
            </w:r>
          </w:p>
        </w:tc>
        <w:tc>
          <w:tcPr>
            <w:tcW w:w="1000" w:type="dxa"/>
            <w:tcBorders>
              <w:top w:val="nil"/>
              <w:left w:val="nil"/>
              <w:bottom w:val="single" w:sz="4" w:space="0" w:color="auto"/>
              <w:right w:val="nil"/>
            </w:tcBorders>
            <w:shd w:val="clear" w:color="auto" w:fill="auto"/>
            <w:noWrap/>
            <w:vAlign w:val="center"/>
            <w:hideMark/>
          </w:tcPr>
          <w:p w14:paraId="40FA8191" w14:textId="4CE8B723"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56,94</w:t>
            </w:r>
          </w:p>
        </w:tc>
        <w:tc>
          <w:tcPr>
            <w:tcW w:w="1000" w:type="dxa"/>
            <w:tcBorders>
              <w:top w:val="nil"/>
              <w:left w:val="nil"/>
              <w:bottom w:val="single" w:sz="4" w:space="0" w:color="auto"/>
              <w:right w:val="nil"/>
            </w:tcBorders>
            <w:shd w:val="clear" w:color="auto" w:fill="auto"/>
            <w:noWrap/>
            <w:vAlign w:val="center"/>
            <w:hideMark/>
          </w:tcPr>
          <w:p w14:paraId="65497E8D" w14:textId="590C57CB"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19,05</w:t>
            </w:r>
          </w:p>
        </w:tc>
        <w:tc>
          <w:tcPr>
            <w:tcW w:w="1000" w:type="dxa"/>
            <w:tcBorders>
              <w:top w:val="nil"/>
              <w:left w:val="nil"/>
              <w:bottom w:val="single" w:sz="4" w:space="0" w:color="auto"/>
              <w:right w:val="nil"/>
            </w:tcBorders>
            <w:shd w:val="clear" w:color="auto" w:fill="auto"/>
            <w:noWrap/>
            <w:vAlign w:val="center"/>
            <w:hideMark/>
          </w:tcPr>
          <w:p w14:paraId="4F88D01F" w14:textId="591E0878"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16,57</w:t>
            </w:r>
          </w:p>
        </w:tc>
        <w:tc>
          <w:tcPr>
            <w:tcW w:w="1000" w:type="dxa"/>
            <w:tcBorders>
              <w:top w:val="nil"/>
              <w:left w:val="nil"/>
              <w:bottom w:val="single" w:sz="4" w:space="0" w:color="auto"/>
              <w:right w:val="nil"/>
            </w:tcBorders>
            <w:shd w:val="clear" w:color="auto" w:fill="auto"/>
            <w:noWrap/>
            <w:vAlign w:val="center"/>
            <w:hideMark/>
          </w:tcPr>
          <w:p w14:paraId="4EA51A7D" w14:textId="275F467F"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7,43</w:t>
            </w:r>
          </w:p>
        </w:tc>
      </w:tr>
      <w:tr w:rsidR="00F15667" w:rsidRPr="00F15667" w14:paraId="73B886BD" w14:textId="77777777" w:rsidTr="00C17A44">
        <w:trPr>
          <w:trHeight w:val="315"/>
        </w:trPr>
        <w:tc>
          <w:tcPr>
            <w:tcW w:w="2200" w:type="dxa"/>
            <w:tcBorders>
              <w:top w:val="nil"/>
              <w:left w:val="nil"/>
              <w:bottom w:val="single" w:sz="4" w:space="0" w:color="auto"/>
              <w:right w:val="nil"/>
            </w:tcBorders>
            <w:shd w:val="clear" w:color="auto" w:fill="auto"/>
            <w:noWrap/>
            <w:vAlign w:val="center"/>
            <w:hideMark/>
          </w:tcPr>
          <w:p w14:paraId="31C879AB" w14:textId="77777777" w:rsidR="00EE751C" w:rsidRPr="00F15667" w:rsidRDefault="00EE751C" w:rsidP="00C17A44">
            <w:pPr>
              <w:spacing w:line="240" w:lineRule="auto"/>
              <w:jc w:val="left"/>
              <w:rPr>
                <w:rFonts w:eastAsia="Times New Roman"/>
                <w:szCs w:val="24"/>
                <w:lang w:eastAsia="cs-CZ"/>
              </w:rPr>
            </w:pPr>
            <w:r w:rsidRPr="00F15667">
              <w:rPr>
                <w:rFonts w:eastAsia="Times New Roman"/>
                <w:szCs w:val="24"/>
                <w:lang w:eastAsia="cs-CZ"/>
              </w:rPr>
              <w:t>KS Praha</w:t>
            </w:r>
          </w:p>
        </w:tc>
        <w:tc>
          <w:tcPr>
            <w:tcW w:w="1000" w:type="dxa"/>
            <w:tcBorders>
              <w:top w:val="nil"/>
              <w:left w:val="nil"/>
              <w:bottom w:val="single" w:sz="4" w:space="0" w:color="auto"/>
              <w:right w:val="nil"/>
            </w:tcBorders>
            <w:shd w:val="clear" w:color="auto" w:fill="auto"/>
            <w:noWrap/>
            <w:vAlign w:val="center"/>
            <w:hideMark/>
          </w:tcPr>
          <w:p w14:paraId="72F075ED" w14:textId="279E2A0D"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59,51</w:t>
            </w:r>
          </w:p>
        </w:tc>
        <w:tc>
          <w:tcPr>
            <w:tcW w:w="1000" w:type="dxa"/>
            <w:tcBorders>
              <w:top w:val="nil"/>
              <w:left w:val="nil"/>
              <w:bottom w:val="single" w:sz="4" w:space="0" w:color="auto"/>
              <w:right w:val="nil"/>
            </w:tcBorders>
            <w:shd w:val="clear" w:color="auto" w:fill="auto"/>
            <w:noWrap/>
            <w:vAlign w:val="center"/>
            <w:hideMark/>
          </w:tcPr>
          <w:p w14:paraId="0DE8F904" w14:textId="5607527C"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27,82</w:t>
            </w:r>
          </w:p>
        </w:tc>
        <w:tc>
          <w:tcPr>
            <w:tcW w:w="1000" w:type="dxa"/>
            <w:tcBorders>
              <w:top w:val="nil"/>
              <w:left w:val="nil"/>
              <w:bottom w:val="single" w:sz="4" w:space="0" w:color="auto"/>
              <w:right w:val="nil"/>
            </w:tcBorders>
            <w:shd w:val="clear" w:color="auto" w:fill="auto"/>
            <w:noWrap/>
            <w:vAlign w:val="center"/>
            <w:hideMark/>
          </w:tcPr>
          <w:p w14:paraId="3DA5C1EE" w14:textId="451F8122"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11,97</w:t>
            </w:r>
          </w:p>
        </w:tc>
        <w:tc>
          <w:tcPr>
            <w:tcW w:w="1000" w:type="dxa"/>
            <w:tcBorders>
              <w:top w:val="nil"/>
              <w:left w:val="nil"/>
              <w:bottom w:val="single" w:sz="4" w:space="0" w:color="auto"/>
              <w:right w:val="nil"/>
            </w:tcBorders>
            <w:shd w:val="clear" w:color="auto" w:fill="auto"/>
            <w:noWrap/>
            <w:vAlign w:val="center"/>
            <w:hideMark/>
          </w:tcPr>
          <w:p w14:paraId="1B0D9923" w14:textId="5F3F7656"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0,70</w:t>
            </w:r>
          </w:p>
        </w:tc>
      </w:tr>
      <w:tr w:rsidR="00F15667" w:rsidRPr="00F15667" w14:paraId="4CA88B1B" w14:textId="77777777" w:rsidTr="00C17A44">
        <w:trPr>
          <w:trHeight w:val="315"/>
        </w:trPr>
        <w:tc>
          <w:tcPr>
            <w:tcW w:w="2200" w:type="dxa"/>
            <w:tcBorders>
              <w:top w:val="nil"/>
              <w:left w:val="nil"/>
              <w:bottom w:val="single" w:sz="4" w:space="0" w:color="auto"/>
              <w:right w:val="nil"/>
            </w:tcBorders>
            <w:shd w:val="clear" w:color="auto" w:fill="auto"/>
            <w:noWrap/>
            <w:vAlign w:val="center"/>
            <w:hideMark/>
          </w:tcPr>
          <w:p w14:paraId="0915F541" w14:textId="77777777" w:rsidR="00EE751C" w:rsidRPr="00F15667" w:rsidRDefault="00EE751C" w:rsidP="00C17A44">
            <w:pPr>
              <w:spacing w:line="240" w:lineRule="auto"/>
              <w:jc w:val="left"/>
              <w:rPr>
                <w:rFonts w:eastAsia="Times New Roman"/>
                <w:szCs w:val="24"/>
                <w:lang w:eastAsia="cs-CZ"/>
              </w:rPr>
            </w:pPr>
            <w:r w:rsidRPr="00F15667">
              <w:rPr>
                <w:rFonts w:eastAsia="Times New Roman"/>
                <w:szCs w:val="24"/>
                <w:lang w:eastAsia="cs-CZ"/>
              </w:rPr>
              <w:t>KS Č. Budějovice</w:t>
            </w:r>
          </w:p>
        </w:tc>
        <w:tc>
          <w:tcPr>
            <w:tcW w:w="1000" w:type="dxa"/>
            <w:tcBorders>
              <w:top w:val="nil"/>
              <w:left w:val="nil"/>
              <w:bottom w:val="single" w:sz="4" w:space="0" w:color="auto"/>
              <w:right w:val="nil"/>
            </w:tcBorders>
            <w:shd w:val="clear" w:color="auto" w:fill="auto"/>
            <w:noWrap/>
            <w:vAlign w:val="center"/>
            <w:hideMark/>
          </w:tcPr>
          <w:p w14:paraId="2A6E6401" w14:textId="7520E700"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48,12</w:t>
            </w:r>
          </w:p>
        </w:tc>
        <w:tc>
          <w:tcPr>
            <w:tcW w:w="1000" w:type="dxa"/>
            <w:tcBorders>
              <w:top w:val="nil"/>
              <w:left w:val="nil"/>
              <w:bottom w:val="single" w:sz="4" w:space="0" w:color="auto"/>
              <w:right w:val="nil"/>
            </w:tcBorders>
            <w:shd w:val="clear" w:color="auto" w:fill="auto"/>
            <w:noWrap/>
            <w:vAlign w:val="center"/>
            <w:hideMark/>
          </w:tcPr>
          <w:p w14:paraId="67FF4657" w14:textId="77227C27"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24,81</w:t>
            </w:r>
          </w:p>
        </w:tc>
        <w:tc>
          <w:tcPr>
            <w:tcW w:w="1000" w:type="dxa"/>
            <w:tcBorders>
              <w:top w:val="nil"/>
              <w:left w:val="nil"/>
              <w:bottom w:val="single" w:sz="4" w:space="0" w:color="auto"/>
              <w:right w:val="nil"/>
            </w:tcBorders>
            <w:shd w:val="clear" w:color="auto" w:fill="auto"/>
            <w:noWrap/>
            <w:vAlign w:val="center"/>
            <w:hideMark/>
          </w:tcPr>
          <w:p w14:paraId="473A587D" w14:textId="3E559CD8"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22,56</w:t>
            </w:r>
          </w:p>
        </w:tc>
        <w:tc>
          <w:tcPr>
            <w:tcW w:w="1000" w:type="dxa"/>
            <w:tcBorders>
              <w:top w:val="nil"/>
              <w:left w:val="nil"/>
              <w:bottom w:val="single" w:sz="4" w:space="0" w:color="auto"/>
              <w:right w:val="nil"/>
            </w:tcBorders>
            <w:shd w:val="clear" w:color="auto" w:fill="auto"/>
            <w:noWrap/>
            <w:vAlign w:val="center"/>
            <w:hideMark/>
          </w:tcPr>
          <w:p w14:paraId="246187EE" w14:textId="3C5E8F22"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4,51</w:t>
            </w:r>
          </w:p>
        </w:tc>
      </w:tr>
      <w:tr w:rsidR="00F15667" w:rsidRPr="00F15667" w14:paraId="027ADE53" w14:textId="77777777" w:rsidTr="00C17A44">
        <w:trPr>
          <w:trHeight w:val="315"/>
        </w:trPr>
        <w:tc>
          <w:tcPr>
            <w:tcW w:w="2200" w:type="dxa"/>
            <w:tcBorders>
              <w:top w:val="nil"/>
              <w:left w:val="nil"/>
              <w:bottom w:val="single" w:sz="4" w:space="0" w:color="auto"/>
              <w:right w:val="nil"/>
            </w:tcBorders>
            <w:shd w:val="clear" w:color="auto" w:fill="auto"/>
            <w:noWrap/>
            <w:vAlign w:val="center"/>
            <w:hideMark/>
          </w:tcPr>
          <w:p w14:paraId="78ED55E2" w14:textId="77777777" w:rsidR="00EE751C" w:rsidRPr="00F15667" w:rsidRDefault="00EE751C" w:rsidP="00C17A44">
            <w:pPr>
              <w:spacing w:line="240" w:lineRule="auto"/>
              <w:jc w:val="left"/>
              <w:rPr>
                <w:rFonts w:eastAsia="Times New Roman"/>
                <w:szCs w:val="24"/>
                <w:lang w:eastAsia="cs-CZ"/>
              </w:rPr>
            </w:pPr>
            <w:r w:rsidRPr="00F15667">
              <w:rPr>
                <w:rFonts w:eastAsia="Times New Roman"/>
                <w:szCs w:val="24"/>
                <w:lang w:eastAsia="cs-CZ"/>
              </w:rPr>
              <w:t>KS Plzeň</w:t>
            </w:r>
          </w:p>
        </w:tc>
        <w:tc>
          <w:tcPr>
            <w:tcW w:w="1000" w:type="dxa"/>
            <w:tcBorders>
              <w:top w:val="nil"/>
              <w:left w:val="nil"/>
              <w:bottom w:val="single" w:sz="4" w:space="0" w:color="auto"/>
              <w:right w:val="nil"/>
            </w:tcBorders>
            <w:shd w:val="clear" w:color="auto" w:fill="auto"/>
            <w:noWrap/>
            <w:vAlign w:val="center"/>
            <w:hideMark/>
          </w:tcPr>
          <w:p w14:paraId="4404BF74" w14:textId="02DD48E3"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55,81</w:t>
            </w:r>
          </w:p>
        </w:tc>
        <w:tc>
          <w:tcPr>
            <w:tcW w:w="1000" w:type="dxa"/>
            <w:tcBorders>
              <w:top w:val="nil"/>
              <w:left w:val="nil"/>
              <w:bottom w:val="single" w:sz="4" w:space="0" w:color="auto"/>
              <w:right w:val="nil"/>
            </w:tcBorders>
            <w:shd w:val="clear" w:color="auto" w:fill="auto"/>
            <w:noWrap/>
            <w:vAlign w:val="center"/>
            <w:hideMark/>
          </w:tcPr>
          <w:p w14:paraId="0531A4D4" w14:textId="42669923"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13,95</w:t>
            </w:r>
          </w:p>
        </w:tc>
        <w:tc>
          <w:tcPr>
            <w:tcW w:w="1000" w:type="dxa"/>
            <w:tcBorders>
              <w:top w:val="nil"/>
              <w:left w:val="nil"/>
              <w:bottom w:val="single" w:sz="4" w:space="0" w:color="auto"/>
              <w:right w:val="nil"/>
            </w:tcBorders>
            <w:shd w:val="clear" w:color="auto" w:fill="auto"/>
            <w:noWrap/>
            <w:vAlign w:val="center"/>
            <w:hideMark/>
          </w:tcPr>
          <w:p w14:paraId="5C8D0AC4" w14:textId="275802D0"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22,59</w:t>
            </w:r>
          </w:p>
        </w:tc>
        <w:tc>
          <w:tcPr>
            <w:tcW w:w="1000" w:type="dxa"/>
            <w:tcBorders>
              <w:top w:val="nil"/>
              <w:left w:val="nil"/>
              <w:bottom w:val="single" w:sz="4" w:space="0" w:color="auto"/>
              <w:right w:val="nil"/>
            </w:tcBorders>
            <w:shd w:val="clear" w:color="auto" w:fill="auto"/>
            <w:noWrap/>
            <w:vAlign w:val="center"/>
            <w:hideMark/>
          </w:tcPr>
          <w:p w14:paraId="29E2F26C" w14:textId="5CF03529"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7,64</w:t>
            </w:r>
          </w:p>
        </w:tc>
      </w:tr>
      <w:tr w:rsidR="00F15667" w:rsidRPr="00F15667" w14:paraId="5FD04C58" w14:textId="77777777" w:rsidTr="00C17A44">
        <w:trPr>
          <w:trHeight w:val="315"/>
        </w:trPr>
        <w:tc>
          <w:tcPr>
            <w:tcW w:w="2200" w:type="dxa"/>
            <w:tcBorders>
              <w:top w:val="nil"/>
              <w:left w:val="nil"/>
              <w:bottom w:val="single" w:sz="4" w:space="0" w:color="auto"/>
              <w:right w:val="nil"/>
            </w:tcBorders>
            <w:shd w:val="clear" w:color="auto" w:fill="auto"/>
            <w:noWrap/>
            <w:vAlign w:val="center"/>
            <w:hideMark/>
          </w:tcPr>
          <w:p w14:paraId="3EAFB566" w14:textId="77777777" w:rsidR="00EE751C" w:rsidRPr="00F15667" w:rsidRDefault="00EE751C" w:rsidP="00C17A44">
            <w:pPr>
              <w:spacing w:line="240" w:lineRule="auto"/>
              <w:jc w:val="left"/>
              <w:rPr>
                <w:rFonts w:eastAsia="Times New Roman"/>
                <w:szCs w:val="24"/>
                <w:lang w:eastAsia="cs-CZ"/>
              </w:rPr>
            </w:pPr>
            <w:r w:rsidRPr="00F15667">
              <w:rPr>
                <w:rFonts w:eastAsia="Times New Roman"/>
                <w:szCs w:val="24"/>
                <w:lang w:eastAsia="cs-CZ"/>
              </w:rPr>
              <w:t>KS Ústí n. Labem</w:t>
            </w:r>
          </w:p>
        </w:tc>
        <w:tc>
          <w:tcPr>
            <w:tcW w:w="1000" w:type="dxa"/>
            <w:tcBorders>
              <w:top w:val="nil"/>
              <w:left w:val="nil"/>
              <w:bottom w:val="single" w:sz="4" w:space="0" w:color="auto"/>
              <w:right w:val="nil"/>
            </w:tcBorders>
            <w:shd w:val="clear" w:color="auto" w:fill="auto"/>
            <w:noWrap/>
            <w:vAlign w:val="center"/>
            <w:hideMark/>
          </w:tcPr>
          <w:p w14:paraId="75CEDA14" w14:textId="1E7AD597"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50,12</w:t>
            </w:r>
          </w:p>
        </w:tc>
        <w:tc>
          <w:tcPr>
            <w:tcW w:w="1000" w:type="dxa"/>
            <w:tcBorders>
              <w:top w:val="nil"/>
              <w:left w:val="nil"/>
              <w:bottom w:val="single" w:sz="4" w:space="0" w:color="auto"/>
              <w:right w:val="nil"/>
            </w:tcBorders>
            <w:shd w:val="clear" w:color="auto" w:fill="auto"/>
            <w:noWrap/>
            <w:vAlign w:val="center"/>
            <w:hideMark/>
          </w:tcPr>
          <w:p w14:paraId="1B9121CF" w14:textId="412CEC1E"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26,29</w:t>
            </w:r>
          </w:p>
        </w:tc>
        <w:tc>
          <w:tcPr>
            <w:tcW w:w="1000" w:type="dxa"/>
            <w:tcBorders>
              <w:top w:val="nil"/>
              <w:left w:val="nil"/>
              <w:bottom w:val="single" w:sz="4" w:space="0" w:color="auto"/>
              <w:right w:val="nil"/>
            </w:tcBorders>
            <w:shd w:val="clear" w:color="auto" w:fill="auto"/>
            <w:noWrap/>
            <w:vAlign w:val="center"/>
            <w:hideMark/>
          </w:tcPr>
          <w:p w14:paraId="29CAD572" w14:textId="6B7805D1"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20,64</w:t>
            </w:r>
          </w:p>
        </w:tc>
        <w:tc>
          <w:tcPr>
            <w:tcW w:w="1000" w:type="dxa"/>
            <w:tcBorders>
              <w:top w:val="nil"/>
              <w:left w:val="nil"/>
              <w:bottom w:val="single" w:sz="4" w:space="0" w:color="auto"/>
              <w:right w:val="nil"/>
            </w:tcBorders>
            <w:shd w:val="clear" w:color="auto" w:fill="auto"/>
            <w:noWrap/>
            <w:vAlign w:val="center"/>
            <w:hideMark/>
          </w:tcPr>
          <w:p w14:paraId="656B48AF" w14:textId="434D9CE1"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2,95</w:t>
            </w:r>
          </w:p>
        </w:tc>
      </w:tr>
      <w:tr w:rsidR="00F15667" w:rsidRPr="00F15667" w14:paraId="35D29881" w14:textId="77777777" w:rsidTr="00C17A44">
        <w:trPr>
          <w:trHeight w:val="315"/>
        </w:trPr>
        <w:tc>
          <w:tcPr>
            <w:tcW w:w="2200" w:type="dxa"/>
            <w:tcBorders>
              <w:top w:val="nil"/>
              <w:left w:val="nil"/>
              <w:bottom w:val="single" w:sz="4" w:space="0" w:color="auto"/>
              <w:right w:val="nil"/>
            </w:tcBorders>
            <w:shd w:val="clear" w:color="auto" w:fill="auto"/>
            <w:noWrap/>
            <w:vAlign w:val="center"/>
            <w:hideMark/>
          </w:tcPr>
          <w:p w14:paraId="550DC5F3" w14:textId="77777777" w:rsidR="00EE751C" w:rsidRPr="00F15667" w:rsidRDefault="00EE751C" w:rsidP="00C17A44">
            <w:pPr>
              <w:spacing w:line="240" w:lineRule="auto"/>
              <w:jc w:val="left"/>
              <w:rPr>
                <w:rFonts w:eastAsia="Times New Roman"/>
                <w:szCs w:val="24"/>
                <w:lang w:eastAsia="cs-CZ"/>
              </w:rPr>
            </w:pPr>
            <w:r w:rsidRPr="00F15667">
              <w:rPr>
                <w:rFonts w:eastAsia="Times New Roman"/>
                <w:szCs w:val="24"/>
                <w:lang w:eastAsia="cs-CZ"/>
              </w:rPr>
              <w:t>KS Hr. Králové</w:t>
            </w:r>
          </w:p>
        </w:tc>
        <w:tc>
          <w:tcPr>
            <w:tcW w:w="1000" w:type="dxa"/>
            <w:tcBorders>
              <w:top w:val="nil"/>
              <w:left w:val="nil"/>
              <w:bottom w:val="single" w:sz="4" w:space="0" w:color="auto"/>
              <w:right w:val="nil"/>
            </w:tcBorders>
            <w:shd w:val="clear" w:color="auto" w:fill="auto"/>
            <w:noWrap/>
            <w:vAlign w:val="center"/>
            <w:hideMark/>
          </w:tcPr>
          <w:p w14:paraId="0C6FF065" w14:textId="69FD4779"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38,49</w:t>
            </w:r>
          </w:p>
        </w:tc>
        <w:tc>
          <w:tcPr>
            <w:tcW w:w="1000" w:type="dxa"/>
            <w:tcBorders>
              <w:top w:val="nil"/>
              <w:left w:val="nil"/>
              <w:bottom w:val="single" w:sz="4" w:space="0" w:color="auto"/>
              <w:right w:val="nil"/>
            </w:tcBorders>
            <w:shd w:val="clear" w:color="auto" w:fill="auto"/>
            <w:noWrap/>
            <w:vAlign w:val="center"/>
            <w:hideMark/>
          </w:tcPr>
          <w:p w14:paraId="3D66027F" w14:textId="4162DED4"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28,17</w:t>
            </w:r>
          </w:p>
        </w:tc>
        <w:tc>
          <w:tcPr>
            <w:tcW w:w="1000" w:type="dxa"/>
            <w:tcBorders>
              <w:top w:val="nil"/>
              <w:left w:val="nil"/>
              <w:bottom w:val="single" w:sz="4" w:space="0" w:color="auto"/>
              <w:right w:val="nil"/>
            </w:tcBorders>
            <w:shd w:val="clear" w:color="auto" w:fill="auto"/>
            <w:noWrap/>
            <w:vAlign w:val="center"/>
            <w:hideMark/>
          </w:tcPr>
          <w:p w14:paraId="0D7A97A2" w14:textId="0E6EED7A"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25,40</w:t>
            </w:r>
          </w:p>
        </w:tc>
        <w:tc>
          <w:tcPr>
            <w:tcW w:w="1000" w:type="dxa"/>
            <w:tcBorders>
              <w:top w:val="nil"/>
              <w:left w:val="nil"/>
              <w:bottom w:val="single" w:sz="4" w:space="0" w:color="auto"/>
              <w:right w:val="nil"/>
            </w:tcBorders>
            <w:shd w:val="clear" w:color="auto" w:fill="auto"/>
            <w:noWrap/>
            <w:vAlign w:val="center"/>
            <w:hideMark/>
          </w:tcPr>
          <w:p w14:paraId="3317DEFF" w14:textId="1E6BC901"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7,94</w:t>
            </w:r>
          </w:p>
        </w:tc>
      </w:tr>
      <w:tr w:rsidR="00F15667" w:rsidRPr="00F15667" w14:paraId="59EC0CA7" w14:textId="77777777" w:rsidTr="00C17A44">
        <w:trPr>
          <w:trHeight w:val="315"/>
        </w:trPr>
        <w:tc>
          <w:tcPr>
            <w:tcW w:w="2200" w:type="dxa"/>
            <w:tcBorders>
              <w:top w:val="nil"/>
              <w:left w:val="nil"/>
              <w:bottom w:val="single" w:sz="4" w:space="0" w:color="auto"/>
              <w:right w:val="nil"/>
            </w:tcBorders>
            <w:shd w:val="clear" w:color="auto" w:fill="auto"/>
            <w:noWrap/>
            <w:vAlign w:val="center"/>
            <w:hideMark/>
          </w:tcPr>
          <w:p w14:paraId="6B316BB8" w14:textId="77777777" w:rsidR="00EE751C" w:rsidRPr="00F15667" w:rsidRDefault="00EE751C" w:rsidP="00C17A44">
            <w:pPr>
              <w:spacing w:line="240" w:lineRule="auto"/>
              <w:jc w:val="left"/>
              <w:rPr>
                <w:rFonts w:eastAsia="Times New Roman"/>
                <w:szCs w:val="24"/>
                <w:lang w:eastAsia="cs-CZ"/>
              </w:rPr>
            </w:pPr>
            <w:r w:rsidRPr="00F15667">
              <w:rPr>
                <w:rFonts w:eastAsia="Times New Roman"/>
                <w:szCs w:val="24"/>
                <w:lang w:eastAsia="cs-CZ"/>
              </w:rPr>
              <w:t>KS Brno</w:t>
            </w:r>
          </w:p>
        </w:tc>
        <w:tc>
          <w:tcPr>
            <w:tcW w:w="1000" w:type="dxa"/>
            <w:tcBorders>
              <w:top w:val="nil"/>
              <w:left w:val="nil"/>
              <w:bottom w:val="single" w:sz="4" w:space="0" w:color="auto"/>
              <w:right w:val="nil"/>
            </w:tcBorders>
            <w:shd w:val="clear" w:color="auto" w:fill="auto"/>
            <w:noWrap/>
            <w:vAlign w:val="center"/>
            <w:hideMark/>
          </w:tcPr>
          <w:p w14:paraId="61FE7065" w14:textId="468093D8"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49,05</w:t>
            </w:r>
          </w:p>
        </w:tc>
        <w:tc>
          <w:tcPr>
            <w:tcW w:w="1000" w:type="dxa"/>
            <w:tcBorders>
              <w:top w:val="nil"/>
              <w:left w:val="nil"/>
              <w:bottom w:val="single" w:sz="4" w:space="0" w:color="auto"/>
              <w:right w:val="nil"/>
            </w:tcBorders>
            <w:shd w:val="clear" w:color="auto" w:fill="auto"/>
            <w:noWrap/>
            <w:vAlign w:val="center"/>
            <w:hideMark/>
          </w:tcPr>
          <w:p w14:paraId="792ACAF3" w14:textId="24143999"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30,90</w:t>
            </w:r>
          </w:p>
        </w:tc>
        <w:tc>
          <w:tcPr>
            <w:tcW w:w="1000" w:type="dxa"/>
            <w:tcBorders>
              <w:top w:val="nil"/>
              <w:left w:val="nil"/>
              <w:bottom w:val="single" w:sz="4" w:space="0" w:color="auto"/>
              <w:right w:val="nil"/>
            </w:tcBorders>
            <w:shd w:val="clear" w:color="auto" w:fill="auto"/>
            <w:noWrap/>
            <w:vAlign w:val="center"/>
            <w:hideMark/>
          </w:tcPr>
          <w:p w14:paraId="79B8BA92" w14:textId="0E7C99D8"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8,96</w:t>
            </w:r>
          </w:p>
        </w:tc>
        <w:tc>
          <w:tcPr>
            <w:tcW w:w="1000" w:type="dxa"/>
            <w:tcBorders>
              <w:top w:val="nil"/>
              <w:left w:val="nil"/>
              <w:bottom w:val="single" w:sz="4" w:space="0" w:color="auto"/>
              <w:right w:val="nil"/>
            </w:tcBorders>
            <w:shd w:val="clear" w:color="auto" w:fill="auto"/>
            <w:noWrap/>
            <w:vAlign w:val="center"/>
            <w:hideMark/>
          </w:tcPr>
          <w:p w14:paraId="3EDA5B44" w14:textId="2D52B56F"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11,09</w:t>
            </w:r>
          </w:p>
        </w:tc>
      </w:tr>
      <w:tr w:rsidR="00F15667" w:rsidRPr="00F15667" w14:paraId="1FE85C41" w14:textId="77777777" w:rsidTr="00C17A44">
        <w:trPr>
          <w:trHeight w:val="330"/>
        </w:trPr>
        <w:tc>
          <w:tcPr>
            <w:tcW w:w="2200" w:type="dxa"/>
            <w:tcBorders>
              <w:top w:val="nil"/>
              <w:left w:val="nil"/>
              <w:bottom w:val="double" w:sz="6" w:space="0" w:color="auto"/>
              <w:right w:val="nil"/>
            </w:tcBorders>
            <w:shd w:val="clear" w:color="auto" w:fill="auto"/>
            <w:noWrap/>
            <w:vAlign w:val="center"/>
            <w:hideMark/>
          </w:tcPr>
          <w:p w14:paraId="4FAE5169" w14:textId="77777777" w:rsidR="00EE751C" w:rsidRPr="00F15667" w:rsidRDefault="00EE751C" w:rsidP="00C17A44">
            <w:pPr>
              <w:spacing w:line="240" w:lineRule="auto"/>
              <w:jc w:val="left"/>
              <w:rPr>
                <w:rFonts w:eastAsia="Times New Roman"/>
                <w:szCs w:val="24"/>
                <w:lang w:eastAsia="cs-CZ"/>
              </w:rPr>
            </w:pPr>
            <w:r w:rsidRPr="00F15667">
              <w:rPr>
                <w:rFonts w:eastAsia="Times New Roman"/>
                <w:szCs w:val="24"/>
                <w:lang w:eastAsia="cs-CZ"/>
              </w:rPr>
              <w:t>KS Ostrava</w:t>
            </w:r>
          </w:p>
        </w:tc>
        <w:tc>
          <w:tcPr>
            <w:tcW w:w="1000" w:type="dxa"/>
            <w:tcBorders>
              <w:top w:val="nil"/>
              <w:left w:val="nil"/>
              <w:bottom w:val="double" w:sz="6" w:space="0" w:color="auto"/>
              <w:right w:val="nil"/>
            </w:tcBorders>
            <w:shd w:val="clear" w:color="auto" w:fill="auto"/>
            <w:noWrap/>
            <w:vAlign w:val="center"/>
            <w:hideMark/>
          </w:tcPr>
          <w:p w14:paraId="6D7614D0" w14:textId="04AE5259"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41,83</w:t>
            </w:r>
          </w:p>
        </w:tc>
        <w:tc>
          <w:tcPr>
            <w:tcW w:w="1000" w:type="dxa"/>
            <w:tcBorders>
              <w:top w:val="nil"/>
              <w:left w:val="nil"/>
              <w:bottom w:val="double" w:sz="6" w:space="0" w:color="auto"/>
              <w:right w:val="nil"/>
            </w:tcBorders>
            <w:shd w:val="clear" w:color="auto" w:fill="auto"/>
            <w:noWrap/>
            <w:vAlign w:val="center"/>
            <w:hideMark/>
          </w:tcPr>
          <w:p w14:paraId="66097070" w14:textId="601A29F4"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26,07</w:t>
            </w:r>
          </w:p>
        </w:tc>
        <w:tc>
          <w:tcPr>
            <w:tcW w:w="1000" w:type="dxa"/>
            <w:tcBorders>
              <w:top w:val="nil"/>
              <w:left w:val="nil"/>
              <w:bottom w:val="double" w:sz="6" w:space="0" w:color="auto"/>
              <w:right w:val="nil"/>
            </w:tcBorders>
            <w:shd w:val="clear" w:color="auto" w:fill="auto"/>
            <w:noWrap/>
            <w:vAlign w:val="center"/>
            <w:hideMark/>
          </w:tcPr>
          <w:p w14:paraId="132B62B7" w14:textId="302D55DF"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22,97</w:t>
            </w:r>
          </w:p>
        </w:tc>
        <w:tc>
          <w:tcPr>
            <w:tcW w:w="1000" w:type="dxa"/>
            <w:tcBorders>
              <w:top w:val="nil"/>
              <w:left w:val="nil"/>
              <w:bottom w:val="double" w:sz="6" w:space="0" w:color="auto"/>
              <w:right w:val="nil"/>
            </w:tcBorders>
            <w:shd w:val="clear" w:color="auto" w:fill="auto"/>
            <w:noWrap/>
            <w:vAlign w:val="center"/>
            <w:hideMark/>
          </w:tcPr>
          <w:p w14:paraId="0276BAC9" w14:textId="0C874F3D" w:rsidR="00EE751C" w:rsidRPr="00F15667" w:rsidRDefault="00EE751C" w:rsidP="00C17A44">
            <w:pPr>
              <w:spacing w:line="240" w:lineRule="auto"/>
              <w:jc w:val="center"/>
              <w:rPr>
                <w:rFonts w:eastAsia="Times New Roman"/>
                <w:szCs w:val="24"/>
                <w:lang w:eastAsia="cs-CZ"/>
              </w:rPr>
            </w:pPr>
            <w:r w:rsidRPr="00F15667">
              <w:rPr>
                <w:rFonts w:eastAsia="Times New Roman"/>
                <w:szCs w:val="24"/>
                <w:lang w:eastAsia="cs-CZ"/>
              </w:rPr>
              <w:t>9,13</w:t>
            </w:r>
          </w:p>
        </w:tc>
      </w:tr>
      <w:tr w:rsidR="00F15667" w:rsidRPr="00F15667" w14:paraId="151EBDF1" w14:textId="77777777" w:rsidTr="00C17A44">
        <w:trPr>
          <w:trHeight w:val="345"/>
        </w:trPr>
        <w:tc>
          <w:tcPr>
            <w:tcW w:w="2200" w:type="dxa"/>
            <w:tcBorders>
              <w:top w:val="nil"/>
              <w:left w:val="nil"/>
              <w:bottom w:val="double" w:sz="6" w:space="0" w:color="auto"/>
              <w:right w:val="nil"/>
            </w:tcBorders>
            <w:shd w:val="clear" w:color="auto" w:fill="auto"/>
            <w:noWrap/>
            <w:vAlign w:val="center"/>
            <w:hideMark/>
          </w:tcPr>
          <w:p w14:paraId="3027FC0A" w14:textId="77777777" w:rsidR="00EE751C" w:rsidRPr="00F15667" w:rsidRDefault="00EE751C" w:rsidP="00C17A4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00" w:type="dxa"/>
            <w:tcBorders>
              <w:top w:val="nil"/>
              <w:left w:val="nil"/>
              <w:bottom w:val="double" w:sz="6" w:space="0" w:color="auto"/>
              <w:right w:val="nil"/>
            </w:tcBorders>
            <w:shd w:val="clear" w:color="auto" w:fill="auto"/>
            <w:noWrap/>
            <w:vAlign w:val="center"/>
            <w:hideMark/>
          </w:tcPr>
          <w:p w14:paraId="08FCCE9F" w14:textId="5AD9748B"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52,25</w:t>
            </w:r>
          </w:p>
        </w:tc>
        <w:tc>
          <w:tcPr>
            <w:tcW w:w="1000" w:type="dxa"/>
            <w:tcBorders>
              <w:top w:val="nil"/>
              <w:left w:val="nil"/>
              <w:bottom w:val="double" w:sz="6" w:space="0" w:color="auto"/>
              <w:right w:val="nil"/>
            </w:tcBorders>
            <w:shd w:val="clear" w:color="auto" w:fill="auto"/>
            <w:noWrap/>
            <w:vAlign w:val="center"/>
            <w:hideMark/>
          </w:tcPr>
          <w:p w14:paraId="658F6C12" w14:textId="635BA9F6"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24,02</w:t>
            </w:r>
          </w:p>
        </w:tc>
        <w:tc>
          <w:tcPr>
            <w:tcW w:w="1000" w:type="dxa"/>
            <w:tcBorders>
              <w:top w:val="nil"/>
              <w:left w:val="nil"/>
              <w:bottom w:val="double" w:sz="6" w:space="0" w:color="auto"/>
              <w:right w:val="nil"/>
            </w:tcBorders>
            <w:shd w:val="clear" w:color="auto" w:fill="auto"/>
            <w:noWrap/>
            <w:vAlign w:val="center"/>
            <w:hideMark/>
          </w:tcPr>
          <w:p w14:paraId="4A31E53A" w14:textId="26694821"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16,27</w:t>
            </w:r>
          </w:p>
        </w:tc>
        <w:tc>
          <w:tcPr>
            <w:tcW w:w="1000" w:type="dxa"/>
            <w:tcBorders>
              <w:top w:val="nil"/>
              <w:left w:val="nil"/>
              <w:bottom w:val="double" w:sz="6" w:space="0" w:color="auto"/>
              <w:right w:val="nil"/>
            </w:tcBorders>
            <w:shd w:val="clear" w:color="auto" w:fill="auto"/>
            <w:noWrap/>
            <w:vAlign w:val="center"/>
            <w:hideMark/>
          </w:tcPr>
          <w:p w14:paraId="7733B11E" w14:textId="2E382D77" w:rsidR="00EE751C" w:rsidRPr="00F15667" w:rsidRDefault="00EE751C" w:rsidP="00C17A44">
            <w:pPr>
              <w:spacing w:line="240" w:lineRule="auto"/>
              <w:jc w:val="center"/>
              <w:rPr>
                <w:rFonts w:eastAsia="Times New Roman"/>
                <w:b/>
                <w:bCs/>
                <w:szCs w:val="24"/>
                <w:lang w:eastAsia="cs-CZ"/>
              </w:rPr>
            </w:pPr>
            <w:r w:rsidRPr="00F15667">
              <w:rPr>
                <w:rFonts w:eastAsia="Times New Roman"/>
                <w:b/>
                <w:bCs/>
                <w:szCs w:val="24"/>
                <w:lang w:eastAsia="cs-CZ"/>
              </w:rPr>
              <w:t>7,45</w:t>
            </w:r>
          </w:p>
        </w:tc>
      </w:tr>
      <w:tr w:rsidR="00F15667" w:rsidRPr="00F15667" w14:paraId="35A6BF68" w14:textId="77777777" w:rsidTr="00C17A44">
        <w:trPr>
          <w:trHeight w:val="330"/>
        </w:trPr>
        <w:tc>
          <w:tcPr>
            <w:tcW w:w="2200" w:type="dxa"/>
            <w:tcBorders>
              <w:top w:val="nil"/>
              <w:left w:val="nil"/>
              <w:bottom w:val="nil"/>
              <w:right w:val="nil"/>
            </w:tcBorders>
            <w:shd w:val="clear" w:color="auto" w:fill="auto"/>
            <w:noWrap/>
            <w:vAlign w:val="center"/>
            <w:hideMark/>
          </w:tcPr>
          <w:p w14:paraId="57698BB5" w14:textId="77777777" w:rsidR="00EE751C" w:rsidRPr="00F15667" w:rsidRDefault="00EE751C" w:rsidP="00C17A44">
            <w:pPr>
              <w:spacing w:line="240" w:lineRule="auto"/>
              <w:jc w:val="center"/>
              <w:rPr>
                <w:rFonts w:eastAsia="Times New Roman"/>
                <w:b/>
                <w:bCs/>
                <w:szCs w:val="24"/>
                <w:lang w:eastAsia="cs-CZ"/>
              </w:rPr>
            </w:pPr>
          </w:p>
        </w:tc>
        <w:tc>
          <w:tcPr>
            <w:tcW w:w="1000" w:type="dxa"/>
            <w:tcBorders>
              <w:top w:val="nil"/>
              <w:left w:val="nil"/>
              <w:bottom w:val="nil"/>
              <w:right w:val="nil"/>
            </w:tcBorders>
            <w:shd w:val="clear" w:color="auto" w:fill="auto"/>
            <w:noWrap/>
            <w:vAlign w:val="center"/>
            <w:hideMark/>
          </w:tcPr>
          <w:p w14:paraId="072191B3" w14:textId="77777777" w:rsidR="00EE751C" w:rsidRPr="00F15667" w:rsidRDefault="00EE751C" w:rsidP="00C17A44">
            <w:pPr>
              <w:spacing w:line="240" w:lineRule="auto"/>
              <w:jc w:val="center"/>
              <w:rPr>
                <w:rFonts w:ascii="Times New Roman" w:eastAsia="Times New Roman" w:hAnsi="Times New Roman"/>
                <w:sz w:val="20"/>
                <w:szCs w:val="20"/>
                <w:lang w:eastAsia="cs-CZ"/>
              </w:rPr>
            </w:pPr>
          </w:p>
        </w:tc>
        <w:tc>
          <w:tcPr>
            <w:tcW w:w="1000" w:type="dxa"/>
            <w:tcBorders>
              <w:top w:val="nil"/>
              <w:left w:val="nil"/>
              <w:bottom w:val="nil"/>
              <w:right w:val="nil"/>
            </w:tcBorders>
            <w:shd w:val="clear" w:color="auto" w:fill="auto"/>
            <w:noWrap/>
            <w:vAlign w:val="center"/>
            <w:hideMark/>
          </w:tcPr>
          <w:p w14:paraId="2DDF2591" w14:textId="77777777" w:rsidR="00EE751C" w:rsidRPr="00F15667" w:rsidRDefault="00EE751C" w:rsidP="00C17A44">
            <w:pPr>
              <w:spacing w:line="240" w:lineRule="auto"/>
              <w:jc w:val="center"/>
              <w:rPr>
                <w:rFonts w:ascii="Times New Roman" w:eastAsia="Times New Roman" w:hAnsi="Times New Roman"/>
                <w:sz w:val="20"/>
                <w:szCs w:val="20"/>
                <w:lang w:eastAsia="cs-CZ"/>
              </w:rPr>
            </w:pPr>
          </w:p>
        </w:tc>
        <w:tc>
          <w:tcPr>
            <w:tcW w:w="1000" w:type="dxa"/>
            <w:tcBorders>
              <w:top w:val="nil"/>
              <w:left w:val="nil"/>
              <w:bottom w:val="nil"/>
              <w:right w:val="nil"/>
            </w:tcBorders>
            <w:shd w:val="clear" w:color="auto" w:fill="auto"/>
            <w:noWrap/>
            <w:vAlign w:val="center"/>
            <w:hideMark/>
          </w:tcPr>
          <w:p w14:paraId="64B10596" w14:textId="77777777" w:rsidR="00EE751C" w:rsidRPr="00F15667" w:rsidRDefault="00EE751C" w:rsidP="00C17A44">
            <w:pPr>
              <w:spacing w:line="240" w:lineRule="auto"/>
              <w:jc w:val="center"/>
              <w:rPr>
                <w:rFonts w:ascii="Times New Roman" w:eastAsia="Times New Roman" w:hAnsi="Times New Roman"/>
                <w:sz w:val="20"/>
                <w:szCs w:val="20"/>
                <w:lang w:eastAsia="cs-CZ"/>
              </w:rPr>
            </w:pPr>
          </w:p>
        </w:tc>
        <w:tc>
          <w:tcPr>
            <w:tcW w:w="1000" w:type="dxa"/>
            <w:tcBorders>
              <w:top w:val="nil"/>
              <w:left w:val="nil"/>
              <w:bottom w:val="nil"/>
              <w:right w:val="nil"/>
            </w:tcBorders>
            <w:shd w:val="clear" w:color="auto" w:fill="auto"/>
            <w:noWrap/>
            <w:vAlign w:val="center"/>
            <w:hideMark/>
          </w:tcPr>
          <w:p w14:paraId="76304A7E" w14:textId="77777777" w:rsidR="00EE751C" w:rsidRPr="00F15667" w:rsidRDefault="00EE751C" w:rsidP="00C17A44">
            <w:pPr>
              <w:spacing w:line="240" w:lineRule="auto"/>
              <w:jc w:val="center"/>
              <w:rPr>
                <w:rFonts w:ascii="Times New Roman" w:eastAsia="Times New Roman" w:hAnsi="Times New Roman"/>
                <w:sz w:val="20"/>
                <w:szCs w:val="20"/>
                <w:lang w:eastAsia="cs-CZ"/>
              </w:rPr>
            </w:pPr>
          </w:p>
        </w:tc>
      </w:tr>
    </w:tbl>
    <w:p w14:paraId="08EAD17E" w14:textId="2833652D" w:rsidR="008430BD" w:rsidRPr="00F15667" w:rsidRDefault="008430BD" w:rsidP="008430BD">
      <w:pPr>
        <w:pStyle w:val="Nadpis3"/>
        <w:numPr>
          <w:ilvl w:val="2"/>
          <w:numId w:val="1"/>
        </w:numPr>
        <w:rPr>
          <w:color w:val="auto"/>
        </w:rPr>
      </w:pPr>
      <w:bookmarkStart w:id="904" w:name="_Toc515871269"/>
      <w:bookmarkStart w:id="905" w:name="_Toc106092777"/>
      <w:bookmarkStart w:id="906" w:name="_Toc144104390"/>
      <w:r w:rsidRPr="00F15667">
        <w:rPr>
          <w:color w:val="auto"/>
        </w:rPr>
        <w:lastRenderedPageBreak/>
        <w:t>Vyřizování věcí v přepočtu na soudce</w:t>
      </w:r>
      <w:bookmarkEnd w:id="904"/>
      <w:bookmarkEnd w:id="905"/>
      <w:bookmarkEnd w:id="906"/>
    </w:p>
    <w:p w14:paraId="33DC0892" w14:textId="77777777" w:rsidR="001F5C1B" w:rsidRPr="00F15667" w:rsidRDefault="001F5C1B" w:rsidP="001F5C1B">
      <w:pPr>
        <w:pStyle w:val="OdstavecASR"/>
      </w:pPr>
      <w:r w:rsidRPr="00F15667">
        <w:t>Na rozdíl od ostatních agend bylo možné počet soudců, kteří vyřizují správní agendu, dohledat i v předchozích verzích zprávy. Tento rok nicméně budou využita data ze stejného zdroje jako u ostatních agend, tedy údaje o skutečném počtu úvazků získané dotazníkovým šetřením od soudů.</w:t>
      </w:r>
    </w:p>
    <w:p w14:paraId="1B41A102" w14:textId="77777777" w:rsidR="001F5C1B" w:rsidRPr="00F15667" w:rsidRDefault="001F5C1B" w:rsidP="001F5C1B">
      <w:pPr>
        <w:pStyle w:val="OdstavecASR"/>
      </w:pPr>
      <w:r w:rsidRPr="00F15667">
        <w:t>V tabulce tedy uvádíme údaje založené na počtu soudců (úvazků) k 1. 1. 2022. Údaje o nápadu, obživě a vyřízených věcech jsou za rok 2021. Data o počtu nevyřízených věcí jsou k 31. 12. 2021.</w:t>
      </w:r>
    </w:p>
    <w:p w14:paraId="3FCA86A5" w14:textId="192A9C0D" w:rsidR="001F5C1B" w:rsidRPr="00F15667" w:rsidRDefault="001F5C1B" w:rsidP="001F5C1B">
      <w:pPr>
        <w:pStyle w:val="OdstavecASR"/>
      </w:pPr>
      <w:r w:rsidRPr="00F15667">
        <w:t>Ve zprávě za rok 2019 byl zachycen počet soudců 98, v roce 2020 činil počet soudců 113 a v</w:t>
      </w:r>
      <w:r w:rsidR="008C34F7" w:rsidRPr="00F15667">
        <w:t xml:space="preserve"> letech </w:t>
      </w:r>
      <w:r w:rsidRPr="00F15667">
        <w:t>2021</w:t>
      </w:r>
      <w:r w:rsidR="008C34F7" w:rsidRPr="00F15667">
        <w:t xml:space="preserve"> a 2022</w:t>
      </w:r>
      <w:r w:rsidRPr="00F15667">
        <w:t xml:space="preserve"> čin</w:t>
      </w:r>
      <w:r w:rsidR="008C34F7" w:rsidRPr="00F15667">
        <w:t>il</w:t>
      </w:r>
      <w:r w:rsidRPr="00F15667">
        <w:t xml:space="preserve"> 118. To je nárůst celkem o 20 soudců (20 %). To spolu s poklesem v nápadu soudům umožnilo vyřídit mnohem více věcí, než jich na soudy přišlo.</w:t>
      </w:r>
    </w:p>
    <w:p w14:paraId="33696AB4" w14:textId="764E8B40" w:rsidR="00D00488" w:rsidRPr="00F15667" w:rsidRDefault="00D00488" w:rsidP="00D00488">
      <w:pPr>
        <w:pStyle w:val="Podnadpis"/>
        <w:rPr>
          <w:color w:val="auto"/>
        </w:rPr>
      </w:pPr>
      <w:bookmarkStart w:id="907" w:name="_Toc75952372"/>
      <w:bookmarkStart w:id="908" w:name="_Toc106106827"/>
      <w:bookmarkStart w:id="909" w:name="_Toc109802150"/>
      <w:bookmarkStart w:id="910" w:name="_Toc144104309"/>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70</w:t>
      </w:r>
      <w:r w:rsidRPr="00F15667">
        <w:rPr>
          <w:noProof/>
          <w:color w:val="auto"/>
        </w:rPr>
        <w:fldChar w:fldCharType="end"/>
      </w:r>
      <w:r w:rsidRPr="00F15667">
        <w:rPr>
          <w:color w:val="auto"/>
        </w:rPr>
        <w:t>: KS – vyřizování správních věcí na skutečný úvazek dle soudů</w:t>
      </w:r>
      <w:bookmarkEnd w:id="907"/>
      <w:bookmarkEnd w:id="908"/>
      <w:bookmarkEnd w:id="909"/>
      <w:bookmarkEnd w:id="910"/>
    </w:p>
    <w:tbl>
      <w:tblPr>
        <w:tblW w:w="9173" w:type="dxa"/>
        <w:tblCellMar>
          <w:left w:w="70" w:type="dxa"/>
          <w:right w:w="70" w:type="dxa"/>
        </w:tblCellMar>
        <w:tblLook w:val="04A0" w:firstRow="1" w:lastRow="0" w:firstColumn="1" w:lastColumn="0" w:noHBand="0" w:noVBand="1"/>
      </w:tblPr>
      <w:tblGrid>
        <w:gridCol w:w="2060"/>
        <w:gridCol w:w="1060"/>
        <w:gridCol w:w="1009"/>
        <w:gridCol w:w="920"/>
        <w:gridCol w:w="1199"/>
        <w:gridCol w:w="982"/>
        <w:gridCol w:w="1009"/>
        <w:gridCol w:w="934"/>
      </w:tblGrid>
      <w:tr w:rsidR="00207FF3" w:rsidRPr="00207FF3" w14:paraId="2D96535B" w14:textId="77777777" w:rsidTr="00C17A44">
        <w:trPr>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32EB0A35" w14:textId="3D13E3B2" w:rsidR="00207FF3" w:rsidRPr="00207FF3" w:rsidRDefault="00C17A44" w:rsidP="00C17A44">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00207FF3" w:rsidRPr="00207FF3">
              <w:rPr>
                <w:rFonts w:eastAsia="Times New Roman"/>
                <w:b/>
                <w:bCs/>
                <w:color w:val="000000"/>
                <w:szCs w:val="24"/>
                <w:lang w:eastAsia="cs-CZ"/>
              </w:rPr>
              <w:t>oud</w:t>
            </w:r>
          </w:p>
        </w:tc>
        <w:tc>
          <w:tcPr>
            <w:tcW w:w="1060" w:type="dxa"/>
            <w:vMerge w:val="restart"/>
            <w:tcBorders>
              <w:top w:val="double" w:sz="6" w:space="0" w:color="auto"/>
              <w:left w:val="nil"/>
              <w:bottom w:val="double" w:sz="6" w:space="0" w:color="000000"/>
              <w:right w:val="nil"/>
            </w:tcBorders>
            <w:shd w:val="clear" w:color="auto" w:fill="auto"/>
            <w:vAlign w:val="center"/>
            <w:hideMark/>
          </w:tcPr>
          <w:p w14:paraId="7DF352B7" w14:textId="77777777" w:rsidR="00207FF3" w:rsidRPr="00207FF3" w:rsidRDefault="00207FF3" w:rsidP="00C17A44">
            <w:pPr>
              <w:spacing w:line="240" w:lineRule="auto"/>
              <w:jc w:val="center"/>
              <w:rPr>
                <w:rFonts w:eastAsia="Times New Roman"/>
                <w:b/>
                <w:bCs/>
                <w:color w:val="000000"/>
                <w:szCs w:val="24"/>
                <w:lang w:eastAsia="cs-CZ"/>
              </w:rPr>
            </w:pPr>
            <w:r w:rsidRPr="00207FF3">
              <w:rPr>
                <w:rFonts w:eastAsia="Times New Roman"/>
                <w:b/>
                <w:bCs/>
                <w:color w:val="000000"/>
                <w:szCs w:val="24"/>
                <w:lang w:eastAsia="cs-CZ"/>
              </w:rPr>
              <w:t>Počet úvazků</w:t>
            </w:r>
          </w:p>
        </w:tc>
        <w:tc>
          <w:tcPr>
            <w:tcW w:w="6053" w:type="dxa"/>
            <w:gridSpan w:val="6"/>
            <w:tcBorders>
              <w:top w:val="double" w:sz="6" w:space="0" w:color="auto"/>
              <w:left w:val="nil"/>
              <w:bottom w:val="nil"/>
              <w:right w:val="nil"/>
            </w:tcBorders>
            <w:shd w:val="clear" w:color="auto" w:fill="auto"/>
            <w:noWrap/>
            <w:vAlign w:val="center"/>
            <w:hideMark/>
          </w:tcPr>
          <w:p w14:paraId="7AB930E9" w14:textId="6400652C" w:rsidR="00207FF3" w:rsidRPr="00207FF3" w:rsidRDefault="00207FF3" w:rsidP="00C17A44">
            <w:pPr>
              <w:spacing w:line="240" w:lineRule="auto"/>
              <w:jc w:val="center"/>
              <w:rPr>
                <w:rFonts w:eastAsia="Times New Roman"/>
                <w:b/>
                <w:bCs/>
                <w:color w:val="000000"/>
                <w:szCs w:val="24"/>
                <w:lang w:eastAsia="cs-CZ"/>
              </w:rPr>
            </w:pPr>
          </w:p>
        </w:tc>
      </w:tr>
      <w:tr w:rsidR="00207FF3" w:rsidRPr="00207FF3" w14:paraId="22F30B4E" w14:textId="77777777" w:rsidTr="00C17A44">
        <w:trPr>
          <w:trHeight w:val="330"/>
        </w:trPr>
        <w:tc>
          <w:tcPr>
            <w:tcW w:w="2060" w:type="dxa"/>
            <w:vMerge/>
            <w:tcBorders>
              <w:top w:val="double" w:sz="6" w:space="0" w:color="auto"/>
              <w:left w:val="nil"/>
              <w:bottom w:val="double" w:sz="6" w:space="0" w:color="000000"/>
              <w:right w:val="nil"/>
            </w:tcBorders>
            <w:vAlign w:val="center"/>
            <w:hideMark/>
          </w:tcPr>
          <w:p w14:paraId="7B089582" w14:textId="77777777" w:rsidR="00207FF3" w:rsidRPr="00207FF3" w:rsidRDefault="00207FF3" w:rsidP="00C17A44">
            <w:pPr>
              <w:spacing w:line="240" w:lineRule="auto"/>
              <w:jc w:val="center"/>
              <w:rPr>
                <w:rFonts w:eastAsia="Times New Roman"/>
                <w:b/>
                <w:bCs/>
                <w:color w:val="000000"/>
                <w:szCs w:val="24"/>
                <w:lang w:eastAsia="cs-CZ"/>
              </w:rPr>
            </w:pPr>
          </w:p>
        </w:tc>
        <w:tc>
          <w:tcPr>
            <w:tcW w:w="1060" w:type="dxa"/>
            <w:vMerge/>
            <w:tcBorders>
              <w:top w:val="double" w:sz="6" w:space="0" w:color="auto"/>
              <w:left w:val="nil"/>
              <w:bottom w:val="double" w:sz="6" w:space="0" w:color="000000"/>
              <w:right w:val="nil"/>
            </w:tcBorders>
            <w:vAlign w:val="center"/>
            <w:hideMark/>
          </w:tcPr>
          <w:p w14:paraId="135C990F" w14:textId="77777777" w:rsidR="00207FF3" w:rsidRPr="00207FF3" w:rsidRDefault="00207FF3" w:rsidP="00C17A44">
            <w:pPr>
              <w:spacing w:line="240" w:lineRule="auto"/>
              <w:jc w:val="center"/>
              <w:rPr>
                <w:rFonts w:eastAsia="Times New Roman"/>
                <w:b/>
                <w:bCs/>
                <w:color w:val="000000"/>
                <w:szCs w:val="24"/>
                <w:lang w:eastAsia="cs-CZ"/>
              </w:rPr>
            </w:pPr>
          </w:p>
        </w:tc>
        <w:tc>
          <w:tcPr>
            <w:tcW w:w="1929" w:type="dxa"/>
            <w:gridSpan w:val="2"/>
            <w:tcBorders>
              <w:top w:val="nil"/>
              <w:left w:val="nil"/>
              <w:bottom w:val="double" w:sz="6" w:space="0" w:color="auto"/>
              <w:right w:val="nil"/>
            </w:tcBorders>
            <w:shd w:val="clear" w:color="auto" w:fill="auto"/>
            <w:noWrap/>
            <w:vAlign w:val="center"/>
            <w:hideMark/>
          </w:tcPr>
          <w:p w14:paraId="62689F9A" w14:textId="77777777" w:rsidR="00207FF3" w:rsidRPr="00207FF3" w:rsidRDefault="00207FF3" w:rsidP="00C17A44">
            <w:pPr>
              <w:spacing w:line="240" w:lineRule="auto"/>
              <w:jc w:val="center"/>
              <w:rPr>
                <w:rFonts w:eastAsia="Times New Roman"/>
                <w:b/>
                <w:bCs/>
                <w:color w:val="000000"/>
                <w:szCs w:val="24"/>
                <w:lang w:eastAsia="cs-CZ"/>
              </w:rPr>
            </w:pPr>
            <w:r w:rsidRPr="00207FF3">
              <w:rPr>
                <w:rFonts w:eastAsia="Times New Roman"/>
                <w:b/>
                <w:bCs/>
                <w:color w:val="000000"/>
                <w:szCs w:val="24"/>
                <w:lang w:eastAsia="cs-CZ"/>
              </w:rPr>
              <w:t>Nápad + obživa</w:t>
            </w:r>
          </w:p>
        </w:tc>
        <w:tc>
          <w:tcPr>
            <w:tcW w:w="218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2BFB7E7" w14:textId="77777777" w:rsidR="00207FF3" w:rsidRPr="00207FF3" w:rsidRDefault="00207FF3" w:rsidP="00C17A44">
            <w:pPr>
              <w:spacing w:line="240" w:lineRule="auto"/>
              <w:jc w:val="center"/>
              <w:rPr>
                <w:rFonts w:eastAsia="Times New Roman"/>
                <w:b/>
                <w:bCs/>
                <w:color w:val="000000"/>
                <w:szCs w:val="24"/>
                <w:lang w:eastAsia="cs-CZ"/>
              </w:rPr>
            </w:pPr>
            <w:r w:rsidRPr="00207FF3">
              <w:rPr>
                <w:rFonts w:eastAsia="Times New Roman"/>
                <w:b/>
                <w:bCs/>
                <w:color w:val="000000"/>
                <w:szCs w:val="24"/>
                <w:lang w:eastAsia="cs-CZ"/>
              </w:rPr>
              <w:t>Vyřízeno</w:t>
            </w:r>
          </w:p>
        </w:tc>
        <w:tc>
          <w:tcPr>
            <w:tcW w:w="1940" w:type="dxa"/>
            <w:gridSpan w:val="2"/>
            <w:tcBorders>
              <w:top w:val="nil"/>
              <w:left w:val="nil"/>
              <w:bottom w:val="double" w:sz="6" w:space="0" w:color="auto"/>
              <w:right w:val="nil"/>
            </w:tcBorders>
            <w:shd w:val="clear" w:color="auto" w:fill="auto"/>
            <w:noWrap/>
            <w:vAlign w:val="center"/>
            <w:hideMark/>
          </w:tcPr>
          <w:p w14:paraId="6FFEF467" w14:textId="77777777" w:rsidR="00207FF3" w:rsidRPr="00207FF3" w:rsidRDefault="00207FF3" w:rsidP="00C17A44">
            <w:pPr>
              <w:spacing w:line="240" w:lineRule="auto"/>
              <w:jc w:val="center"/>
              <w:rPr>
                <w:rFonts w:eastAsia="Times New Roman"/>
                <w:b/>
                <w:bCs/>
                <w:color w:val="000000"/>
                <w:szCs w:val="24"/>
                <w:lang w:eastAsia="cs-CZ"/>
              </w:rPr>
            </w:pPr>
            <w:r w:rsidRPr="00207FF3">
              <w:rPr>
                <w:rFonts w:eastAsia="Times New Roman"/>
                <w:b/>
                <w:bCs/>
                <w:color w:val="000000"/>
                <w:szCs w:val="24"/>
                <w:lang w:eastAsia="cs-CZ"/>
              </w:rPr>
              <w:t>Nevyřízeno</w:t>
            </w:r>
          </w:p>
        </w:tc>
      </w:tr>
      <w:tr w:rsidR="00207FF3" w:rsidRPr="00207FF3" w14:paraId="7C3CA88A" w14:textId="77777777" w:rsidTr="00C17A44">
        <w:trPr>
          <w:trHeight w:val="330"/>
        </w:trPr>
        <w:tc>
          <w:tcPr>
            <w:tcW w:w="2060" w:type="dxa"/>
            <w:tcBorders>
              <w:top w:val="single" w:sz="4" w:space="0" w:color="auto"/>
              <w:left w:val="nil"/>
              <w:bottom w:val="single" w:sz="4" w:space="0" w:color="auto"/>
              <w:right w:val="nil"/>
            </w:tcBorders>
            <w:shd w:val="clear" w:color="auto" w:fill="auto"/>
            <w:noWrap/>
            <w:vAlign w:val="center"/>
            <w:hideMark/>
          </w:tcPr>
          <w:p w14:paraId="61057AC9" w14:textId="77777777" w:rsidR="00207FF3" w:rsidRPr="00207FF3" w:rsidRDefault="00207FF3" w:rsidP="00C17A44">
            <w:pPr>
              <w:spacing w:line="240" w:lineRule="auto"/>
              <w:jc w:val="left"/>
              <w:rPr>
                <w:rFonts w:eastAsia="Times New Roman"/>
                <w:color w:val="000000"/>
                <w:szCs w:val="24"/>
                <w:lang w:eastAsia="cs-CZ"/>
              </w:rPr>
            </w:pPr>
            <w:r w:rsidRPr="00207FF3">
              <w:rPr>
                <w:rFonts w:eastAsia="Times New Roman"/>
                <w:color w:val="000000"/>
                <w:szCs w:val="24"/>
                <w:lang w:eastAsia="cs-CZ"/>
              </w:rPr>
              <w:t>MS Praha</w:t>
            </w:r>
          </w:p>
        </w:tc>
        <w:tc>
          <w:tcPr>
            <w:tcW w:w="1060" w:type="dxa"/>
            <w:tcBorders>
              <w:top w:val="single" w:sz="4" w:space="0" w:color="auto"/>
              <w:left w:val="nil"/>
              <w:bottom w:val="single" w:sz="4" w:space="0" w:color="auto"/>
              <w:right w:val="nil"/>
            </w:tcBorders>
            <w:shd w:val="clear" w:color="auto" w:fill="auto"/>
            <w:noWrap/>
            <w:vAlign w:val="center"/>
            <w:hideMark/>
          </w:tcPr>
          <w:p w14:paraId="2A446DDA" w14:textId="77777777"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39</w:t>
            </w:r>
          </w:p>
        </w:tc>
        <w:tc>
          <w:tcPr>
            <w:tcW w:w="1009" w:type="dxa"/>
            <w:tcBorders>
              <w:top w:val="single" w:sz="4" w:space="0" w:color="auto"/>
              <w:left w:val="nil"/>
              <w:bottom w:val="single" w:sz="4" w:space="0" w:color="auto"/>
              <w:right w:val="nil"/>
            </w:tcBorders>
            <w:shd w:val="clear" w:color="auto" w:fill="auto"/>
            <w:noWrap/>
            <w:vAlign w:val="center"/>
            <w:hideMark/>
          </w:tcPr>
          <w:p w14:paraId="1E370F33" w14:textId="019D4793"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61</w:t>
            </w:r>
            <w:r>
              <w:rPr>
                <w:rFonts w:eastAsia="Times New Roman"/>
                <w:color w:val="000000"/>
                <w:szCs w:val="24"/>
                <w:lang w:eastAsia="cs-CZ"/>
              </w:rPr>
              <w:t>,</w:t>
            </w:r>
            <w:r w:rsidRPr="00207FF3">
              <w:rPr>
                <w:rFonts w:eastAsia="Times New Roman"/>
                <w:color w:val="000000"/>
                <w:szCs w:val="24"/>
                <w:lang w:eastAsia="cs-CZ"/>
              </w:rPr>
              <w:t>10</w:t>
            </w:r>
          </w:p>
        </w:tc>
        <w:tc>
          <w:tcPr>
            <w:tcW w:w="920" w:type="dxa"/>
            <w:tcBorders>
              <w:top w:val="single" w:sz="4" w:space="0" w:color="auto"/>
              <w:left w:val="nil"/>
              <w:bottom w:val="single" w:sz="4" w:space="0" w:color="auto"/>
              <w:right w:val="nil"/>
            </w:tcBorders>
            <w:shd w:val="clear" w:color="auto" w:fill="auto"/>
            <w:noWrap/>
            <w:vAlign w:val="center"/>
            <w:hideMark/>
          </w:tcPr>
          <w:p w14:paraId="414EEA8C" w14:textId="0F437A45"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-27 %</w:t>
            </w:r>
          </w:p>
        </w:tc>
        <w:tc>
          <w:tcPr>
            <w:tcW w:w="1199" w:type="dxa"/>
            <w:tcBorders>
              <w:top w:val="nil"/>
              <w:left w:val="single" w:sz="4" w:space="0" w:color="auto"/>
              <w:bottom w:val="single" w:sz="4" w:space="0" w:color="auto"/>
              <w:right w:val="nil"/>
            </w:tcBorders>
            <w:shd w:val="clear" w:color="auto" w:fill="auto"/>
            <w:noWrap/>
            <w:vAlign w:val="center"/>
            <w:hideMark/>
          </w:tcPr>
          <w:p w14:paraId="0B88E098" w14:textId="77810F3B"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83</w:t>
            </w:r>
            <w:r>
              <w:rPr>
                <w:rFonts w:eastAsia="Times New Roman"/>
                <w:color w:val="000000"/>
                <w:szCs w:val="24"/>
                <w:lang w:eastAsia="cs-CZ"/>
              </w:rPr>
              <w:t>,</w:t>
            </w:r>
            <w:r w:rsidRPr="00207FF3">
              <w:rPr>
                <w:rFonts w:eastAsia="Times New Roman"/>
                <w:color w:val="000000"/>
                <w:szCs w:val="24"/>
                <w:lang w:eastAsia="cs-CZ"/>
              </w:rPr>
              <w:t>28</w:t>
            </w:r>
          </w:p>
        </w:tc>
        <w:tc>
          <w:tcPr>
            <w:tcW w:w="982" w:type="dxa"/>
            <w:tcBorders>
              <w:top w:val="nil"/>
              <w:left w:val="nil"/>
              <w:bottom w:val="single" w:sz="4" w:space="0" w:color="auto"/>
              <w:right w:val="single" w:sz="4" w:space="0" w:color="auto"/>
            </w:tcBorders>
            <w:shd w:val="clear" w:color="auto" w:fill="auto"/>
            <w:noWrap/>
            <w:vAlign w:val="center"/>
            <w:hideMark/>
          </w:tcPr>
          <w:p w14:paraId="1D1CD1A1" w14:textId="2AB64F5B"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-16 %</w:t>
            </w:r>
          </w:p>
        </w:tc>
        <w:tc>
          <w:tcPr>
            <w:tcW w:w="1009" w:type="dxa"/>
            <w:tcBorders>
              <w:top w:val="single" w:sz="4" w:space="0" w:color="auto"/>
              <w:left w:val="nil"/>
              <w:bottom w:val="single" w:sz="4" w:space="0" w:color="auto"/>
              <w:right w:val="nil"/>
            </w:tcBorders>
            <w:shd w:val="clear" w:color="auto" w:fill="auto"/>
            <w:noWrap/>
            <w:vAlign w:val="center"/>
            <w:hideMark/>
          </w:tcPr>
          <w:p w14:paraId="75A2DFFB" w14:textId="7B006C88"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60</w:t>
            </w:r>
            <w:r>
              <w:rPr>
                <w:rFonts w:eastAsia="Times New Roman"/>
                <w:color w:val="000000"/>
                <w:szCs w:val="24"/>
                <w:lang w:eastAsia="cs-CZ"/>
              </w:rPr>
              <w:t>,</w:t>
            </w:r>
            <w:r w:rsidRPr="00207FF3">
              <w:rPr>
                <w:rFonts w:eastAsia="Times New Roman"/>
                <w:color w:val="000000"/>
                <w:szCs w:val="24"/>
                <w:lang w:eastAsia="cs-CZ"/>
              </w:rPr>
              <w:t>03</w:t>
            </w:r>
          </w:p>
        </w:tc>
        <w:tc>
          <w:tcPr>
            <w:tcW w:w="931" w:type="dxa"/>
            <w:tcBorders>
              <w:top w:val="single" w:sz="4" w:space="0" w:color="auto"/>
              <w:left w:val="nil"/>
              <w:bottom w:val="single" w:sz="4" w:space="0" w:color="auto"/>
              <w:right w:val="nil"/>
            </w:tcBorders>
            <w:shd w:val="clear" w:color="auto" w:fill="auto"/>
            <w:noWrap/>
            <w:vAlign w:val="center"/>
            <w:hideMark/>
          </w:tcPr>
          <w:p w14:paraId="04779FDE" w14:textId="2F0F28EE"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-27 %</w:t>
            </w:r>
          </w:p>
        </w:tc>
      </w:tr>
      <w:tr w:rsidR="00207FF3" w:rsidRPr="00207FF3" w14:paraId="4271F73F"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3E1AAC5F" w14:textId="77777777" w:rsidR="00207FF3" w:rsidRPr="00207FF3" w:rsidRDefault="00207FF3" w:rsidP="00C17A44">
            <w:pPr>
              <w:spacing w:line="240" w:lineRule="auto"/>
              <w:jc w:val="left"/>
              <w:rPr>
                <w:rFonts w:eastAsia="Times New Roman"/>
                <w:color w:val="000000"/>
                <w:szCs w:val="24"/>
                <w:lang w:eastAsia="cs-CZ"/>
              </w:rPr>
            </w:pPr>
            <w:r w:rsidRPr="00207FF3">
              <w:rPr>
                <w:rFonts w:eastAsia="Times New Roman"/>
                <w:color w:val="000000"/>
                <w:szCs w:val="24"/>
                <w:lang w:eastAsia="cs-CZ"/>
              </w:rPr>
              <w:t>KS Praha</w:t>
            </w:r>
          </w:p>
        </w:tc>
        <w:tc>
          <w:tcPr>
            <w:tcW w:w="1060" w:type="dxa"/>
            <w:tcBorders>
              <w:top w:val="nil"/>
              <w:left w:val="nil"/>
              <w:bottom w:val="single" w:sz="4" w:space="0" w:color="auto"/>
              <w:right w:val="nil"/>
            </w:tcBorders>
            <w:shd w:val="clear" w:color="auto" w:fill="auto"/>
            <w:noWrap/>
            <w:vAlign w:val="center"/>
            <w:hideMark/>
          </w:tcPr>
          <w:p w14:paraId="20538444" w14:textId="77777777"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13</w:t>
            </w:r>
          </w:p>
        </w:tc>
        <w:tc>
          <w:tcPr>
            <w:tcW w:w="1009" w:type="dxa"/>
            <w:tcBorders>
              <w:top w:val="nil"/>
              <w:left w:val="nil"/>
              <w:bottom w:val="single" w:sz="4" w:space="0" w:color="auto"/>
              <w:right w:val="nil"/>
            </w:tcBorders>
            <w:shd w:val="clear" w:color="auto" w:fill="auto"/>
            <w:noWrap/>
            <w:vAlign w:val="center"/>
            <w:hideMark/>
          </w:tcPr>
          <w:p w14:paraId="3F05F0AE" w14:textId="61CF5A96"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63</w:t>
            </w:r>
            <w:r>
              <w:rPr>
                <w:rFonts w:eastAsia="Times New Roman"/>
                <w:color w:val="000000"/>
                <w:szCs w:val="24"/>
                <w:lang w:eastAsia="cs-CZ"/>
              </w:rPr>
              <w:t>,</w:t>
            </w:r>
            <w:r w:rsidRPr="00207FF3">
              <w:rPr>
                <w:rFonts w:eastAsia="Times New Roman"/>
                <w:color w:val="000000"/>
                <w:szCs w:val="24"/>
                <w:lang w:eastAsia="cs-CZ"/>
              </w:rPr>
              <w:t>46</w:t>
            </w:r>
          </w:p>
        </w:tc>
        <w:tc>
          <w:tcPr>
            <w:tcW w:w="920" w:type="dxa"/>
            <w:tcBorders>
              <w:top w:val="nil"/>
              <w:left w:val="nil"/>
              <w:bottom w:val="single" w:sz="4" w:space="0" w:color="auto"/>
              <w:right w:val="nil"/>
            </w:tcBorders>
            <w:shd w:val="clear" w:color="auto" w:fill="auto"/>
            <w:noWrap/>
            <w:vAlign w:val="center"/>
            <w:hideMark/>
          </w:tcPr>
          <w:p w14:paraId="61EF2417" w14:textId="73A20840"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-8 %</w:t>
            </w:r>
          </w:p>
        </w:tc>
        <w:tc>
          <w:tcPr>
            <w:tcW w:w="1199" w:type="dxa"/>
            <w:tcBorders>
              <w:top w:val="nil"/>
              <w:left w:val="single" w:sz="4" w:space="0" w:color="auto"/>
              <w:bottom w:val="single" w:sz="4" w:space="0" w:color="auto"/>
              <w:right w:val="nil"/>
            </w:tcBorders>
            <w:shd w:val="clear" w:color="auto" w:fill="auto"/>
            <w:noWrap/>
            <w:vAlign w:val="center"/>
            <w:hideMark/>
          </w:tcPr>
          <w:p w14:paraId="2E48813D" w14:textId="401934D9"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76</w:t>
            </w:r>
            <w:r>
              <w:rPr>
                <w:rFonts w:eastAsia="Times New Roman"/>
                <w:color w:val="000000"/>
                <w:szCs w:val="24"/>
                <w:lang w:eastAsia="cs-CZ"/>
              </w:rPr>
              <w:t>,</w:t>
            </w:r>
            <w:r w:rsidRPr="00207FF3">
              <w:rPr>
                <w:rFonts w:eastAsia="Times New Roman"/>
                <w:color w:val="000000"/>
                <w:szCs w:val="24"/>
                <w:lang w:eastAsia="cs-CZ"/>
              </w:rPr>
              <w:t>23</w:t>
            </w:r>
          </w:p>
        </w:tc>
        <w:tc>
          <w:tcPr>
            <w:tcW w:w="982" w:type="dxa"/>
            <w:tcBorders>
              <w:top w:val="nil"/>
              <w:left w:val="nil"/>
              <w:bottom w:val="single" w:sz="4" w:space="0" w:color="auto"/>
              <w:right w:val="single" w:sz="4" w:space="0" w:color="auto"/>
            </w:tcBorders>
            <w:shd w:val="clear" w:color="auto" w:fill="auto"/>
            <w:noWrap/>
            <w:vAlign w:val="center"/>
            <w:hideMark/>
          </w:tcPr>
          <w:p w14:paraId="2E92D6CE" w14:textId="2A237EA1"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-16 %</w:t>
            </w:r>
          </w:p>
        </w:tc>
        <w:tc>
          <w:tcPr>
            <w:tcW w:w="1009" w:type="dxa"/>
            <w:tcBorders>
              <w:top w:val="nil"/>
              <w:left w:val="nil"/>
              <w:bottom w:val="single" w:sz="4" w:space="0" w:color="auto"/>
              <w:right w:val="nil"/>
            </w:tcBorders>
            <w:shd w:val="clear" w:color="auto" w:fill="auto"/>
            <w:noWrap/>
            <w:vAlign w:val="center"/>
            <w:hideMark/>
          </w:tcPr>
          <w:p w14:paraId="524767EA" w14:textId="71D4D161"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43</w:t>
            </w:r>
            <w:r>
              <w:rPr>
                <w:rFonts w:eastAsia="Times New Roman"/>
                <w:color w:val="000000"/>
                <w:szCs w:val="24"/>
                <w:lang w:eastAsia="cs-CZ"/>
              </w:rPr>
              <w:t>,</w:t>
            </w:r>
            <w:r w:rsidRPr="00207FF3">
              <w:rPr>
                <w:rFonts w:eastAsia="Times New Roman"/>
                <w:color w:val="000000"/>
                <w:szCs w:val="24"/>
                <w:lang w:eastAsia="cs-CZ"/>
              </w:rPr>
              <w:t>69</w:t>
            </w:r>
          </w:p>
        </w:tc>
        <w:tc>
          <w:tcPr>
            <w:tcW w:w="931" w:type="dxa"/>
            <w:tcBorders>
              <w:top w:val="nil"/>
              <w:left w:val="nil"/>
              <w:bottom w:val="single" w:sz="4" w:space="0" w:color="auto"/>
              <w:right w:val="nil"/>
            </w:tcBorders>
            <w:shd w:val="clear" w:color="auto" w:fill="auto"/>
            <w:noWrap/>
            <w:vAlign w:val="center"/>
            <w:hideMark/>
          </w:tcPr>
          <w:p w14:paraId="186A5600" w14:textId="2EBDB83D"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-23 %</w:t>
            </w:r>
          </w:p>
        </w:tc>
      </w:tr>
      <w:tr w:rsidR="00207FF3" w:rsidRPr="00207FF3" w14:paraId="128BE182"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2926FD09" w14:textId="7413CA40" w:rsidR="00207FF3" w:rsidRPr="00207FF3" w:rsidRDefault="00207FF3" w:rsidP="00C17A44">
            <w:pPr>
              <w:spacing w:line="240" w:lineRule="auto"/>
              <w:jc w:val="left"/>
              <w:rPr>
                <w:rFonts w:eastAsia="Times New Roman"/>
                <w:color w:val="000000"/>
                <w:szCs w:val="24"/>
                <w:lang w:eastAsia="cs-CZ"/>
              </w:rPr>
            </w:pPr>
            <w:r w:rsidRPr="00207FF3">
              <w:rPr>
                <w:rFonts w:eastAsia="Times New Roman"/>
                <w:color w:val="000000"/>
                <w:szCs w:val="24"/>
                <w:lang w:eastAsia="cs-CZ"/>
              </w:rPr>
              <w:t>KS Č</w:t>
            </w:r>
            <w:r>
              <w:rPr>
                <w:rFonts w:eastAsia="Times New Roman"/>
                <w:color w:val="000000"/>
                <w:szCs w:val="24"/>
                <w:lang w:eastAsia="cs-CZ"/>
              </w:rPr>
              <w:t>,</w:t>
            </w:r>
            <w:r w:rsidRPr="00207FF3">
              <w:rPr>
                <w:rFonts w:eastAsia="Times New Roman"/>
                <w:color w:val="000000"/>
                <w:szCs w:val="24"/>
                <w:lang w:eastAsia="cs-CZ"/>
              </w:rPr>
              <w:t xml:space="preserve"> Budějovice</w:t>
            </w:r>
          </w:p>
        </w:tc>
        <w:tc>
          <w:tcPr>
            <w:tcW w:w="1060" w:type="dxa"/>
            <w:tcBorders>
              <w:top w:val="nil"/>
              <w:left w:val="nil"/>
              <w:bottom w:val="single" w:sz="4" w:space="0" w:color="auto"/>
              <w:right w:val="nil"/>
            </w:tcBorders>
            <w:shd w:val="clear" w:color="auto" w:fill="auto"/>
            <w:noWrap/>
            <w:vAlign w:val="center"/>
            <w:hideMark/>
          </w:tcPr>
          <w:p w14:paraId="57C6113E" w14:textId="77777777"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4</w:t>
            </w:r>
          </w:p>
        </w:tc>
        <w:tc>
          <w:tcPr>
            <w:tcW w:w="1009" w:type="dxa"/>
            <w:tcBorders>
              <w:top w:val="nil"/>
              <w:left w:val="nil"/>
              <w:bottom w:val="single" w:sz="4" w:space="0" w:color="auto"/>
              <w:right w:val="nil"/>
            </w:tcBorders>
            <w:shd w:val="clear" w:color="auto" w:fill="auto"/>
            <w:noWrap/>
            <w:vAlign w:val="center"/>
            <w:hideMark/>
          </w:tcPr>
          <w:p w14:paraId="64906298" w14:textId="3E2CF9B8"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80</w:t>
            </w:r>
            <w:r>
              <w:rPr>
                <w:rFonts w:eastAsia="Times New Roman"/>
                <w:color w:val="000000"/>
                <w:szCs w:val="24"/>
                <w:lang w:eastAsia="cs-CZ"/>
              </w:rPr>
              <w:t>,</w:t>
            </w:r>
            <w:r w:rsidRPr="00207FF3">
              <w:rPr>
                <w:rFonts w:eastAsia="Times New Roman"/>
                <w:color w:val="000000"/>
                <w:szCs w:val="24"/>
                <w:lang w:eastAsia="cs-CZ"/>
              </w:rPr>
              <w:t>75</w:t>
            </w:r>
          </w:p>
        </w:tc>
        <w:tc>
          <w:tcPr>
            <w:tcW w:w="920" w:type="dxa"/>
            <w:tcBorders>
              <w:top w:val="nil"/>
              <w:left w:val="nil"/>
              <w:bottom w:val="single" w:sz="4" w:space="0" w:color="auto"/>
              <w:right w:val="nil"/>
            </w:tcBorders>
            <w:shd w:val="clear" w:color="auto" w:fill="auto"/>
            <w:noWrap/>
            <w:vAlign w:val="center"/>
            <w:hideMark/>
          </w:tcPr>
          <w:p w14:paraId="122350B7" w14:textId="3F51B628"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+7 %</w:t>
            </w:r>
          </w:p>
        </w:tc>
        <w:tc>
          <w:tcPr>
            <w:tcW w:w="1199" w:type="dxa"/>
            <w:tcBorders>
              <w:top w:val="nil"/>
              <w:left w:val="single" w:sz="4" w:space="0" w:color="auto"/>
              <w:bottom w:val="single" w:sz="4" w:space="0" w:color="auto"/>
              <w:right w:val="nil"/>
            </w:tcBorders>
            <w:shd w:val="clear" w:color="auto" w:fill="auto"/>
            <w:noWrap/>
            <w:vAlign w:val="center"/>
            <w:hideMark/>
          </w:tcPr>
          <w:p w14:paraId="6FDC3ABE" w14:textId="44257234"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94</w:t>
            </w:r>
            <w:r>
              <w:rPr>
                <w:rFonts w:eastAsia="Times New Roman"/>
                <w:color w:val="000000"/>
                <w:szCs w:val="24"/>
                <w:lang w:eastAsia="cs-CZ"/>
              </w:rPr>
              <w:t>,</w:t>
            </w:r>
            <w:r w:rsidRPr="00207FF3">
              <w:rPr>
                <w:rFonts w:eastAsia="Times New Roman"/>
                <w:color w:val="000000"/>
                <w:szCs w:val="24"/>
                <w:lang w:eastAsia="cs-CZ"/>
              </w:rPr>
              <w:t>50</w:t>
            </w:r>
          </w:p>
        </w:tc>
        <w:tc>
          <w:tcPr>
            <w:tcW w:w="982" w:type="dxa"/>
            <w:tcBorders>
              <w:top w:val="nil"/>
              <w:left w:val="nil"/>
              <w:bottom w:val="single" w:sz="4" w:space="0" w:color="auto"/>
              <w:right w:val="single" w:sz="4" w:space="0" w:color="auto"/>
            </w:tcBorders>
            <w:shd w:val="clear" w:color="auto" w:fill="auto"/>
            <w:noWrap/>
            <w:vAlign w:val="center"/>
            <w:hideMark/>
          </w:tcPr>
          <w:p w14:paraId="6EC6890D" w14:textId="3CC5E6A3"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+37 %</w:t>
            </w:r>
          </w:p>
        </w:tc>
        <w:tc>
          <w:tcPr>
            <w:tcW w:w="1009" w:type="dxa"/>
            <w:tcBorders>
              <w:top w:val="nil"/>
              <w:left w:val="nil"/>
              <w:bottom w:val="single" w:sz="4" w:space="0" w:color="auto"/>
              <w:right w:val="nil"/>
            </w:tcBorders>
            <w:shd w:val="clear" w:color="auto" w:fill="auto"/>
            <w:noWrap/>
            <w:vAlign w:val="center"/>
            <w:hideMark/>
          </w:tcPr>
          <w:p w14:paraId="5184A5A4" w14:textId="380F3C68"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33</w:t>
            </w:r>
            <w:r>
              <w:rPr>
                <w:rFonts w:eastAsia="Times New Roman"/>
                <w:color w:val="000000"/>
                <w:szCs w:val="24"/>
                <w:lang w:eastAsia="cs-CZ"/>
              </w:rPr>
              <w:t>,</w:t>
            </w:r>
            <w:r w:rsidRPr="00207FF3">
              <w:rPr>
                <w:rFonts w:eastAsia="Times New Roman"/>
                <w:color w:val="000000"/>
                <w:szCs w:val="24"/>
                <w:lang w:eastAsia="cs-CZ"/>
              </w:rPr>
              <w:t>25</w:t>
            </w:r>
          </w:p>
        </w:tc>
        <w:tc>
          <w:tcPr>
            <w:tcW w:w="931" w:type="dxa"/>
            <w:tcBorders>
              <w:top w:val="nil"/>
              <w:left w:val="nil"/>
              <w:bottom w:val="single" w:sz="4" w:space="0" w:color="auto"/>
              <w:right w:val="nil"/>
            </w:tcBorders>
            <w:shd w:val="clear" w:color="auto" w:fill="auto"/>
            <w:noWrap/>
            <w:vAlign w:val="center"/>
            <w:hideMark/>
          </w:tcPr>
          <w:p w14:paraId="68D37066" w14:textId="0F2DC758"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-12 %</w:t>
            </w:r>
          </w:p>
        </w:tc>
      </w:tr>
      <w:tr w:rsidR="00207FF3" w:rsidRPr="00207FF3" w14:paraId="0BA23921"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1B56F3A6" w14:textId="77777777" w:rsidR="00207FF3" w:rsidRPr="00207FF3" w:rsidRDefault="00207FF3" w:rsidP="00C17A44">
            <w:pPr>
              <w:spacing w:line="240" w:lineRule="auto"/>
              <w:jc w:val="left"/>
              <w:rPr>
                <w:rFonts w:eastAsia="Times New Roman"/>
                <w:color w:val="000000"/>
                <w:szCs w:val="24"/>
                <w:lang w:eastAsia="cs-CZ"/>
              </w:rPr>
            </w:pPr>
            <w:r w:rsidRPr="00207FF3">
              <w:rPr>
                <w:rFonts w:eastAsia="Times New Roman"/>
                <w:color w:val="000000"/>
                <w:szCs w:val="24"/>
                <w:lang w:eastAsia="cs-CZ"/>
              </w:rPr>
              <w:t>KS Plzeň</w:t>
            </w:r>
          </w:p>
        </w:tc>
        <w:tc>
          <w:tcPr>
            <w:tcW w:w="1060" w:type="dxa"/>
            <w:tcBorders>
              <w:top w:val="nil"/>
              <w:left w:val="nil"/>
              <w:bottom w:val="single" w:sz="4" w:space="0" w:color="auto"/>
              <w:right w:val="nil"/>
            </w:tcBorders>
            <w:shd w:val="clear" w:color="auto" w:fill="auto"/>
            <w:noWrap/>
            <w:vAlign w:val="center"/>
            <w:hideMark/>
          </w:tcPr>
          <w:p w14:paraId="71CDDC5A" w14:textId="32802818"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9</w:t>
            </w:r>
            <w:r>
              <w:rPr>
                <w:rFonts w:eastAsia="Times New Roman"/>
                <w:color w:val="000000"/>
                <w:szCs w:val="24"/>
                <w:lang w:eastAsia="cs-CZ"/>
              </w:rPr>
              <w:t>,</w:t>
            </w:r>
            <w:r w:rsidRPr="00207FF3">
              <w:rPr>
                <w:rFonts w:eastAsia="Times New Roman"/>
                <w:color w:val="000000"/>
                <w:szCs w:val="24"/>
                <w:lang w:eastAsia="cs-CZ"/>
              </w:rPr>
              <w:t>5</w:t>
            </w:r>
          </w:p>
        </w:tc>
        <w:tc>
          <w:tcPr>
            <w:tcW w:w="1009" w:type="dxa"/>
            <w:tcBorders>
              <w:top w:val="nil"/>
              <w:left w:val="nil"/>
              <w:bottom w:val="single" w:sz="4" w:space="0" w:color="auto"/>
              <w:right w:val="nil"/>
            </w:tcBorders>
            <w:shd w:val="clear" w:color="auto" w:fill="auto"/>
            <w:noWrap/>
            <w:vAlign w:val="center"/>
            <w:hideMark/>
          </w:tcPr>
          <w:p w14:paraId="018B599E" w14:textId="7940FEE2"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66</w:t>
            </w:r>
            <w:r>
              <w:rPr>
                <w:rFonts w:eastAsia="Times New Roman"/>
                <w:color w:val="000000"/>
                <w:szCs w:val="24"/>
                <w:lang w:eastAsia="cs-CZ"/>
              </w:rPr>
              <w:t>,</w:t>
            </w:r>
            <w:r w:rsidRPr="00207FF3">
              <w:rPr>
                <w:rFonts w:eastAsia="Times New Roman"/>
                <w:color w:val="000000"/>
                <w:szCs w:val="24"/>
                <w:lang w:eastAsia="cs-CZ"/>
              </w:rPr>
              <w:t>00</w:t>
            </w:r>
          </w:p>
        </w:tc>
        <w:tc>
          <w:tcPr>
            <w:tcW w:w="920" w:type="dxa"/>
            <w:tcBorders>
              <w:top w:val="nil"/>
              <w:left w:val="nil"/>
              <w:bottom w:val="single" w:sz="4" w:space="0" w:color="auto"/>
              <w:right w:val="nil"/>
            </w:tcBorders>
            <w:shd w:val="clear" w:color="auto" w:fill="auto"/>
            <w:noWrap/>
            <w:vAlign w:val="center"/>
            <w:hideMark/>
          </w:tcPr>
          <w:p w14:paraId="59F9ABAF" w14:textId="6A45436C"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-18 %</w:t>
            </w:r>
          </w:p>
        </w:tc>
        <w:tc>
          <w:tcPr>
            <w:tcW w:w="1199" w:type="dxa"/>
            <w:tcBorders>
              <w:top w:val="nil"/>
              <w:left w:val="single" w:sz="4" w:space="0" w:color="auto"/>
              <w:bottom w:val="single" w:sz="4" w:space="0" w:color="auto"/>
              <w:right w:val="nil"/>
            </w:tcBorders>
            <w:shd w:val="clear" w:color="auto" w:fill="auto"/>
            <w:noWrap/>
            <w:vAlign w:val="center"/>
            <w:hideMark/>
          </w:tcPr>
          <w:p w14:paraId="5A3C35A3" w14:textId="1F3F3181"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74</w:t>
            </w:r>
            <w:r>
              <w:rPr>
                <w:rFonts w:eastAsia="Times New Roman"/>
                <w:color w:val="000000"/>
                <w:szCs w:val="24"/>
                <w:lang w:eastAsia="cs-CZ"/>
              </w:rPr>
              <w:t>,</w:t>
            </w:r>
            <w:r w:rsidRPr="00207FF3">
              <w:rPr>
                <w:rFonts w:eastAsia="Times New Roman"/>
                <w:color w:val="000000"/>
                <w:szCs w:val="24"/>
                <w:lang w:eastAsia="cs-CZ"/>
              </w:rPr>
              <w:t>74</w:t>
            </w:r>
          </w:p>
        </w:tc>
        <w:tc>
          <w:tcPr>
            <w:tcW w:w="982" w:type="dxa"/>
            <w:tcBorders>
              <w:top w:val="nil"/>
              <w:left w:val="nil"/>
              <w:bottom w:val="single" w:sz="4" w:space="0" w:color="auto"/>
              <w:right w:val="single" w:sz="4" w:space="0" w:color="auto"/>
            </w:tcBorders>
            <w:shd w:val="clear" w:color="auto" w:fill="auto"/>
            <w:noWrap/>
            <w:vAlign w:val="center"/>
            <w:hideMark/>
          </w:tcPr>
          <w:p w14:paraId="52E28415" w14:textId="7E3878DF"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-14 %</w:t>
            </w:r>
          </w:p>
        </w:tc>
        <w:tc>
          <w:tcPr>
            <w:tcW w:w="1009" w:type="dxa"/>
            <w:tcBorders>
              <w:top w:val="nil"/>
              <w:left w:val="nil"/>
              <w:bottom w:val="single" w:sz="4" w:space="0" w:color="auto"/>
              <w:right w:val="nil"/>
            </w:tcBorders>
            <w:shd w:val="clear" w:color="auto" w:fill="auto"/>
            <w:noWrap/>
            <w:vAlign w:val="center"/>
            <w:hideMark/>
          </w:tcPr>
          <w:p w14:paraId="56F1F99C" w14:textId="7563E006"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31</w:t>
            </w:r>
            <w:r>
              <w:rPr>
                <w:rFonts w:eastAsia="Times New Roman"/>
                <w:color w:val="000000"/>
                <w:szCs w:val="24"/>
                <w:lang w:eastAsia="cs-CZ"/>
              </w:rPr>
              <w:t>,</w:t>
            </w:r>
            <w:r w:rsidRPr="00207FF3">
              <w:rPr>
                <w:rFonts w:eastAsia="Times New Roman"/>
                <w:color w:val="000000"/>
                <w:szCs w:val="24"/>
                <w:lang w:eastAsia="cs-CZ"/>
              </w:rPr>
              <w:t>68</w:t>
            </w:r>
          </w:p>
        </w:tc>
        <w:tc>
          <w:tcPr>
            <w:tcW w:w="931" w:type="dxa"/>
            <w:tcBorders>
              <w:top w:val="nil"/>
              <w:left w:val="nil"/>
              <w:bottom w:val="single" w:sz="4" w:space="0" w:color="auto"/>
              <w:right w:val="nil"/>
            </w:tcBorders>
            <w:shd w:val="clear" w:color="auto" w:fill="auto"/>
            <w:noWrap/>
            <w:vAlign w:val="center"/>
            <w:hideMark/>
          </w:tcPr>
          <w:p w14:paraId="1C01C9AA" w14:textId="5781FFC4"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-32 %</w:t>
            </w:r>
          </w:p>
        </w:tc>
      </w:tr>
      <w:tr w:rsidR="00207FF3" w:rsidRPr="00207FF3" w14:paraId="3EB5F7B6"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69766D92" w14:textId="07AF486C" w:rsidR="00207FF3" w:rsidRPr="00207FF3" w:rsidRDefault="00207FF3" w:rsidP="00C17A44">
            <w:pPr>
              <w:spacing w:line="240" w:lineRule="auto"/>
              <w:jc w:val="left"/>
              <w:rPr>
                <w:rFonts w:eastAsia="Times New Roman"/>
                <w:color w:val="000000"/>
                <w:szCs w:val="24"/>
                <w:lang w:eastAsia="cs-CZ"/>
              </w:rPr>
            </w:pPr>
            <w:r w:rsidRPr="00207FF3">
              <w:rPr>
                <w:rFonts w:eastAsia="Times New Roman"/>
                <w:color w:val="000000"/>
                <w:szCs w:val="24"/>
                <w:lang w:eastAsia="cs-CZ"/>
              </w:rPr>
              <w:t>KS Ústí n</w:t>
            </w:r>
            <w:r>
              <w:rPr>
                <w:rFonts w:eastAsia="Times New Roman"/>
                <w:color w:val="000000"/>
                <w:szCs w:val="24"/>
                <w:lang w:eastAsia="cs-CZ"/>
              </w:rPr>
              <w:t>,</w:t>
            </w:r>
            <w:r w:rsidRPr="00207FF3">
              <w:rPr>
                <w:rFonts w:eastAsia="Times New Roman"/>
                <w:color w:val="000000"/>
                <w:szCs w:val="24"/>
                <w:lang w:eastAsia="cs-CZ"/>
              </w:rPr>
              <w:t xml:space="preserve"> Labem</w:t>
            </w:r>
          </w:p>
        </w:tc>
        <w:tc>
          <w:tcPr>
            <w:tcW w:w="1060" w:type="dxa"/>
            <w:tcBorders>
              <w:top w:val="nil"/>
              <w:left w:val="nil"/>
              <w:bottom w:val="single" w:sz="4" w:space="0" w:color="auto"/>
              <w:right w:val="nil"/>
            </w:tcBorders>
            <w:shd w:val="clear" w:color="auto" w:fill="auto"/>
            <w:noWrap/>
            <w:vAlign w:val="center"/>
            <w:hideMark/>
          </w:tcPr>
          <w:p w14:paraId="7F5657EC" w14:textId="68ABC642"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11</w:t>
            </w:r>
            <w:r>
              <w:rPr>
                <w:rFonts w:eastAsia="Times New Roman"/>
                <w:color w:val="000000"/>
                <w:szCs w:val="24"/>
                <w:lang w:eastAsia="cs-CZ"/>
              </w:rPr>
              <w:t>,</w:t>
            </w:r>
            <w:r w:rsidRPr="00207FF3">
              <w:rPr>
                <w:rFonts w:eastAsia="Times New Roman"/>
                <w:color w:val="000000"/>
                <w:szCs w:val="24"/>
                <w:lang w:eastAsia="cs-CZ"/>
              </w:rPr>
              <w:t>5</w:t>
            </w:r>
          </w:p>
        </w:tc>
        <w:tc>
          <w:tcPr>
            <w:tcW w:w="1009" w:type="dxa"/>
            <w:tcBorders>
              <w:top w:val="nil"/>
              <w:left w:val="nil"/>
              <w:bottom w:val="single" w:sz="4" w:space="0" w:color="auto"/>
              <w:right w:val="nil"/>
            </w:tcBorders>
            <w:shd w:val="clear" w:color="auto" w:fill="auto"/>
            <w:noWrap/>
            <w:vAlign w:val="center"/>
            <w:hideMark/>
          </w:tcPr>
          <w:p w14:paraId="2E77E96E" w14:textId="10F2EFC7"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52</w:t>
            </w:r>
            <w:r>
              <w:rPr>
                <w:rFonts w:eastAsia="Times New Roman"/>
                <w:color w:val="000000"/>
                <w:szCs w:val="24"/>
                <w:lang w:eastAsia="cs-CZ"/>
              </w:rPr>
              <w:t>,</w:t>
            </w:r>
            <w:r w:rsidRPr="00207FF3">
              <w:rPr>
                <w:rFonts w:eastAsia="Times New Roman"/>
                <w:color w:val="000000"/>
                <w:szCs w:val="24"/>
                <w:lang w:eastAsia="cs-CZ"/>
              </w:rPr>
              <w:t>61</w:t>
            </w:r>
          </w:p>
        </w:tc>
        <w:tc>
          <w:tcPr>
            <w:tcW w:w="920" w:type="dxa"/>
            <w:tcBorders>
              <w:top w:val="nil"/>
              <w:left w:val="nil"/>
              <w:bottom w:val="single" w:sz="4" w:space="0" w:color="auto"/>
              <w:right w:val="nil"/>
            </w:tcBorders>
            <w:shd w:val="clear" w:color="auto" w:fill="auto"/>
            <w:noWrap/>
            <w:vAlign w:val="center"/>
            <w:hideMark/>
          </w:tcPr>
          <w:p w14:paraId="4942DBA1" w14:textId="313DECAD"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-1 %</w:t>
            </w:r>
          </w:p>
        </w:tc>
        <w:tc>
          <w:tcPr>
            <w:tcW w:w="1199" w:type="dxa"/>
            <w:tcBorders>
              <w:top w:val="nil"/>
              <w:left w:val="single" w:sz="4" w:space="0" w:color="auto"/>
              <w:bottom w:val="single" w:sz="4" w:space="0" w:color="auto"/>
              <w:right w:val="nil"/>
            </w:tcBorders>
            <w:shd w:val="clear" w:color="auto" w:fill="auto"/>
            <w:noWrap/>
            <w:vAlign w:val="center"/>
            <w:hideMark/>
          </w:tcPr>
          <w:p w14:paraId="24F091F2" w14:textId="423AFE5F"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77</w:t>
            </w:r>
            <w:r>
              <w:rPr>
                <w:rFonts w:eastAsia="Times New Roman"/>
                <w:color w:val="000000"/>
                <w:szCs w:val="24"/>
                <w:lang w:eastAsia="cs-CZ"/>
              </w:rPr>
              <w:t>,</w:t>
            </w:r>
            <w:r w:rsidRPr="00207FF3">
              <w:rPr>
                <w:rFonts w:eastAsia="Times New Roman"/>
                <w:color w:val="000000"/>
                <w:szCs w:val="24"/>
                <w:lang w:eastAsia="cs-CZ"/>
              </w:rPr>
              <w:t>22</w:t>
            </w:r>
          </w:p>
        </w:tc>
        <w:tc>
          <w:tcPr>
            <w:tcW w:w="982" w:type="dxa"/>
            <w:tcBorders>
              <w:top w:val="nil"/>
              <w:left w:val="nil"/>
              <w:bottom w:val="single" w:sz="4" w:space="0" w:color="auto"/>
              <w:right w:val="single" w:sz="4" w:space="0" w:color="auto"/>
            </w:tcBorders>
            <w:shd w:val="clear" w:color="auto" w:fill="auto"/>
            <w:noWrap/>
            <w:vAlign w:val="center"/>
            <w:hideMark/>
          </w:tcPr>
          <w:p w14:paraId="3C1BBE51" w14:textId="2FAD86F5"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+11 %</w:t>
            </w:r>
          </w:p>
        </w:tc>
        <w:tc>
          <w:tcPr>
            <w:tcW w:w="1009" w:type="dxa"/>
            <w:tcBorders>
              <w:top w:val="nil"/>
              <w:left w:val="nil"/>
              <w:bottom w:val="single" w:sz="4" w:space="0" w:color="auto"/>
              <w:right w:val="nil"/>
            </w:tcBorders>
            <w:shd w:val="clear" w:color="auto" w:fill="auto"/>
            <w:noWrap/>
            <w:vAlign w:val="center"/>
            <w:hideMark/>
          </w:tcPr>
          <w:p w14:paraId="0F60F542" w14:textId="068037BA"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35</w:t>
            </w:r>
            <w:r>
              <w:rPr>
                <w:rFonts w:eastAsia="Times New Roman"/>
                <w:color w:val="000000"/>
                <w:szCs w:val="24"/>
                <w:lang w:eastAsia="cs-CZ"/>
              </w:rPr>
              <w:t>,</w:t>
            </w:r>
            <w:r w:rsidRPr="00207FF3">
              <w:rPr>
                <w:rFonts w:eastAsia="Times New Roman"/>
                <w:color w:val="000000"/>
                <w:szCs w:val="24"/>
                <w:lang w:eastAsia="cs-CZ"/>
              </w:rPr>
              <w:t>39</w:t>
            </w:r>
          </w:p>
        </w:tc>
        <w:tc>
          <w:tcPr>
            <w:tcW w:w="931" w:type="dxa"/>
            <w:tcBorders>
              <w:top w:val="nil"/>
              <w:left w:val="nil"/>
              <w:bottom w:val="single" w:sz="4" w:space="0" w:color="auto"/>
              <w:right w:val="nil"/>
            </w:tcBorders>
            <w:shd w:val="clear" w:color="auto" w:fill="auto"/>
            <w:noWrap/>
            <w:vAlign w:val="center"/>
            <w:hideMark/>
          </w:tcPr>
          <w:p w14:paraId="15AD9190" w14:textId="2F1F443D"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-39 %</w:t>
            </w:r>
          </w:p>
        </w:tc>
      </w:tr>
      <w:tr w:rsidR="00207FF3" w:rsidRPr="00207FF3" w14:paraId="7386F0CA"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65ECD602" w14:textId="4D0C1B33" w:rsidR="00207FF3" w:rsidRPr="00207FF3" w:rsidRDefault="00207FF3" w:rsidP="00C17A44">
            <w:pPr>
              <w:spacing w:line="240" w:lineRule="auto"/>
              <w:jc w:val="left"/>
              <w:rPr>
                <w:rFonts w:eastAsia="Times New Roman"/>
                <w:color w:val="000000"/>
                <w:szCs w:val="24"/>
                <w:lang w:eastAsia="cs-CZ"/>
              </w:rPr>
            </w:pPr>
            <w:r w:rsidRPr="00207FF3">
              <w:rPr>
                <w:rFonts w:eastAsia="Times New Roman"/>
                <w:color w:val="000000"/>
                <w:szCs w:val="24"/>
                <w:lang w:eastAsia="cs-CZ"/>
              </w:rPr>
              <w:t>KS Hr</w:t>
            </w:r>
            <w:r>
              <w:rPr>
                <w:rFonts w:eastAsia="Times New Roman"/>
                <w:color w:val="000000"/>
                <w:szCs w:val="24"/>
                <w:lang w:eastAsia="cs-CZ"/>
              </w:rPr>
              <w:t>,</w:t>
            </w:r>
            <w:r w:rsidRPr="00207FF3">
              <w:rPr>
                <w:rFonts w:eastAsia="Times New Roman"/>
                <w:color w:val="000000"/>
                <w:szCs w:val="24"/>
                <w:lang w:eastAsia="cs-CZ"/>
              </w:rPr>
              <w:t xml:space="preserve"> Králové</w:t>
            </w:r>
          </w:p>
        </w:tc>
        <w:tc>
          <w:tcPr>
            <w:tcW w:w="1060" w:type="dxa"/>
            <w:tcBorders>
              <w:top w:val="nil"/>
              <w:left w:val="nil"/>
              <w:bottom w:val="single" w:sz="4" w:space="0" w:color="auto"/>
              <w:right w:val="nil"/>
            </w:tcBorders>
            <w:shd w:val="clear" w:color="auto" w:fill="auto"/>
            <w:noWrap/>
            <w:vAlign w:val="center"/>
            <w:hideMark/>
          </w:tcPr>
          <w:p w14:paraId="49DB0336" w14:textId="11CD4883"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11</w:t>
            </w:r>
            <w:r>
              <w:rPr>
                <w:rFonts w:eastAsia="Times New Roman"/>
                <w:color w:val="000000"/>
                <w:szCs w:val="24"/>
                <w:lang w:eastAsia="cs-CZ"/>
              </w:rPr>
              <w:t>,</w:t>
            </w:r>
            <w:r w:rsidRPr="00207FF3">
              <w:rPr>
                <w:rFonts w:eastAsia="Times New Roman"/>
                <w:color w:val="000000"/>
                <w:szCs w:val="24"/>
                <w:lang w:eastAsia="cs-CZ"/>
              </w:rPr>
              <w:t>7</w:t>
            </w:r>
          </w:p>
        </w:tc>
        <w:tc>
          <w:tcPr>
            <w:tcW w:w="1009" w:type="dxa"/>
            <w:tcBorders>
              <w:top w:val="nil"/>
              <w:left w:val="nil"/>
              <w:bottom w:val="single" w:sz="4" w:space="0" w:color="auto"/>
              <w:right w:val="nil"/>
            </w:tcBorders>
            <w:shd w:val="clear" w:color="auto" w:fill="auto"/>
            <w:noWrap/>
            <w:vAlign w:val="center"/>
            <w:hideMark/>
          </w:tcPr>
          <w:p w14:paraId="72170B73" w14:textId="0191148F"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44</w:t>
            </w:r>
            <w:r>
              <w:rPr>
                <w:rFonts w:eastAsia="Times New Roman"/>
                <w:color w:val="000000"/>
                <w:szCs w:val="24"/>
                <w:lang w:eastAsia="cs-CZ"/>
              </w:rPr>
              <w:t>,</w:t>
            </w:r>
            <w:r w:rsidRPr="00207FF3">
              <w:rPr>
                <w:rFonts w:eastAsia="Times New Roman"/>
                <w:color w:val="000000"/>
                <w:szCs w:val="24"/>
                <w:lang w:eastAsia="cs-CZ"/>
              </w:rPr>
              <w:t>70</w:t>
            </w:r>
          </w:p>
        </w:tc>
        <w:tc>
          <w:tcPr>
            <w:tcW w:w="920" w:type="dxa"/>
            <w:tcBorders>
              <w:top w:val="nil"/>
              <w:left w:val="nil"/>
              <w:bottom w:val="single" w:sz="4" w:space="0" w:color="auto"/>
              <w:right w:val="nil"/>
            </w:tcBorders>
            <w:shd w:val="clear" w:color="auto" w:fill="auto"/>
            <w:noWrap/>
            <w:vAlign w:val="center"/>
            <w:hideMark/>
          </w:tcPr>
          <w:p w14:paraId="791F3D00" w14:textId="5D89ACD4"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-19 %</w:t>
            </w:r>
          </w:p>
        </w:tc>
        <w:tc>
          <w:tcPr>
            <w:tcW w:w="1199" w:type="dxa"/>
            <w:tcBorders>
              <w:top w:val="nil"/>
              <w:left w:val="single" w:sz="4" w:space="0" w:color="auto"/>
              <w:bottom w:val="single" w:sz="4" w:space="0" w:color="auto"/>
              <w:right w:val="nil"/>
            </w:tcBorders>
            <w:shd w:val="clear" w:color="auto" w:fill="auto"/>
            <w:noWrap/>
            <w:vAlign w:val="center"/>
            <w:hideMark/>
          </w:tcPr>
          <w:p w14:paraId="3E741D84" w14:textId="4C3DBF71"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59</w:t>
            </w:r>
            <w:r>
              <w:rPr>
                <w:rFonts w:eastAsia="Times New Roman"/>
                <w:color w:val="000000"/>
                <w:szCs w:val="24"/>
                <w:lang w:eastAsia="cs-CZ"/>
              </w:rPr>
              <w:t>,</w:t>
            </w:r>
            <w:r w:rsidRPr="00207FF3">
              <w:rPr>
                <w:rFonts w:eastAsia="Times New Roman"/>
                <w:color w:val="000000"/>
                <w:szCs w:val="24"/>
                <w:lang w:eastAsia="cs-CZ"/>
              </w:rPr>
              <w:t>49</w:t>
            </w:r>
          </w:p>
        </w:tc>
        <w:tc>
          <w:tcPr>
            <w:tcW w:w="982" w:type="dxa"/>
            <w:tcBorders>
              <w:top w:val="nil"/>
              <w:left w:val="nil"/>
              <w:bottom w:val="single" w:sz="4" w:space="0" w:color="auto"/>
              <w:right w:val="single" w:sz="4" w:space="0" w:color="auto"/>
            </w:tcBorders>
            <w:shd w:val="clear" w:color="auto" w:fill="auto"/>
            <w:noWrap/>
            <w:vAlign w:val="center"/>
            <w:hideMark/>
          </w:tcPr>
          <w:p w14:paraId="079D15D1" w14:textId="05B82499"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-12 %</w:t>
            </w:r>
          </w:p>
        </w:tc>
        <w:tc>
          <w:tcPr>
            <w:tcW w:w="1009" w:type="dxa"/>
            <w:tcBorders>
              <w:top w:val="nil"/>
              <w:left w:val="nil"/>
              <w:bottom w:val="single" w:sz="4" w:space="0" w:color="auto"/>
              <w:right w:val="nil"/>
            </w:tcBorders>
            <w:shd w:val="clear" w:color="auto" w:fill="auto"/>
            <w:noWrap/>
            <w:vAlign w:val="center"/>
            <w:hideMark/>
          </w:tcPr>
          <w:p w14:paraId="305AA3A1" w14:textId="523D51DF"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21</w:t>
            </w:r>
            <w:r>
              <w:rPr>
                <w:rFonts w:eastAsia="Times New Roman"/>
                <w:color w:val="000000"/>
                <w:szCs w:val="24"/>
                <w:lang w:eastAsia="cs-CZ"/>
              </w:rPr>
              <w:t>,</w:t>
            </w:r>
            <w:r w:rsidRPr="00207FF3">
              <w:rPr>
                <w:rFonts w:eastAsia="Times New Roman"/>
                <w:color w:val="000000"/>
                <w:szCs w:val="24"/>
                <w:lang w:eastAsia="cs-CZ"/>
              </w:rPr>
              <w:t>54</w:t>
            </w:r>
          </w:p>
        </w:tc>
        <w:tc>
          <w:tcPr>
            <w:tcW w:w="931" w:type="dxa"/>
            <w:tcBorders>
              <w:top w:val="nil"/>
              <w:left w:val="nil"/>
              <w:bottom w:val="single" w:sz="4" w:space="0" w:color="auto"/>
              <w:right w:val="nil"/>
            </w:tcBorders>
            <w:shd w:val="clear" w:color="auto" w:fill="auto"/>
            <w:noWrap/>
            <w:vAlign w:val="center"/>
            <w:hideMark/>
          </w:tcPr>
          <w:p w14:paraId="204433E1" w14:textId="0460C46C"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-41 %</w:t>
            </w:r>
          </w:p>
        </w:tc>
      </w:tr>
      <w:tr w:rsidR="00207FF3" w:rsidRPr="00207FF3" w14:paraId="2FD098CB"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1AD05C1D" w14:textId="77777777" w:rsidR="00207FF3" w:rsidRPr="00207FF3" w:rsidRDefault="00207FF3" w:rsidP="00C17A44">
            <w:pPr>
              <w:spacing w:line="240" w:lineRule="auto"/>
              <w:jc w:val="left"/>
              <w:rPr>
                <w:rFonts w:eastAsia="Times New Roman"/>
                <w:color w:val="000000"/>
                <w:szCs w:val="24"/>
                <w:lang w:eastAsia="cs-CZ"/>
              </w:rPr>
            </w:pPr>
            <w:r w:rsidRPr="00207FF3">
              <w:rPr>
                <w:rFonts w:eastAsia="Times New Roman"/>
                <w:color w:val="000000"/>
                <w:szCs w:val="24"/>
                <w:lang w:eastAsia="cs-CZ"/>
              </w:rPr>
              <w:t>KS Brno</w:t>
            </w:r>
          </w:p>
        </w:tc>
        <w:tc>
          <w:tcPr>
            <w:tcW w:w="1060" w:type="dxa"/>
            <w:tcBorders>
              <w:top w:val="nil"/>
              <w:left w:val="nil"/>
              <w:bottom w:val="single" w:sz="4" w:space="0" w:color="auto"/>
              <w:right w:val="nil"/>
            </w:tcBorders>
            <w:shd w:val="clear" w:color="auto" w:fill="auto"/>
            <w:noWrap/>
            <w:vAlign w:val="center"/>
            <w:hideMark/>
          </w:tcPr>
          <w:p w14:paraId="466A7936" w14:textId="2252E3D9"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17</w:t>
            </w:r>
            <w:r>
              <w:rPr>
                <w:rFonts w:eastAsia="Times New Roman"/>
                <w:color w:val="000000"/>
                <w:szCs w:val="24"/>
                <w:lang w:eastAsia="cs-CZ"/>
              </w:rPr>
              <w:t>,</w:t>
            </w:r>
            <w:r w:rsidRPr="00207FF3">
              <w:rPr>
                <w:rFonts w:eastAsia="Times New Roman"/>
                <w:color w:val="000000"/>
                <w:szCs w:val="24"/>
                <w:lang w:eastAsia="cs-CZ"/>
              </w:rPr>
              <w:t>5</w:t>
            </w:r>
          </w:p>
        </w:tc>
        <w:tc>
          <w:tcPr>
            <w:tcW w:w="1009" w:type="dxa"/>
            <w:tcBorders>
              <w:top w:val="nil"/>
              <w:left w:val="nil"/>
              <w:bottom w:val="single" w:sz="4" w:space="0" w:color="auto"/>
              <w:right w:val="nil"/>
            </w:tcBorders>
            <w:shd w:val="clear" w:color="auto" w:fill="auto"/>
            <w:noWrap/>
            <w:vAlign w:val="center"/>
            <w:hideMark/>
          </w:tcPr>
          <w:p w14:paraId="7DB8DAB0" w14:textId="34D72079"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78</w:t>
            </w:r>
            <w:r>
              <w:rPr>
                <w:rFonts w:eastAsia="Times New Roman"/>
                <w:color w:val="000000"/>
                <w:szCs w:val="24"/>
                <w:lang w:eastAsia="cs-CZ"/>
              </w:rPr>
              <w:t>,</w:t>
            </w:r>
            <w:r w:rsidRPr="00207FF3">
              <w:rPr>
                <w:rFonts w:eastAsia="Times New Roman"/>
                <w:color w:val="000000"/>
                <w:szCs w:val="24"/>
                <w:lang w:eastAsia="cs-CZ"/>
              </w:rPr>
              <w:t>86</w:t>
            </w:r>
          </w:p>
        </w:tc>
        <w:tc>
          <w:tcPr>
            <w:tcW w:w="920" w:type="dxa"/>
            <w:tcBorders>
              <w:top w:val="nil"/>
              <w:left w:val="nil"/>
              <w:bottom w:val="single" w:sz="4" w:space="0" w:color="auto"/>
              <w:right w:val="nil"/>
            </w:tcBorders>
            <w:shd w:val="clear" w:color="auto" w:fill="auto"/>
            <w:noWrap/>
            <w:vAlign w:val="center"/>
            <w:hideMark/>
          </w:tcPr>
          <w:p w14:paraId="37AA9C7B" w14:textId="0F5C179D"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-14 %</w:t>
            </w:r>
          </w:p>
        </w:tc>
        <w:tc>
          <w:tcPr>
            <w:tcW w:w="1199" w:type="dxa"/>
            <w:tcBorders>
              <w:top w:val="nil"/>
              <w:left w:val="single" w:sz="4" w:space="0" w:color="auto"/>
              <w:bottom w:val="single" w:sz="4" w:space="0" w:color="auto"/>
              <w:right w:val="nil"/>
            </w:tcBorders>
            <w:shd w:val="clear" w:color="auto" w:fill="auto"/>
            <w:noWrap/>
            <w:vAlign w:val="center"/>
            <w:hideMark/>
          </w:tcPr>
          <w:p w14:paraId="2741EEFB" w14:textId="3C2B8A52"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100</w:t>
            </w:r>
            <w:r>
              <w:rPr>
                <w:rFonts w:eastAsia="Times New Roman"/>
                <w:color w:val="000000"/>
                <w:szCs w:val="24"/>
                <w:lang w:eastAsia="cs-CZ"/>
              </w:rPr>
              <w:t>,</w:t>
            </w:r>
            <w:r w:rsidRPr="00207FF3">
              <w:rPr>
                <w:rFonts w:eastAsia="Times New Roman"/>
                <w:color w:val="000000"/>
                <w:szCs w:val="24"/>
                <w:lang w:eastAsia="cs-CZ"/>
              </w:rPr>
              <w:t>97</w:t>
            </w:r>
          </w:p>
        </w:tc>
        <w:tc>
          <w:tcPr>
            <w:tcW w:w="982" w:type="dxa"/>
            <w:tcBorders>
              <w:top w:val="nil"/>
              <w:left w:val="nil"/>
              <w:bottom w:val="single" w:sz="4" w:space="0" w:color="auto"/>
              <w:right w:val="single" w:sz="4" w:space="0" w:color="auto"/>
            </w:tcBorders>
            <w:shd w:val="clear" w:color="auto" w:fill="auto"/>
            <w:noWrap/>
            <w:vAlign w:val="center"/>
            <w:hideMark/>
          </w:tcPr>
          <w:p w14:paraId="2779D3EC" w14:textId="5B02943C"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-12 %</w:t>
            </w:r>
          </w:p>
        </w:tc>
        <w:tc>
          <w:tcPr>
            <w:tcW w:w="1009" w:type="dxa"/>
            <w:tcBorders>
              <w:top w:val="nil"/>
              <w:left w:val="nil"/>
              <w:bottom w:val="single" w:sz="4" w:space="0" w:color="auto"/>
              <w:right w:val="nil"/>
            </w:tcBorders>
            <w:shd w:val="clear" w:color="auto" w:fill="auto"/>
            <w:noWrap/>
            <w:vAlign w:val="center"/>
            <w:hideMark/>
          </w:tcPr>
          <w:p w14:paraId="07C3DC2E" w14:textId="04E3A1AF"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75</w:t>
            </w:r>
            <w:r>
              <w:rPr>
                <w:rFonts w:eastAsia="Times New Roman"/>
                <w:color w:val="000000"/>
                <w:szCs w:val="24"/>
                <w:lang w:eastAsia="cs-CZ"/>
              </w:rPr>
              <w:t>,</w:t>
            </w:r>
            <w:r w:rsidRPr="00207FF3">
              <w:rPr>
                <w:rFonts w:eastAsia="Times New Roman"/>
                <w:color w:val="000000"/>
                <w:szCs w:val="24"/>
                <w:lang w:eastAsia="cs-CZ"/>
              </w:rPr>
              <w:t>26</w:t>
            </w:r>
          </w:p>
        </w:tc>
        <w:tc>
          <w:tcPr>
            <w:tcW w:w="931" w:type="dxa"/>
            <w:tcBorders>
              <w:top w:val="nil"/>
              <w:left w:val="nil"/>
              <w:bottom w:val="single" w:sz="4" w:space="0" w:color="auto"/>
              <w:right w:val="nil"/>
            </w:tcBorders>
            <w:shd w:val="clear" w:color="auto" w:fill="auto"/>
            <w:noWrap/>
            <w:vAlign w:val="center"/>
            <w:hideMark/>
          </w:tcPr>
          <w:p w14:paraId="7FE28336" w14:textId="0CFDB677"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-23 %</w:t>
            </w:r>
          </w:p>
        </w:tc>
      </w:tr>
      <w:tr w:rsidR="00207FF3" w:rsidRPr="00207FF3" w14:paraId="3E92C385" w14:textId="77777777" w:rsidTr="00C17A44">
        <w:trPr>
          <w:trHeight w:val="330"/>
        </w:trPr>
        <w:tc>
          <w:tcPr>
            <w:tcW w:w="2060" w:type="dxa"/>
            <w:tcBorders>
              <w:top w:val="nil"/>
              <w:left w:val="nil"/>
              <w:bottom w:val="double" w:sz="6" w:space="0" w:color="auto"/>
              <w:right w:val="nil"/>
            </w:tcBorders>
            <w:shd w:val="clear" w:color="auto" w:fill="auto"/>
            <w:noWrap/>
            <w:vAlign w:val="center"/>
            <w:hideMark/>
          </w:tcPr>
          <w:p w14:paraId="7082660E" w14:textId="77777777" w:rsidR="00207FF3" w:rsidRPr="00207FF3" w:rsidRDefault="00207FF3" w:rsidP="00C17A44">
            <w:pPr>
              <w:spacing w:line="240" w:lineRule="auto"/>
              <w:jc w:val="left"/>
              <w:rPr>
                <w:rFonts w:eastAsia="Times New Roman"/>
                <w:color w:val="000000"/>
                <w:szCs w:val="24"/>
                <w:lang w:eastAsia="cs-CZ"/>
              </w:rPr>
            </w:pPr>
            <w:r w:rsidRPr="00207FF3">
              <w:rPr>
                <w:rFonts w:eastAsia="Times New Roman"/>
                <w:color w:val="000000"/>
                <w:szCs w:val="24"/>
                <w:lang w:eastAsia="cs-CZ"/>
              </w:rPr>
              <w:t>KS Ostrava</w:t>
            </w:r>
          </w:p>
        </w:tc>
        <w:tc>
          <w:tcPr>
            <w:tcW w:w="1060" w:type="dxa"/>
            <w:tcBorders>
              <w:top w:val="nil"/>
              <w:left w:val="nil"/>
              <w:bottom w:val="double" w:sz="6" w:space="0" w:color="auto"/>
              <w:right w:val="nil"/>
            </w:tcBorders>
            <w:shd w:val="clear" w:color="auto" w:fill="auto"/>
            <w:noWrap/>
            <w:vAlign w:val="center"/>
            <w:hideMark/>
          </w:tcPr>
          <w:p w14:paraId="55921DC5" w14:textId="44F12FA2"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11</w:t>
            </w:r>
            <w:r>
              <w:rPr>
                <w:rFonts w:eastAsia="Times New Roman"/>
                <w:color w:val="000000"/>
                <w:szCs w:val="24"/>
                <w:lang w:eastAsia="cs-CZ"/>
              </w:rPr>
              <w:t>,</w:t>
            </w:r>
            <w:r w:rsidRPr="00207FF3">
              <w:rPr>
                <w:rFonts w:eastAsia="Times New Roman"/>
                <w:color w:val="000000"/>
                <w:szCs w:val="24"/>
                <w:lang w:eastAsia="cs-CZ"/>
              </w:rPr>
              <w:t>72</w:t>
            </w:r>
          </w:p>
        </w:tc>
        <w:tc>
          <w:tcPr>
            <w:tcW w:w="1009" w:type="dxa"/>
            <w:tcBorders>
              <w:top w:val="nil"/>
              <w:left w:val="nil"/>
              <w:bottom w:val="double" w:sz="6" w:space="0" w:color="auto"/>
              <w:right w:val="nil"/>
            </w:tcBorders>
            <w:shd w:val="clear" w:color="auto" w:fill="auto"/>
            <w:noWrap/>
            <w:vAlign w:val="center"/>
            <w:hideMark/>
          </w:tcPr>
          <w:p w14:paraId="618D03FA" w14:textId="3CED998B"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88</w:t>
            </w:r>
            <w:r>
              <w:rPr>
                <w:rFonts w:eastAsia="Times New Roman"/>
                <w:color w:val="000000"/>
                <w:szCs w:val="24"/>
                <w:lang w:eastAsia="cs-CZ"/>
              </w:rPr>
              <w:t>,</w:t>
            </w:r>
            <w:r w:rsidRPr="00207FF3">
              <w:rPr>
                <w:rFonts w:eastAsia="Times New Roman"/>
                <w:color w:val="000000"/>
                <w:szCs w:val="24"/>
                <w:lang w:eastAsia="cs-CZ"/>
              </w:rPr>
              <w:t>57</w:t>
            </w:r>
          </w:p>
        </w:tc>
        <w:tc>
          <w:tcPr>
            <w:tcW w:w="920" w:type="dxa"/>
            <w:tcBorders>
              <w:top w:val="nil"/>
              <w:left w:val="nil"/>
              <w:bottom w:val="double" w:sz="6" w:space="0" w:color="auto"/>
              <w:right w:val="nil"/>
            </w:tcBorders>
            <w:shd w:val="clear" w:color="auto" w:fill="auto"/>
            <w:noWrap/>
            <w:vAlign w:val="center"/>
            <w:hideMark/>
          </w:tcPr>
          <w:p w14:paraId="79DE7FDC" w14:textId="7C4D9F96"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-10 %</w:t>
            </w:r>
          </w:p>
        </w:tc>
        <w:tc>
          <w:tcPr>
            <w:tcW w:w="1199" w:type="dxa"/>
            <w:tcBorders>
              <w:top w:val="nil"/>
              <w:left w:val="single" w:sz="4" w:space="0" w:color="auto"/>
              <w:bottom w:val="double" w:sz="6" w:space="0" w:color="auto"/>
              <w:right w:val="nil"/>
            </w:tcBorders>
            <w:shd w:val="clear" w:color="auto" w:fill="auto"/>
            <w:noWrap/>
            <w:vAlign w:val="center"/>
            <w:hideMark/>
          </w:tcPr>
          <w:p w14:paraId="67DC064B" w14:textId="5AA9AE92"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89</w:t>
            </w:r>
            <w:r>
              <w:rPr>
                <w:rFonts w:eastAsia="Times New Roman"/>
                <w:color w:val="000000"/>
                <w:szCs w:val="24"/>
                <w:lang w:eastAsia="cs-CZ"/>
              </w:rPr>
              <w:t>,</w:t>
            </w:r>
            <w:r w:rsidRPr="00207FF3">
              <w:rPr>
                <w:rFonts w:eastAsia="Times New Roman"/>
                <w:color w:val="000000"/>
                <w:szCs w:val="24"/>
                <w:lang w:eastAsia="cs-CZ"/>
              </w:rPr>
              <w:t>68</w:t>
            </w:r>
          </w:p>
        </w:tc>
        <w:tc>
          <w:tcPr>
            <w:tcW w:w="982" w:type="dxa"/>
            <w:tcBorders>
              <w:top w:val="nil"/>
              <w:left w:val="nil"/>
              <w:bottom w:val="double" w:sz="6" w:space="0" w:color="auto"/>
              <w:right w:val="single" w:sz="4" w:space="0" w:color="auto"/>
            </w:tcBorders>
            <w:shd w:val="clear" w:color="auto" w:fill="auto"/>
            <w:noWrap/>
            <w:vAlign w:val="center"/>
            <w:hideMark/>
          </w:tcPr>
          <w:p w14:paraId="7EEA5052" w14:textId="48F02BB6"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-17 %</w:t>
            </w:r>
          </w:p>
        </w:tc>
        <w:tc>
          <w:tcPr>
            <w:tcW w:w="1009" w:type="dxa"/>
            <w:tcBorders>
              <w:top w:val="nil"/>
              <w:left w:val="nil"/>
              <w:bottom w:val="double" w:sz="6" w:space="0" w:color="auto"/>
              <w:right w:val="nil"/>
            </w:tcBorders>
            <w:shd w:val="clear" w:color="auto" w:fill="auto"/>
            <w:noWrap/>
            <w:vAlign w:val="center"/>
            <w:hideMark/>
          </w:tcPr>
          <w:p w14:paraId="7E185B43" w14:textId="698FDCF0" w:rsidR="00207FF3" w:rsidRPr="00207FF3" w:rsidRDefault="00207FF3" w:rsidP="00C17A44">
            <w:pPr>
              <w:spacing w:line="240" w:lineRule="auto"/>
              <w:jc w:val="center"/>
              <w:rPr>
                <w:rFonts w:eastAsia="Times New Roman"/>
                <w:color w:val="000000"/>
                <w:szCs w:val="24"/>
                <w:lang w:eastAsia="cs-CZ"/>
              </w:rPr>
            </w:pPr>
            <w:r w:rsidRPr="00207FF3">
              <w:rPr>
                <w:rFonts w:eastAsia="Times New Roman"/>
                <w:color w:val="000000"/>
                <w:szCs w:val="24"/>
                <w:lang w:eastAsia="cs-CZ"/>
              </w:rPr>
              <w:t>57</w:t>
            </w:r>
            <w:r>
              <w:rPr>
                <w:rFonts w:eastAsia="Times New Roman"/>
                <w:color w:val="000000"/>
                <w:szCs w:val="24"/>
                <w:lang w:eastAsia="cs-CZ"/>
              </w:rPr>
              <w:t>,</w:t>
            </w:r>
            <w:r w:rsidRPr="00207FF3">
              <w:rPr>
                <w:rFonts w:eastAsia="Times New Roman"/>
                <w:color w:val="000000"/>
                <w:szCs w:val="24"/>
                <w:lang w:eastAsia="cs-CZ"/>
              </w:rPr>
              <w:t>94</w:t>
            </w:r>
          </w:p>
        </w:tc>
        <w:tc>
          <w:tcPr>
            <w:tcW w:w="931" w:type="dxa"/>
            <w:tcBorders>
              <w:top w:val="nil"/>
              <w:left w:val="nil"/>
              <w:bottom w:val="double" w:sz="6" w:space="0" w:color="auto"/>
              <w:right w:val="nil"/>
            </w:tcBorders>
            <w:shd w:val="clear" w:color="auto" w:fill="auto"/>
            <w:noWrap/>
            <w:vAlign w:val="center"/>
            <w:hideMark/>
          </w:tcPr>
          <w:p w14:paraId="077214C0" w14:textId="40C9C673" w:rsidR="00207FF3" w:rsidRPr="00207FF3" w:rsidRDefault="00207FF3" w:rsidP="00C17A44">
            <w:pPr>
              <w:spacing w:line="240" w:lineRule="auto"/>
              <w:jc w:val="center"/>
              <w:rPr>
                <w:rFonts w:eastAsia="Times New Roman"/>
                <w:color w:val="000000"/>
                <w:sz w:val="20"/>
                <w:szCs w:val="20"/>
                <w:lang w:eastAsia="cs-CZ"/>
              </w:rPr>
            </w:pPr>
            <w:r w:rsidRPr="00207FF3">
              <w:rPr>
                <w:rFonts w:eastAsia="Times New Roman"/>
                <w:color w:val="000000"/>
                <w:sz w:val="20"/>
                <w:szCs w:val="20"/>
                <w:lang w:eastAsia="cs-CZ"/>
              </w:rPr>
              <w:t>+5 %</w:t>
            </w:r>
          </w:p>
        </w:tc>
      </w:tr>
      <w:tr w:rsidR="00207FF3" w:rsidRPr="00207FF3" w14:paraId="1DDFF92C" w14:textId="77777777" w:rsidTr="00C17A44">
        <w:trPr>
          <w:trHeight w:val="345"/>
        </w:trPr>
        <w:tc>
          <w:tcPr>
            <w:tcW w:w="2060" w:type="dxa"/>
            <w:tcBorders>
              <w:top w:val="nil"/>
              <w:left w:val="nil"/>
              <w:bottom w:val="double" w:sz="6" w:space="0" w:color="auto"/>
              <w:right w:val="nil"/>
            </w:tcBorders>
            <w:shd w:val="clear" w:color="auto" w:fill="auto"/>
            <w:noWrap/>
            <w:vAlign w:val="center"/>
            <w:hideMark/>
          </w:tcPr>
          <w:p w14:paraId="1F63A0E2" w14:textId="77777777" w:rsidR="00207FF3" w:rsidRPr="00207FF3" w:rsidRDefault="00207FF3" w:rsidP="00C17A44">
            <w:pPr>
              <w:spacing w:line="240" w:lineRule="auto"/>
              <w:jc w:val="left"/>
              <w:rPr>
                <w:rFonts w:eastAsia="Times New Roman"/>
                <w:b/>
                <w:bCs/>
                <w:color w:val="000000"/>
                <w:szCs w:val="24"/>
                <w:lang w:eastAsia="cs-CZ"/>
              </w:rPr>
            </w:pPr>
            <w:r w:rsidRPr="00207FF3">
              <w:rPr>
                <w:rFonts w:eastAsia="Times New Roman"/>
                <w:b/>
                <w:bCs/>
                <w:color w:val="000000"/>
                <w:szCs w:val="24"/>
                <w:lang w:eastAsia="cs-CZ"/>
              </w:rPr>
              <w:t>Celkem ČR</w:t>
            </w:r>
          </w:p>
        </w:tc>
        <w:tc>
          <w:tcPr>
            <w:tcW w:w="1060" w:type="dxa"/>
            <w:tcBorders>
              <w:top w:val="nil"/>
              <w:left w:val="nil"/>
              <w:bottom w:val="double" w:sz="6" w:space="0" w:color="auto"/>
              <w:right w:val="nil"/>
            </w:tcBorders>
            <w:shd w:val="clear" w:color="auto" w:fill="auto"/>
            <w:noWrap/>
            <w:vAlign w:val="center"/>
            <w:hideMark/>
          </w:tcPr>
          <w:p w14:paraId="4C1FB03A" w14:textId="7BEC6520" w:rsidR="00207FF3" w:rsidRPr="00207FF3" w:rsidRDefault="00207FF3" w:rsidP="00C17A44">
            <w:pPr>
              <w:spacing w:line="240" w:lineRule="auto"/>
              <w:jc w:val="center"/>
              <w:rPr>
                <w:rFonts w:eastAsia="Times New Roman"/>
                <w:b/>
                <w:bCs/>
                <w:color w:val="000000"/>
                <w:szCs w:val="24"/>
                <w:lang w:eastAsia="cs-CZ"/>
              </w:rPr>
            </w:pPr>
            <w:r w:rsidRPr="00207FF3">
              <w:rPr>
                <w:rFonts w:eastAsia="Times New Roman"/>
                <w:b/>
                <w:bCs/>
                <w:color w:val="000000"/>
                <w:szCs w:val="24"/>
                <w:lang w:eastAsia="cs-CZ"/>
              </w:rPr>
              <w:t>117</w:t>
            </w:r>
            <w:r>
              <w:rPr>
                <w:rFonts w:eastAsia="Times New Roman"/>
                <w:b/>
                <w:bCs/>
                <w:color w:val="000000"/>
                <w:szCs w:val="24"/>
                <w:lang w:eastAsia="cs-CZ"/>
              </w:rPr>
              <w:t>,</w:t>
            </w:r>
            <w:r w:rsidRPr="00207FF3">
              <w:rPr>
                <w:rFonts w:eastAsia="Times New Roman"/>
                <w:b/>
                <w:bCs/>
                <w:color w:val="000000"/>
                <w:szCs w:val="24"/>
                <w:lang w:eastAsia="cs-CZ"/>
              </w:rPr>
              <w:t>92</w:t>
            </w:r>
          </w:p>
        </w:tc>
        <w:tc>
          <w:tcPr>
            <w:tcW w:w="1009" w:type="dxa"/>
            <w:tcBorders>
              <w:top w:val="nil"/>
              <w:left w:val="nil"/>
              <w:bottom w:val="double" w:sz="6" w:space="0" w:color="auto"/>
              <w:right w:val="nil"/>
            </w:tcBorders>
            <w:shd w:val="clear" w:color="auto" w:fill="auto"/>
            <w:noWrap/>
            <w:vAlign w:val="center"/>
            <w:hideMark/>
          </w:tcPr>
          <w:p w14:paraId="76B88EC3" w14:textId="437E7C5A" w:rsidR="00207FF3" w:rsidRPr="00207FF3" w:rsidRDefault="00207FF3" w:rsidP="00C17A44">
            <w:pPr>
              <w:spacing w:line="240" w:lineRule="auto"/>
              <w:jc w:val="center"/>
              <w:rPr>
                <w:rFonts w:eastAsia="Times New Roman"/>
                <w:b/>
                <w:bCs/>
                <w:color w:val="000000"/>
                <w:szCs w:val="24"/>
                <w:lang w:eastAsia="cs-CZ"/>
              </w:rPr>
            </w:pPr>
            <w:r w:rsidRPr="00207FF3">
              <w:rPr>
                <w:rFonts w:eastAsia="Times New Roman"/>
                <w:b/>
                <w:bCs/>
                <w:color w:val="000000"/>
                <w:szCs w:val="24"/>
                <w:lang w:eastAsia="cs-CZ"/>
              </w:rPr>
              <w:t>65</w:t>
            </w:r>
            <w:r>
              <w:rPr>
                <w:rFonts w:eastAsia="Times New Roman"/>
                <w:b/>
                <w:bCs/>
                <w:color w:val="000000"/>
                <w:szCs w:val="24"/>
                <w:lang w:eastAsia="cs-CZ"/>
              </w:rPr>
              <w:t>,</w:t>
            </w:r>
            <w:r w:rsidRPr="00207FF3">
              <w:rPr>
                <w:rFonts w:eastAsia="Times New Roman"/>
                <w:b/>
                <w:bCs/>
                <w:color w:val="000000"/>
                <w:szCs w:val="24"/>
                <w:lang w:eastAsia="cs-CZ"/>
              </w:rPr>
              <w:t>33</w:t>
            </w:r>
          </w:p>
        </w:tc>
        <w:tc>
          <w:tcPr>
            <w:tcW w:w="920" w:type="dxa"/>
            <w:tcBorders>
              <w:top w:val="nil"/>
              <w:left w:val="nil"/>
              <w:bottom w:val="double" w:sz="6" w:space="0" w:color="auto"/>
              <w:right w:val="nil"/>
            </w:tcBorders>
            <w:shd w:val="clear" w:color="auto" w:fill="auto"/>
            <w:noWrap/>
            <w:vAlign w:val="center"/>
            <w:hideMark/>
          </w:tcPr>
          <w:p w14:paraId="2149CC0C" w14:textId="17CF01BF" w:rsidR="00207FF3" w:rsidRPr="00207FF3" w:rsidRDefault="00207FF3" w:rsidP="00C17A44">
            <w:pPr>
              <w:spacing w:line="240" w:lineRule="auto"/>
              <w:jc w:val="center"/>
              <w:rPr>
                <w:rFonts w:eastAsia="Times New Roman"/>
                <w:b/>
                <w:bCs/>
                <w:color w:val="000000"/>
                <w:sz w:val="20"/>
                <w:szCs w:val="20"/>
                <w:lang w:eastAsia="cs-CZ"/>
              </w:rPr>
            </w:pPr>
            <w:r w:rsidRPr="00207FF3">
              <w:rPr>
                <w:rFonts w:eastAsia="Times New Roman"/>
                <w:b/>
                <w:bCs/>
                <w:color w:val="000000"/>
                <w:sz w:val="20"/>
                <w:szCs w:val="20"/>
                <w:lang w:eastAsia="cs-CZ"/>
              </w:rPr>
              <w:t>-17 %</w:t>
            </w:r>
          </w:p>
        </w:tc>
        <w:tc>
          <w:tcPr>
            <w:tcW w:w="1199" w:type="dxa"/>
            <w:tcBorders>
              <w:top w:val="nil"/>
              <w:left w:val="single" w:sz="4" w:space="0" w:color="auto"/>
              <w:bottom w:val="double" w:sz="6" w:space="0" w:color="auto"/>
              <w:right w:val="nil"/>
            </w:tcBorders>
            <w:shd w:val="clear" w:color="auto" w:fill="auto"/>
            <w:noWrap/>
            <w:vAlign w:val="center"/>
            <w:hideMark/>
          </w:tcPr>
          <w:p w14:paraId="2725AFEB" w14:textId="3EBCA5AD" w:rsidR="00207FF3" w:rsidRPr="00207FF3" w:rsidRDefault="00207FF3" w:rsidP="00C17A44">
            <w:pPr>
              <w:spacing w:line="240" w:lineRule="auto"/>
              <w:jc w:val="center"/>
              <w:rPr>
                <w:rFonts w:eastAsia="Times New Roman"/>
                <w:b/>
                <w:bCs/>
                <w:color w:val="000000"/>
                <w:szCs w:val="24"/>
                <w:lang w:eastAsia="cs-CZ"/>
              </w:rPr>
            </w:pPr>
            <w:r w:rsidRPr="00207FF3">
              <w:rPr>
                <w:rFonts w:eastAsia="Times New Roman"/>
                <w:b/>
                <w:bCs/>
                <w:color w:val="000000"/>
                <w:szCs w:val="24"/>
                <w:lang w:eastAsia="cs-CZ"/>
              </w:rPr>
              <w:t>82</w:t>
            </w:r>
            <w:r>
              <w:rPr>
                <w:rFonts w:eastAsia="Times New Roman"/>
                <w:b/>
                <w:bCs/>
                <w:color w:val="000000"/>
                <w:szCs w:val="24"/>
                <w:lang w:eastAsia="cs-CZ"/>
              </w:rPr>
              <w:t>,</w:t>
            </w:r>
            <w:r w:rsidRPr="00207FF3">
              <w:rPr>
                <w:rFonts w:eastAsia="Times New Roman"/>
                <w:b/>
                <w:bCs/>
                <w:color w:val="000000"/>
                <w:szCs w:val="24"/>
                <w:lang w:eastAsia="cs-CZ"/>
              </w:rPr>
              <w:t>51</w:t>
            </w:r>
          </w:p>
        </w:tc>
        <w:tc>
          <w:tcPr>
            <w:tcW w:w="982" w:type="dxa"/>
            <w:tcBorders>
              <w:top w:val="nil"/>
              <w:left w:val="nil"/>
              <w:bottom w:val="double" w:sz="6" w:space="0" w:color="auto"/>
              <w:right w:val="single" w:sz="4" w:space="0" w:color="auto"/>
            </w:tcBorders>
            <w:shd w:val="clear" w:color="auto" w:fill="auto"/>
            <w:noWrap/>
            <w:vAlign w:val="center"/>
            <w:hideMark/>
          </w:tcPr>
          <w:p w14:paraId="6BDA8FC1" w14:textId="7B82B94D" w:rsidR="00207FF3" w:rsidRPr="00207FF3" w:rsidRDefault="00207FF3" w:rsidP="00C17A44">
            <w:pPr>
              <w:spacing w:line="240" w:lineRule="auto"/>
              <w:jc w:val="center"/>
              <w:rPr>
                <w:rFonts w:eastAsia="Times New Roman"/>
                <w:b/>
                <w:bCs/>
                <w:color w:val="000000"/>
                <w:sz w:val="20"/>
                <w:szCs w:val="20"/>
                <w:lang w:eastAsia="cs-CZ"/>
              </w:rPr>
            </w:pPr>
            <w:r w:rsidRPr="00207FF3">
              <w:rPr>
                <w:rFonts w:eastAsia="Times New Roman"/>
                <w:b/>
                <w:bCs/>
                <w:color w:val="000000"/>
                <w:sz w:val="20"/>
                <w:szCs w:val="20"/>
                <w:lang w:eastAsia="cs-CZ"/>
              </w:rPr>
              <w:t>-11 %</w:t>
            </w:r>
          </w:p>
        </w:tc>
        <w:tc>
          <w:tcPr>
            <w:tcW w:w="1009" w:type="dxa"/>
            <w:tcBorders>
              <w:top w:val="nil"/>
              <w:left w:val="nil"/>
              <w:bottom w:val="double" w:sz="6" w:space="0" w:color="auto"/>
              <w:right w:val="nil"/>
            </w:tcBorders>
            <w:shd w:val="clear" w:color="auto" w:fill="auto"/>
            <w:noWrap/>
            <w:vAlign w:val="center"/>
            <w:hideMark/>
          </w:tcPr>
          <w:p w14:paraId="3AC9C098" w14:textId="5D5603AF" w:rsidR="00207FF3" w:rsidRPr="00207FF3" w:rsidRDefault="00207FF3" w:rsidP="00C17A44">
            <w:pPr>
              <w:spacing w:line="240" w:lineRule="auto"/>
              <w:jc w:val="center"/>
              <w:rPr>
                <w:rFonts w:eastAsia="Times New Roman"/>
                <w:b/>
                <w:bCs/>
                <w:color w:val="000000"/>
                <w:szCs w:val="24"/>
                <w:lang w:eastAsia="cs-CZ"/>
              </w:rPr>
            </w:pPr>
            <w:r w:rsidRPr="00207FF3">
              <w:rPr>
                <w:rFonts w:eastAsia="Times New Roman"/>
                <w:b/>
                <w:bCs/>
                <w:color w:val="000000"/>
                <w:szCs w:val="24"/>
                <w:lang w:eastAsia="cs-CZ"/>
              </w:rPr>
              <w:t>50</w:t>
            </w:r>
            <w:r>
              <w:rPr>
                <w:rFonts w:eastAsia="Times New Roman"/>
                <w:b/>
                <w:bCs/>
                <w:color w:val="000000"/>
                <w:szCs w:val="24"/>
                <w:lang w:eastAsia="cs-CZ"/>
              </w:rPr>
              <w:t>,</w:t>
            </w:r>
            <w:r w:rsidRPr="00207FF3">
              <w:rPr>
                <w:rFonts w:eastAsia="Times New Roman"/>
                <w:b/>
                <w:bCs/>
                <w:color w:val="000000"/>
                <w:szCs w:val="24"/>
                <w:lang w:eastAsia="cs-CZ"/>
              </w:rPr>
              <w:t>86</w:t>
            </w:r>
          </w:p>
        </w:tc>
        <w:tc>
          <w:tcPr>
            <w:tcW w:w="931" w:type="dxa"/>
            <w:tcBorders>
              <w:top w:val="nil"/>
              <w:left w:val="nil"/>
              <w:bottom w:val="double" w:sz="6" w:space="0" w:color="auto"/>
              <w:right w:val="nil"/>
            </w:tcBorders>
            <w:shd w:val="clear" w:color="auto" w:fill="auto"/>
            <w:noWrap/>
            <w:vAlign w:val="center"/>
            <w:hideMark/>
          </w:tcPr>
          <w:p w14:paraId="68EE6D32" w14:textId="610BB2A9" w:rsidR="00207FF3" w:rsidRPr="00207FF3" w:rsidRDefault="00207FF3" w:rsidP="00C17A44">
            <w:pPr>
              <w:spacing w:line="240" w:lineRule="auto"/>
              <w:jc w:val="center"/>
              <w:rPr>
                <w:rFonts w:eastAsia="Times New Roman"/>
                <w:b/>
                <w:bCs/>
                <w:color w:val="000000"/>
                <w:sz w:val="20"/>
                <w:szCs w:val="20"/>
                <w:lang w:eastAsia="cs-CZ"/>
              </w:rPr>
            </w:pPr>
            <w:r w:rsidRPr="00207FF3">
              <w:rPr>
                <w:rFonts w:eastAsia="Times New Roman"/>
                <w:b/>
                <w:bCs/>
                <w:color w:val="000000"/>
                <w:sz w:val="20"/>
                <w:szCs w:val="20"/>
                <w:lang w:eastAsia="cs-CZ"/>
              </w:rPr>
              <w:t>-25 %</w:t>
            </w:r>
          </w:p>
        </w:tc>
      </w:tr>
      <w:tr w:rsidR="00207FF3" w:rsidRPr="00207FF3" w14:paraId="54F389DB" w14:textId="77777777" w:rsidTr="00C17A44">
        <w:trPr>
          <w:trHeight w:val="330"/>
        </w:trPr>
        <w:tc>
          <w:tcPr>
            <w:tcW w:w="2060" w:type="dxa"/>
            <w:tcBorders>
              <w:top w:val="nil"/>
              <w:left w:val="nil"/>
              <w:bottom w:val="nil"/>
              <w:right w:val="nil"/>
            </w:tcBorders>
            <w:shd w:val="clear" w:color="auto" w:fill="auto"/>
            <w:noWrap/>
            <w:vAlign w:val="center"/>
            <w:hideMark/>
          </w:tcPr>
          <w:p w14:paraId="3466D6F1" w14:textId="77777777" w:rsidR="00207FF3" w:rsidRPr="00207FF3" w:rsidRDefault="00207FF3" w:rsidP="00C17A44">
            <w:pPr>
              <w:spacing w:line="240" w:lineRule="auto"/>
              <w:jc w:val="center"/>
              <w:rPr>
                <w:rFonts w:eastAsia="Times New Roman"/>
                <w:b/>
                <w:bCs/>
                <w:color w:val="000000"/>
                <w:sz w:val="20"/>
                <w:szCs w:val="20"/>
                <w:lang w:eastAsia="cs-CZ"/>
              </w:rPr>
            </w:pPr>
          </w:p>
        </w:tc>
        <w:tc>
          <w:tcPr>
            <w:tcW w:w="1060" w:type="dxa"/>
            <w:tcBorders>
              <w:top w:val="nil"/>
              <w:left w:val="nil"/>
              <w:bottom w:val="nil"/>
              <w:right w:val="nil"/>
            </w:tcBorders>
            <w:shd w:val="clear" w:color="auto" w:fill="auto"/>
            <w:noWrap/>
            <w:vAlign w:val="center"/>
            <w:hideMark/>
          </w:tcPr>
          <w:p w14:paraId="685099BD" w14:textId="77777777" w:rsidR="00207FF3" w:rsidRPr="00207FF3" w:rsidRDefault="00207FF3" w:rsidP="00C17A44">
            <w:pPr>
              <w:spacing w:line="240" w:lineRule="auto"/>
              <w:jc w:val="center"/>
              <w:rPr>
                <w:rFonts w:ascii="Times New Roman" w:eastAsia="Times New Roman" w:hAnsi="Times New Roman"/>
                <w:sz w:val="20"/>
                <w:szCs w:val="20"/>
                <w:lang w:eastAsia="cs-CZ"/>
              </w:rPr>
            </w:pPr>
          </w:p>
        </w:tc>
        <w:tc>
          <w:tcPr>
            <w:tcW w:w="1009" w:type="dxa"/>
            <w:tcBorders>
              <w:top w:val="nil"/>
              <w:left w:val="nil"/>
              <w:bottom w:val="nil"/>
              <w:right w:val="nil"/>
            </w:tcBorders>
            <w:shd w:val="clear" w:color="auto" w:fill="auto"/>
            <w:noWrap/>
            <w:vAlign w:val="center"/>
            <w:hideMark/>
          </w:tcPr>
          <w:p w14:paraId="7726DEB8" w14:textId="77777777" w:rsidR="00207FF3" w:rsidRPr="00207FF3" w:rsidRDefault="00207FF3" w:rsidP="00C17A44">
            <w:pPr>
              <w:spacing w:line="240" w:lineRule="auto"/>
              <w:jc w:val="center"/>
              <w:rPr>
                <w:rFonts w:ascii="Times New Roman" w:eastAsia="Times New Roman" w:hAnsi="Times New Roman"/>
                <w:sz w:val="20"/>
                <w:szCs w:val="20"/>
                <w:lang w:eastAsia="cs-CZ"/>
              </w:rPr>
            </w:pPr>
          </w:p>
        </w:tc>
        <w:tc>
          <w:tcPr>
            <w:tcW w:w="920" w:type="dxa"/>
            <w:tcBorders>
              <w:top w:val="nil"/>
              <w:left w:val="nil"/>
              <w:bottom w:val="nil"/>
              <w:right w:val="nil"/>
            </w:tcBorders>
            <w:shd w:val="clear" w:color="auto" w:fill="auto"/>
            <w:noWrap/>
            <w:vAlign w:val="center"/>
            <w:hideMark/>
          </w:tcPr>
          <w:p w14:paraId="293B2ABD" w14:textId="77777777" w:rsidR="00207FF3" w:rsidRPr="00207FF3" w:rsidRDefault="00207FF3" w:rsidP="00C17A44">
            <w:pPr>
              <w:spacing w:line="240" w:lineRule="auto"/>
              <w:jc w:val="center"/>
              <w:rPr>
                <w:rFonts w:ascii="Times New Roman" w:eastAsia="Times New Roman" w:hAnsi="Times New Roman"/>
                <w:sz w:val="20"/>
                <w:szCs w:val="20"/>
                <w:lang w:eastAsia="cs-CZ"/>
              </w:rPr>
            </w:pPr>
          </w:p>
        </w:tc>
        <w:tc>
          <w:tcPr>
            <w:tcW w:w="1199" w:type="dxa"/>
            <w:tcBorders>
              <w:top w:val="nil"/>
              <w:left w:val="nil"/>
              <w:bottom w:val="nil"/>
              <w:right w:val="nil"/>
            </w:tcBorders>
            <w:shd w:val="clear" w:color="auto" w:fill="auto"/>
            <w:noWrap/>
            <w:vAlign w:val="center"/>
            <w:hideMark/>
          </w:tcPr>
          <w:p w14:paraId="5DE34BBB" w14:textId="77777777" w:rsidR="00207FF3" w:rsidRPr="00207FF3" w:rsidRDefault="00207FF3" w:rsidP="00C17A44">
            <w:pPr>
              <w:spacing w:line="240" w:lineRule="auto"/>
              <w:jc w:val="center"/>
              <w:rPr>
                <w:rFonts w:ascii="Times New Roman" w:eastAsia="Times New Roman" w:hAnsi="Times New Roman"/>
                <w:sz w:val="20"/>
                <w:szCs w:val="20"/>
                <w:lang w:eastAsia="cs-CZ"/>
              </w:rPr>
            </w:pPr>
          </w:p>
        </w:tc>
        <w:tc>
          <w:tcPr>
            <w:tcW w:w="982" w:type="dxa"/>
            <w:tcBorders>
              <w:top w:val="nil"/>
              <w:left w:val="nil"/>
              <w:bottom w:val="nil"/>
              <w:right w:val="nil"/>
            </w:tcBorders>
            <w:shd w:val="clear" w:color="auto" w:fill="auto"/>
            <w:noWrap/>
            <w:vAlign w:val="center"/>
            <w:hideMark/>
          </w:tcPr>
          <w:p w14:paraId="73DD322D" w14:textId="77777777" w:rsidR="00207FF3" w:rsidRPr="00207FF3" w:rsidRDefault="00207FF3" w:rsidP="00C17A44">
            <w:pPr>
              <w:spacing w:line="240" w:lineRule="auto"/>
              <w:jc w:val="center"/>
              <w:rPr>
                <w:rFonts w:ascii="Times New Roman" w:eastAsia="Times New Roman" w:hAnsi="Times New Roman"/>
                <w:sz w:val="20"/>
                <w:szCs w:val="20"/>
                <w:lang w:eastAsia="cs-CZ"/>
              </w:rPr>
            </w:pPr>
          </w:p>
        </w:tc>
        <w:tc>
          <w:tcPr>
            <w:tcW w:w="1009" w:type="dxa"/>
            <w:tcBorders>
              <w:top w:val="nil"/>
              <w:left w:val="nil"/>
              <w:bottom w:val="nil"/>
              <w:right w:val="nil"/>
            </w:tcBorders>
            <w:shd w:val="clear" w:color="auto" w:fill="auto"/>
            <w:noWrap/>
            <w:vAlign w:val="center"/>
            <w:hideMark/>
          </w:tcPr>
          <w:p w14:paraId="07DAE21C" w14:textId="77777777" w:rsidR="00207FF3" w:rsidRPr="00207FF3" w:rsidRDefault="00207FF3" w:rsidP="00C17A44">
            <w:pPr>
              <w:spacing w:line="240" w:lineRule="auto"/>
              <w:jc w:val="center"/>
              <w:rPr>
                <w:rFonts w:ascii="Times New Roman" w:eastAsia="Times New Roman" w:hAnsi="Times New Roman"/>
                <w:sz w:val="20"/>
                <w:szCs w:val="20"/>
                <w:lang w:eastAsia="cs-CZ"/>
              </w:rPr>
            </w:pPr>
          </w:p>
        </w:tc>
        <w:tc>
          <w:tcPr>
            <w:tcW w:w="931" w:type="dxa"/>
            <w:tcBorders>
              <w:top w:val="nil"/>
              <w:left w:val="nil"/>
              <w:bottom w:val="nil"/>
              <w:right w:val="nil"/>
            </w:tcBorders>
            <w:shd w:val="clear" w:color="auto" w:fill="auto"/>
            <w:noWrap/>
            <w:vAlign w:val="center"/>
            <w:hideMark/>
          </w:tcPr>
          <w:p w14:paraId="73210617" w14:textId="77777777" w:rsidR="00207FF3" w:rsidRPr="00207FF3" w:rsidRDefault="00207FF3" w:rsidP="00C17A44">
            <w:pPr>
              <w:spacing w:line="240" w:lineRule="auto"/>
              <w:jc w:val="center"/>
              <w:rPr>
                <w:rFonts w:ascii="Times New Roman" w:eastAsia="Times New Roman" w:hAnsi="Times New Roman"/>
                <w:sz w:val="20"/>
                <w:szCs w:val="20"/>
                <w:lang w:eastAsia="cs-CZ"/>
              </w:rPr>
            </w:pPr>
          </w:p>
        </w:tc>
      </w:tr>
    </w:tbl>
    <w:p w14:paraId="7BAD0D0F" w14:textId="0E91DBBB" w:rsidR="00D00488" w:rsidRPr="00F15667" w:rsidRDefault="00D00488" w:rsidP="00D00488">
      <w:pPr>
        <w:pStyle w:val="OdstavecASR"/>
      </w:pPr>
      <w:r w:rsidRPr="00F15667">
        <w:t>U všech soudů až na KS Ostrava došlo k poklesu v počtu nevyřízených věcí na soudce. U tohoto soud</w:t>
      </w:r>
      <w:r w:rsidR="00744257" w:rsidRPr="00F15667">
        <w:t>u</w:t>
      </w:r>
      <w:r w:rsidRPr="00F15667">
        <w:t xml:space="preserve"> sice mírně poklesl počet nevyřízených věcí, ale také mírně poklesl počet soudců na úseku. Největší pokles vidíme u KS v Ústí nad Labem a KS v Hradci Králové. Nejvyšší počet nevyřízených věcí na soudce stále vykazují KS Brno a MS Praha. Naopak nejnižší počet je stále u KS v Hradci Králové (zde hraje roli i to, že soud má na úseku relativně vyšší počet soudců než většina ostatních soudů). Celkově vidíme, že počet nevyřízených věcí na soudce klesl o čtvrtinu.</w:t>
      </w:r>
    </w:p>
    <w:p w14:paraId="0993016B" w14:textId="38320F63" w:rsidR="008430BD" w:rsidRPr="00F15667" w:rsidRDefault="008430BD" w:rsidP="008430BD">
      <w:pPr>
        <w:pStyle w:val="Nadpis3"/>
        <w:numPr>
          <w:ilvl w:val="2"/>
          <w:numId w:val="1"/>
        </w:numPr>
        <w:rPr>
          <w:color w:val="auto"/>
        </w:rPr>
      </w:pPr>
      <w:bookmarkStart w:id="911" w:name="_Toc515871270"/>
      <w:bookmarkStart w:id="912" w:name="_Toc106092778"/>
      <w:bookmarkStart w:id="913" w:name="_Toc144104391"/>
      <w:r w:rsidRPr="00F15667">
        <w:rPr>
          <w:color w:val="auto"/>
        </w:rPr>
        <w:t>Disposition time</w:t>
      </w:r>
      <w:bookmarkEnd w:id="911"/>
      <w:r w:rsidRPr="00F15667">
        <w:rPr>
          <w:color w:val="auto"/>
        </w:rPr>
        <w:t xml:space="preserve"> (dispoziční čas)</w:t>
      </w:r>
      <w:bookmarkEnd w:id="912"/>
      <w:bookmarkEnd w:id="913"/>
    </w:p>
    <w:p w14:paraId="48D87039" w14:textId="0CA00297" w:rsidR="0051376E" w:rsidRPr="00F15667" w:rsidRDefault="0051376E" w:rsidP="0051376E">
      <w:pPr>
        <w:pStyle w:val="OdstavecASR"/>
      </w:pPr>
      <w:r w:rsidRPr="00F15667">
        <w:t>DT dále potvrzuje závěry z předchozích podkapitol. Od roku 2019 DT klesá v důsledku výrazného poklesu v počtu nevyřízených věcí. DT se tak drží pod 365 dny po šestiletém období, v letech 2021 a 2022 již opravdu výrazně. To znamená, že počet nevyřízených věcí je nižší než počet věcí vyřízených. Od roku 2018 do roku 2022 klesl DT o 1</w:t>
      </w:r>
      <w:r w:rsidR="00F74F3D" w:rsidRPr="00F15667">
        <w:t>87</w:t>
      </w:r>
      <w:r w:rsidRPr="00F15667">
        <w:t xml:space="preserve"> dnů (o </w:t>
      </w:r>
      <w:r w:rsidR="00F74F3D" w:rsidRPr="00F15667">
        <w:t>45</w:t>
      </w:r>
      <w:r w:rsidRPr="00F15667">
        <w:t xml:space="preserve"> %). </w:t>
      </w:r>
      <w:r w:rsidR="00F74F3D" w:rsidRPr="00F15667">
        <w:t xml:space="preserve">Všechny soudy s výjimkou KS v Ostravě snížily DT. Naopak v Ostravě DT stoupl a Ostrava se tak v tomto ukazateli </w:t>
      </w:r>
      <w:r w:rsidR="006023DD" w:rsidRPr="00F15667">
        <w:t>přiblížila</w:t>
      </w:r>
      <w:r w:rsidR="00F74F3D" w:rsidRPr="00F15667">
        <w:t xml:space="preserve"> </w:t>
      </w:r>
      <w:r w:rsidR="006023DD" w:rsidRPr="00F15667">
        <w:t xml:space="preserve">k </w:t>
      </w:r>
      <w:r w:rsidR="00F74F3D" w:rsidRPr="00F15667">
        <w:t>MS v Praze a K</w:t>
      </w:r>
      <w:r w:rsidR="006023DD" w:rsidRPr="00F15667">
        <w:t>S</w:t>
      </w:r>
      <w:r w:rsidR="00F74F3D" w:rsidRPr="00F15667">
        <w:t xml:space="preserve"> v Brně.</w:t>
      </w:r>
    </w:p>
    <w:p w14:paraId="32560F4D" w14:textId="6E91087A" w:rsidR="0051376E" w:rsidRPr="00F15667" w:rsidRDefault="0051376E" w:rsidP="0051376E">
      <w:pPr>
        <w:pStyle w:val="Podnadpis"/>
        <w:numPr>
          <w:ilvl w:val="0"/>
          <w:numId w:val="0"/>
        </w:numPr>
        <w:rPr>
          <w:color w:val="auto"/>
        </w:rPr>
      </w:pPr>
      <w:bookmarkStart w:id="914" w:name="_Toc515871401"/>
      <w:bookmarkStart w:id="915" w:name="_Toc11135132"/>
      <w:bookmarkStart w:id="916" w:name="_Toc43841451"/>
      <w:bookmarkStart w:id="917" w:name="_Toc75952253"/>
      <w:bookmarkStart w:id="918" w:name="_Toc106106712"/>
      <w:bookmarkStart w:id="919" w:name="_Toc109802036"/>
      <w:bookmarkStart w:id="920" w:name="_Toc144104186"/>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74</w:t>
      </w:r>
      <w:r w:rsidR="009A10E2" w:rsidRPr="00F15667">
        <w:rPr>
          <w:color w:val="auto"/>
        </w:rPr>
        <w:fldChar w:fldCharType="end"/>
      </w:r>
      <w:r w:rsidRPr="00F15667">
        <w:rPr>
          <w:color w:val="auto"/>
        </w:rPr>
        <w:t>: KS – DT správního řízení v letech 2008–20</w:t>
      </w:r>
      <w:bookmarkEnd w:id="914"/>
      <w:bookmarkEnd w:id="915"/>
      <w:bookmarkEnd w:id="916"/>
      <w:r w:rsidRPr="00F15667">
        <w:rPr>
          <w:color w:val="auto"/>
        </w:rPr>
        <w:t>2</w:t>
      </w:r>
      <w:bookmarkEnd w:id="917"/>
      <w:r w:rsidRPr="00F15667">
        <w:rPr>
          <w:color w:val="auto"/>
        </w:rPr>
        <w:t>1</w:t>
      </w:r>
      <w:bookmarkEnd w:id="918"/>
      <w:bookmarkEnd w:id="919"/>
      <w:bookmarkEnd w:id="920"/>
    </w:p>
    <w:p w14:paraId="738507AD" w14:textId="2B6F5EEB" w:rsidR="0051376E" w:rsidRPr="00F15667" w:rsidRDefault="0051376E" w:rsidP="00C17A44">
      <w:pPr>
        <w:pStyle w:val="OdstavecASR"/>
      </w:pPr>
      <w:r w:rsidRPr="00F15667">
        <w:rPr>
          <w:noProof/>
          <w:lang w:eastAsia="cs-CZ"/>
        </w:rPr>
        <w:drawing>
          <wp:inline distT="0" distB="0" distL="0" distR="0" wp14:anchorId="70E4B5A9" wp14:editId="19ECAD22">
            <wp:extent cx="5029200" cy="3657600"/>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D75A0D4" w14:textId="62071CE5" w:rsidR="00F74F3D" w:rsidRPr="00F15667" w:rsidRDefault="00F74F3D" w:rsidP="00F74F3D">
      <w:pPr>
        <w:pStyle w:val="Podnadpis"/>
        <w:rPr>
          <w:color w:val="auto"/>
        </w:rPr>
      </w:pPr>
      <w:bookmarkStart w:id="921" w:name="_Toc106106828"/>
      <w:bookmarkStart w:id="922" w:name="_Toc109802151"/>
      <w:bookmarkStart w:id="923" w:name="_Toc144104310"/>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71</w:t>
      </w:r>
      <w:r w:rsidRPr="00F15667">
        <w:rPr>
          <w:noProof/>
          <w:color w:val="auto"/>
        </w:rPr>
        <w:fldChar w:fldCharType="end"/>
      </w:r>
      <w:r w:rsidRPr="00F15667">
        <w:rPr>
          <w:color w:val="auto"/>
        </w:rPr>
        <w:t>: KS – DT správního řízení dle soudů</w:t>
      </w:r>
      <w:bookmarkEnd w:id="921"/>
      <w:bookmarkEnd w:id="922"/>
      <w:bookmarkEnd w:id="923"/>
    </w:p>
    <w:tbl>
      <w:tblPr>
        <w:tblW w:w="5954" w:type="dxa"/>
        <w:tblCellMar>
          <w:left w:w="70" w:type="dxa"/>
          <w:right w:w="70" w:type="dxa"/>
        </w:tblCellMar>
        <w:tblLook w:val="04A0" w:firstRow="1" w:lastRow="0" w:firstColumn="1" w:lastColumn="0" w:noHBand="0" w:noVBand="1"/>
      </w:tblPr>
      <w:tblGrid>
        <w:gridCol w:w="2780"/>
        <w:gridCol w:w="1756"/>
        <w:gridCol w:w="1418"/>
      </w:tblGrid>
      <w:tr w:rsidR="00F15667" w:rsidRPr="00F15667" w14:paraId="7EC7ED9C" w14:textId="77777777" w:rsidTr="00C17A44">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1B06939" w14:textId="77777777" w:rsidR="00F74F3D" w:rsidRPr="00F15667" w:rsidRDefault="00F74F3D" w:rsidP="00C17A44">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3174" w:type="dxa"/>
            <w:gridSpan w:val="2"/>
            <w:tcBorders>
              <w:top w:val="double" w:sz="6" w:space="0" w:color="auto"/>
              <w:left w:val="nil"/>
              <w:bottom w:val="double" w:sz="6" w:space="0" w:color="auto"/>
              <w:right w:val="nil"/>
            </w:tcBorders>
            <w:shd w:val="clear" w:color="auto" w:fill="auto"/>
            <w:noWrap/>
            <w:vAlign w:val="center"/>
            <w:hideMark/>
          </w:tcPr>
          <w:p w14:paraId="67C15432" w14:textId="77777777" w:rsidR="00F74F3D" w:rsidRPr="00F15667" w:rsidRDefault="00F74F3D" w:rsidP="00C17A44">
            <w:pPr>
              <w:spacing w:line="240" w:lineRule="auto"/>
              <w:jc w:val="center"/>
              <w:rPr>
                <w:rFonts w:eastAsia="Times New Roman"/>
                <w:b/>
                <w:bCs/>
                <w:szCs w:val="24"/>
                <w:lang w:eastAsia="cs-CZ"/>
              </w:rPr>
            </w:pPr>
            <w:r w:rsidRPr="00F15667">
              <w:rPr>
                <w:rFonts w:eastAsia="Times New Roman"/>
                <w:b/>
                <w:bCs/>
                <w:szCs w:val="24"/>
                <w:lang w:eastAsia="cs-CZ"/>
              </w:rPr>
              <w:t>Disposition time</w:t>
            </w:r>
          </w:p>
        </w:tc>
      </w:tr>
      <w:tr w:rsidR="00F15667" w:rsidRPr="00F15667" w14:paraId="2DCD347B" w14:textId="77777777" w:rsidTr="00C17A44">
        <w:trPr>
          <w:trHeight w:val="330"/>
        </w:trPr>
        <w:tc>
          <w:tcPr>
            <w:tcW w:w="2780" w:type="dxa"/>
            <w:tcBorders>
              <w:top w:val="nil"/>
              <w:left w:val="nil"/>
              <w:bottom w:val="single" w:sz="4" w:space="0" w:color="auto"/>
              <w:right w:val="nil"/>
            </w:tcBorders>
            <w:shd w:val="clear" w:color="auto" w:fill="auto"/>
            <w:noWrap/>
            <w:vAlign w:val="center"/>
            <w:hideMark/>
          </w:tcPr>
          <w:p w14:paraId="56F37CA5" w14:textId="77777777" w:rsidR="00F74F3D" w:rsidRPr="00F15667" w:rsidRDefault="00F74F3D" w:rsidP="00C17A44">
            <w:pPr>
              <w:spacing w:line="240" w:lineRule="auto"/>
              <w:jc w:val="left"/>
              <w:rPr>
                <w:rFonts w:eastAsia="Times New Roman"/>
                <w:szCs w:val="24"/>
                <w:lang w:eastAsia="cs-CZ"/>
              </w:rPr>
            </w:pPr>
            <w:r w:rsidRPr="00F15667">
              <w:rPr>
                <w:rFonts w:eastAsia="Times New Roman"/>
                <w:szCs w:val="24"/>
                <w:lang w:eastAsia="cs-CZ"/>
              </w:rPr>
              <w:t>MS Praha</w:t>
            </w:r>
          </w:p>
        </w:tc>
        <w:tc>
          <w:tcPr>
            <w:tcW w:w="1756" w:type="dxa"/>
            <w:tcBorders>
              <w:top w:val="nil"/>
              <w:left w:val="nil"/>
              <w:bottom w:val="single" w:sz="4" w:space="0" w:color="auto"/>
              <w:right w:val="nil"/>
            </w:tcBorders>
            <w:shd w:val="clear" w:color="auto" w:fill="auto"/>
            <w:noWrap/>
            <w:vAlign w:val="center"/>
            <w:hideMark/>
          </w:tcPr>
          <w:p w14:paraId="5601B343" w14:textId="77777777" w:rsidR="00F74F3D" w:rsidRPr="00F15667" w:rsidRDefault="00F74F3D" w:rsidP="00C17A44">
            <w:pPr>
              <w:spacing w:line="240" w:lineRule="auto"/>
              <w:jc w:val="center"/>
              <w:rPr>
                <w:rFonts w:eastAsia="Times New Roman"/>
                <w:szCs w:val="24"/>
                <w:lang w:eastAsia="cs-CZ"/>
              </w:rPr>
            </w:pPr>
            <w:r w:rsidRPr="00F15667">
              <w:rPr>
                <w:rFonts w:eastAsia="Times New Roman"/>
                <w:szCs w:val="24"/>
                <w:lang w:eastAsia="cs-CZ"/>
              </w:rPr>
              <w:t>263</w:t>
            </w:r>
          </w:p>
        </w:tc>
        <w:tc>
          <w:tcPr>
            <w:tcW w:w="1418" w:type="dxa"/>
            <w:tcBorders>
              <w:top w:val="nil"/>
              <w:left w:val="nil"/>
              <w:bottom w:val="single" w:sz="4" w:space="0" w:color="auto"/>
              <w:right w:val="nil"/>
            </w:tcBorders>
            <w:shd w:val="clear" w:color="auto" w:fill="auto"/>
            <w:noWrap/>
            <w:vAlign w:val="center"/>
            <w:hideMark/>
          </w:tcPr>
          <w:p w14:paraId="1A46EBB5" w14:textId="6700CA96" w:rsidR="00F74F3D" w:rsidRPr="00F15667" w:rsidRDefault="00F74F3D" w:rsidP="00C17A44">
            <w:pPr>
              <w:spacing w:line="240" w:lineRule="auto"/>
              <w:jc w:val="center"/>
              <w:rPr>
                <w:rFonts w:eastAsia="Times New Roman"/>
                <w:sz w:val="20"/>
                <w:szCs w:val="20"/>
                <w:lang w:eastAsia="cs-CZ"/>
              </w:rPr>
            </w:pPr>
            <w:r w:rsidRPr="00F15667">
              <w:rPr>
                <w:rFonts w:eastAsia="Times New Roman"/>
                <w:sz w:val="20"/>
                <w:szCs w:val="20"/>
                <w:lang w:eastAsia="cs-CZ"/>
              </w:rPr>
              <w:t>-13 %</w:t>
            </w:r>
          </w:p>
        </w:tc>
      </w:tr>
      <w:tr w:rsidR="00F15667" w:rsidRPr="00F15667" w14:paraId="47C94AEF" w14:textId="77777777" w:rsidTr="00C17A44">
        <w:trPr>
          <w:trHeight w:val="315"/>
        </w:trPr>
        <w:tc>
          <w:tcPr>
            <w:tcW w:w="2780" w:type="dxa"/>
            <w:tcBorders>
              <w:top w:val="nil"/>
              <w:left w:val="nil"/>
              <w:bottom w:val="single" w:sz="4" w:space="0" w:color="auto"/>
              <w:right w:val="nil"/>
            </w:tcBorders>
            <w:shd w:val="clear" w:color="auto" w:fill="auto"/>
            <w:noWrap/>
            <w:vAlign w:val="center"/>
            <w:hideMark/>
          </w:tcPr>
          <w:p w14:paraId="34630F3A" w14:textId="77777777" w:rsidR="00F74F3D" w:rsidRPr="00F15667" w:rsidRDefault="00F74F3D" w:rsidP="00C17A44">
            <w:pPr>
              <w:spacing w:line="240" w:lineRule="auto"/>
              <w:jc w:val="left"/>
              <w:rPr>
                <w:rFonts w:eastAsia="Times New Roman"/>
                <w:szCs w:val="24"/>
                <w:lang w:eastAsia="cs-CZ"/>
              </w:rPr>
            </w:pPr>
            <w:r w:rsidRPr="00F15667">
              <w:rPr>
                <w:rFonts w:eastAsia="Times New Roman"/>
                <w:szCs w:val="24"/>
                <w:lang w:eastAsia="cs-CZ"/>
              </w:rPr>
              <w:t>KS Praha</w:t>
            </w:r>
          </w:p>
        </w:tc>
        <w:tc>
          <w:tcPr>
            <w:tcW w:w="1756" w:type="dxa"/>
            <w:tcBorders>
              <w:top w:val="nil"/>
              <w:left w:val="nil"/>
              <w:bottom w:val="single" w:sz="4" w:space="0" w:color="auto"/>
              <w:right w:val="nil"/>
            </w:tcBorders>
            <w:shd w:val="clear" w:color="auto" w:fill="auto"/>
            <w:noWrap/>
            <w:vAlign w:val="center"/>
            <w:hideMark/>
          </w:tcPr>
          <w:p w14:paraId="574BF4EB" w14:textId="77777777" w:rsidR="00F74F3D" w:rsidRPr="00F15667" w:rsidRDefault="00F74F3D" w:rsidP="00C17A44">
            <w:pPr>
              <w:spacing w:line="240" w:lineRule="auto"/>
              <w:jc w:val="center"/>
              <w:rPr>
                <w:rFonts w:eastAsia="Times New Roman"/>
                <w:szCs w:val="24"/>
                <w:lang w:eastAsia="cs-CZ"/>
              </w:rPr>
            </w:pPr>
            <w:r w:rsidRPr="00F15667">
              <w:rPr>
                <w:rFonts w:eastAsia="Times New Roman"/>
                <w:szCs w:val="24"/>
                <w:lang w:eastAsia="cs-CZ"/>
              </w:rPr>
              <w:t>209</w:t>
            </w:r>
          </w:p>
        </w:tc>
        <w:tc>
          <w:tcPr>
            <w:tcW w:w="1418" w:type="dxa"/>
            <w:tcBorders>
              <w:top w:val="nil"/>
              <w:left w:val="nil"/>
              <w:bottom w:val="single" w:sz="4" w:space="0" w:color="auto"/>
              <w:right w:val="nil"/>
            </w:tcBorders>
            <w:shd w:val="clear" w:color="auto" w:fill="auto"/>
            <w:noWrap/>
            <w:vAlign w:val="center"/>
            <w:hideMark/>
          </w:tcPr>
          <w:p w14:paraId="17FFB4D7" w14:textId="2468D282" w:rsidR="00F74F3D" w:rsidRPr="00F15667" w:rsidRDefault="00F74F3D" w:rsidP="00C17A44">
            <w:pPr>
              <w:spacing w:line="240" w:lineRule="auto"/>
              <w:jc w:val="center"/>
              <w:rPr>
                <w:rFonts w:eastAsia="Times New Roman"/>
                <w:sz w:val="20"/>
                <w:szCs w:val="20"/>
                <w:lang w:eastAsia="cs-CZ"/>
              </w:rPr>
            </w:pPr>
            <w:r w:rsidRPr="00F15667">
              <w:rPr>
                <w:rFonts w:eastAsia="Times New Roman"/>
                <w:sz w:val="20"/>
                <w:szCs w:val="20"/>
                <w:lang w:eastAsia="cs-CZ"/>
              </w:rPr>
              <w:t>-9 %</w:t>
            </w:r>
          </w:p>
        </w:tc>
      </w:tr>
      <w:tr w:rsidR="00F15667" w:rsidRPr="00F15667" w14:paraId="54DF1177" w14:textId="77777777" w:rsidTr="00C17A44">
        <w:trPr>
          <w:trHeight w:val="315"/>
        </w:trPr>
        <w:tc>
          <w:tcPr>
            <w:tcW w:w="2780" w:type="dxa"/>
            <w:tcBorders>
              <w:top w:val="nil"/>
              <w:left w:val="nil"/>
              <w:bottom w:val="single" w:sz="4" w:space="0" w:color="auto"/>
              <w:right w:val="nil"/>
            </w:tcBorders>
            <w:shd w:val="clear" w:color="auto" w:fill="auto"/>
            <w:noWrap/>
            <w:vAlign w:val="center"/>
            <w:hideMark/>
          </w:tcPr>
          <w:p w14:paraId="104CA0D2" w14:textId="77777777" w:rsidR="00F74F3D" w:rsidRPr="00F15667" w:rsidRDefault="00F74F3D" w:rsidP="00C17A44">
            <w:pPr>
              <w:spacing w:line="240" w:lineRule="auto"/>
              <w:jc w:val="left"/>
              <w:rPr>
                <w:rFonts w:eastAsia="Times New Roman"/>
                <w:szCs w:val="24"/>
                <w:lang w:eastAsia="cs-CZ"/>
              </w:rPr>
            </w:pPr>
            <w:r w:rsidRPr="00F15667">
              <w:rPr>
                <w:rFonts w:eastAsia="Times New Roman"/>
                <w:szCs w:val="24"/>
                <w:lang w:eastAsia="cs-CZ"/>
              </w:rPr>
              <w:t>KS Č. Budějovice</w:t>
            </w:r>
          </w:p>
        </w:tc>
        <w:tc>
          <w:tcPr>
            <w:tcW w:w="1756" w:type="dxa"/>
            <w:tcBorders>
              <w:top w:val="nil"/>
              <w:left w:val="nil"/>
              <w:bottom w:val="single" w:sz="4" w:space="0" w:color="auto"/>
              <w:right w:val="nil"/>
            </w:tcBorders>
            <w:shd w:val="clear" w:color="auto" w:fill="auto"/>
            <w:noWrap/>
            <w:vAlign w:val="center"/>
            <w:hideMark/>
          </w:tcPr>
          <w:p w14:paraId="66C264A4" w14:textId="77777777" w:rsidR="00F74F3D" w:rsidRPr="00F15667" w:rsidRDefault="00F74F3D" w:rsidP="00C17A44">
            <w:pPr>
              <w:spacing w:line="240" w:lineRule="auto"/>
              <w:jc w:val="center"/>
              <w:rPr>
                <w:rFonts w:eastAsia="Times New Roman"/>
                <w:szCs w:val="24"/>
                <w:lang w:eastAsia="cs-CZ"/>
              </w:rPr>
            </w:pPr>
            <w:r w:rsidRPr="00F15667">
              <w:rPr>
                <w:rFonts w:eastAsia="Times New Roman"/>
                <w:szCs w:val="24"/>
                <w:lang w:eastAsia="cs-CZ"/>
              </w:rPr>
              <w:t>128</w:t>
            </w:r>
          </w:p>
        </w:tc>
        <w:tc>
          <w:tcPr>
            <w:tcW w:w="1418" w:type="dxa"/>
            <w:tcBorders>
              <w:top w:val="nil"/>
              <w:left w:val="nil"/>
              <w:bottom w:val="single" w:sz="4" w:space="0" w:color="auto"/>
              <w:right w:val="nil"/>
            </w:tcBorders>
            <w:shd w:val="clear" w:color="auto" w:fill="auto"/>
            <w:noWrap/>
            <w:vAlign w:val="center"/>
            <w:hideMark/>
          </w:tcPr>
          <w:p w14:paraId="4A9BC4F0" w14:textId="64607BEC" w:rsidR="00F74F3D" w:rsidRPr="00F15667" w:rsidRDefault="00F74F3D" w:rsidP="00C17A44">
            <w:pPr>
              <w:spacing w:line="240" w:lineRule="auto"/>
              <w:jc w:val="center"/>
              <w:rPr>
                <w:rFonts w:eastAsia="Times New Roman"/>
                <w:sz w:val="20"/>
                <w:szCs w:val="20"/>
                <w:lang w:eastAsia="cs-CZ"/>
              </w:rPr>
            </w:pPr>
            <w:r w:rsidRPr="00F15667">
              <w:rPr>
                <w:rFonts w:eastAsia="Times New Roman"/>
                <w:sz w:val="20"/>
                <w:szCs w:val="20"/>
                <w:lang w:eastAsia="cs-CZ"/>
              </w:rPr>
              <w:t>-36 %</w:t>
            </w:r>
          </w:p>
        </w:tc>
      </w:tr>
      <w:tr w:rsidR="00F15667" w:rsidRPr="00F15667" w14:paraId="3E18E1AB" w14:textId="77777777" w:rsidTr="00C17A44">
        <w:trPr>
          <w:trHeight w:val="315"/>
        </w:trPr>
        <w:tc>
          <w:tcPr>
            <w:tcW w:w="2780" w:type="dxa"/>
            <w:tcBorders>
              <w:top w:val="nil"/>
              <w:left w:val="nil"/>
              <w:bottom w:val="single" w:sz="4" w:space="0" w:color="auto"/>
              <w:right w:val="nil"/>
            </w:tcBorders>
            <w:shd w:val="clear" w:color="auto" w:fill="auto"/>
            <w:noWrap/>
            <w:vAlign w:val="center"/>
            <w:hideMark/>
          </w:tcPr>
          <w:p w14:paraId="0CADD9C0" w14:textId="77777777" w:rsidR="00F74F3D" w:rsidRPr="00F15667" w:rsidRDefault="00F74F3D" w:rsidP="00C17A44">
            <w:pPr>
              <w:spacing w:line="240" w:lineRule="auto"/>
              <w:jc w:val="left"/>
              <w:rPr>
                <w:rFonts w:eastAsia="Times New Roman"/>
                <w:szCs w:val="24"/>
                <w:lang w:eastAsia="cs-CZ"/>
              </w:rPr>
            </w:pPr>
            <w:r w:rsidRPr="00F15667">
              <w:rPr>
                <w:rFonts w:eastAsia="Times New Roman"/>
                <w:szCs w:val="24"/>
                <w:lang w:eastAsia="cs-CZ"/>
              </w:rPr>
              <w:t>KS Plzeň</w:t>
            </w:r>
          </w:p>
        </w:tc>
        <w:tc>
          <w:tcPr>
            <w:tcW w:w="1756" w:type="dxa"/>
            <w:tcBorders>
              <w:top w:val="nil"/>
              <w:left w:val="nil"/>
              <w:bottom w:val="single" w:sz="4" w:space="0" w:color="auto"/>
              <w:right w:val="nil"/>
            </w:tcBorders>
            <w:shd w:val="clear" w:color="auto" w:fill="auto"/>
            <w:noWrap/>
            <w:vAlign w:val="center"/>
            <w:hideMark/>
          </w:tcPr>
          <w:p w14:paraId="04875439" w14:textId="77777777" w:rsidR="00F74F3D" w:rsidRPr="00F15667" w:rsidRDefault="00F74F3D" w:rsidP="00C17A44">
            <w:pPr>
              <w:spacing w:line="240" w:lineRule="auto"/>
              <w:jc w:val="center"/>
              <w:rPr>
                <w:rFonts w:eastAsia="Times New Roman"/>
                <w:szCs w:val="24"/>
                <w:lang w:eastAsia="cs-CZ"/>
              </w:rPr>
            </w:pPr>
            <w:r w:rsidRPr="00F15667">
              <w:rPr>
                <w:rFonts w:eastAsia="Times New Roman"/>
                <w:szCs w:val="24"/>
                <w:lang w:eastAsia="cs-CZ"/>
              </w:rPr>
              <w:t>155</w:t>
            </w:r>
          </w:p>
        </w:tc>
        <w:tc>
          <w:tcPr>
            <w:tcW w:w="1418" w:type="dxa"/>
            <w:tcBorders>
              <w:top w:val="nil"/>
              <w:left w:val="nil"/>
              <w:bottom w:val="single" w:sz="4" w:space="0" w:color="auto"/>
              <w:right w:val="nil"/>
            </w:tcBorders>
            <w:shd w:val="clear" w:color="auto" w:fill="auto"/>
            <w:noWrap/>
            <w:vAlign w:val="center"/>
            <w:hideMark/>
          </w:tcPr>
          <w:p w14:paraId="56B6CE65" w14:textId="647EFD80" w:rsidR="00F74F3D" w:rsidRPr="00F15667" w:rsidRDefault="00F74F3D" w:rsidP="00C17A44">
            <w:pPr>
              <w:spacing w:line="240" w:lineRule="auto"/>
              <w:jc w:val="center"/>
              <w:rPr>
                <w:rFonts w:eastAsia="Times New Roman"/>
                <w:sz w:val="20"/>
                <w:szCs w:val="20"/>
                <w:lang w:eastAsia="cs-CZ"/>
              </w:rPr>
            </w:pPr>
            <w:r w:rsidRPr="00F15667">
              <w:rPr>
                <w:rFonts w:eastAsia="Times New Roman"/>
                <w:sz w:val="20"/>
                <w:szCs w:val="20"/>
                <w:lang w:eastAsia="cs-CZ"/>
              </w:rPr>
              <w:t>-21 %</w:t>
            </w:r>
          </w:p>
        </w:tc>
      </w:tr>
      <w:tr w:rsidR="00F15667" w:rsidRPr="00F15667" w14:paraId="5F36D844" w14:textId="77777777" w:rsidTr="00C17A44">
        <w:trPr>
          <w:trHeight w:val="315"/>
        </w:trPr>
        <w:tc>
          <w:tcPr>
            <w:tcW w:w="2780" w:type="dxa"/>
            <w:tcBorders>
              <w:top w:val="nil"/>
              <w:left w:val="nil"/>
              <w:bottom w:val="single" w:sz="4" w:space="0" w:color="auto"/>
              <w:right w:val="nil"/>
            </w:tcBorders>
            <w:shd w:val="clear" w:color="auto" w:fill="auto"/>
            <w:noWrap/>
            <w:vAlign w:val="center"/>
            <w:hideMark/>
          </w:tcPr>
          <w:p w14:paraId="5B9622F4" w14:textId="77777777" w:rsidR="00F74F3D" w:rsidRPr="00F15667" w:rsidRDefault="00F74F3D" w:rsidP="00C17A44">
            <w:pPr>
              <w:spacing w:line="240" w:lineRule="auto"/>
              <w:jc w:val="left"/>
              <w:rPr>
                <w:rFonts w:eastAsia="Times New Roman"/>
                <w:szCs w:val="24"/>
                <w:lang w:eastAsia="cs-CZ"/>
              </w:rPr>
            </w:pPr>
            <w:r w:rsidRPr="00F15667">
              <w:rPr>
                <w:rFonts w:eastAsia="Times New Roman"/>
                <w:szCs w:val="24"/>
                <w:lang w:eastAsia="cs-CZ"/>
              </w:rPr>
              <w:t>KS Ústí n. Labem</w:t>
            </w:r>
          </w:p>
        </w:tc>
        <w:tc>
          <w:tcPr>
            <w:tcW w:w="1756" w:type="dxa"/>
            <w:tcBorders>
              <w:top w:val="nil"/>
              <w:left w:val="nil"/>
              <w:bottom w:val="single" w:sz="4" w:space="0" w:color="auto"/>
              <w:right w:val="nil"/>
            </w:tcBorders>
            <w:shd w:val="clear" w:color="auto" w:fill="auto"/>
            <w:noWrap/>
            <w:vAlign w:val="center"/>
            <w:hideMark/>
          </w:tcPr>
          <w:p w14:paraId="29C7CF92" w14:textId="77777777" w:rsidR="00F74F3D" w:rsidRPr="00F15667" w:rsidRDefault="00F74F3D" w:rsidP="00C17A44">
            <w:pPr>
              <w:spacing w:line="240" w:lineRule="auto"/>
              <w:jc w:val="center"/>
              <w:rPr>
                <w:rFonts w:eastAsia="Times New Roman"/>
                <w:szCs w:val="24"/>
                <w:lang w:eastAsia="cs-CZ"/>
              </w:rPr>
            </w:pPr>
            <w:r w:rsidRPr="00F15667">
              <w:rPr>
                <w:rFonts w:eastAsia="Times New Roman"/>
                <w:szCs w:val="24"/>
                <w:lang w:eastAsia="cs-CZ"/>
              </w:rPr>
              <w:t>167</w:t>
            </w:r>
          </w:p>
        </w:tc>
        <w:tc>
          <w:tcPr>
            <w:tcW w:w="1418" w:type="dxa"/>
            <w:tcBorders>
              <w:top w:val="nil"/>
              <w:left w:val="nil"/>
              <w:bottom w:val="single" w:sz="4" w:space="0" w:color="auto"/>
              <w:right w:val="nil"/>
            </w:tcBorders>
            <w:shd w:val="clear" w:color="auto" w:fill="auto"/>
            <w:noWrap/>
            <w:vAlign w:val="center"/>
            <w:hideMark/>
          </w:tcPr>
          <w:p w14:paraId="7172E136" w14:textId="76CFFF7F" w:rsidR="00F74F3D" w:rsidRPr="00F15667" w:rsidRDefault="00F74F3D" w:rsidP="00C17A44">
            <w:pPr>
              <w:spacing w:line="240" w:lineRule="auto"/>
              <w:jc w:val="center"/>
              <w:rPr>
                <w:rFonts w:eastAsia="Times New Roman"/>
                <w:sz w:val="20"/>
                <w:szCs w:val="20"/>
                <w:lang w:eastAsia="cs-CZ"/>
              </w:rPr>
            </w:pPr>
            <w:r w:rsidRPr="00F15667">
              <w:rPr>
                <w:rFonts w:eastAsia="Times New Roman"/>
                <w:sz w:val="20"/>
                <w:szCs w:val="20"/>
                <w:lang w:eastAsia="cs-CZ"/>
              </w:rPr>
              <w:t>-45 %</w:t>
            </w:r>
          </w:p>
        </w:tc>
      </w:tr>
      <w:tr w:rsidR="00F15667" w:rsidRPr="00F15667" w14:paraId="532B8F52" w14:textId="77777777" w:rsidTr="00C17A44">
        <w:trPr>
          <w:trHeight w:val="315"/>
        </w:trPr>
        <w:tc>
          <w:tcPr>
            <w:tcW w:w="2780" w:type="dxa"/>
            <w:tcBorders>
              <w:top w:val="nil"/>
              <w:left w:val="nil"/>
              <w:bottom w:val="single" w:sz="4" w:space="0" w:color="auto"/>
              <w:right w:val="nil"/>
            </w:tcBorders>
            <w:shd w:val="clear" w:color="auto" w:fill="auto"/>
            <w:noWrap/>
            <w:vAlign w:val="center"/>
            <w:hideMark/>
          </w:tcPr>
          <w:p w14:paraId="56138816" w14:textId="77777777" w:rsidR="00F74F3D" w:rsidRPr="00F15667" w:rsidRDefault="00F74F3D" w:rsidP="00C17A44">
            <w:pPr>
              <w:spacing w:line="240" w:lineRule="auto"/>
              <w:jc w:val="left"/>
              <w:rPr>
                <w:rFonts w:eastAsia="Times New Roman"/>
                <w:szCs w:val="24"/>
                <w:lang w:eastAsia="cs-CZ"/>
              </w:rPr>
            </w:pPr>
            <w:r w:rsidRPr="00F15667">
              <w:rPr>
                <w:rFonts w:eastAsia="Times New Roman"/>
                <w:szCs w:val="24"/>
                <w:lang w:eastAsia="cs-CZ"/>
              </w:rPr>
              <w:t>KS Hr. Králové</w:t>
            </w:r>
          </w:p>
        </w:tc>
        <w:tc>
          <w:tcPr>
            <w:tcW w:w="1756" w:type="dxa"/>
            <w:tcBorders>
              <w:top w:val="nil"/>
              <w:left w:val="nil"/>
              <w:bottom w:val="single" w:sz="4" w:space="0" w:color="auto"/>
              <w:right w:val="nil"/>
            </w:tcBorders>
            <w:shd w:val="clear" w:color="auto" w:fill="auto"/>
            <w:noWrap/>
            <w:vAlign w:val="center"/>
            <w:hideMark/>
          </w:tcPr>
          <w:p w14:paraId="46589699" w14:textId="77777777" w:rsidR="00F74F3D" w:rsidRPr="00F15667" w:rsidRDefault="00F74F3D" w:rsidP="00C17A44">
            <w:pPr>
              <w:spacing w:line="240" w:lineRule="auto"/>
              <w:jc w:val="center"/>
              <w:rPr>
                <w:rFonts w:eastAsia="Times New Roman"/>
                <w:szCs w:val="24"/>
                <w:lang w:eastAsia="cs-CZ"/>
              </w:rPr>
            </w:pPr>
            <w:r w:rsidRPr="00F15667">
              <w:rPr>
                <w:rFonts w:eastAsia="Times New Roman"/>
                <w:szCs w:val="24"/>
                <w:lang w:eastAsia="cs-CZ"/>
              </w:rPr>
              <w:t>132</w:t>
            </w:r>
          </w:p>
        </w:tc>
        <w:tc>
          <w:tcPr>
            <w:tcW w:w="1418" w:type="dxa"/>
            <w:tcBorders>
              <w:top w:val="nil"/>
              <w:left w:val="nil"/>
              <w:bottom w:val="single" w:sz="4" w:space="0" w:color="auto"/>
              <w:right w:val="nil"/>
            </w:tcBorders>
            <w:shd w:val="clear" w:color="auto" w:fill="auto"/>
            <w:noWrap/>
            <w:vAlign w:val="center"/>
            <w:hideMark/>
          </w:tcPr>
          <w:p w14:paraId="4F9646EB" w14:textId="2489AFD6" w:rsidR="00F74F3D" w:rsidRPr="00F15667" w:rsidRDefault="00F74F3D" w:rsidP="00C17A44">
            <w:pPr>
              <w:spacing w:line="240" w:lineRule="auto"/>
              <w:jc w:val="center"/>
              <w:rPr>
                <w:rFonts w:eastAsia="Times New Roman"/>
                <w:sz w:val="20"/>
                <w:szCs w:val="20"/>
                <w:lang w:eastAsia="cs-CZ"/>
              </w:rPr>
            </w:pPr>
            <w:r w:rsidRPr="00F15667">
              <w:rPr>
                <w:rFonts w:eastAsia="Times New Roman"/>
                <w:sz w:val="20"/>
                <w:szCs w:val="20"/>
                <w:lang w:eastAsia="cs-CZ"/>
              </w:rPr>
              <w:t>-32 %</w:t>
            </w:r>
          </w:p>
        </w:tc>
      </w:tr>
      <w:tr w:rsidR="00F15667" w:rsidRPr="00F15667" w14:paraId="29DAC41F" w14:textId="77777777" w:rsidTr="00C17A44">
        <w:trPr>
          <w:trHeight w:val="315"/>
        </w:trPr>
        <w:tc>
          <w:tcPr>
            <w:tcW w:w="2780" w:type="dxa"/>
            <w:tcBorders>
              <w:top w:val="nil"/>
              <w:left w:val="nil"/>
              <w:bottom w:val="single" w:sz="4" w:space="0" w:color="auto"/>
              <w:right w:val="nil"/>
            </w:tcBorders>
            <w:shd w:val="clear" w:color="auto" w:fill="auto"/>
            <w:noWrap/>
            <w:vAlign w:val="center"/>
            <w:hideMark/>
          </w:tcPr>
          <w:p w14:paraId="4926107C" w14:textId="77777777" w:rsidR="00F74F3D" w:rsidRPr="00F15667" w:rsidRDefault="00F74F3D" w:rsidP="00C17A44">
            <w:pPr>
              <w:spacing w:line="240" w:lineRule="auto"/>
              <w:jc w:val="left"/>
              <w:rPr>
                <w:rFonts w:eastAsia="Times New Roman"/>
                <w:szCs w:val="24"/>
                <w:lang w:eastAsia="cs-CZ"/>
              </w:rPr>
            </w:pPr>
            <w:r w:rsidRPr="00F15667">
              <w:rPr>
                <w:rFonts w:eastAsia="Times New Roman"/>
                <w:szCs w:val="24"/>
                <w:lang w:eastAsia="cs-CZ"/>
              </w:rPr>
              <w:t>KS Brno</w:t>
            </w:r>
          </w:p>
        </w:tc>
        <w:tc>
          <w:tcPr>
            <w:tcW w:w="1756" w:type="dxa"/>
            <w:tcBorders>
              <w:top w:val="nil"/>
              <w:left w:val="nil"/>
              <w:bottom w:val="single" w:sz="4" w:space="0" w:color="auto"/>
              <w:right w:val="nil"/>
            </w:tcBorders>
            <w:shd w:val="clear" w:color="auto" w:fill="auto"/>
            <w:noWrap/>
            <w:vAlign w:val="center"/>
            <w:hideMark/>
          </w:tcPr>
          <w:p w14:paraId="54533AC4" w14:textId="77777777" w:rsidR="00F74F3D" w:rsidRPr="00F15667" w:rsidRDefault="00F74F3D" w:rsidP="00C17A44">
            <w:pPr>
              <w:spacing w:line="240" w:lineRule="auto"/>
              <w:jc w:val="center"/>
              <w:rPr>
                <w:rFonts w:eastAsia="Times New Roman"/>
                <w:szCs w:val="24"/>
                <w:lang w:eastAsia="cs-CZ"/>
              </w:rPr>
            </w:pPr>
            <w:r w:rsidRPr="00F15667">
              <w:rPr>
                <w:rFonts w:eastAsia="Times New Roman"/>
                <w:szCs w:val="24"/>
                <w:lang w:eastAsia="cs-CZ"/>
              </w:rPr>
              <w:t>272</w:t>
            </w:r>
          </w:p>
        </w:tc>
        <w:tc>
          <w:tcPr>
            <w:tcW w:w="1418" w:type="dxa"/>
            <w:tcBorders>
              <w:top w:val="nil"/>
              <w:left w:val="nil"/>
              <w:bottom w:val="single" w:sz="4" w:space="0" w:color="auto"/>
              <w:right w:val="nil"/>
            </w:tcBorders>
            <w:shd w:val="clear" w:color="auto" w:fill="auto"/>
            <w:noWrap/>
            <w:vAlign w:val="center"/>
            <w:hideMark/>
          </w:tcPr>
          <w:p w14:paraId="18024341" w14:textId="512B7298" w:rsidR="00F74F3D" w:rsidRPr="00F15667" w:rsidRDefault="00F74F3D" w:rsidP="00C17A44">
            <w:pPr>
              <w:spacing w:line="240" w:lineRule="auto"/>
              <w:jc w:val="center"/>
              <w:rPr>
                <w:rFonts w:eastAsia="Times New Roman"/>
                <w:sz w:val="20"/>
                <w:szCs w:val="20"/>
                <w:lang w:eastAsia="cs-CZ"/>
              </w:rPr>
            </w:pPr>
            <w:r w:rsidRPr="00F15667">
              <w:rPr>
                <w:rFonts w:eastAsia="Times New Roman"/>
                <w:sz w:val="20"/>
                <w:szCs w:val="20"/>
                <w:lang w:eastAsia="cs-CZ"/>
              </w:rPr>
              <w:t>-12 %</w:t>
            </w:r>
          </w:p>
        </w:tc>
      </w:tr>
      <w:tr w:rsidR="00F15667" w:rsidRPr="00F15667" w14:paraId="298653EC" w14:textId="77777777" w:rsidTr="00C17A44">
        <w:trPr>
          <w:trHeight w:val="330"/>
        </w:trPr>
        <w:tc>
          <w:tcPr>
            <w:tcW w:w="2780" w:type="dxa"/>
            <w:tcBorders>
              <w:top w:val="nil"/>
              <w:left w:val="nil"/>
              <w:bottom w:val="double" w:sz="6" w:space="0" w:color="auto"/>
              <w:right w:val="nil"/>
            </w:tcBorders>
            <w:shd w:val="clear" w:color="auto" w:fill="auto"/>
            <w:noWrap/>
            <w:vAlign w:val="center"/>
            <w:hideMark/>
          </w:tcPr>
          <w:p w14:paraId="48A292E2" w14:textId="77777777" w:rsidR="00F74F3D" w:rsidRPr="00F15667" w:rsidRDefault="00F74F3D" w:rsidP="00C17A44">
            <w:pPr>
              <w:spacing w:line="240" w:lineRule="auto"/>
              <w:jc w:val="left"/>
              <w:rPr>
                <w:rFonts w:eastAsia="Times New Roman"/>
                <w:szCs w:val="24"/>
                <w:lang w:eastAsia="cs-CZ"/>
              </w:rPr>
            </w:pPr>
            <w:r w:rsidRPr="00F15667">
              <w:rPr>
                <w:rFonts w:eastAsia="Times New Roman"/>
                <w:szCs w:val="24"/>
                <w:lang w:eastAsia="cs-CZ"/>
              </w:rPr>
              <w:t>KS Ostrava</w:t>
            </w:r>
          </w:p>
        </w:tc>
        <w:tc>
          <w:tcPr>
            <w:tcW w:w="1756" w:type="dxa"/>
            <w:tcBorders>
              <w:top w:val="nil"/>
              <w:left w:val="nil"/>
              <w:bottom w:val="double" w:sz="6" w:space="0" w:color="auto"/>
              <w:right w:val="nil"/>
            </w:tcBorders>
            <w:shd w:val="clear" w:color="auto" w:fill="auto"/>
            <w:noWrap/>
            <w:vAlign w:val="center"/>
            <w:hideMark/>
          </w:tcPr>
          <w:p w14:paraId="1FE9B5BB" w14:textId="77777777" w:rsidR="00F74F3D" w:rsidRPr="00F15667" w:rsidRDefault="00F74F3D" w:rsidP="00C17A44">
            <w:pPr>
              <w:spacing w:line="240" w:lineRule="auto"/>
              <w:jc w:val="center"/>
              <w:rPr>
                <w:rFonts w:eastAsia="Times New Roman"/>
                <w:szCs w:val="24"/>
                <w:lang w:eastAsia="cs-CZ"/>
              </w:rPr>
            </w:pPr>
            <w:r w:rsidRPr="00F15667">
              <w:rPr>
                <w:rFonts w:eastAsia="Times New Roman"/>
                <w:szCs w:val="24"/>
                <w:lang w:eastAsia="cs-CZ"/>
              </w:rPr>
              <w:t>236</w:t>
            </w:r>
          </w:p>
        </w:tc>
        <w:tc>
          <w:tcPr>
            <w:tcW w:w="1418" w:type="dxa"/>
            <w:tcBorders>
              <w:top w:val="nil"/>
              <w:left w:val="nil"/>
              <w:bottom w:val="double" w:sz="6" w:space="0" w:color="auto"/>
              <w:right w:val="nil"/>
            </w:tcBorders>
            <w:shd w:val="clear" w:color="auto" w:fill="auto"/>
            <w:noWrap/>
            <w:vAlign w:val="center"/>
            <w:hideMark/>
          </w:tcPr>
          <w:p w14:paraId="63ED814D" w14:textId="0AD8007F" w:rsidR="00F74F3D" w:rsidRPr="00F15667" w:rsidRDefault="00F74F3D" w:rsidP="00C17A44">
            <w:pPr>
              <w:spacing w:line="240" w:lineRule="auto"/>
              <w:jc w:val="center"/>
              <w:rPr>
                <w:rFonts w:eastAsia="Times New Roman"/>
                <w:sz w:val="20"/>
                <w:szCs w:val="20"/>
                <w:lang w:eastAsia="cs-CZ"/>
              </w:rPr>
            </w:pPr>
            <w:r w:rsidRPr="00F15667">
              <w:rPr>
                <w:rFonts w:eastAsia="Times New Roman"/>
                <w:sz w:val="20"/>
                <w:szCs w:val="20"/>
                <w:lang w:eastAsia="cs-CZ"/>
              </w:rPr>
              <w:t>+26 %</w:t>
            </w:r>
          </w:p>
        </w:tc>
      </w:tr>
      <w:tr w:rsidR="00F15667" w:rsidRPr="00F15667" w14:paraId="27396F9B" w14:textId="77777777" w:rsidTr="00C17A44">
        <w:trPr>
          <w:trHeight w:val="345"/>
        </w:trPr>
        <w:tc>
          <w:tcPr>
            <w:tcW w:w="2780" w:type="dxa"/>
            <w:tcBorders>
              <w:top w:val="nil"/>
              <w:left w:val="nil"/>
              <w:bottom w:val="double" w:sz="6" w:space="0" w:color="auto"/>
              <w:right w:val="nil"/>
            </w:tcBorders>
            <w:shd w:val="clear" w:color="auto" w:fill="auto"/>
            <w:noWrap/>
            <w:vAlign w:val="center"/>
            <w:hideMark/>
          </w:tcPr>
          <w:p w14:paraId="214E3C42" w14:textId="77777777" w:rsidR="00F74F3D" w:rsidRPr="00F15667" w:rsidRDefault="00F74F3D" w:rsidP="00C17A4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756" w:type="dxa"/>
            <w:tcBorders>
              <w:top w:val="nil"/>
              <w:left w:val="nil"/>
              <w:bottom w:val="double" w:sz="6" w:space="0" w:color="auto"/>
              <w:right w:val="nil"/>
            </w:tcBorders>
            <w:shd w:val="clear" w:color="auto" w:fill="auto"/>
            <w:noWrap/>
            <w:vAlign w:val="center"/>
            <w:hideMark/>
          </w:tcPr>
          <w:p w14:paraId="516A7A4E" w14:textId="77777777" w:rsidR="00F74F3D" w:rsidRPr="00F15667" w:rsidRDefault="00F74F3D" w:rsidP="00C17A44">
            <w:pPr>
              <w:spacing w:line="240" w:lineRule="auto"/>
              <w:jc w:val="center"/>
              <w:rPr>
                <w:rFonts w:eastAsia="Times New Roman"/>
                <w:b/>
                <w:bCs/>
                <w:szCs w:val="24"/>
                <w:lang w:eastAsia="cs-CZ"/>
              </w:rPr>
            </w:pPr>
            <w:r w:rsidRPr="00F15667">
              <w:rPr>
                <w:rFonts w:eastAsia="Times New Roman"/>
                <w:b/>
                <w:bCs/>
                <w:szCs w:val="24"/>
                <w:lang w:eastAsia="cs-CZ"/>
              </w:rPr>
              <w:t>225</w:t>
            </w:r>
          </w:p>
        </w:tc>
        <w:tc>
          <w:tcPr>
            <w:tcW w:w="1418" w:type="dxa"/>
            <w:tcBorders>
              <w:top w:val="nil"/>
              <w:left w:val="nil"/>
              <w:bottom w:val="double" w:sz="6" w:space="0" w:color="auto"/>
              <w:right w:val="nil"/>
            </w:tcBorders>
            <w:shd w:val="clear" w:color="auto" w:fill="auto"/>
            <w:noWrap/>
            <w:vAlign w:val="center"/>
            <w:hideMark/>
          </w:tcPr>
          <w:p w14:paraId="7CE2E35D" w14:textId="1B97C25C" w:rsidR="00F74F3D" w:rsidRPr="00F15667" w:rsidRDefault="00F74F3D"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-15 %</w:t>
            </w:r>
          </w:p>
        </w:tc>
      </w:tr>
      <w:tr w:rsidR="00F15667" w:rsidRPr="00F15667" w14:paraId="559A8E16" w14:textId="77777777" w:rsidTr="00C17A44">
        <w:trPr>
          <w:trHeight w:val="330"/>
        </w:trPr>
        <w:tc>
          <w:tcPr>
            <w:tcW w:w="2780" w:type="dxa"/>
            <w:tcBorders>
              <w:top w:val="nil"/>
              <w:left w:val="nil"/>
              <w:bottom w:val="nil"/>
              <w:right w:val="nil"/>
            </w:tcBorders>
            <w:shd w:val="clear" w:color="auto" w:fill="auto"/>
            <w:noWrap/>
            <w:vAlign w:val="center"/>
            <w:hideMark/>
          </w:tcPr>
          <w:p w14:paraId="617B5ADC" w14:textId="77777777" w:rsidR="00F74F3D" w:rsidRPr="00F15667" w:rsidRDefault="00F74F3D" w:rsidP="00C17A44">
            <w:pPr>
              <w:spacing w:line="240" w:lineRule="auto"/>
              <w:jc w:val="center"/>
              <w:rPr>
                <w:rFonts w:eastAsia="Times New Roman"/>
                <w:b/>
                <w:bCs/>
                <w:sz w:val="20"/>
                <w:szCs w:val="20"/>
                <w:lang w:eastAsia="cs-CZ"/>
              </w:rPr>
            </w:pPr>
          </w:p>
        </w:tc>
        <w:tc>
          <w:tcPr>
            <w:tcW w:w="1756" w:type="dxa"/>
            <w:tcBorders>
              <w:top w:val="nil"/>
              <w:left w:val="nil"/>
              <w:bottom w:val="nil"/>
              <w:right w:val="nil"/>
            </w:tcBorders>
            <w:shd w:val="clear" w:color="auto" w:fill="auto"/>
            <w:noWrap/>
            <w:vAlign w:val="center"/>
            <w:hideMark/>
          </w:tcPr>
          <w:p w14:paraId="545983AF" w14:textId="77777777" w:rsidR="00F74F3D" w:rsidRPr="00F15667" w:rsidRDefault="00F74F3D" w:rsidP="00C17A44">
            <w:pPr>
              <w:spacing w:line="240" w:lineRule="auto"/>
              <w:jc w:val="center"/>
              <w:rPr>
                <w:rFonts w:ascii="Times New Roman" w:eastAsia="Times New Roman" w:hAnsi="Times New Roman"/>
                <w:sz w:val="20"/>
                <w:szCs w:val="20"/>
                <w:lang w:eastAsia="cs-CZ"/>
              </w:rPr>
            </w:pPr>
          </w:p>
        </w:tc>
        <w:tc>
          <w:tcPr>
            <w:tcW w:w="1418" w:type="dxa"/>
            <w:tcBorders>
              <w:top w:val="nil"/>
              <w:left w:val="nil"/>
              <w:bottom w:val="nil"/>
              <w:right w:val="nil"/>
            </w:tcBorders>
            <w:shd w:val="clear" w:color="auto" w:fill="auto"/>
            <w:noWrap/>
            <w:vAlign w:val="center"/>
            <w:hideMark/>
          </w:tcPr>
          <w:p w14:paraId="091DC1A5" w14:textId="77777777" w:rsidR="00F74F3D" w:rsidRPr="00F15667" w:rsidRDefault="00F74F3D" w:rsidP="00C17A44">
            <w:pPr>
              <w:spacing w:line="240" w:lineRule="auto"/>
              <w:jc w:val="center"/>
              <w:rPr>
                <w:rFonts w:ascii="Times New Roman" w:eastAsia="Times New Roman" w:hAnsi="Times New Roman"/>
                <w:sz w:val="20"/>
                <w:szCs w:val="20"/>
                <w:lang w:eastAsia="cs-CZ"/>
              </w:rPr>
            </w:pPr>
          </w:p>
        </w:tc>
      </w:tr>
    </w:tbl>
    <w:p w14:paraId="32699671" w14:textId="26C52205" w:rsidR="00F74F3D" w:rsidRDefault="00F74F3D" w:rsidP="00F74F3D">
      <w:pPr>
        <w:pStyle w:val="OdstavecASR"/>
      </w:pPr>
      <w:r w:rsidRPr="00F15667">
        <w:t xml:space="preserve">Celkově jsou délky řízení ve správním soudnictví </w:t>
      </w:r>
      <w:r w:rsidR="00744257" w:rsidRPr="00F15667">
        <w:t xml:space="preserve">velmi </w:t>
      </w:r>
      <w:r w:rsidRPr="00F15667">
        <w:t>vysoké, ale v roce 2022 konečně vykázaly značný pokles. Stále nemalá je i případová zátěž správních úseků soudů, která ovšem rychle klesá. Situaci ve správním soudnictví tak zatím stále nelze popsat jako ideální, ale díky posilování správních úseků a poklesu v nápadu došlo k výraznému poklesu v počtu nevyřízených věcí v posledních čtyřech letech. Stav správního soudnictví se tedy rozhodně výrazně zlepšil, ale další vývoj bude potřeba bedlivě sledovat, a to i proto, že správní agendy mohou podléhat náhlým a nepředvídatelným externím vlivům.</w:t>
      </w:r>
    </w:p>
    <w:p w14:paraId="73B6D229" w14:textId="47A95F83" w:rsidR="00C17A44" w:rsidRDefault="00C17A44">
      <w:pPr>
        <w:spacing w:after="160" w:line="259" w:lineRule="auto"/>
        <w:jc w:val="left"/>
      </w:pPr>
      <w:r>
        <w:br w:type="page"/>
      </w:r>
    </w:p>
    <w:p w14:paraId="14AF05E3" w14:textId="57E803AA" w:rsidR="008430BD" w:rsidRPr="00F15667" w:rsidRDefault="008430BD" w:rsidP="008430BD">
      <w:pPr>
        <w:pStyle w:val="Nadpis2"/>
        <w:numPr>
          <w:ilvl w:val="1"/>
          <w:numId w:val="1"/>
        </w:numPr>
        <w:spacing w:before="120"/>
        <w:rPr>
          <w:color w:val="auto"/>
        </w:rPr>
      </w:pPr>
      <w:bookmarkStart w:id="924" w:name="_Ref511982760"/>
      <w:bookmarkStart w:id="925" w:name="_Toc515871272"/>
      <w:bookmarkStart w:id="926" w:name="_Toc106092779"/>
      <w:bookmarkStart w:id="927" w:name="_Toc144104392"/>
      <w:r w:rsidRPr="00F15667">
        <w:rPr>
          <w:color w:val="auto"/>
        </w:rPr>
        <w:lastRenderedPageBreak/>
        <w:t>Insolvenční agenda</w:t>
      </w:r>
      <w:bookmarkEnd w:id="924"/>
      <w:bookmarkEnd w:id="925"/>
      <w:bookmarkEnd w:id="926"/>
      <w:bookmarkEnd w:id="927"/>
    </w:p>
    <w:p w14:paraId="04412AB2" w14:textId="325C93E0" w:rsidR="00F74F3D" w:rsidRPr="00F15667" w:rsidRDefault="00F74F3D" w:rsidP="00F74F3D">
      <w:pPr>
        <w:pStyle w:val="OdstavecASR"/>
      </w:pPr>
      <w:r w:rsidRPr="00F15667">
        <w:t xml:space="preserve">Insolvenční agenda je vedena v prvostupňovém rejstříku INS. Ve vedení statistik nedošlo v průběhu sledovaných let k žádným změnám. Přesto můžeme </w:t>
      </w:r>
      <w:r w:rsidR="00CF4E52" w:rsidRPr="00F15667">
        <w:t>pozorovat</w:t>
      </w:r>
      <w:r w:rsidRPr="00F15667">
        <w:t>, že se většina ukazatelů během let výrazně měnila. Jedná se totiž o poměrně novou agendu z roku 2008 (do té doby bylo řízení o úpadku upraveno jiným systémem a bylo vedeno v jiných rejstřících) a obvykle trvá několik let, než se ukazatele ustálí. Je ještě třeba připomenout, že součástí insolvenční agendy je projednávání a rozhodování incidenčních sporů, které jsou vedeny v rejstříku ICm. Tomuto rejstříku se věnuje další kapitola.</w:t>
      </w:r>
    </w:p>
    <w:p w14:paraId="530F8F8F" w14:textId="6423C481" w:rsidR="00F74F3D" w:rsidRPr="00F15667" w:rsidRDefault="00F74F3D" w:rsidP="00F74F3D">
      <w:pPr>
        <w:pStyle w:val="OdstavecASR"/>
      </w:pPr>
      <w:r w:rsidRPr="00F15667">
        <w:t xml:space="preserve">Původně insolvence zahrnovala dvě zcela odlišné agendy – insolvenci podnikatelů (osob právnických a podnikajících fyzických osob) a insolvenci nepodnikatelů (zpravidla fyzických osob jako spotřebitelů). Insolvence fyzických osob – spotřebitelů se označovaly jako spotřebitelské insolvence. Podnikatelské a spotřebitelské insolvence tak představovaly skutkově i právně rozdílné druhy insolvencí. V naprosté většině případů se spotřebitelské insolvence řešily a doposud řeší tzv. oddlužením, naopak ty podnikatelské zpravidla konkursem. Toto rozdělení v souvislosti s dalšími novelizacemi zákona č. 182/2006 Sb., o úpadku a způsobech jeho řešení (insolvenční zákon), který tuto agendu upravuje, není již tak striktní. Zejména významná novela insolvenčního zákona účinná od 1. července 2017, provedená zákonem č. 64/2017 Sb., ještě podstatněji otevřela podnikajícím fyzickým osobám možnost řešit úpadek oddlužením. I právnické osoby, které zákon nezařazuje mezi podnikatele, nadto mají možnost projít oddlužením. V důsledku toho již rozdělení na spotřebitelské a podnikatelské insolvence jen podle členění na fyzické a právnické osoby nadále plně nekoresponduje. Ministerstvo spravedlnosti v důsledku toho však, bohužel, v současné době ne vždy disponuje daty, která by umožnila spotřebitelské a podnikatelské insolvence důsledně rozlišit. V podkapitole věnované délkám řízení proto dělíme insolvence na insolvence fyzických osob (ty ale zahrnují i podnikající fyzické osoby) a insolvence právnických osob. V ostatních podkapitolách nejsou k dispozici data, která by dělení umožnila. Další významná novela insolvenčního zákona (zákon č. 31/2019 Sb.), která nabyla účinnost dne 1. června 2019, kromě řady změn technického charakteru, opětovně zásadně zasáhla do procesu oddlužení. Jejím hlavním záměrem je zpřístupnění institutu oddlužení i dlužníkům v tzv. </w:t>
      </w:r>
      <w:r w:rsidRPr="00F15667">
        <w:rPr>
          <w:i/>
        </w:rPr>
        <w:t>dluhové pasti</w:t>
      </w:r>
      <w:r w:rsidRPr="00F15667">
        <w:t>. Novela zároveň reagovala na potřeby, které vyplynuly z aplikační praxe pro oddlužení fyzických osob – podnikatelů. Změny zavedené touto novelou jsou velmi významné a jejich účinek bude mít dopad v delším časovém horizontu. Mohou ovlivnit jak délky řízení, tak vyřizování insolvenčních věcí.</w:t>
      </w:r>
    </w:p>
    <w:p w14:paraId="318375B4" w14:textId="41F1ACA5" w:rsidR="008430BD" w:rsidRPr="00F15667" w:rsidRDefault="008430BD" w:rsidP="008430BD">
      <w:pPr>
        <w:pStyle w:val="Nadpis3"/>
        <w:numPr>
          <w:ilvl w:val="2"/>
          <w:numId w:val="1"/>
        </w:numPr>
        <w:rPr>
          <w:color w:val="auto"/>
        </w:rPr>
      </w:pPr>
      <w:bookmarkStart w:id="928" w:name="_Toc515871273"/>
      <w:bookmarkStart w:id="929" w:name="_Toc106092780"/>
      <w:bookmarkStart w:id="930" w:name="_Toc144104393"/>
      <w:r w:rsidRPr="00F15667">
        <w:rPr>
          <w:color w:val="auto"/>
        </w:rPr>
        <w:t>Délka řízení</w:t>
      </w:r>
      <w:bookmarkEnd w:id="928"/>
      <w:bookmarkEnd w:id="929"/>
      <w:bookmarkEnd w:id="930"/>
    </w:p>
    <w:p w14:paraId="29C6B4F1" w14:textId="77777777" w:rsidR="00F74F3D" w:rsidRPr="00F15667" w:rsidRDefault="00F74F3D" w:rsidP="00F74F3D">
      <w:pPr>
        <w:pStyle w:val="OdstavecASR"/>
      </w:pPr>
      <w:r w:rsidRPr="00F15667">
        <w:t>Sledování délky řízení je u této agendy složitější, protože se jedná o vícefázové řízení upravené insolvenčním zákonem. Jednoduše řečeno, v první fázi je rozhodnuto o insolvenčním návrhu, případně i o způsobu řešení úpadku. Pokud insolvenční soud nerozhodne o úpadku a vyřídí tedy insolvenční návrh jiným způsobem, řízení končí. V opačném případě nastává další fáze řízení, jejíž délka se odvíjí především od způsobu řešení úpadku (oddlužení, konkurs, reorganizace). Například oddlužení běžně trvá pět let. Soud má reálný vliv na délku řízení pouze v první fázi, ve fázi řešení úpadku má u oddlužení pouze nepřímý vliv na délku řízení. Zkoumat tedy budeme délku řízení týkající se právě této první fáze insolvenčního řízení. Budeme pracovat s délkou řízení ode dne zahájení řízení do dne rozhodnutí o insolvenčním návrhu, tedy do dne, kdy bylo rozhodnuto o úpadku nebo bylo o insolvenčním návrhu rozhodnuto jinak.</w:t>
      </w:r>
    </w:p>
    <w:p w14:paraId="47184835" w14:textId="5948FCED" w:rsidR="00F74F3D" w:rsidRPr="00F15667" w:rsidRDefault="00F74F3D" w:rsidP="00F74F3D">
      <w:pPr>
        <w:pStyle w:val="Podnadpis"/>
        <w:numPr>
          <w:ilvl w:val="0"/>
          <w:numId w:val="0"/>
        </w:numPr>
        <w:rPr>
          <w:color w:val="auto"/>
        </w:rPr>
      </w:pPr>
      <w:bookmarkStart w:id="931" w:name="_Toc515871402"/>
      <w:bookmarkStart w:id="932" w:name="_Toc11135133"/>
      <w:bookmarkStart w:id="933" w:name="_Toc43841452"/>
      <w:bookmarkStart w:id="934" w:name="_Toc75952254"/>
      <w:bookmarkStart w:id="935" w:name="_Toc106106713"/>
      <w:bookmarkStart w:id="936" w:name="_Toc109802037"/>
      <w:bookmarkStart w:id="937" w:name="_Toc144104187"/>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75</w:t>
      </w:r>
      <w:r w:rsidR="009A10E2" w:rsidRPr="00F15667">
        <w:rPr>
          <w:color w:val="auto"/>
        </w:rPr>
        <w:fldChar w:fldCharType="end"/>
      </w:r>
      <w:r w:rsidRPr="00F15667">
        <w:rPr>
          <w:color w:val="auto"/>
        </w:rPr>
        <w:t>: KS – délka insolvenčního řízení v letech 2008–20</w:t>
      </w:r>
      <w:bookmarkEnd w:id="931"/>
      <w:bookmarkEnd w:id="932"/>
      <w:bookmarkEnd w:id="933"/>
      <w:r w:rsidRPr="00F15667">
        <w:rPr>
          <w:color w:val="auto"/>
        </w:rPr>
        <w:t>2</w:t>
      </w:r>
      <w:bookmarkEnd w:id="934"/>
      <w:bookmarkEnd w:id="935"/>
      <w:bookmarkEnd w:id="936"/>
      <w:r w:rsidRPr="00F15667">
        <w:rPr>
          <w:color w:val="auto"/>
        </w:rPr>
        <w:t>2</w:t>
      </w:r>
      <w:bookmarkEnd w:id="937"/>
    </w:p>
    <w:p w14:paraId="6F791998" w14:textId="376D03AA" w:rsidR="00F74F3D" w:rsidRPr="00F15667" w:rsidRDefault="004435B7" w:rsidP="00C17A44">
      <w:pPr>
        <w:pStyle w:val="OdstavecASR"/>
      </w:pPr>
      <w:r w:rsidRPr="00F15667">
        <w:rPr>
          <w:noProof/>
          <w:lang w:eastAsia="cs-CZ"/>
        </w:rPr>
        <w:drawing>
          <wp:inline distT="0" distB="0" distL="0" distR="0" wp14:anchorId="38C3735D" wp14:editId="4BB7C153">
            <wp:extent cx="5029200" cy="3657600"/>
            <wp:effectExtent l="0" t="0" r="0" b="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D922E1C" w14:textId="45BB7F39" w:rsidR="00A435F5" w:rsidRPr="00F15667" w:rsidRDefault="00A435F5" w:rsidP="00A435F5">
      <w:pPr>
        <w:pStyle w:val="OdstavecASR"/>
      </w:pPr>
      <w:r w:rsidRPr="00F15667">
        <w:t>Na grafu sledujeme zjevný rostoucí trend do roku 2018, který ale postupně zpomaluje a v poslední</w:t>
      </w:r>
      <w:r w:rsidR="006023DD" w:rsidRPr="00F15667">
        <w:t>ch</w:t>
      </w:r>
      <w:r w:rsidRPr="00F15667">
        <w:t xml:space="preserve"> 3 letech se obrací. Nárůst v prvních letech lze jednoduše vysvětlit. Jednalo se o zcela novou soudní agendu, počet napadlých a vyřízených věcí byl velmi malý a soudy neměly žádné nedodělky z minula. Postupem času se musela vykazovaná délka řízení nezbytně zvýšit. Od roku 2014 je již nicméně poměrně stabilní. V absolutních číslech jsou vykazované délky řízení v porovnání s ostatními agendami relativně malé. V roce 2019 se trend obrátil a délky řízení začaly klesat. V roce 2020 například průměr klesl na úroveň roku 2013. V letech 2020 a 2021 délky řízení dále klesaly.</w:t>
      </w:r>
    </w:p>
    <w:p w14:paraId="2BFFBF64" w14:textId="4FB8DEAD" w:rsidR="00A435F5" w:rsidRPr="00F15667" w:rsidRDefault="00A435F5" w:rsidP="00A435F5">
      <w:pPr>
        <w:pStyle w:val="OdstavecASR"/>
      </w:pPr>
      <w:r w:rsidRPr="00F15667">
        <w:t xml:space="preserve">V tabulce vidíme, že rozdíly v délce řízení jsou </w:t>
      </w:r>
      <w:r w:rsidR="00A2691D" w:rsidRPr="00F15667">
        <w:t>v absolutních číslech mezi</w:t>
      </w:r>
      <w:r w:rsidRPr="00F15667">
        <w:t xml:space="preserve"> soudy malé. To naznačuje, že v ČR není soud, který by měl výraznější problémy s vyřizováním insolvenčních návrhů.</w:t>
      </w:r>
      <w:r w:rsidR="00A2691D" w:rsidRPr="00F15667">
        <w:t xml:space="preserve"> Nejvíce vybočuje KS v Českých Budějovicích, který má medián délky řízení jen 13 dnů.</w:t>
      </w:r>
    </w:p>
    <w:p w14:paraId="0D5E234B" w14:textId="77777777" w:rsidR="00A435F5" w:rsidRPr="00F15667" w:rsidRDefault="00A435F5" w:rsidP="00A435F5">
      <w:pPr>
        <w:spacing w:after="160" w:line="259" w:lineRule="auto"/>
        <w:jc w:val="left"/>
      </w:pPr>
      <w:r w:rsidRPr="00F15667">
        <w:br w:type="page"/>
      </w:r>
    </w:p>
    <w:p w14:paraId="551631E5" w14:textId="6F321BB5" w:rsidR="00A2691D" w:rsidRPr="00F15667" w:rsidRDefault="00A2691D" w:rsidP="00A2691D">
      <w:pPr>
        <w:pStyle w:val="Podnadpis"/>
        <w:rPr>
          <w:color w:val="auto"/>
        </w:rPr>
      </w:pPr>
      <w:bookmarkStart w:id="938" w:name="_Toc75952374"/>
      <w:bookmarkStart w:id="939" w:name="_Toc106106829"/>
      <w:bookmarkStart w:id="940" w:name="_Toc109802152"/>
      <w:bookmarkStart w:id="941" w:name="_Toc144104311"/>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72</w:t>
      </w:r>
      <w:r w:rsidRPr="00F15667">
        <w:rPr>
          <w:noProof/>
          <w:color w:val="auto"/>
        </w:rPr>
        <w:fldChar w:fldCharType="end"/>
      </w:r>
      <w:r w:rsidRPr="00F15667">
        <w:rPr>
          <w:color w:val="auto"/>
        </w:rPr>
        <w:t>: KS – délky insolvenčního řízení dle soudů</w:t>
      </w:r>
      <w:bookmarkEnd w:id="938"/>
      <w:bookmarkEnd w:id="939"/>
      <w:bookmarkEnd w:id="940"/>
      <w:bookmarkEnd w:id="941"/>
    </w:p>
    <w:tbl>
      <w:tblPr>
        <w:tblW w:w="8300" w:type="dxa"/>
        <w:tblCellMar>
          <w:left w:w="70" w:type="dxa"/>
          <w:right w:w="70" w:type="dxa"/>
        </w:tblCellMar>
        <w:tblLook w:val="04A0" w:firstRow="1" w:lastRow="0" w:firstColumn="1" w:lastColumn="0" w:noHBand="0" w:noVBand="1"/>
      </w:tblPr>
      <w:tblGrid>
        <w:gridCol w:w="2480"/>
        <w:gridCol w:w="1064"/>
        <w:gridCol w:w="850"/>
        <w:gridCol w:w="6"/>
        <w:gridCol w:w="987"/>
        <w:gridCol w:w="850"/>
        <w:gridCol w:w="1070"/>
        <w:gridCol w:w="982"/>
        <w:gridCol w:w="11"/>
      </w:tblGrid>
      <w:tr w:rsidR="00F15667" w:rsidRPr="00F15667" w14:paraId="7DD0BC5C" w14:textId="77777777" w:rsidTr="00C17A4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5808A85" w14:textId="45DAF46D" w:rsidR="00A2691D" w:rsidRPr="00F15667" w:rsidRDefault="00C17A44" w:rsidP="00C17A44">
            <w:pPr>
              <w:spacing w:line="240" w:lineRule="auto"/>
              <w:jc w:val="center"/>
              <w:rPr>
                <w:rFonts w:eastAsia="Times New Roman"/>
                <w:b/>
                <w:bCs/>
                <w:szCs w:val="24"/>
                <w:lang w:eastAsia="cs-CZ"/>
              </w:rPr>
            </w:pPr>
            <w:r>
              <w:rPr>
                <w:rFonts w:eastAsia="Times New Roman"/>
                <w:b/>
                <w:bCs/>
                <w:szCs w:val="24"/>
                <w:lang w:eastAsia="cs-CZ"/>
              </w:rPr>
              <w:t>S</w:t>
            </w:r>
            <w:r w:rsidR="00A2691D" w:rsidRPr="00F15667">
              <w:rPr>
                <w:rFonts w:eastAsia="Times New Roman"/>
                <w:b/>
                <w:bCs/>
                <w:szCs w:val="24"/>
                <w:lang w:eastAsia="cs-CZ"/>
              </w:rPr>
              <w:t>oud</w:t>
            </w:r>
          </w:p>
        </w:tc>
        <w:tc>
          <w:tcPr>
            <w:tcW w:w="5820" w:type="dxa"/>
            <w:gridSpan w:val="8"/>
            <w:tcBorders>
              <w:top w:val="double" w:sz="6" w:space="0" w:color="auto"/>
              <w:left w:val="nil"/>
              <w:bottom w:val="nil"/>
              <w:right w:val="nil"/>
            </w:tcBorders>
            <w:shd w:val="clear" w:color="auto" w:fill="auto"/>
            <w:noWrap/>
            <w:vAlign w:val="center"/>
            <w:hideMark/>
          </w:tcPr>
          <w:p w14:paraId="2F4ED1BB" w14:textId="77777777" w:rsidR="00A2691D" w:rsidRPr="00F15667" w:rsidRDefault="00A2691D" w:rsidP="00C17A44">
            <w:pPr>
              <w:spacing w:line="240" w:lineRule="auto"/>
              <w:jc w:val="center"/>
              <w:rPr>
                <w:rFonts w:eastAsia="Times New Roman"/>
                <w:b/>
                <w:bCs/>
                <w:szCs w:val="24"/>
                <w:lang w:eastAsia="cs-CZ"/>
              </w:rPr>
            </w:pPr>
            <w:r w:rsidRPr="00F15667">
              <w:rPr>
                <w:rFonts w:eastAsia="Times New Roman"/>
                <w:b/>
                <w:bCs/>
                <w:szCs w:val="24"/>
                <w:lang w:eastAsia="cs-CZ"/>
              </w:rPr>
              <w:t>Délka řízení</w:t>
            </w:r>
          </w:p>
        </w:tc>
      </w:tr>
      <w:tr w:rsidR="00F15667" w:rsidRPr="00F15667" w14:paraId="36700401" w14:textId="77777777" w:rsidTr="00C17A44">
        <w:trPr>
          <w:gridAfter w:val="1"/>
          <w:wAfter w:w="11" w:type="dxa"/>
          <w:trHeight w:val="330"/>
        </w:trPr>
        <w:tc>
          <w:tcPr>
            <w:tcW w:w="2480" w:type="dxa"/>
            <w:vMerge/>
            <w:tcBorders>
              <w:top w:val="double" w:sz="6" w:space="0" w:color="auto"/>
              <w:left w:val="nil"/>
              <w:bottom w:val="double" w:sz="6" w:space="0" w:color="000000"/>
              <w:right w:val="nil"/>
            </w:tcBorders>
            <w:vAlign w:val="center"/>
            <w:hideMark/>
          </w:tcPr>
          <w:p w14:paraId="4BD715EC" w14:textId="77777777" w:rsidR="00A2691D" w:rsidRPr="00F15667" w:rsidRDefault="00A2691D" w:rsidP="00C17A44">
            <w:pPr>
              <w:spacing w:line="240" w:lineRule="auto"/>
              <w:jc w:val="center"/>
              <w:rPr>
                <w:rFonts w:eastAsia="Times New Roman"/>
                <w:b/>
                <w:bCs/>
                <w:szCs w:val="24"/>
                <w:lang w:eastAsia="cs-CZ"/>
              </w:rPr>
            </w:pPr>
          </w:p>
        </w:tc>
        <w:tc>
          <w:tcPr>
            <w:tcW w:w="1920" w:type="dxa"/>
            <w:gridSpan w:val="3"/>
            <w:tcBorders>
              <w:top w:val="nil"/>
              <w:left w:val="nil"/>
              <w:bottom w:val="double" w:sz="6" w:space="0" w:color="auto"/>
              <w:right w:val="single" w:sz="4" w:space="0" w:color="000000"/>
            </w:tcBorders>
            <w:shd w:val="clear" w:color="auto" w:fill="auto"/>
            <w:noWrap/>
            <w:vAlign w:val="center"/>
            <w:hideMark/>
          </w:tcPr>
          <w:p w14:paraId="1570EC5B" w14:textId="77777777" w:rsidR="00A2691D" w:rsidRPr="00F15667" w:rsidRDefault="00A2691D" w:rsidP="00C17A44">
            <w:pPr>
              <w:spacing w:line="240" w:lineRule="auto"/>
              <w:jc w:val="center"/>
              <w:rPr>
                <w:rFonts w:eastAsia="Times New Roman"/>
                <w:b/>
                <w:bCs/>
                <w:szCs w:val="24"/>
                <w:lang w:eastAsia="cs-CZ"/>
              </w:rPr>
            </w:pPr>
            <w:r w:rsidRPr="00F15667">
              <w:rPr>
                <w:rFonts w:eastAsia="Times New Roman"/>
                <w:b/>
                <w:bCs/>
                <w:szCs w:val="24"/>
                <w:lang w:eastAsia="cs-CZ"/>
              </w:rPr>
              <w:t>Průměr</w:t>
            </w:r>
          </w:p>
        </w:tc>
        <w:tc>
          <w:tcPr>
            <w:tcW w:w="1837" w:type="dxa"/>
            <w:gridSpan w:val="2"/>
            <w:tcBorders>
              <w:top w:val="nil"/>
              <w:left w:val="nil"/>
              <w:bottom w:val="double" w:sz="6" w:space="0" w:color="auto"/>
              <w:right w:val="single" w:sz="4" w:space="0" w:color="000000"/>
            </w:tcBorders>
            <w:shd w:val="clear" w:color="auto" w:fill="auto"/>
            <w:noWrap/>
            <w:vAlign w:val="center"/>
            <w:hideMark/>
          </w:tcPr>
          <w:p w14:paraId="28282EEF" w14:textId="77777777" w:rsidR="00A2691D" w:rsidRPr="00F15667" w:rsidRDefault="00A2691D" w:rsidP="00C17A44">
            <w:pPr>
              <w:spacing w:line="240" w:lineRule="auto"/>
              <w:jc w:val="center"/>
              <w:rPr>
                <w:rFonts w:eastAsia="Times New Roman"/>
                <w:b/>
                <w:bCs/>
                <w:szCs w:val="24"/>
                <w:lang w:eastAsia="cs-CZ"/>
              </w:rPr>
            </w:pPr>
            <w:r w:rsidRPr="00F15667">
              <w:rPr>
                <w:rFonts w:eastAsia="Times New Roman"/>
                <w:b/>
                <w:bCs/>
                <w:szCs w:val="24"/>
                <w:lang w:eastAsia="cs-CZ"/>
              </w:rPr>
              <w:t>Medián</w:t>
            </w:r>
          </w:p>
        </w:tc>
        <w:tc>
          <w:tcPr>
            <w:tcW w:w="2052" w:type="dxa"/>
            <w:gridSpan w:val="2"/>
            <w:tcBorders>
              <w:top w:val="nil"/>
              <w:left w:val="nil"/>
              <w:bottom w:val="double" w:sz="6" w:space="0" w:color="auto"/>
              <w:right w:val="nil"/>
            </w:tcBorders>
            <w:shd w:val="clear" w:color="auto" w:fill="auto"/>
            <w:noWrap/>
            <w:vAlign w:val="center"/>
            <w:hideMark/>
          </w:tcPr>
          <w:p w14:paraId="289D526E" w14:textId="77777777" w:rsidR="00A2691D" w:rsidRPr="00F15667" w:rsidRDefault="00A2691D" w:rsidP="00C17A44">
            <w:pPr>
              <w:spacing w:line="240" w:lineRule="auto"/>
              <w:jc w:val="center"/>
              <w:rPr>
                <w:rFonts w:eastAsia="Times New Roman"/>
                <w:b/>
                <w:bCs/>
                <w:szCs w:val="24"/>
                <w:lang w:eastAsia="cs-CZ"/>
              </w:rPr>
            </w:pPr>
            <w:r w:rsidRPr="00F15667">
              <w:rPr>
                <w:rFonts w:eastAsia="Times New Roman"/>
                <w:b/>
                <w:bCs/>
                <w:szCs w:val="24"/>
                <w:lang w:eastAsia="cs-CZ"/>
              </w:rPr>
              <w:t>Percentil 90</w:t>
            </w:r>
          </w:p>
        </w:tc>
      </w:tr>
      <w:tr w:rsidR="00F15667" w:rsidRPr="00F15667" w14:paraId="4AE9FBA3" w14:textId="77777777" w:rsidTr="00C17A44">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02565D21" w14:textId="77777777" w:rsidR="00A2691D" w:rsidRPr="00F15667" w:rsidRDefault="00A2691D" w:rsidP="00C17A44">
            <w:pPr>
              <w:spacing w:line="240" w:lineRule="auto"/>
              <w:jc w:val="left"/>
              <w:rPr>
                <w:rFonts w:eastAsia="Times New Roman"/>
                <w:szCs w:val="24"/>
                <w:lang w:eastAsia="cs-CZ"/>
              </w:rPr>
            </w:pPr>
            <w:r w:rsidRPr="00F15667">
              <w:rPr>
                <w:rFonts w:eastAsia="Times New Roman"/>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center"/>
            <w:hideMark/>
          </w:tcPr>
          <w:p w14:paraId="463F6865"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74</w:t>
            </w:r>
          </w:p>
        </w:tc>
        <w:tc>
          <w:tcPr>
            <w:tcW w:w="850" w:type="dxa"/>
            <w:tcBorders>
              <w:top w:val="single" w:sz="4" w:space="0" w:color="auto"/>
              <w:left w:val="nil"/>
              <w:bottom w:val="single" w:sz="4" w:space="0" w:color="auto"/>
              <w:right w:val="nil"/>
            </w:tcBorders>
            <w:shd w:val="clear" w:color="auto" w:fill="auto"/>
            <w:noWrap/>
            <w:vAlign w:val="center"/>
            <w:hideMark/>
          </w:tcPr>
          <w:p w14:paraId="0994C762" w14:textId="0786E58A"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993" w:type="dxa"/>
            <w:gridSpan w:val="2"/>
            <w:tcBorders>
              <w:top w:val="nil"/>
              <w:left w:val="single" w:sz="4" w:space="0" w:color="auto"/>
              <w:bottom w:val="single" w:sz="4" w:space="0" w:color="auto"/>
              <w:right w:val="nil"/>
            </w:tcBorders>
            <w:shd w:val="clear" w:color="auto" w:fill="auto"/>
            <w:noWrap/>
            <w:vAlign w:val="center"/>
            <w:hideMark/>
          </w:tcPr>
          <w:p w14:paraId="2BB1B92B"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48</w:t>
            </w:r>
          </w:p>
        </w:tc>
        <w:tc>
          <w:tcPr>
            <w:tcW w:w="850" w:type="dxa"/>
            <w:tcBorders>
              <w:top w:val="nil"/>
              <w:left w:val="nil"/>
              <w:bottom w:val="single" w:sz="4" w:space="0" w:color="auto"/>
              <w:right w:val="single" w:sz="4" w:space="0" w:color="auto"/>
            </w:tcBorders>
            <w:shd w:val="clear" w:color="auto" w:fill="auto"/>
            <w:noWrap/>
            <w:vAlign w:val="center"/>
            <w:hideMark/>
          </w:tcPr>
          <w:p w14:paraId="5C1973CC" w14:textId="44D58374"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+7 %</w:t>
            </w:r>
          </w:p>
        </w:tc>
        <w:tc>
          <w:tcPr>
            <w:tcW w:w="1070" w:type="dxa"/>
            <w:tcBorders>
              <w:top w:val="single" w:sz="4" w:space="0" w:color="auto"/>
              <w:left w:val="nil"/>
              <w:bottom w:val="single" w:sz="4" w:space="0" w:color="auto"/>
              <w:right w:val="nil"/>
            </w:tcBorders>
            <w:shd w:val="clear" w:color="auto" w:fill="auto"/>
            <w:noWrap/>
            <w:vAlign w:val="center"/>
            <w:hideMark/>
          </w:tcPr>
          <w:p w14:paraId="577C3665"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160</w:t>
            </w:r>
          </w:p>
        </w:tc>
        <w:tc>
          <w:tcPr>
            <w:tcW w:w="992" w:type="dxa"/>
            <w:gridSpan w:val="2"/>
            <w:tcBorders>
              <w:top w:val="single" w:sz="4" w:space="0" w:color="auto"/>
              <w:left w:val="nil"/>
              <w:bottom w:val="single" w:sz="4" w:space="0" w:color="auto"/>
              <w:right w:val="nil"/>
            </w:tcBorders>
            <w:shd w:val="clear" w:color="auto" w:fill="auto"/>
            <w:noWrap/>
            <w:vAlign w:val="center"/>
            <w:hideMark/>
          </w:tcPr>
          <w:p w14:paraId="533FA000" w14:textId="798A78A1"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-10 %</w:t>
            </w:r>
          </w:p>
        </w:tc>
      </w:tr>
      <w:tr w:rsidR="00F15667" w:rsidRPr="00F15667" w14:paraId="2372D7CA"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0D677BAD" w14:textId="77777777" w:rsidR="00A2691D" w:rsidRPr="00F15667" w:rsidRDefault="00A2691D" w:rsidP="00C17A44">
            <w:pPr>
              <w:spacing w:line="240" w:lineRule="auto"/>
              <w:jc w:val="left"/>
              <w:rPr>
                <w:rFonts w:eastAsia="Times New Roman"/>
                <w:szCs w:val="24"/>
                <w:lang w:eastAsia="cs-CZ"/>
              </w:rPr>
            </w:pPr>
            <w:r w:rsidRPr="00F15667">
              <w:rPr>
                <w:rFonts w:eastAsia="Times New Roman"/>
                <w:szCs w:val="24"/>
                <w:lang w:eastAsia="cs-CZ"/>
              </w:rPr>
              <w:t>KS Praha</w:t>
            </w:r>
          </w:p>
        </w:tc>
        <w:tc>
          <w:tcPr>
            <w:tcW w:w="1064" w:type="dxa"/>
            <w:tcBorders>
              <w:top w:val="nil"/>
              <w:left w:val="nil"/>
              <w:bottom w:val="single" w:sz="4" w:space="0" w:color="auto"/>
              <w:right w:val="nil"/>
            </w:tcBorders>
            <w:shd w:val="clear" w:color="auto" w:fill="auto"/>
            <w:noWrap/>
            <w:vAlign w:val="center"/>
            <w:hideMark/>
          </w:tcPr>
          <w:p w14:paraId="56005F0F"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45</w:t>
            </w:r>
          </w:p>
        </w:tc>
        <w:tc>
          <w:tcPr>
            <w:tcW w:w="850" w:type="dxa"/>
            <w:tcBorders>
              <w:top w:val="nil"/>
              <w:left w:val="nil"/>
              <w:bottom w:val="single" w:sz="4" w:space="0" w:color="auto"/>
              <w:right w:val="nil"/>
            </w:tcBorders>
            <w:shd w:val="clear" w:color="auto" w:fill="auto"/>
            <w:noWrap/>
            <w:vAlign w:val="center"/>
            <w:hideMark/>
          </w:tcPr>
          <w:p w14:paraId="674B99AA" w14:textId="5D209CF2"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-18 %</w:t>
            </w:r>
          </w:p>
        </w:tc>
        <w:tc>
          <w:tcPr>
            <w:tcW w:w="993" w:type="dxa"/>
            <w:gridSpan w:val="2"/>
            <w:tcBorders>
              <w:top w:val="nil"/>
              <w:left w:val="single" w:sz="4" w:space="0" w:color="auto"/>
              <w:bottom w:val="single" w:sz="4" w:space="0" w:color="auto"/>
              <w:right w:val="nil"/>
            </w:tcBorders>
            <w:shd w:val="clear" w:color="auto" w:fill="auto"/>
            <w:noWrap/>
            <w:vAlign w:val="center"/>
            <w:hideMark/>
          </w:tcPr>
          <w:p w14:paraId="5A52F914"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29</w:t>
            </w:r>
          </w:p>
        </w:tc>
        <w:tc>
          <w:tcPr>
            <w:tcW w:w="850" w:type="dxa"/>
            <w:tcBorders>
              <w:top w:val="nil"/>
              <w:left w:val="nil"/>
              <w:bottom w:val="single" w:sz="4" w:space="0" w:color="auto"/>
              <w:right w:val="single" w:sz="4" w:space="0" w:color="auto"/>
            </w:tcBorders>
            <w:shd w:val="clear" w:color="auto" w:fill="auto"/>
            <w:noWrap/>
            <w:vAlign w:val="center"/>
            <w:hideMark/>
          </w:tcPr>
          <w:p w14:paraId="3C2A6ACE" w14:textId="4E20D108"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070" w:type="dxa"/>
            <w:tcBorders>
              <w:top w:val="nil"/>
              <w:left w:val="nil"/>
              <w:bottom w:val="single" w:sz="4" w:space="0" w:color="auto"/>
              <w:right w:val="nil"/>
            </w:tcBorders>
            <w:shd w:val="clear" w:color="auto" w:fill="auto"/>
            <w:noWrap/>
            <w:vAlign w:val="center"/>
            <w:hideMark/>
          </w:tcPr>
          <w:p w14:paraId="425021F3"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137</w:t>
            </w:r>
          </w:p>
        </w:tc>
        <w:tc>
          <w:tcPr>
            <w:tcW w:w="992" w:type="dxa"/>
            <w:gridSpan w:val="2"/>
            <w:tcBorders>
              <w:top w:val="nil"/>
              <w:left w:val="nil"/>
              <w:bottom w:val="single" w:sz="4" w:space="0" w:color="auto"/>
              <w:right w:val="nil"/>
            </w:tcBorders>
            <w:shd w:val="clear" w:color="auto" w:fill="auto"/>
            <w:noWrap/>
            <w:vAlign w:val="center"/>
            <w:hideMark/>
          </w:tcPr>
          <w:p w14:paraId="17333B33" w14:textId="5042C474"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+8 %</w:t>
            </w:r>
          </w:p>
        </w:tc>
      </w:tr>
      <w:tr w:rsidR="00F15667" w:rsidRPr="00F15667" w14:paraId="30C4D6C5"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07CD2612" w14:textId="77777777" w:rsidR="00A2691D" w:rsidRPr="00F15667" w:rsidRDefault="00A2691D" w:rsidP="00C17A44">
            <w:pPr>
              <w:spacing w:line="240" w:lineRule="auto"/>
              <w:jc w:val="left"/>
              <w:rPr>
                <w:rFonts w:eastAsia="Times New Roman"/>
                <w:szCs w:val="24"/>
                <w:lang w:eastAsia="cs-CZ"/>
              </w:rPr>
            </w:pPr>
            <w:r w:rsidRPr="00F15667">
              <w:rPr>
                <w:rFonts w:eastAsia="Times New Roman"/>
                <w:szCs w:val="24"/>
                <w:lang w:eastAsia="cs-CZ"/>
              </w:rPr>
              <w:t>KS Č. Budějovice</w:t>
            </w:r>
          </w:p>
        </w:tc>
        <w:tc>
          <w:tcPr>
            <w:tcW w:w="1064" w:type="dxa"/>
            <w:tcBorders>
              <w:top w:val="nil"/>
              <w:left w:val="nil"/>
              <w:bottom w:val="single" w:sz="4" w:space="0" w:color="auto"/>
              <w:right w:val="nil"/>
            </w:tcBorders>
            <w:shd w:val="clear" w:color="auto" w:fill="auto"/>
            <w:noWrap/>
            <w:vAlign w:val="center"/>
            <w:hideMark/>
          </w:tcPr>
          <w:p w14:paraId="643A312A"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25</w:t>
            </w:r>
          </w:p>
        </w:tc>
        <w:tc>
          <w:tcPr>
            <w:tcW w:w="850" w:type="dxa"/>
            <w:tcBorders>
              <w:top w:val="nil"/>
              <w:left w:val="nil"/>
              <w:bottom w:val="single" w:sz="4" w:space="0" w:color="auto"/>
              <w:right w:val="nil"/>
            </w:tcBorders>
            <w:shd w:val="clear" w:color="auto" w:fill="auto"/>
            <w:noWrap/>
            <w:vAlign w:val="center"/>
            <w:hideMark/>
          </w:tcPr>
          <w:p w14:paraId="277D140B" w14:textId="4731EA7F"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-40 %</w:t>
            </w:r>
          </w:p>
        </w:tc>
        <w:tc>
          <w:tcPr>
            <w:tcW w:w="993" w:type="dxa"/>
            <w:gridSpan w:val="2"/>
            <w:tcBorders>
              <w:top w:val="nil"/>
              <w:left w:val="single" w:sz="4" w:space="0" w:color="auto"/>
              <w:bottom w:val="single" w:sz="4" w:space="0" w:color="auto"/>
              <w:right w:val="nil"/>
            </w:tcBorders>
            <w:shd w:val="clear" w:color="auto" w:fill="auto"/>
            <w:noWrap/>
            <w:vAlign w:val="center"/>
            <w:hideMark/>
          </w:tcPr>
          <w:p w14:paraId="0476A02C"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13</w:t>
            </w:r>
          </w:p>
        </w:tc>
        <w:tc>
          <w:tcPr>
            <w:tcW w:w="850" w:type="dxa"/>
            <w:tcBorders>
              <w:top w:val="nil"/>
              <w:left w:val="nil"/>
              <w:bottom w:val="single" w:sz="4" w:space="0" w:color="auto"/>
              <w:right w:val="single" w:sz="4" w:space="0" w:color="auto"/>
            </w:tcBorders>
            <w:shd w:val="clear" w:color="auto" w:fill="auto"/>
            <w:noWrap/>
            <w:vAlign w:val="center"/>
            <w:hideMark/>
          </w:tcPr>
          <w:p w14:paraId="55EB77F9" w14:textId="5BFFFC37"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-50 %</w:t>
            </w:r>
          </w:p>
        </w:tc>
        <w:tc>
          <w:tcPr>
            <w:tcW w:w="1070" w:type="dxa"/>
            <w:tcBorders>
              <w:top w:val="nil"/>
              <w:left w:val="nil"/>
              <w:bottom w:val="single" w:sz="4" w:space="0" w:color="auto"/>
              <w:right w:val="nil"/>
            </w:tcBorders>
            <w:shd w:val="clear" w:color="auto" w:fill="auto"/>
            <w:noWrap/>
            <w:vAlign w:val="center"/>
            <w:hideMark/>
          </w:tcPr>
          <w:p w14:paraId="456669F1"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48</w:t>
            </w:r>
          </w:p>
        </w:tc>
        <w:tc>
          <w:tcPr>
            <w:tcW w:w="992" w:type="dxa"/>
            <w:gridSpan w:val="2"/>
            <w:tcBorders>
              <w:top w:val="nil"/>
              <w:left w:val="nil"/>
              <w:bottom w:val="single" w:sz="4" w:space="0" w:color="auto"/>
              <w:right w:val="nil"/>
            </w:tcBorders>
            <w:shd w:val="clear" w:color="auto" w:fill="auto"/>
            <w:noWrap/>
            <w:vAlign w:val="center"/>
            <w:hideMark/>
          </w:tcPr>
          <w:p w14:paraId="04FB1E44" w14:textId="2C777BAC"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-43 %</w:t>
            </w:r>
          </w:p>
        </w:tc>
      </w:tr>
      <w:tr w:rsidR="00F15667" w:rsidRPr="00F15667" w14:paraId="00A5D999"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0A7002A9" w14:textId="77777777" w:rsidR="00A2691D" w:rsidRPr="00F15667" w:rsidRDefault="00A2691D" w:rsidP="00C17A44">
            <w:pPr>
              <w:spacing w:line="240" w:lineRule="auto"/>
              <w:jc w:val="left"/>
              <w:rPr>
                <w:rFonts w:eastAsia="Times New Roman"/>
                <w:szCs w:val="24"/>
                <w:lang w:eastAsia="cs-CZ"/>
              </w:rPr>
            </w:pPr>
            <w:r w:rsidRPr="00F15667">
              <w:rPr>
                <w:rFonts w:eastAsia="Times New Roman"/>
                <w:szCs w:val="24"/>
                <w:lang w:eastAsia="cs-CZ"/>
              </w:rPr>
              <w:t>KS Plzeň</w:t>
            </w:r>
          </w:p>
        </w:tc>
        <w:tc>
          <w:tcPr>
            <w:tcW w:w="1064" w:type="dxa"/>
            <w:tcBorders>
              <w:top w:val="nil"/>
              <w:left w:val="nil"/>
              <w:bottom w:val="single" w:sz="4" w:space="0" w:color="auto"/>
              <w:right w:val="nil"/>
            </w:tcBorders>
            <w:shd w:val="clear" w:color="auto" w:fill="auto"/>
            <w:noWrap/>
            <w:vAlign w:val="center"/>
            <w:hideMark/>
          </w:tcPr>
          <w:p w14:paraId="0622BEA0"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57</w:t>
            </w:r>
          </w:p>
        </w:tc>
        <w:tc>
          <w:tcPr>
            <w:tcW w:w="850" w:type="dxa"/>
            <w:tcBorders>
              <w:top w:val="nil"/>
              <w:left w:val="nil"/>
              <w:bottom w:val="single" w:sz="4" w:space="0" w:color="auto"/>
              <w:right w:val="nil"/>
            </w:tcBorders>
            <w:shd w:val="clear" w:color="auto" w:fill="auto"/>
            <w:noWrap/>
            <w:vAlign w:val="center"/>
            <w:hideMark/>
          </w:tcPr>
          <w:p w14:paraId="7DF7C08F" w14:textId="60FDEA45"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993" w:type="dxa"/>
            <w:gridSpan w:val="2"/>
            <w:tcBorders>
              <w:top w:val="nil"/>
              <w:left w:val="single" w:sz="4" w:space="0" w:color="auto"/>
              <w:bottom w:val="single" w:sz="4" w:space="0" w:color="auto"/>
              <w:right w:val="nil"/>
            </w:tcBorders>
            <w:shd w:val="clear" w:color="auto" w:fill="auto"/>
            <w:noWrap/>
            <w:vAlign w:val="center"/>
            <w:hideMark/>
          </w:tcPr>
          <w:p w14:paraId="24A3363F"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39</w:t>
            </w:r>
          </w:p>
        </w:tc>
        <w:tc>
          <w:tcPr>
            <w:tcW w:w="850" w:type="dxa"/>
            <w:tcBorders>
              <w:top w:val="nil"/>
              <w:left w:val="nil"/>
              <w:bottom w:val="single" w:sz="4" w:space="0" w:color="auto"/>
              <w:right w:val="single" w:sz="4" w:space="0" w:color="auto"/>
            </w:tcBorders>
            <w:shd w:val="clear" w:color="auto" w:fill="auto"/>
            <w:noWrap/>
            <w:vAlign w:val="center"/>
            <w:hideMark/>
          </w:tcPr>
          <w:p w14:paraId="2464D1F3" w14:textId="067BC1CB"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1070" w:type="dxa"/>
            <w:tcBorders>
              <w:top w:val="nil"/>
              <w:left w:val="nil"/>
              <w:bottom w:val="single" w:sz="4" w:space="0" w:color="auto"/>
              <w:right w:val="nil"/>
            </w:tcBorders>
            <w:shd w:val="clear" w:color="auto" w:fill="auto"/>
            <w:noWrap/>
            <w:vAlign w:val="center"/>
            <w:hideMark/>
          </w:tcPr>
          <w:p w14:paraId="4AD7208F"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111</w:t>
            </w:r>
          </w:p>
        </w:tc>
        <w:tc>
          <w:tcPr>
            <w:tcW w:w="992" w:type="dxa"/>
            <w:gridSpan w:val="2"/>
            <w:tcBorders>
              <w:top w:val="nil"/>
              <w:left w:val="nil"/>
              <w:bottom w:val="single" w:sz="4" w:space="0" w:color="auto"/>
              <w:right w:val="nil"/>
            </w:tcBorders>
            <w:shd w:val="clear" w:color="auto" w:fill="auto"/>
            <w:noWrap/>
            <w:vAlign w:val="center"/>
            <w:hideMark/>
          </w:tcPr>
          <w:p w14:paraId="3A08DA27" w14:textId="7ED02DAD"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-2 %</w:t>
            </w:r>
          </w:p>
        </w:tc>
      </w:tr>
      <w:tr w:rsidR="00F15667" w:rsidRPr="00F15667" w14:paraId="26AE3A8C"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7599645F" w14:textId="77777777" w:rsidR="00A2691D" w:rsidRPr="00F15667" w:rsidRDefault="00A2691D" w:rsidP="00C17A44">
            <w:pPr>
              <w:spacing w:line="240" w:lineRule="auto"/>
              <w:jc w:val="left"/>
              <w:rPr>
                <w:rFonts w:eastAsia="Times New Roman"/>
                <w:szCs w:val="24"/>
                <w:lang w:eastAsia="cs-CZ"/>
              </w:rPr>
            </w:pPr>
            <w:r w:rsidRPr="00F15667">
              <w:rPr>
                <w:rFonts w:eastAsia="Times New Roman"/>
                <w:szCs w:val="24"/>
                <w:lang w:eastAsia="cs-CZ"/>
              </w:rPr>
              <w:t>KS Ústí n. Labem</w:t>
            </w:r>
          </w:p>
        </w:tc>
        <w:tc>
          <w:tcPr>
            <w:tcW w:w="1064" w:type="dxa"/>
            <w:tcBorders>
              <w:top w:val="nil"/>
              <w:left w:val="nil"/>
              <w:bottom w:val="single" w:sz="4" w:space="0" w:color="auto"/>
              <w:right w:val="nil"/>
            </w:tcBorders>
            <w:shd w:val="clear" w:color="auto" w:fill="auto"/>
            <w:noWrap/>
            <w:vAlign w:val="center"/>
            <w:hideMark/>
          </w:tcPr>
          <w:p w14:paraId="18AC8DA5"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40</w:t>
            </w:r>
          </w:p>
        </w:tc>
        <w:tc>
          <w:tcPr>
            <w:tcW w:w="850" w:type="dxa"/>
            <w:tcBorders>
              <w:top w:val="nil"/>
              <w:left w:val="nil"/>
              <w:bottom w:val="single" w:sz="4" w:space="0" w:color="auto"/>
              <w:right w:val="nil"/>
            </w:tcBorders>
            <w:shd w:val="clear" w:color="auto" w:fill="auto"/>
            <w:noWrap/>
            <w:vAlign w:val="center"/>
            <w:hideMark/>
          </w:tcPr>
          <w:p w14:paraId="2EC2BEFF" w14:textId="081134A2"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-9 %</w:t>
            </w:r>
          </w:p>
        </w:tc>
        <w:tc>
          <w:tcPr>
            <w:tcW w:w="993" w:type="dxa"/>
            <w:gridSpan w:val="2"/>
            <w:tcBorders>
              <w:top w:val="nil"/>
              <w:left w:val="single" w:sz="4" w:space="0" w:color="auto"/>
              <w:bottom w:val="single" w:sz="4" w:space="0" w:color="auto"/>
              <w:right w:val="nil"/>
            </w:tcBorders>
            <w:shd w:val="clear" w:color="auto" w:fill="auto"/>
            <w:noWrap/>
            <w:vAlign w:val="center"/>
            <w:hideMark/>
          </w:tcPr>
          <w:p w14:paraId="0025FE21"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26</w:t>
            </w:r>
          </w:p>
        </w:tc>
        <w:tc>
          <w:tcPr>
            <w:tcW w:w="850" w:type="dxa"/>
            <w:tcBorders>
              <w:top w:val="nil"/>
              <w:left w:val="nil"/>
              <w:bottom w:val="single" w:sz="4" w:space="0" w:color="auto"/>
              <w:right w:val="single" w:sz="4" w:space="0" w:color="auto"/>
            </w:tcBorders>
            <w:shd w:val="clear" w:color="auto" w:fill="auto"/>
            <w:noWrap/>
            <w:vAlign w:val="center"/>
            <w:hideMark/>
          </w:tcPr>
          <w:p w14:paraId="4C92E206" w14:textId="54C64D3B"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70" w:type="dxa"/>
            <w:tcBorders>
              <w:top w:val="nil"/>
              <w:left w:val="nil"/>
              <w:bottom w:val="single" w:sz="4" w:space="0" w:color="auto"/>
              <w:right w:val="nil"/>
            </w:tcBorders>
            <w:shd w:val="clear" w:color="auto" w:fill="auto"/>
            <w:noWrap/>
            <w:vAlign w:val="center"/>
            <w:hideMark/>
          </w:tcPr>
          <w:p w14:paraId="39F5D633"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78</w:t>
            </w:r>
          </w:p>
        </w:tc>
        <w:tc>
          <w:tcPr>
            <w:tcW w:w="992" w:type="dxa"/>
            <w:gridSpan w:val="2"/>
            <w:tcBorders>
              <w:top w:val="nil"/>
              <w:left w:val="nil"/>
              <w:bottom w:val="single" w:sz="4" w:space="0" w:color="auto"/>
              <w:right w:val="nil"/>
            </w:tcBorders>
            <w:shd w:val="clear" w:color="auto" w:fill="auto"/>
            <w:noWrap/>
            <w:vAlign w:val="center"/>
            <w:hideMark/>
          </w:tcPr>
          <w:p w14:paraId="27273879" w14:textId="13754EE5"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-14 %</w:t>
            </w:r>
          </w:p>
        </w:tc>
      </w:tr>
      <w:tr w:rsidR="00F15667" w:rsidRPr="00F15667" w14:paraId="1C0315DB"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0508D65E" w14:textId="77777777" w:rsidR="00A2691D" w:rsidRPr="00F15667" w:rsidRDefault="00A2691D" w:rsidP="00C17A44">
            <w:pPr>
              <w:spacing w:line="240" w:lineRule="auto"/>
              <w:jc w:val="left"/>
              <w:rPr>
                <w:rFonts w:eastAsia="Times New Roman"/>
                <w:szCs w:val="24"/>
                <w:lang w:eastAsia="cs-CZ"/>
              </w:rPr>
            </w:pPr>
            <w:r w:rsidRPr="00F15667">
              <w:rPr>
                <w:rFonts w:eastAsia="Times New Roman"/>
                <w:szCs w:val="24"/>
                <w:lang w:eastAsia="cs-CZ"/>
              </w:rPr>
              <w:t>KS Hr. Králové</w:t>
            </w:r>
          </w:p>
        </w:tc>
        <w:tc>
          <w:tcPr>
            <w:tcW w:w="1064" w:type="dxa"/>
            <w:tcBorders>
              <w:top w:val="nil"/>
              <w:left w:val="nil"/>
              <w:bottom w:val="single" w:sz="4" w:space="0" w:color="auto"/>
              <w:right w:val="nil"/>
            </w:tcBorders>
            <w:shd w:val="clear" w:color="auto" w:fill="auto"/>
            <w:noWrap/>
            <w:vAlign w:val="center"/>
            <w:hideMark/>
          </w:tcPr>
          <w:p w14:paraId="3F148EE5"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37</w:t>
            </w:r>
          </w:p>
        </w:tc>
        <w:tc>
          <w:tcPr>
            <w:tcW w:w="850" w:type="dxa"/>
            <w:tcBorders>
              <w:top w:val="nil"/>
              <w:left w:val="nil"/>
              <w:bottom w:val="single" w:sz="4" w:space="0" w:color="auto"/>
              <w:right w:val="nil"/>
            </w:tcBorders>
            <w:shd w:val="clear" w:color="auto" w:fill="auto"/>
            <w:noWrap/>
            <w:vAlign w:val="center"/>
            <w:hideMark/>
          </w:tcPr>
          <w:p w14:paraId="12BAAA41" w14:textId="171CDCFB"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-24 %</w:t>
            </w:r>
          </w:p>
        </w:tc>
        <w:tc>
          <w:tcPr>
            <w:tcW w:w="993" w:type="dxa"/>
            <w:gridSpan w:val="2"/>
            <w:tcBorders>
              <w:top w:val="nil"/>
              <w:left w:val="single" w:sz="4" w:space="0" w:color="auto"/>
              <w:bottom w:val="single" w:sz="4" w:space="0" w:color="auto"/>
              <w:right w:val="nil"/>
            </w:tcBorders>
            <w:shd w:val="clear" w:color="auto" w:fill="auto"/>
            <w:noWrap/>
            <w:vAlign w:val="center"/>
            <w:hideMark/>
          </w:tcPr>
          <w:p w14:paraId="1E2248E5"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21</w:t>
            </w:r>
          </w:p>
        </w:tc>
        <w:tc>
          <w:tcPr>
            <w:tcW w:w="850" w:type="dxa"/>
            <w:tcBorders>
              <w:top w:val="nil"/>
              <w:left w:val="nil"/>
              <w:bottom w:val="single" w:sz="4" w:space="0" w:color="auto"/>
              <w:right w:val="single" w:sz="4" w:space="0" w:color="auto"/>
            </w:tcBorders>
            <w:shd w:val="clear" w:color="auto" w:fill="auto"/>
            <w:noWrap/>
            <w:vAlign w:val="center"/>
            <w:hideMark/>
          </w:tcPr>
          <w:p w14:paraId="24534565" w14:textId="568DAB05"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-25 %</w:t>
            </w:r>
          </w:p>
        </w:tc>
        <w:tc>
          <w:tcPr>
            <w:tcW w:w="1070" w:type="dxa"/>
            <w:tcBorders>
              <w:top w:val="nil"/>
              <w:left w:val="nil"/>
              <w:bottom w:val="single" w:sz="4" w:space="0" w:color="auto"/>
              <w:right w:val="nil"/>
            </w:tcBorders>
            <w:shd w:val="clear" w:color="auto" w:fill="auto"/>
            <w:noWrap/>
            <w:vAlign w:val="center"/>
            <w:hideMark/>
          </w:tcPr>
          <w:p w14:paraId="299A031E"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83</w:t>
            </w:r>
          </w:p>
        </w:tc>
        <w:tc>
          <w:tcPr>
            <w:tcW w:w="992" w:type="dxa"/>
            <w:gridSpan w:val="2"/>
            <w:tcBorders>
              <w:top w:val="nil"/>
              <w:left w:val="nil"/>
              <w:bottom w:val="single" w:sz="4" w:space="0" w:color="auto"/>
              <w:right w:val="nil"/>
            </w:tcBorders>
            <w:shd w:val="clear" w:color="auto" w:fill="auto"/>
            <w:noWrap/>
            <w:vAlign w:val="center"/>
            <w:hideMark/>
          </w:tcPr>
          <w:p w14:paraId="14765E0F" w14:textId="16606336"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-30 %</w:t>
            </w:r>
          </w:p>
        </w:tc>
      </w:tr>
      <w:tr w:rsidR="00F15667" w:rsidRPr="00F15667" w14:paraId="1468A610"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3D6A3313" w14:textId="77777777" w:rsidR="00A2691D" w:rsidRPr="00F15667" w:rsidRDefault="00A2691D" w:rsidP="00C17A44">
            <w:pPr>
              <w:spacing w:line="240" w:lineRule="auto"/>
              <w:jc w:val="left"/>
              <w:rPr>
                <w:rFonts w:eastAsia="Times New Roman"/>
                <w:szCs w:val="24"/>
                <w:lang w:eastAsia="cs-CZ"/>
              </w:rPr>
            </w:pPr>
            <w:r w:rsidRPr="00F15667">
              <w:rPr>
                <w:rFonts w:eastAsia="Times New Roman"/>
                <w:szCs w:val="24"/>
                <w:lang w:eastAsia="cs-CZ"/>
              </w:rPr>
              <w:t>KS Brno</w:t>
            </w:r>
          </w:p>
        </w:tc>
        <w:tc>
          <w:tcPr>
            <w:tcW w:w="1064" w:type="dxa"/>
            <w:tcBorders>
              <w:top w:val="nil"/>
              <w:left w:val="nil"/>
              <w:bottom w:val="single" w:sz="4" w:space="0" w:color="auto"/>
              <w:right w:val="nil"/>
            </w:tcBorders>
            <w:shd w:val="clear" w:color="auto" w:fill="auto"/>
            <w:noWrap/>
            <w:vAlign w:val="center"/>
            <w:hideMark/>
          </w:tcPr>
          <w:p w14:paraId="2E362271"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51</w:t>
            </w:r>
          </w:p>
        </w:tc>
        <w:tc>
          <w:tcPr>
            <w:tcW w:w="850" w:type="dxa"/>
            <w:tcBorders>
              <w:top w:val="nil"/>
              <w:left w:val="nil"/>
              <w:bottom w:val="single" w:sz="4" w:space="0" w:color="auto"/>
              <w:right w:val="nil"/>
            </w:tcBorders>
            <w:shd w:val="clear" w:color="auto" w:fill="auto"/>
            <w:noWrap/>
            <w:vAlign w:val="center"/>
            <w:hideMark/>
          </w:tcPr>
          <w:p w14:paraId="6DD407EA" w14:textId="49565084"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993" w:type="dxa"/>
            <w:gridSpan w:val="2"/>
            <w:tcBorders>
              <w:top w:val="nil"/>
              <w:left w:val="single" w:sz="4" w:space="0" w:color="auto"/>
              <w:bottom w:val="single" w:sz="4" w:space="0" w:color="auto"/>
              <w:right w:val="nil"/>
            </w:tcBorders>
            <w:shd w:val="clear" w:color="auto" w:fill="auto"/>
            <w:noWrap/>
            <w:vAlign w:val="center"/>
            <w:hideMark/>
          </w:tcPr>
          <w:p w14:paraId="7A40850E"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32</w:t>
            </w:r>
          </w:p>
        </w:tc>
        <w:tc>
          <w:tcPr>
            <w:tcW w:w="850" w:type="dxa"/>
            <w:tcBorders>
              <w:top w:val="nil"/>
              <w:left w:val="nil"/>
              <w:bottom w:val="single" w:sz="4" w:space="0" w:color="auto"/>
              <w:right w:val="single" w:sz="4" w:space="0" w:color="auto"/>
            </w:tcBorders>
            <w:shd w:val="clear" w:color="auto" w:fill="auto"/>
            <w:noWrap/>
            <w:vAlign w:val="center"/>
            <w:hideMark/>
          </w:tcPr>
          <w:p w14:paraId="183D5D67" w14:textId="13E6CFD0"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1070" w:type="dxa"/>
            <w:tcBorders>
              <w:top w:val="nil"/>
              <w:left w:val="nil"/>
              <w:bottom w:val="single" w:sz="4" w:space="0" w:color="auto"/>
              <w:right w:val="nil"/>
            </w:tcBorders>
            <w:shd w:val="clear" w:color="auto" w:fill="auto"/>
            <w:noWrap/>
            <w:vAlign w:val="center"/>
            <w:hideMark/>
          </w:tcPr>
          <w:p w14:paraId="053500E1"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102</w:t>
            </w:r>
          </w:p>
        </w:tc>
        <w:tc>
          <w:tcPr>
            <w:tcW w:w="992" w:type="dxa"/>
            <w:gridSpan w:val="2"/>
            <w:tcBorders>
              <w:top w:val="nil"/>
              <w:left w:val="nil"/>
              <w:bottom w:val="single" w:sz="4" w:space="0" w:color="auto"/>
              <w:right w:val="nil"/>
            </w:tcBorders>
            <w:shd w:val="clear" w:color="auto" w:fill="auto"/>
            <w:noWrap/>
            <w:vAlign w:val="center"/>
            <w:hideMark/>
          </w:tcPr>
          <w:p w14:paraId="5D6F5DA7" w14:textId="0ACAD50E"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-14 %</w:t>
            </w:r>
          </w:p>
        </w:tc>
      </w:tr>
      <w:tr w:rsidR="00F15667" w:rsidRPr="00F15667" w14:paraId="5E63C47B" w14:textId="77777777" w:rsidTr="00C17A44">
        <w:trPr>
          <w:trHeight w:val="330"/>
        </w:trPr>
        <w:tc>
          <w:tcPr>
            <w:tcW w:w="2480" w:type="dxa"/>
            <w:tcBorders>
              <w:top w:val="nil"/>
              <w:left w:val="nil"/>
              <w:bottom w:val="double" w:sz="6" w:space="0" w:color="auto"/>
              <w:right w:val="nil"/>
            </w:tcBorders>
            <w:shd w:val="clear" w:color="auto" w:fill="auto"/>
            <w:noWrap/>
            <w:vAlign w:val="center"/>
            <w:hideMark/>
          </w:tcPr>
          <w:p w14:paraId="0DB777DA" w14:textId="77777777" w:rsidR="00A2691D" w:rsidRPr="00F15667" w:rsidRDefault="00A2691D" w:rsidP="00C17A44">
            <w:pPr>
              <w:spacing w:line="240" w:lineRule="auto"/>
              <w:jc w:val="left"/>
              <w:rPr>
                <w:rFonts w:eastAsia="Times New Roman"/>
                <w:szCs w:val="24"/>
                <w:lang w:eastAsia="cs-CZ"/>
              </w:rPr>
            </w:pPr>
            <w:r w:rsidRPr="00F15667">
              <w:rPr>
                <w:rFonts w:eastAsia="Times New Roman"/>
                <w:szCs w:val="24"/>
                <w:lang w:eastAsia="cs-CZ"/>
              </w:rPr>
              <w:t>KS Ostrava</w:t>
            </w:r>
          </w:p>
        </w:tc>
        <w:tc>
          <w:tcPr>
            <w:tcW w:w="1064" w:type="dxa"/>
            <w:tcBorders>
              <w:top w:val="nil"/>
              <w:left w:val="nil"/>
              <w:bottom w:val="double" w:sz="6" w:space="0" w:color="auto"/>
              <w:right w:val="nil"/>
            </w:tcBorders>
            <w:shd w:val="clear" w:color="auto" w:fill="auto"/>
            <w:noWrap/>
            <w:vAlign w:val="center"/>
            <w:hideMark/>
          </w:tcPr>
          <w:p w14:paraId="527D96F9"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44</w:t>
            </w:r>
          </w:p>
        </w:tc>
        <w:tc>
          <w:tcPr>
            <w:tcW w:w="850" w:type="dxa"/>
            <w:tcBorders>
              <w:top w:val="nil"/>
              <w:left w:val="nil"/>
              <w:bottom w:val="double" w:sz="6" w:space="0" w:color="auto"/>
              <w:right w:val="nil"/>
            </w:tcBorders>
            <w:shd w:val="clear" w:color="auto" w:fill="auto"/>
            <w:noWrap/>
            <w:vAlign w:val="center"/>
            <w:hideMark/>
          </w:tcPr>
          <w:p w14:paraId="3715B1D0" w14:textId="0F5BAECC"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993" w:type="dxa"/>
            <w:gridSpan w:val="2"/>
            <w:tcBorders>
              <w:top w:val="nil"/>
              <w:left w:val="single" w:sz="4" w:space="0" w:color="auto"/>
              <w:bottom w:val="double" w:sz="6" w:space="0" w:color="auto"/>
              <w:right w:val="nil"/>
            </w:tcBorders>
            <w:shd w:val="clear" w:color="auto" w:fill="auto"/>
            <w:noWrap/>
            <w:vAlign w:val="center"/>
            <w:hideMark/>
          </w:tcPr>
          <w:p w14:paraId="56534CDB"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30</w:t>
            </w:r>
          </w:p>
        </w:tc>
        <w:tc>
          <w:tcPr>
            <w:tcW w:w="850" w:type="dxa"/>
            <w:tcBorders>
              <w:top w:val="nil"/>
              <w:left w:val="nil"/>
              <w:bottom w:val="double" w:sz="6" w:space="0" w:color="auto"/>
              <w:right w:val="single" w:sz="4" w:space="0" w:color="auto"/>
            </w:tcBorders>
            <w:shd w:val="clear" w:color="auto" w:fill="auto"/>
            <w:noWrap/>
            <w:vAlign w:val="center"/>
            <w:hideMark/>
          </w:tcPr>
          <w:p w14:paraId="54B854A9" w14:textId="18BF0EBE"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1070" w:type="dxa"/>
            <w:tcBorders>
              <w:top w:val="nil"/>
              <w:left w:val="nil"/>
              <w:bottom w:val="double" w:sz="6" w:space="0" w:color="auto"/>
              <w:right w:val="nil"/>
            </w:tcBorders>
            <w:shd w:val="clear" w:color="auto" w:fill="auto"/>
            <w:noWrap/>
            <w:vAlign w:val="center"/>
            <w:hideMark/>
          </w:tcPr>
          <w:p w14:paraId="3E94AED6" w14:textId="77777777" w:rsidR="00A2691D" w:rsidRPr="00F15667" w:rsidRDefault="00A2691D" w:rsidP="00C17A44">
            <w:pPr>
              <w:spacing w:line="240" w:lineRule="auto"/>
              <w:jc w:val="center"/>
              <w:rPr>
                <w:rFonts w:eastAsia="Times New Roman"/>
                <w:szCs w:val="24"/>
                <w:lang w:eastAsia="cs-CZ"/>
              </w:rPr>
            </w:pPr>
            <w:r w:rsidRPr="00F15667">
              <w:rPr>
                <w:rFonts w:eastAsia="Times New Roman"/>
                <w:szCs w:val="24"/>
                <w:lang w:eastAsia="cs-CZ"/>
              </w:rPr>
              <w:t>85</w:t>
            </w:r>
          </w:p>
        </w:tc>
        <w:tc>
          <w:tcPr>
            <w:tcW w:w="992" w:type="dxa"/>
            <w:gridSpan w:val="2"/>
            <w:tcBorders>
              <w:top w:val="nil"/>
              <w:left w:val="nil"/>
              <w:bottom w:val="double" w:sz="6" w:space="0" w:color="auto"/>
              <w:right w:val="nil"/>
            </w:tcBorders>
            <w:shd w:val="clear" w:color="auto" w:fill="auto"/>
            <w:noWrap/>
            <w:vAlign w:val="center"/>
            <w:hideMark/>
          </w:tcPr>
          <w:p w14:paraId="6904209B" w14:textId="225C23AC" w:rsidR="00A2691D" w:rsidRPr="00F15667" w:rsidRDefault="00A2691D" w:rsidP="00C17A44">
            <w:pPr>
              <w:spacing w:line="240" w:lineRule="auto"/>
              <w:jc w:val="center"/>
              <w:rPr>
                <w:rFonts w:eastAsia="Times New Roman"/>
                <w:sz w:val="20"/>
                <w:szCs w:val="20"/>
                <w:lang w:eastAsia="cs-CZ"/>
              </w:rPr>
            </w:pPr>
            <w:r w:rsidRPr="00F15667">
              <w:rPr>
                <w:rFonts w:eastAsia="Times New Roman"/>
                <w:sz w:val="20"/>
                <w:szCs w:val="20"/>
                <w:lang w:eastAsia="cs-CZ"/>
              </w:rPr>
              <w:t>-17 %</w:t>
            </w:r>
          </w:p>
        </w:tc>
      </w:tr>
      <w:tr w:rsidR="00F15667" w:rsidRPr="00F15667" w14:paraId="6510D03F" w14:textId="77777777" w:rsidTr="00C17A44">
        <w:trPr>
          <w:trHeight w:val="345"/>
        </w:trPr>
        <w:tc>
          <w:tcPr>
            <w:tcW w:w="2480" w:type="dxa"/>
            <w:tcBorders>
              <w:top w:val="nil"/>
              <w:left w:val="nil"/>
              <w:bottom w:val="double" w:sz="6" w:space="0" w:color="auto"/>
              <w:right w:val="nil"/>
            </w:tcBorders>
            <w:shd w:val="clear" w:color="auto" w:fill="auto"/>
            <w:noWrap/>
            <w:vAlign w:val="center"/>
            <w:hideMark/>
          </w:tcPr>
          <w:p w14:paraId="34758B49" w14:textId="77777777" w:rsidR="00A2691D" w:rsidRPr="00F15667" w:rsidRDefault="00A2691D" w:rsidP="00C17A4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64" w:type="dxa"/>
            <w:tcBorders>
              <w:top w:val="nil"/>
              <w:left w:val="nil"/>
              <w:bottom w:val="double" w:sz="6" w:space="0" w:color="auto"/>
              <w:right w:val="nil"/>
            </w:tcBorders>
            <w:shd w:val="clear" w:color="auto" w:fill="auto"/>
            <w:noWrap/>
            <w:vAlign w:val="center"/>
            <w:hideMark/>
          </w:tcPr>
          <w:p w14:paraId="1C6D38E0" w14:textId="77777777" w:rsidR="00A2691D" w:rsidRPr="00F15667" w:rsidRDefault="00A2691D" w:rsidP="00C17A44">
            <w:pPr>
              <w:spacing w:line="240" w:lineRule="auto"/>
              <w:jc w:val="center"/>
              <w:rPr>
                <w:rFonts w:eastAsia="Times New Roman"/>
                <w:b/>
                <w:bCs/>
                <w:szCs w:val="24"/>
                <w:lang w:eastAsia="cs-CZ"/>
              </w:rPr>
            </w:pPr>
            <w:r w:rsidRPr="00F15667">
              <w:rPr>
                <w:rFonts w:eastAsia="Times New Roman"/>
                <w:b/>
                <w:bCs/>
                <w:szCs w:val="24"/>
                <w:lang w:eastAsia="cs-CZ"/>
              </w:rPr>
              <w:t>47</w:t>
            </w:r>
          </w:p>
        </w:tc>
        <w:tc>
          <w:tcPr>
            <w:tcW w:w="850" w:type="dxa"/>
            <w:tcBorders>
              <w:top w:val="nil"/>
              <w:left w:val="nil"/>
              <w:bottom w:val="double" w:sz="6" w:space="0" w:color="auto"/>
              <w:right w:val="nil"/>
            </w:tcBorders>
            <w:shd w:val="clear" w:color="auto" w:fill="auto"/>
            <w:noWrap/>
            <w:vAlign w:val="center"/>
            <w:hideMark/>
          </w:tcPr>
          <w:p w14:paraId="252BBC8C" w14:textId="4B4D8F97" w:rsidR="00A2691D" w:rsidRPr="00F15667" w:rsidRDefault="00A2691D"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-11 %</w:t>
            </w:r>
          </w:p>
        </w:tc>
        <w:tc>
          <w:tcPr>
            <w:tcW w:w="993" w:type="dxa"/>
            <w:gridSpan w:val="2"/>
            <w:tcBorders>
              <w:top w:val="nil"/>
              <w:left w:val="single" w:sz="4" w:space="0" w:color="auto"/>
              <w:bottom w:val="double" w:sz="6" w:space="0" w:color="auto"/>
              <w:right w:val="nil"/>
            </w:tcBorders>
            <w:shd w:val="clear" w:color="auto" w:fill="auto"/>
            <w:noWrap/>
            <w:vAlign w:val="center"/>
            <w:hideMark/>
          </w:tcPr>
          <w:p w14:paraId="19ED122A" w14:textId="77777777" w:rsidR="00A2691D" w:rsidRPr="00F15667" w:rsidRDefault="00A2691D" w:rsidP="00C17A44">
            <w:pPr>
              <w:spacing w:line="240" w:lineRule="auto"/>
              <w:jc w:val="center"/>
              <w:rPr>
                <w:rFonts w:eastAsia="Times New Roman"/>
                <w:b/>
                <w:bCs/>
                <w:szCs w:val="24"/>
                <w:lang w:eastAsia="cs-CZ"/>
              </w:rPr>
            </w:pPr>
            <w:r w:rsidRPr="00F15667">
              <w:rPr>
                <w:rFonts w:eastAsia="Times New Roman"/>
                <w:b/>
                <w:bCs/>
                <w:szCs w:val="24"/>
                <w:lang w:eastAsia="cs-CZ"/>
              </w:rPr>
              <w:t>29</w:t>
            </w:r>
          </w:p>
        </w:tc>
        <w:tc>
          <w:tcPr>
            <w:tcW w:w="850" w:type="dxa"/>
            <w:tcBorders>
              <w:top w:val="nil"/>
              <w:left w:val="nil"/>
              <w:bottom w:val="double" w:sz="6" w:space="0" w:color="auto"/>
              <w:right w:val="single" w:sz="4" w:space="0" w:color="auto"/>
            </w:tcBorders>
            <w:shd w:val="clear" w:color="auto" w:fill="auto"/>
            <w:noWrap/>
            <w:vAlign w:val="center"/>
            <w:hideMark/>
          </w:tcPr>
          <w:p w14:paraId="36DE9DCA" w14:textId="74A560FE" w:rsidR="00A2691D" w:rsidRPr="00F15667" w:rsidRDefault="00A2691D"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-12 %</w:t>
            </w:r>
          </w:p>
        </w:tc>
        <w:tc>
          <w:tcPr>
            <w:tcW w:w="1070" w:type="dxa"/>
            <w:tcBorders>
              <w:top w:val="nil"/>
              <w:left w:val="nil"/>
              <w:bottom w:val="double" w:sz="6" w:space="0" w:color="auto"/>
              <w:right w:val="nil"/>
            </w:tcBorders>
            <w:shd w:val="clear" w:color="auto" w:fill="auto"/>
            <w:noWrap/>
            <w:vAlign w:val="center"/>
            <w:hideMark/>
          </w:tcPr>
          <w:p w14:paraId="155821A2" w14:textId="77777777" w:rsidR="00A2691D" w:rsidRPr="00F15667" w:rsidRDefault="00A2691D" w:rsidP="00C17A44">
            <w:pPr>
              <w:spacing w:line="240" w:lineRule="auto"/>
              <w:jc w:val="center"/>
              <w:rPr>
                <w:rFonts w:eastAsia="Times New Roman"/>
                <w:b/>
                <w:bCs/>
                <w:szCs w:val="24"/>
                <w:lang w:eastAsia="cs-CZ"/>
              </w:rPr>
            </w:pPr>
            <w:r w:rsidRPr="00F15667">
              <w:rPr>
                <w:rFonts w:eastAsia="Times New Roman"/>
                <w:b/>
                <w:bCs/>
                <w:szCs w:val="24"/>
                <w:lang w:eastAsia="cs-CZ"/>
              </w:rPr>
              <w:t>98</w:t>
            </w:r>
          </w:p>
        </w:tc>
        <w:tc>
          <w:tcPr>
            <w:tcW w:w="992" w:type="dxa"/>
            <w:gridSpan w:val="2"/>
            <w:tcBorders>
              <w:top w:val="nil"/>
              <w:left w:val="nil"/>
              <w:bottom w:val="double" w:sz="6" w:space="0" w:color="auto"/>
              <w:right w:val="nil"/>
            </w:tcBorders>
            <w:shd w:val="clear" w:color="auto" w:fill="auto"/>
            <w:noWrap/>
            <w:vAlign w:val="center"/>
            <w:hideMark/>
          </w:tcPr>
          <w:p w14:paraId="710EEFC2" w14:textId="43D1500E" w:rsidR="00A2691D" w:rsidRPr="00F15667" w:rsidRDefault="00A2691D"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-13 %</w:t>
            </w:r>
          </w:p>
        </w:tc>
      </w:tr>
      <w:tr w:rsidR="00F15667" w:rsidRPr="00F15667" w14:paraId="3E3AF999" w14:textId="77777777" w:rsidTr="00C17A44">
        <w:trPr>
          <w:trHeight w:val="330"/>
        </w:trPr>
        <w:tc>
          <w:tcPr>
            <w:tcW w:w="2480" w:type="dxa"/>
            <w:tcBorders>
              <w:top w:val="nil"/>
              <w:left w:val="nil"/>
              <w:bottom w:val="nil"/>
              <w:right w:val="nil"/>
            </w:tcBorders>
            <w:shd w:val="clear" w:color="auto" w:fill="auto"/>
            <w:noWrap/>
            <w:vAlign w:val="center"/>
            <w:hideMark/>
          </w:tcPr>
          <w:p w14:paraId="5111FAF2" w14:textId="77777777" w:rsidR="00A2691D" w:rsidRPr="00F15667" w:rsidRDefault="00A2691D" w:rsidP="00C17A44">
            <w:pPr>
              <w:spacing w:line="240" w:lineRule="auto"/>
              <w:jc w:val="center"/>
              <w:rPr>
                <w:rFonts w:eastAsia="Times New Roman"/>
                <w:b/>
                <w:bCs/>
                <w:sz w:val="20"/>
                <w:szCs w:val="20"/>
                <w:lang w:eastAsia="cs-CZ"/>
              </w:rPr>
            </w:pPr>
          </w:p>
        </w:tc>
        <w:tc>
          <w:tcPr>
            <w:tcW w:w="1064" w:type="dxa"/>
            <w:tcBorders>
              <w:top w:val="nil"/>
              <w:left w:val="nil"/>
              <w:bottom w:val="nil"/>
              <w:right w:val="nil"/>
            </w:tcBorders>
            <w:shd w:val="clear" w:color="auto" w:fill="auto"/>
            <w:noWrap/>
            <w:vAlign w:val="center"/>
            <w:hideMark/>
          </w:tcPr>
          <w:p w14:paraId="39D4EBA2" w14:textId="77777777" w:rsidR="00A2691D" w:rsidRPr="00F15667" w:rsidRDefault="00A2691D" w:rsidP="00C17A44">
            <w:pPr>
              <w:spacing w:line="240" w:lineRule="auto"/>
              <w:jc w:val="center"/>
              <w:rPr>
                <w:rFonts w:ascii="Times New Roman" w:eastAsia="Times New Roman" w:hAnsi="Times New Roman"/>
                <w:sz w:val="20"/>
                <w:szCs w:val="20"/>
                <w:lang w:eastAsia="cs-CZ"/>
              </w:rPr>
            </w:pPr>
          </w:p>
        </w:tc>
        <w:tc>
          <w:tcPr>
            <w:tcW w:w="850" w:type="dxa"/>
            <w:tcBorders>
              <w:top w:val="nil"/>
              <w:left w:val="nil"/>
              <w:bottom w:val="nil"/>
              <w:right w:val="nil"/>
            </w:tcBorders>
            <w:shd w:val="clear" w:color="auto" w:fill="auto"/>
            <w:noWrap/>
            <w:vAlign w:val="center"/>
            <w:hideMark/>
          </w:tcPr>
          <w:p w14:paraId="386077E6" w14:textId="77777777" w:rsidR="00A2691D" w:rsidRPr="00F15667" w:rsidRDefault="00A2691D" w:rsidP="00C17A44">
            <w:pPr>
              <w:spacing w:line="240" w:lineRule="auto"/>
              <w:jc w:val="center"/>
              <w:rPr>
                <w:rFonts w:ascii="Times New Roman" w:eastAsia="Times New Roman" w:hAnsi="Times New Roman"/>
                <w:sz w:val="20"/>
                <w:szCs w:val="20"/>
                <w:lang w:eastAsia="cs-CZ"/>
              </w:rPr>
            </w:pPr>
          </w:p>
        </w:tc>
        <w:tc>
          <w:tcPr>
            <w:tcW w:w="993" w:type="dxa"/>
            <w:gridSpan w:val="2"/>
            <w:tcBorders>
              <w:top w:val="nil"/>
              <w:left w:val="nil"/>
              <w:bottom w:val="nil"/>
              <w:right w:val="nil"/>
            </w:tcBorders>
            <w:shd w:val="clear" w:color="auto" w:fill="auto"/>
            <w:noWrap/>
            <w:vAlign w:val="center"/>
            <w:hideMark/>
          </w:tcPr>
          <w:p w14:paraId="67E4886C" w14:textId="77777777" w:rsidR="00A2691D" w:rsidRPr="00F15667" w:rsidRDefault="00A2691D" w:rsidP="00C17A44">
            <w:pPr>
              <w:spacing w:line="240" w:lineRule="auto"/>
              <w:jc w:val="center"/>
              <w:rPr>
                <w:rFonts w:ascii="Times New Roman" w:eastAsia="Times New Roman" w:hAnsi="Times New Roman"/>
                <w:sz w:val="20"/>
                <w:szCs w:val="20"/>
                <w:lang w:eastAsia="cs-CZ"/>
              </w:rPr>
            </w:pPr>
          </w:p>
        </w:tc>
        <w:tc>
          <w:tcPr>
            <w:tcW w:w="850" w:type="dxa"/>
            <w:tcBorders>
              <w:top w:val="nil"/>
              <w:left w:val="nil"/>
              <w:bottom w:val="nil"/>
              <w:right w:val="nil"/>
            </w:tcBorders>
            <w:shd w:val="clear" w:color="auto" w:fill="auto"/>
            <w:noWrap/>
            <w:vAlign w:val="center"/>
            <w:hideMark/>
          </w:tcPr>
          <w:p w14:paraId="45527738" w14:textId="77777777" w:rsidR="00A2691D" w:rsidRPr="00F15667" w:rsidRDefault="00A2691D" w:rsidP="00C17A44">
            <w:pPr>
              <w:spacing w:line="240" w:lineRule="auto"/>
              <w:jc w:val="center"/>
              <w:rPr>
                <w:rFonts w:ascii="Times New Roman" w:eastAsia="Times New Roman" w:hAnsi="Times New Roman"/>
                <w:sz w:val="20"/>
                <w:szCs w:val="20"/>
                <w:lang w:eastAsia="cs-CZ"/>
              </w:rPr>
            </w:pPr>
          </w:p>
        </w:tc>
        <w:tc>
          <w:tcPr>
            <w:tcW w:w="1070" w:type="dxa"/>
            <w:tcBorders>
              <w:top w:val="nil"/>
              <w:left w:val="nil"/>
              <w:bottom w:val="nil"/>
              <w:right w:val="nil"/>
            </w:tcBorders>
            <w:shd w:val="clear" w:color="auto" w:fill="auto"/>
            <w:noWrap/>
            <w:vAlign w:val="center"/>
            <w:hideMark/>
          </w:tcPr>
          <w:p w14:paraId="07B46CF9" w14:textId="77777777" w:rsidR="00A2691D" w:rsidRPr="00F15667" w:rsidRDefault="00A2691D" w:rsidP="00C17A44">
            <w:pPr>
              <w:spacing w:line="240" w:lineRule="auto"/>
              <w:jc w:val="center"/>
              <w:rPr>
                <w:rFonts w:ascii="Times New Roman" w:eastAsia="Times New Roman" w:hAnsi="Times New Roman"/>
                <w:sz w:val="20"/>
                <w:szCs w:val="20"/>
                <w:lang w:eastAsia="cs-CZ"/>
              </w:rPr>
            </w:pPr>
          </w:p>
        </w:tc>
        <w:tc>
          <w:tcPr>
            <w:tcW w:w="992" w:type="dxa"/>
            <w:gridSpan w:val="2"/>
            <w:tcBorders>
              <w:top w:val="nil"/>
              <w:left w:val="nil"/>
              <w:bottom w:val="nil"/>
              <w:right w:val="nil"/>
            </w:tcBorders>
            <w:shd w:val="clear" w:color="auto" w:fill="auto"/>
            <w:noWrap/>
            <w:vAlign w:val="center"/>
            <w:hideMark/>
          </w:tcPr>
          <w:p w14:paraId="2FC546D4" w14:textId="77777777" w:rsidR="00A2691D" w:rsidRPr="00F15667" w:rsidRDefault="00A2691D" w:rsidP="00C17A44">
            <w:pPr>
              <w:spacing w:line="240" w:lineRule="auto"/>
              <w:jc w:val="center"/>
              <w:rPr>
                <w:rFonts w:ascii="Times New Roman" w:eastAsia="Times New Roman" w:hAnsi="Times New Roman"/>
                <w:sz w:val="20"/>
                <w:szCs w:val="20"/>
                <w:lang w:eastAsia="cs-CZ"/>
              </w:rPr>
            </w:pPr>
          </w:p>
        </w:tc>
      </w:tr>
    </w:tbl>
    <w:p w14:paraId="0D7402A8" w14:textId="5F3A0376" w:rsidR="008430BD" w:rsidRPr="00F15667" w:rsidRDefault="008430BD" w:rsidP="008430BD">
      <w:pPr>
        <w:pStyle w:val="Nadpis3"/>
        <w:numPr>
          <w:ilvl w:val="2"/>
          <w:numId w:val="1"/>
        </w:numPr>
        <w:rPr>
          <w:color w:val="auto"/>
        </w:rPr>
      </w:pPr>
      <w:bookmarkStart w:id="942" w:name="_Toc43903082"/>
      <w:bookmarkStart w:id="943" w:name="_Toc106092781"/>
      <w:bookmarkStart w:id="944" w:name="_Toc144104394"/>
      <w:r w:rsidRPr="00F15667">
        <w:rPr>
          <w:color w:val="auto"/>
        </w:rPr>
        <w:t>Vyřizování věcí</w:t>
      </w:r>
      <w:bookmarkEnd w:id="942"/>
      <w:bookmarkEnd w:id="943"/>
      <w:bookmarkEnd w:id="944"/>
    </w:p>
    <w:p w14:paraId="55381D25" w14:textId="038CAE94" w:rsidR="00A2691D" w:rsidRPr="00F15667" w:rsidRDefault="00A2691D" w:rsidP="00A2691D">
      <w:pPr>
        <w:pStyle w:val="Podnadpis"/>
        <w:numPr>
          <w:ilvl w:val="0"/>
          <w:numId w:val="0"/>
        </w:numPr>
        <w:rPr>
          <w:color w:val="auto"/>
        </w:rPr>
      </w:pPr>
      <w:bookmarkStart w:id="945" w:name="_Toc515871405"/>
      <w:bookmarkStart w:id="946" w:name="_Toc11135136"/>
      <w:bookmarkStart w:id="947" w:name="_Toc43841455"/>
      <w:bookmarkStart w:id="948" w:name="_Toc75952257"/>
      <w:bookmarkStart w:id="949" w:name="_Toc106106714"/>
      <w:bookmarkStart w:id="950" w:name="_Toc109802038"/>
      <w:bookmarkStart w:id="951" w:name="_Toc144104188"/>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76</w:t>
      </w:r>
      <w:r w:rsidR="009A10E2" w:rsidRPr="00F15667">
        <w:rPr>
          <w:color w:val="auto"/>
        </w:rPr>
        <w:fldChar w:fldCharType="end"/>
      </w:r>
      <w:r w:rsidRPr="00F15667">
        <w:rPr>
          <w:color w:val="auto"/>
        </w:rPr>
        <w:t>: KS – vyřizování insolvenčních věcí v letech 2008–20</w:t>
      </w:r>
      <w:bookmarkEnd w:id="945"/>
      <w:bookmarkEnd w:id="946"/>
      <w:bookmarkEnd w:id="947"/>
      <w:r w:rsidRPr="00F15667">
        <w:rPr>
          <w:color w:val="auto"/>
        </w:rPr>
        <w:t>2</w:t>
      </w:r>
      <w:bookmarkEnd w:id="948"/>
      <w:bookmarkEnd w:id="949"/>
      <w:bookmarkEnd w:id="950"/>
      <w:r w:rsidRPr="00F15667">
        <w:rPr>
          <w:color w:val="auto"/>
        </w:rPr>
        <w:t>2</w:t>
      </w:r>
      <w:bookmarkEnd w:id="951"/>
    </w:p>
    <w:p w14:paraId="790468E5" w14:textId="3F21B974" w:rsidR="00C8638C" w:rsidRPr="00F15667" w:rsidRDefault="00C8638C" w:rsidP="00C17A44">
      <w:pPr>
        <w:pStyle w:val="OdstavecASR"/>
      </w:pPr>
      <w:r w:rsidRPr="00F15667">
        <w:rPr>
          <w:noProof/>
          <w:lang w:eastAsia="cs-CZ"/>
        </w:rPr>
        <w:drawing>
          <wp:inline distT="0" distB="0" distL="0" distR="0" wp14:anchorId="6AC4BF89" wp14:editId="1E8A6A6E">
            <wp:extent cx="5029200" cy="3657600"/>
            <wp:effectExtent l="0" t="0" r="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923DEB5" w14:textId="3C3FDCBF" w:rsidR="00C8638C" w:rsidRPr="00F15667" w:rsidRDefault="00C8638C" w:rsidP="00C8638C">
      <w:r w:rsidRPr="00F15667">
        <w:t>Sledovat vyřizování věcí je složitější, než je tomu u ostatních agend. Nápad je u této agendy principiálně stejný. Jedná se o jeden podaný insolvenční návrh nebo návrh na moratorium (viz seznam pojmů v příloze) před zahájením insolvenčního řízení (viz ust. § 115 a násl. insolvenčního zákona). „Vyřízené věci“ v této podkapitole se nicméně vztahují k již zcela vyřízeným věcem. Jedná se tedy o věci, kde již skončilo celé insolvenční řízení, včetně případů, kde bylo o insolvenčním návrhu rozhodnuto jinak než rozhodnutím o úpadku. Nevyřízené věci po rozhodnutí o úpadku jsou věci, kde již bylo rozhodnuto o úpadku, případně o způsobu jeho řešení, a úpadek dlužníka je realizován určeným způsobem.</w:t>
      </w:r>
    </w:p>
    <w:p w14:paraId="5ABC508D" w14:textId="5A28E55E" w:rsidR="00C8638C" w:rsidRPr="00F15667" w:rsidRDefault="00C8638C" w:rsidP="00C8638C">
      <w:pPr>
        <w:pStyle w:val="Podnadpis"/>
        <w:rPr>
          <w:color w:val="auto"/>
        </w:rPr>
      </w:pPr>
      <w:bookmarkStart w:id="952" w:name="_Toc11133265"/>
      <w:bookmarkStart w:id="953" w:name="_Toc43931244"/>
      <w:bookmarkStart w:id="954" w:name="_Toc75952377"/>
      <w:bookmarkStart w:id="955" w:name="_Toc106106830"/>
      <w:bookmarkStart w:id="956" w:name="_Toc109802153"/>
      <w:bookmarkStart w:id="957" w:name="_Toc144104312"/>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73</w:t>
      </w:r>
      <w:r w:rsidRPr="00F15667">
        <w:rPr>
          <w:noProof/>
          <w:color w:val="auto"/>
        </w:rPr>
        <w:fldChar w:fldCharType="end"/>
      </w:r>
      <w:r w:rsidRPr="00F15667">
        <w:rPr>
          <w:color w:val="auto"/>
        </w:rPr>
        <w:t>: KS – vyřizování insolvenčních věcí dle soudů</w:t>
      </w:r>
      <w:bookmarkEnd w:id="952"/>
      <w:bookmarkEnd w:id="953"/>
      <w:bookmarkEnd w:id="954"/>
      <w:bookmarkEnd w:id="955"/>
      <w:bookmarkEnd w:id="956"/>
      <w:bookmarkEnd w:id="957"/>
    </w:p>
    <w:tbl>
      <w:tblPr>
        <w:tblW w:w="9081" w:type="dxa"/>
        <w:tblCellMar>
          <w:left w:w="70" w:type="dxa"/>
          <w:right w:w="70" w:type="dxa"/>
        </w:tblCellMar>
        <w:tblLook w:val="04A0" w:firstRow="1" w:lastRow="0" w:firstColumn="1" w:lastColumn="0" w:noHBand="0" w:noVBand="1"/>
      </w:tblPr>
      <w:tblGrid>
        <w:gridCol w:w="1980"/>
        <w:gridCol w:w="997"/>
        <w:gridCol w:w="851"/>
        <w:gridCol w:w="993"/>
        <w:gridCol w:w="708"/>
        <w:gridCol w:w="988"/>
        <w:gridCol w:w="770"/>
        <w:gridCol w:w="1072"/>
        <w:gridCol w:w="709"/>
        <w:gridCol w:w="13"/>
      </w:tblGrid>
      <w:tr w:rsidR="00F15667" w:rsidRPr="00F15667" w14:paraId="45DAF7F5" w14:textId="77777777" w:rsidTr="00C17A44">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3860E05A" w14:textId="1EE3EF2C" w:rsidR="00C8638C" w:rsidRPr="00F15667" w:rsidRDefault="00C17A44" w:rsidP="00C17A44">
            <w:pPr>
              <w:spacing w:line="240" w:lineRule="auto"/>
              <w:jc w:val="center"/>
              <w:rPr>
                <w:rFonts w:eastAsia="Times New Roman"/>
                <w:b/>
                <w:bCs/>
                <w:szCs w:val="24"/>
                <w:lang w:eastAsia="cs-CZ"/>
              </w:rPr>
            </w:pPr>
            <w:r>
              <w:rPr>
                <w:rFonts w:eastAsia="Times New Roman"/>
                <w:b/>
                <w:bCs/>
                <w:szCs w:val="24"/>
                <w:lang w:eastAsia="cs-CZ"/>
              </w:rPr>
              <w:t>S</w:t>
            </w:r>
            <w:r w:rsidR="00C8638C" w:rsidRPr="00F15667">
              <w:rPr>
                <w:rFonts w:eastAsia="Times New Roman"/>
                <w:b/>
                <w:bCs/>
                <w:szCs w:val="24"/>
                <w:lang w:eastAsia="cs-CZ"/>
              </w:rPr>
              <w:t>oud</w:t>
            </w:r>
          </w:p>
        </w:tc>
        <w:tc>
          <w:tcPr>
            <w:tcW w:w="7101" w:type="dxa"/>
            <w:gridSpan w:val="9"/>
            <w:tcBorders>
              <w:top w:val="double" w:sz="6" w:space="0" w:color="auto"/>
              <w:left w:val="nil"/>
              <w:bottom w:val="nil"/>
              <w:right w:val="nil"/>
            </w:tcBorders>
            <w:shd w:val="clear" w:color="auto" w:fill="auto"/>
            <w:noWrap/>
            <w:vAlign w:val="center"/>
            <w:hideMark/>
          </w:tcPr>
          <w:p w14:paraId="778BB63B" w14:textId="77777777" w:rsidR="00C8638C" w:rsidRPr="00F15667" w:rsidRDefault="00C8638C" w:rsidP="00C17A44">
            <w:pPr>
              <w:spacing w:line="240" w:lineRule="auto"/>
              <w:jc w:val="center"/>
              <w:rPr>
                <w:rFonts w:eastAsia="Times New Roman"/>
                <w:b/>
                <w:bCs/>
                <w:szCs w:val="24"/>
                <w:lang w:eastAsia="cs-CZ"/>
              </w:rPr>
            </w:pPr>
            <w:r w:rsidRPr="00F15667">
              <w:rPr>
                <w:rFonts w:eastAsia="Times New Roman"/>
                <w:b/>
                <w:bCs/>
                <w:szCs w:val="24"/>
                <w:lang w:eastAsia="cs-CZ"/>
              </w:rPr>
              <w:t>Počet věcí</w:t>
            </w:r>
          </w:p>
        </w:tc>
      </w:tr>
      <w:tr w:rsidR="00F15667" w:rsidRPr="00F15667" w14:paraId="6660E02B" w14:textId="77777777" w:rsidTr="00C17A44">
        <w:trPr>
          <w:gridAfter w:val="1"/>
          <w:wAfter w:w="13" w:type="dxa"/>
          <w:trHeight w:val="960"/>
        </w:trPr>
        <w:tc>
          <w:tcPr>
            <w:tcW w:w="1980" w:type="dxa"/>
            <w:vMerge/>
            <w:tcBorders>
              <w:top w:val="double" w:sz="6" w:space="0" w:color="auto"/>
              <w:left w:val="nil"/>
              <w:bottom w:val="double" w:sz="6" w:space="0" w:color="000000"/>
              <w:right w:val="nil"/>
            </w:tcBorders>
            <w:vAlign w:val="center"/>
            <w:hideMark/>
          </w:tcPr>
          <w:p w14:paraId="7C675C06" w14:textId="77777777" w:rsidR="00C8638C" w:rsidRPr="00F15667" w:rsidRDefault="00C8638C" w:rsidP="00C17A44">
            <w:pPr>
              <w:spacing w:line="240" w:lineRule="auto"/>
              <w:jc w:val="center"/>
              <w:rPr>
                <w:rFonts w:eastAsia="Times New Roman"/>
                <w:b/>
                <w:bCs/>
                <w:szCs w:val="24"/>
                <w:lang w:eastAsia="cs-CZ"/>
              </w:rPr>
            </w:pPr>
          </w:p>
        </w:tc>
        <w:tc>
          <w:tcPr>
            <w:tcW w:w="1848" w:type="dxa"/>
            <w:gridSpan w:val="2"/>
            <w:tcBorders>
              <w:top w:val="nil"/>
              <w:left w:val="nil"/>
              <w:bottom w:val="double" w:sz="6" w:space="0" w:color="auto"/>
              <w:right w:val="nil"/>
            </w:tcBorders>
            <w:shd w:val="clear" w:color="auto" w:fill="auto"/>
            <w:vAlign w:val="center"/>
            <w:hideMark/>
          </w:tcPr>
          <w:p w14:paraId="24425335" w14:textId="77777777" w:rsidR="00C8638C" w:rsidRPr="00F15667" w:rsidRDefault="00C8638C" w:rsidP="00C17A44">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70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F7EEA01" w14:textId="77777777" w:rsidR="00C8638C" w:rsidRPr="00F15667" w:rsidRDefault="00C8638C" w:rsidP="00C17A44">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758" w:type="dxa"/>
            <w:gridSpan w:val="2"/>
            <w:tcBorders>
              <w:top w:val="nil"/>
              <w:left w:val="nil"/>
              <w:bottom w:val="double" w:sz="6" w:space="0" w:color="auto"/>
              <w:right w:val="single" w:sz="4" w:space="0" w:color="000000"/>
            </w:tcBorders>
            <w:shd w:val="clear" w:color="auto" w:fill="auto"/>
            <w:vAlign w:val="center"/>
            <w:hideMark/>
          </w:tcPr>
          <w:p w14:paraId="62E3E25B" w14:textId="77777777" w:rsidR="00C8638C" w:rsidRPr="00F15667" w:rsidRDefault="00C8638C" w:rsidP="00C17A44">
            <w:pPr>
              <w:spacing w:line="240" w:lineRule="auto"/>
              <w:jc w:val="center"/>
              <w:rPr>
                <w:rFonts w:eastAsia="Times New Roman"/>
                <w:b/>
                <w:bCs/>
                <w:szCs w:val="24"/>
                <w:lang w:eastAsia="cs-CZ"/>
              </w:rPr>
            </w:pPr>
            <w:r w:rsidRPr="00F15667">
              <w:rPr>
                <w:rFonts w:eastAsia="Times New Roman"/>
                <w:b/>
                <w:bCs/>
                <w:szCs w:val="24"/>
                <w:lang w:eastAsia="cs-CZ"/>
              </w:rPr>
              <w:t>Nevyřízeno před rozh. o úpadku</w:t>
            </w:r>
          </w:p>
        </w:tc>
        <w:tc>
          <w:tcPr>
            <w:tcW w:w="1781" w:type="dxa"/>
            <w:gridSpan w:val="2"/>
            <w:tcBorders>
              <w:top w:val="nil"/>
              <w:left w:val="nil"/>
              <w:bottom w:val="double" w:sz="6" w:space="0" w:color="auto"/>
              <w:right w:val="nil"/>
            </w:tcBorders>
            <w:shd w:val="clear" w:color="auto" w:fill="auto"/>
            <w:vAlign w:val="center"/>
            <w:hideMark/>
          </w:tcPr>
          <w:p w14:paraId="5B6FAD86" w14:textId="77777777" w:rsidR="00C8638C" w:rsidRPr="00F15667" w:rsidRDefault="00C8638C" w:rsidP="00C17A44">
            <w:pPr>
              <w:spacing w:line="240" w:lineRule="auto"/>
              <w:jc w:val="center"/>
              <w:rPr>
                <w:rFonts w:eastAsia="Times New Roman"/>
                <w:b/>
                <w:bCs/>
                <w:szCs w:val="24"/>
                <w:lang w:eastAsia="cs-CZ"/>
              </w:rPr>
            </w:pPr>
            <w:r w:rsidRPr="00F15667">
              <w:rPr>
                <w:rFonts w:eastAsia="Times New Roman"/>
                <w:b/>
                <w:bCs/>
                <w:szCs w:val="24"/>
                <w:lang w:eastAsia="cs-CZ"/>
              </w:rPr>
              <w:t>Nevyřízeno po rozh. o úpadku</w:t>
            </w:r>
          </w:p>
        </w:tc>
      </w:tr>
      <w:tr w:rsidR="00F15667" w:rsidRPr="00F15667" w14:paraId="22ADC269" w14:textId="77777777" w:rsidTr="00C17A44">
        <w:trPr>
          <w:gridAfter w:val="1"/>
          <w:wAfter w:w="13" w:type="dxa"/>
          <w:trHeight w:val="330"/>
        </w:trPr>
        <w:tc>
          <w:tcPr>
            <w:tcW w:w="1980" w:type="dxa"/>
            <w:tcBorders>
              <w:top w:val="single" w:sz="4" w:space="0" w:color="auto"/>
              <w:left w:val="nil"/>
              <w:bottom w:val="single" w:sz="4" w:space="0" w:color="auto"/>
              <w:right w:val="nil"/>
            </w:tcBorders>
            <w:shd w:val="clear" w:color="auto" w:fill="auto"/>
            <w:noWrap/>
            <w:vAlign w:val="center"/>
            <w:hideMark/>
          </w:tcPr>
          <w:p w14:paraId="2D84C071" w14:textId="77777777" w:rsidR="00C8638C" w:rsidRPr="00F15667" w:rsidRDefault="00C8638C" w:rsidP="00C17A44">
            <w:pPr>
              <w:spacing w:line="240" w:lineRule="auto"/>
              <w:jc w:val="left"/>
              <w:rPr>
                <w:rFonts w:eastAsia="Times New Roman"/>
                <w:szCs w:val="24"/>
                <w:lang w:eastAsia="cs-CZ"/>
              </w:rPr>
            </w:pPr>
            <w:r w:rsidRPr="00F15667">
              <w:rPr>
                <w:rFonts w:eastAsia="Times New Roman"/>
                <w:szCs w:val="24"/>
                <w:lang w:eastAsia="cs-CZ"/>
              </w:rPr>
              <w:t>MS Praha</w:t>
            </w:r>
          </w:p>
        </w:tc>
        <w:tc>
          <w:tcPr>
            <w:tcW w:w="997" w:type="dxa"/>
            <w:tcBorders>
              <w:top w:val="single" w:sz="4" w:space="0" w:color="auto"/>
              <w:left w:val="nil"/>
              <w:bottom w:val="single" w:sz="4" w:space="0" w:color="auto"/>
              <w:right w:val="nil"/>
            </w:tcBorders>
            <w:shd w:val="clear" w:color="auto" w:fill="auto"/>
            <w:noWrap/>
            <w:vAlign w:val="center"/>
            <w:hideMark/>
          </w:tcPr>
          <w:p w14:paraId="58D77B54"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2 273</w:t>
            </w:r>
          </w:p>
        </w:tc>
        <w:tc>
          <w:tcPr>
            <w:tcW w:w="851" w:type="dxa"/>
            <w:tcBorders>
              <w:top w:val="single" w:sz="4" w:space="0" w:color="auto"/>
              <w:left w:val="nil"/>
              <w:bottom w:val="single" w:sz="4" w:space="0" w:color="auto"/>
              <w:right w:val="nil"/>
            </w:tcBorders>
            <w:shd w:val="clear" w:color="auto" w:fill="auto"/>
            <w:noWrap/>
            <w:vAlign w:val="center"/>
            <w:hideMark/>
          </w:tcPr>
          <w:p w14:paraId="5DA31BE8" w14:textId="295B353D"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993" w:type="dxa"/>
            <w:tcBorders>
              <w:top w:val="single" w:sz="4" w:space="0" w:color="auto"/>
              <w:left w:val="single" w:sz="4" w:space="0" w:color="auto"/>
              <w:bottom w:val="single" w:sz="4" w:space="0" w:color="auto"/>
              <w:right w:val="nil"/>
            </w:tcBorders>
            <w:shd w:val="clear" w:color="auto" w:fill="auto"/>
            <w:noWrap/>
            <w:vAlign w:val="center"/>
            <w:hideMark/>
          </w:tcPr>
          <w:p w14:paraId="55727DAE"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2 275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44C535B" w14:textId="2B163F3A"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988" w:type="dxa"/>
            <w:tcBorders>
              <w:top w:val="single" w:sz="4" w:space="0" w:color="auto"/>
              <w:left w:val="nil"/>
              <w:bottom w:val="single" w:sz="4" w:space="0" w:color="auto"/>
              <w:right w:val="nil"/>
            </w:tcBorders>
            <w:shd w:val="clear" w:color="auto" w:fill="auto"/>
            <w:noWrap/>
            <w:vAlign w:val="center"/>
            <w:hideMark/>
          </w:tcPr>
          <w:p w14:paraId="1F26870D"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242</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14:paraId="2417D205" w14:textId="0F84544A"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-26 %</w:t>
            </w:r>
          </w:p>
        </w:tc>
        <w:tc>
          <w:tcPr>
            <w:tcW w:w="1072" w:type="dxa"/>
            <w:tcBorders>
              <w:top w:val="single" w:sz="4" w:space="0" w:color="auto"/>
              <w:left w:val="nil"/>
              <w:bottom w:val="single" w:sz="4" w:space="0" w:color="auto"/>
              <w:right w:val="nil"/>
            </w:tcBorders>
            <w:shd w:val="clear" w:color="auto" w:fill="auto"/>
            <w:noWrap/>
            <w:vAlign w:val="center"/>
            <w:hideMark/>
          </w:tcPr>
          <w:p w14:paraId="40E0CA8E"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9 225</w:t>
            </w:r>
          </w:p>
        </w:tc>
        <w:tc>
          <w:tcPr>
            <w:tcW w:w="709" w:type="dxa"/>
            <w:tcBorders>
              <w:top w:val="single" w:sz="4" w:space="0" w:color="auto"/>
              <w:left w:val="nil"/>
              <w:bottom w:val="single" w:sz="4" w:space="0" w:color="auto"/>
              <w:right w:val="nil"/>
            </w:tcBorders>
            <w:shd w:val="clear" w:color="auto" w:fill="auto"/>
            <w:noWrap/>
            <w:vAlign w:val="center"/>
            <w:hideMark/>
          </w:tcPr>
          <w:p w14:paraId="0AC78108" w14:textId="62A2418B"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+1 %</w:t>
            </w:r>
          </w:p>
        </w:tc>
      </w:tr>
      <w:tr w:rsidR="00F15667" w:rsidRPr="00F15667" w14:paraId="1407AF42" w14:textId="77777777" w:rsidTr="00C17A44">
        <w:trPr>
          <w:gridAfter w:val="1"/>
          <w:wAfter w:w="13" w:type="dxa"/>
          <w:trHeight w:val="315"/>
        </w:trPr>
        <w:tc>
          <w:tcPr>
            <w:tcW w:w="1980" w:type="dxa"/>
            <w:tcBorders>
              <w:top w:val="nil"/>
              <w:left w:val="nil"/>
              <w:bottom w:val="single" w:sz="4" w:space="0" w:color="auto"/>
              <w:right w:val="nil"/>
            </w:tcBorders>
            <w:shd w:val="clear" w:color="auto" w:fill="auto"/>
            <w:noWrap/>
            <w:vAlign w:val="center"/>
            <w:hideMark/>
          </w:tcPr>
          <w:p w14:paraId="7F07F9F3" w14:textId="77777777" w:rsidR="00C8638C" w:rsidRPr="00F15667" w:rsidRDefault="00C8638C" w:rsidP="00C17A44">
            <w:pPr>
              <w:spacing w:line="240" w:lineRule="auto"/>
              <w:jc w:val="left"/>
              <w:rPr>
                <w:rFonts w:eastAsia="Times New Roman"/>
                <w:szCs w:val="24"/>
                <w:lang w:eastAsia="cs-CZ"/>
              </w:rPr>
            </w:pPr>
            <w:r w:rsidRPr="00F15667">
              <w:rPr>
                <w:rFonts w:eastAsia="Times New Roman"/>
                <w:szCs w:val="24"/>
                <w:lang w:eastAsia="cs-CZ"/>
              </w:rPr>
              <w:t>KS Praha</w:t>
            </w:r>
          </w:p>
        </w:tc>
        <w:tc>
          <w:tcPr>
            <w:tcW w:w="997" w:type="dxa"/>
            <w:tcBorders>
              <w:top w:val="nil"/>
              <w:left w:val="nil"/>
              <w:bottom w:val="single" w:sz="4" w:space="0" w:color="auto"/>
              <w:right w:val="nil"/>
            </w:tcBorders>
            <w:shd w:val="clear" w:color="auto" w:fill="auto"/>
            <w:noWrap/>
            <w:vAlign w:val="center"/>
            <w:hideMark/>
          </w:tcPr>
          <w:p w14:paraId="700CEE3D"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2 429</w:t>
            </w:r>
          </w:p>
        </w:tc>
        <w:tc>
          <w:tcPr>
            <w:tcW w:w="851" w:type="dxa"/>
            <w:tcBorders>
              <w:top w:val="nil"/>
              <w:left w:val="nil"/>
              <w:bottom w:val="single" w:sz="4" w:space="0" w:color="auto"/>
              <w:right w:val="nil"/>
            </w:tcBorders>
            <w:shd w:val="clear" w:color="auto" w:fill="auto"/>
            <w:noWrap/>
            <w:vAlign w:val="center"/>
            <w:hideMark/>
          </w:tcPr>
          <w:p w14:paraId="3B1C89E1" w14:textId="05B96736"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993" w:type="dxa"/>
            <w:tcBorders>
              <w:top w:val="nil"/>
              <w:left w:val="single" w:sz="4" w:space="0" w:color="auto"/>
              <w:bottom w:val="single" w:sz="4" w:space="0" w:color="auto"/>
              <w:right w:val="nil"/>
            </w:tcBorders>
            <w:shd w:val="clear" w:color="auto" w:fill="auto"/>
            <w:noWrap/>
            <w:vAlign w:val="center"/>
            <w:hideMark/>
          </w:tcPr>
          <w:p w14:paraId="50E24FFC"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2 878</w:t>
            </w:r>
          </w:p>
        </w:tc>
        <w:tc>
          <w:tcPr>
            <w:tcW w:w="708" w:type="dxa"/>
            <w:tcBorders>
              <w:top w:val="nil"/>
              <w:left w:val="nil"/>
              <w:bottom w:val="single" w:sz="4" w:space="0" w:color="auto"/>
              <w:right w:val="single" w:sz="4" w:space="0" w:color="auto"/>
            </w:tcBorders>
            <w:shd w:val="clear" w:color="auto" w:fill="auto"/>
            <w:noWrap/>
            <w:vAlign w:val="center"/>
            <w:hideMark/>
          </w:tcPr>
          <w:p w14:paraId="152348D2" w14:textId="34B943CE"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988" w:type="dxa"/>
            <w:tcBorders>
              <w:top w:val="nil"/>
              <w:left w:val="nil"/>
              <w:bottom w:val="single" w:sz="4" w:space="0" w:color="auto"/>
              <w:right w:val="nil"/>
            </w:tcBorders>
            <w:shd w:val="clear" w:color="auto" w:fill="auto"/>
            <w:noWrap/>
            <w:vAlign w:val="center"/>
            <w:hideMark/>
          </w:tcPr>
          <w:p w14:paraId="05AD64B4"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125</w:t>
            </w:r>
          </w:p>
        </w:tc>
        <w:tc>
          <w:tcPr>
            <w:tcW w:w="770" w:type="dxa"/>
            <w:tcBorders>
              <w:top w:val="nil"/>
              <w:left w:val="nil"/>
              <w:bottom w:val="single" w:sz="4" w:space="0" w:color="auto"/>
              <w:right w:val="single" w:sz="4" w:space="0" w:color="auto"/>
            </w:tcBorders>
            <w:shd w:val="clear" w:color="auto" w:fill="auto"/>
            <w:noWrap/>
            <w:vAlign w:val="center"/>
            <w:hideMark/>
          </w:tcPr>
          <w:p w14:paraId="67FCFAA5" w14:textId="426B10B9"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1072" w:type="dxa"/>
            <w:tcBorders>
              <w:top w:val="nil"/>
              <w:left w:val="nil"/>
              <w:bottom w:val="single" w:sz="4" w:space="0" w:color="auto"/>
              <w:right w:val="nil"/>
            </w:tcBorders>
            <w:shd w:val="clear" w:color="auto" w:fill="auto"/>
            <w:noWrap/>
            <w:vAlign w:val="center"/>
            <w:hideMark/>
          </w:tcPr>
          <w:p w14:paraId="6F28810D"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11 585</w:t>
            </w:r>
          </w:p>
        </w:tc>
        <w:tc>
          <w:tcPr>
            <w:tcW w:w="709" w:type="dxa"/>
            <w:tcBorders>
              <w:top w:val="nil"/>
              <w:left w:val="nil"/>
              <w:bottom w:val="single" w:sz="4" w:space="0" w:color="auto"/>
              <w:right w:val="nil"/>
            </w:tcBorders>
            <w:shd w:val="clear" w:color="auto" w:fill="auto"/>
            <w:noWrap/>
            <w:vAlign w:val="center"/>
            <w:hideMark/>
          </w:tcPr>
          <w:p w14:paraId="7FEBCC40" w14:textId="206D6FB6"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-3 %</w:t>
            </w:r>
          </w:p>
        </w:tc>
      </w:tr>
      <w:tr w:rsidR="00F15667" w:rsidRPr="00F15667" w14:paraId="6CA3559E" w14:textId="77777777" w:rsidTr="00C17A44">
        <w:trPr>
          <w:gridAfter w:val="1"/>
          <w:wAfter w:w="13" w:type="dxa"/>
          <w:trHeight w:val="315"/>
        </w:trPr>
        <w:tc>
          <w:tcPr>
            <w:tcW w:w="1980" w:type="dxa"/>
            <w:tcBorders>
              <w:top w:val="nil"/>
              <w:left w:val="nil"/>
              <w:bottom w:val="single" w:sz="4" w:space="0" w:color="auto"/>
              <w:right w:val="nil"/>
            </w:tcBorders>
            <w:shd w:val="clear" w:color="auto" w:fill="auto"/>
            <w:noWrap/>
            <w:vAlign w:val="center"/>
            <w:hideMark/>
          </w:tcPr>
          <w:p w14:paraId="05DB4222" w14:textId="77777777" w:rsidR="00C8638C" w:rsidRPr="00F15667" w:rsidRDefault="00C8638C" w:rsidP="00C17A44">
            <w:pPr>
              <w:spacing w:line="240" w:lineRule="auto"/>
              <w:jc w:val="left"/>
              <w:rPr>
                <w:rFonts w:eastAsia="Times New Roman"/>
                <w:szCs w:val="24"/>
                <w:lang w:eastAsia="cs-CZ"/>
              </w:rPr>
            </w:pPr>
            <w:r w:rsidRPr="00F15667">
              <w:rPr>
                <w:rFonts w:eastAsia="Times New Roman"/>
                <w:szCs w:val="24"/>
                <w:lang w:eastAsia="cs-CZ"/>
              </w:rPr>
              <w:t>KS Č. Budějovice</w:t>
            </w:r>
          </w:p>
        </w:tc>
        <w:tc>
          <w:tcPr>
            <w:tcW w:w="997" w:type="dxa"/>
            <w:tcBorders>
              <w:top w:val="nil"/>
              <w:left w:val="nil"/>
              <w:bottom w:val="single" w:sz="4" w:space="0" w:color="auto"/>
              <w:right w:val="nil"/>
            </w:tcBorders>
            <w:shd w:val="clear" w:color="auto" w:fill="auto"/>
            <w:noWrap/>
            <w:vAlign w:val="center"/>
            <w:hideMark/>
          </w:tcPr>
          <w:p w14:paraId="4784CCF2"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1 238</w:t>
            </w:r>
          </w:p>
        </w:tc>
        <w:tc>
          <w:tcPr>
            <w:tcW w:w="851" w:type="dxa"/>
            <w:tcBorders>
              <w:top w:val="nil"/>
              <w:left w:val="nil"/>
              <w:bottom w:val="single" w:sz="4" w:space="0" w:color="auto"/>
              <w:right w:val="nil"/>
            </w:tcBorders>
            <w:shd w:val="clear" w:color="auto" w:fill="auto"/>
            <w:noWrap/>
            <w:vAlign w:val="center"/>
            <w:hideMark/>
          </w:tcPr>
          <w:p w14:paraId="4CB73B67" w14:textId="21635F2D"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993" w:type="dxa"/>
            <w:tcBorders>
              <w:top w:val="nil"/>
              <w:left w:val="single" w:sz="4" w:space="0" w:color="auto"/>
              <w:bottom w:val="single" w:sz="4" w:space="0" w:color="auto"/>
              <w:right w:val="nil"/>
            </w:tcBorders>
            <w:shd w:val="clear" w:color="auto" w:fill="auto"/>
            <w:noWrap/>
            <w:vAlign w:val="center"/>
            <w:hideMark/>
          </w:tcPr>
          <w:p w14:paraId="2C6EAFF1"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1 671</w:t>
            </w:r>
          </w:p>
        </w:tc>
        <w:tc>
          <w:tcPr>
            <w:tcW w:w="708" w:type="dxa"/>
            <w:tcBorders>
              <w:top w:val="nil"/>
              <w:left w:val="nil"/>
              <w:bottom w:val="single" w:sz="4" w:space="0" w:color="auto"/>
              <w:right w:val="single" w:sz="4" w:space="0" w:color="auto"/>
            </w:tcBorders>
            <w:shd w:val="clear" w:color="auto" w:fill="auto"/>
            <w:noWrap/>
            <w:vAlign w:val="center"/>
            <w:hideMark/>
          </w:tcPr>
          <w:p w14:paraId="2D607C01" w14:textId="7C4714D0"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-18 %</w:t>
            </w:r>
          </w:p>
        </w:tc>
        <w:tc>
          <w:tcPr>
            <w:tcW w:w="988" w:type="dxa"/>
            <w:tcBorders>
              <w:top w:val="nil"/>
              <w:left w:val="nil"/>
              <w:bottom w:val="single" w:sz="4" w:space="0" w:color="auto"/>
              <w:right w:val="nil"/>
            </w:tcBorders>
            <w:shd w:val="clear" w:color="auto" w:fill="auto"/>
            <w:noWrap/>
            <w:vAlign w:val="center"/>
            <w:hideMark/>
          </w:tcPr>
          <w:p w14:paraId="698208D4"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32</w:t>
            </w:r>
          </w:p>
        </w:tc>
        <w:tc>
          <w:tcPr>
            <w:tcW w:w="770" w:type="dxa"/>
            <w:tcBorders>
              <w:top w:val="nil"/>
              <w:left w:val="nil"/>
              <w:bottom w:val="single" w:sz="4" w:space="0" w:color="auto"/>
              <w:right w:val="single" w:sz="4" w:space="0" w:color="auto"/>
            </w:tcBorders>
            <w:shd w:val="clear" w:color="auto" w:fill="auto"/>
            <w:noWrap/>
            <w:vAlign w:val="center"/>
            <w:hideMark/>
          </w:tcPr>
          <w:p w14:paraId="3C999E62" w14:textId="4DF67D1A"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+19 %</w:t>
            </w:r>
          </w:p>
        </w:tc>
        <w:tc>
          <w:tcPr>
            <w:tcW w:w="1072" w:type="dxa"/>
            <w:tcBorders>
              <w:top w:val="nil"/>
              <w:left w:val="nil"/>
              <w:bottom w:val="single" w:sz="4" w:space="0" w:color="auto"/>
              <w:right w:val="nil"/>
            </w:tcBorders>
            <w:shd w:val="clear" w:color="auto" w:fill="auto"/>
            <w:noWrap/>
            <w:vAlign w:val="center"/>
            <w:hideMark/>
          </w:tcPr>
          <w:p w14:paraId="6C5DE89F"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6 229</w:t>
            </w:r>
          </w:p>
        </w:tc>
        <w:tc>
          <w:tcPr>
            <w:tcW w:w="709" w:type="dxa"/>
            <w:tcBorders>
              <w:top w:val="nil"/>
              <w:left w:val="nil"/>
              <w:bottom w:val="single" w:sz="4" w:space="0" w:color="auto"/>
              <w:right w:val="nil"/>
            </w:tcBorders>
            <w:shd w:val="clear" w:color="auto" w:fill="auto"/>
            <w:noWrap/>
            <w:vAlign w:val="center"/>
            <w:hideMark/>
          </w:tcPr>
          <w:p w14:paraId="69B1FF7D" w14:textId="042A2CEF"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-7 %</w:t>
            </w:r>
          </w:p>
        </w:tc>
      </w:tr>
      <w:tr w:rsidR="00F15667" w:rsidRPr="00F15667" w14:paraId="37544A16" w14:textId="77777777" w:rsidTr="00C17A44">
        <w:trPr>
          <w:gridAfter w:val="1"/>
          <w:wAfter w:w="13" w:type="dxa"/>
          <w:trHeight w:val="315"/>
        </w:trPr>
        <w:tc>
          <w:tcPr>
            <w:tcW w:w="1980" w:type="dxa"/>
            <w:tcBorders>
              <w:top w:val="nil"/>
              <w:left w:val="nil"/>
              <w:bottom w:val="single" w:sz="4" w:space="0" w:color="auto"/>
              <w:right w:val="nil"/>
            </w:tcBorders>
            <w:shd w:val="clear" w:color="auto" w:fill="auto"/>
            <w:noWrap/>
            <w:vAlign w:val="center"/>
            <w:hideMark/>
          </w:tcPr>
          <w:p w14:paraId="51188E3A" w14:textId="77777777" w:rsidR="00C8638C" w:rsidRPr="00F15667" w:rsidRDefault="00C8638C" w:rsidP="00C17A44">
            <w:pPr>
              <w:spacing w:line="240" w:lineRule="auto"/>
              <w:jc w:val="left"/>
              <w:rPr>
                <w:rFonts w:eastAsia="Times New Roman"/>
                <w:szCs w:val="24"/>
                <w:lang w:eastAsia="cs-CZ"/>
              </w:rPr>
            </w:pPr>
            <w:r w:rsidRPr="00F15667">
              <w:rPr>
                <w:rFonts w:eastAsia="Times New Roman"/>
                <w:szCs w:val="24"/>
                <w:lang w:eastAsia="cs-CZ"/>
              </w:rPr>
              <w:t>KS Plzeň</w:t>
            </w:r>
          </w:p>
        </w:tc>
        <w:tc>
          <w:tcPr>
            <w:tcW w:w="997" w:type="dxa"/>
            <w:tcBorders>
              <w:top w:val="nil"/>
              <w:left w:val="nil"/>
              <w:bottom w:val="single" w:sz="4" w:space="0" w:color="auto"/>
              <w:right w:val="nil"/>
            </w:tcBorders>
            <w:shd w:val="clear" w:color="auto" w:fill="auto"/>
            <w:noWrap/>
            <w:vAlign w:val="center"/>
            <w:hideMark/>
          </w:tcPr>
          <w:p w14:paraId="36151C6A"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1 906</w:t>
            </w:r>
          </w:p>
        </w:tc>
        <w:tc>
          <w:tcPr>
            <w:tcW w:w="851" w:type="dxa"/>
            <w:tcBorders>
              <w:top w:val="nil"/>
              <w:left w:val="nil"/>
              <w:bottom w:val="single" w:sz="4" w:space="0" w:color="auto"/>
              <w:right w:val="nil"/>
            </w:tcBorders>
            <w:shd w:val="clear" w:color="auto" w:fill="auto"/>
            <w:noWrap/>
            <w:vAlign w:val="center"/>
            <w:hideMark/>
          </w:tcPr>
          <w:p w14:paraId="62EFE413" w14:textId="610A822C"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993" w:type="dxa"/>
            <w:tcBorders>
              <w:top w:val="nil"/>
              <w:left w:val="single" w:sz="4" w:space="0" w:color="auto"/>
              <w:bottom w:val="single" w:sz="4" w:space="0" w:color="auto"/>
              <w:right w:val="nil"/>
            </w:tcBorders>
            <w:shd w:val="clear" w:color="auto" w:fill="auto"/>
            <w:noWrap/>
            <w:vAlign w:val="center"/>
            <w:hideMark/>
          </w:tcPr>
          <w:p w14:paraId="280D9761"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2 375</w:t>
            </w:r>
          </w:p>
        </w:tc>
        <w:tc>
          <w:tcPr>
            <w:tcW w:w="708" w:type="dxa"/>
            <w:tcBorders>
              <w:top w:val="nil"/>
              <w:left w:val="nil"/>
              <w:bottom w:val="single" w:sz="4" w:space="0" w:color="auto"/>
              <w:right w:val="single" w:sz="4" w:space="0" w:color="auto"/>
            </w:tcBorders>
            <w:shd w:val="clear" w:color="auto" w:fill="auto"/>
            <w:noWrap/>
            <w:vAlign w:val="center"/>
            <w:hideMark/>
          </w:tcPr>
          <w:p w14:paraId="2C751BFD" w14:textId="6B30B869"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988" w:type="dxa"/>
            <w:tcBorders>
              <w:top w:val="nil"/>
              <w:left w:val="nil"/>
              <w:bottom w:val="single" w:sz="4" w:space="0" w:color="auto"/>
              <w:right w:val="nil"/>
            </w:tcBorders>
            <w:shd w:val="clear" w:color="auto" w:fill="auto"/>
            <w:noWrap/>
            <w:vAlign w:val="center"/>
            <w:hideMark/>
          </w:tcPr>
          <w:p w14:paraId="23BF71C8"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148</w:t>
            </w:r>
          </w:p>
        </w:tc>
        <w:tc>
          <w:tcPr>
            <w:tcW w:w="770" w:type="dxa"/>
            <w:tcBorders>
              <w:top w:val="nil"/>
              <w:left w:val="nil"/>
              <w:bottom w:val="single" w:sz="4" w:space="0" w:color="auto"/>
              <w:right w:val="single" w:sz="4" w:space="0" w:color="auto"/>
            </w:tcBorders>
            <w:shd w:val="clear" w:color="auto" w:fill="auto"/>
            <w:noWrap/>
            <w:vAlign w:val="center"/>
            <w:hideMark/>
          </w:tcPr>
          <w:p w14:paraId="027CDA54" w14:textId="471F7999"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-21 %</w:t>
            </w:r>
          </w:p>
        </w:tc>
        <w:tc>
          <w:tcPr>
            <w:tcW w:w="1072" w:type="dxa"/>
            <w:tcBorders>
              <w:top w:val="nil"/>
              <w:left w:val="nil"/>
              <w:bottom w:val="single" w:sz="4" w:space="0" w:color="auto"/>
              <w:right w:val="nil"/>
            </w:tcBorders>
            <w:shd w:val="clear" w:color="auto" w:fill="auto"/>
            <w:noWrap/>
            <w:vAlign w:val="center"/>
            <w:hideMark/>
          </w:tcPr>
          <w:p w14:paraId="0AD085BC"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9 700</w:t>
            </w:r>
          </w:p>
        </w:tc>
        <w:tc>
          <w:tcPr>
            <w:tcW w:w="709" w:type="dxa"/>
            <w:tcBorders>
              <w:top w:val="nil"/>
              <w:left w:val="nil"/>
              <w:bottom w:val="single" w:sz="4" w:space="0" w:color="auto"/>
              <w:right w:val="nil"/>
            </w:tcBorders>
            <w:shd w:val="clear" w:color="auto" w:fill="auto"/>
            <w:noWrap/>
            <w:vAlign w:val="center"/>
            <w:hideMark/>
          </w:tcPr>
          <w:p w14:paraId="7CA74022" w14:textId="1D88BA53"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r>
      <w:tr w:rsidR="00F15667" w:rsidRPr="00F15667" w14:paraId="72DBAE71" w14:textId="77777777" w:rsidTr="00C17A44">
        <w:trPr>
          <w:gridAfter w:val="1"/>
          <w:wAfter w:w="13" w:type="dxa"/>
          <w:trHeight w:val="315"/>
        </w:trPr>
        <w:tc>
          <w:tcPr>
            <w:tcW w:w="1980" w:type="dxa"/>
            <w:tcBorders>
              <w:top w:val="nil"/>
              <w:left w:val="nil"/>
              <w:bottom w:val="single" w:sz="4" w:space="0" w:color="auto"/>
              <w:right w:val="nil"/>
            </w:tcBorders>
            <w:shd w:val="clear" w:color="auto" w:fill="auto"/>
            <w:noWrap/>
            <w:vAlign w:val="center"/>
            <w:hideMark/>
          </w:tcPr>
          <w:p w14:paraId="37AAEE5B" w14:textId="77777777" w:rsidR="00C8638C" w:rsidRPr="00F15667" w:rsidRDefault="00C8638C" w:rsidP="00C17A44">
            <w:pPr>
              <w:spacing w:line="240" w:lineRule="auto"/>
              <w:jc w:val="left"/>
              <w:rPr>
                <w:rFonts w:eastAsia="Times New Roman"/>
                <w:szCs w:val="24"/>
                <w:lang w:eastAsia="cs-CZ"/>
              </w:rPr>
            </w:pPr>
            <w:r w:rsidRPr="00F15667">
              <w:rPr>
                <w:rFonts w:eastAsia="Times New Roman"/>
                <w:szCs w:val="24"/>
                <w:lang w:eastAsia="cs-CZ"/>
              </w:rPr>
              <w:t>KS Ústí n. Labem</w:t>
            </w:r>
          </w:p>
        </w:tc>
        <w:tc>
          <w:tcPr>
            <w:tcW w:w="997" w:type="dxa"/>
            <w:tcBorders>
              <w:top w:val="nil"/>
              <w:left w:val="nil"/>
              <w:bottom w:val="single" w:sz="4" w:space="0" w:color="auto"/>
              <w:right w:val="nil"/>
            </w:tcBorders>
            <w:shd w:val="clear" w:color="auto" w:fill="auto"/>
            <w:noWrap/>
            <w:vAlign w:val="center"/>
            <w:hideMark/>
          </w:tcPr>
          <w:p w14:paraId="3386F406"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3 268</w:t>
            </w:r>
          </w:p>
        </w:tc>
        <w:tc>
          <w:tcPr>
            <w:tcW w:w="851" w:type="dxa"/>
            <w:tcBorders>
              <w:top w:val="nil"/>
              <w:left w:val="nil"/>
              <w:bottom w:val="single" w:sz="4" w:space="0" w:color="auto"/>
              <w:right w:val="nil"/>
            </w:tcBorders>
            <w:shd w:val="clear" w:color="auto" w:fill="auto"/>
            <w:noWrap/>
            <w:vAlign w:val="center"/>
            <w:hideMark/>
          </w:tcPr>
          <w:p w14:paraId="5B4C5149" w14:textId="2160D088"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993" w:type="dxa"/>
            <w:tcBorders>
              <w:top w:val="nil"/>
              <w:left w:val="single" w:sz="4" w:space="0" w:color="auto"/>
              <w:bottom w:val="single" w:sz="4" w:space="0" w:color="auto"/>
              <w:right w:val="nil"/>
            </w:tcBorders>
            <w:shd w:val="clear" w:color="auto" w:fill="auto"/>
            <w:noWrap/>
            <w:vAlign w:val="center"/>
            <w:hideMark/>
          </w:tcPr>
          <w:p w14:paraId="19D745D3"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4 248</w:t>
            </w:r>
          </w:p>
        </w:tc>
        <w:tc>
          <w:tcPr>
            <w:tcW w:w="708" w:type="dxa"/>
            <w:tcBorders>
              <w:top w:val="nil"/>
              <w:left w:val="nil"/>
              <w:bottom w:val="single" w:sz="4" w:space="0" w:color="auto"/>
              <w:right w:val="single" w:sz="4" w:space="0" w:color="auto"/>
            </w:tcBorders>
            <w:shd w:val="clear" w:color="auto" w:fill="auto"/>
            <w:noWrap/>
            <w:vAlign w:val="center"/>
            <w:hideMark/>
          </w:tcPr>
          <w:p w14:paraId="729E5D22" w14:textId="1A2CA4BC"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988" w:type="dxa"/>
            <w:tcBorders>
              <w:top w:val="nil"/>
              <w:left w:val="nil"/>
              <w:bottom w:val="single" w:sz="4" w:space="0" w:color="auto"/>
              <w:right w:val="nil"/>
            </w:tcBorders>
            <w:shd w:val="clear" w:color="auto" w:fill="auto"/>
            <w:noWrap/>
            <w:vAlign w:val="center"/>
            <w:hideMark/>
          </w:tcPr>
          <w:p w14:paraId="4067C502"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153</w:t>
            </w:r>
          </w:p>
        </w:tc>
        <w:tc>
          <w:tcPr>
            <w:tcW w:w="770" w:type="dxa"/>
            <w:tcBorders>
              <w:top w:val="nil"/>
              <w:left w:val="nil"/>
              <w:bottom w:val="single" w:sz="4" w:space="0" w:color="auto"/>
              <w:right w:val="single" w:sz="4" w:space="0" w:color="auto"/>
            </w:tcBorders>
            <w:shd w:val="clear" w:color="auto" w:fill="auto"/>
            <w:noWrap/>
            <w:vAlign w:val="center"/>
            <w:hideMark/>
          </w:tcPr>
          <w:p w14:paraId="67FDA7AE" w14:textId="3DB88408"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-19 %</w:t>
            </w:r>
          </w:p>
        </w:tc>
        <w:tc>
          <w:tcPr>
            <w:tcW w:w="1072" w:type="dxa"/>
            <w:tcBorders>
              <w:top w:val="nil"/>
              <w:left w:val="nil"/>
              <w:bottom w:val="single" w:sz="4" w:space="0" w:color="auto"/>
              <w:right w:val="nil"/>
            </w:tcBorders>
            <w:shd w:val="clear" w:color="auto" w:fill="auto"/>
            <w:noWrap/>
            <w:vAlign w:val="center"/>
            <w:hideMark/>
          </w:tcPr>
          <w:p w14:paraId="0916A2C5"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16 981</w:t>
            </w:r>
          </w:p>
        </w:tc>
        <w:tc>
          <w:tcPr>
            <w:tcW w:w="709" w:type="dxa"/>
            <w:tcBorders>
              <w:top w:val="nil"/>
              <w:left w:val="nil"/>
              <w:bottom w:val="single" w:sz="4" w:space="0" w:color="auto"/>
              <w:right w:val="nil"/>
            </w:tcBorders>
            <w:shd w:val="clear" w:color="auto" w:fill="auto"/>
            <w:noWrap/>
            <w:vAlign w:val="center"/>
            <w:hideMark/>
          </w:tcPr>
          <w:p w14:paraId="446F09E7" w14:textId="6AAE0889"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09AA6424" w14:textId="77777777" w:rsidTr="00C17A44">
        <w:trPr>
          <w:gridAfter w:val="1"/>
          <w:wAfter w:w="13" w:type="dxa"/>
          <w:trHeight w:val="315"/>
        </w:trPr>
        <w:tc>
          <w:tcPr>
            <w:tcW w:w="1980" w:type="dxa"/>
            <w:tcBorders>
              <w:top w:val="nil"/>
              <w:left w:val="nil"/>
              <w:bottom w:val="single" w:sz="4" w:space="0" w:color="auto"/>
              <w:right w:val="nil"/>
            </w:tcBorders>
            <w:shd w:val="clear" w:color="auto" w:fill="auto"/>
            <w:noWrap/>
            <w:vAlign w:val="center"/>
            <w:hideMark/>
          </w:tcPr>
          <w:p w14:paraId="70C028D9" w14:textId="77777777" w:rsidR="00C8638C" w:rsidRPr="00F15667" w:rsidRDefault="00C8638C" w:rsidP="00C17A44">
            <w:pPr>
              <w:spacing w:line="240" w:lineRule="auto"/>
              <w:jc w:val="left"/>
              <w:rPr>
                <w:rFonts w:eastAsia="Times New Roman"/>
                <w:szCs w:val="24"/>
                <w:lang w:eastAsia="cs-CZ"/>
              </w:rPr>
            </w:pPr>
            <w:r w:rsidRPr="00F15667">
              <w:rPr>
                <w:rFonts w:eastAsia="Times New Roman"/>
                <w:szCs w:val="24"/>
                <w:lang w:eastAsia="cs-CZ"/>
              </w:rPr>
              <w:t>KS Hr. Králové</w:t>
            </w:r>
          </w:p>
        </w:tc>
        <w:tc>
          <w:tcPr>
            <w:tcW w:w="997" w:type="dxa"/>
            <w:tcBorders>
              <w:top w:val="nil"/>
              <w:left w:val="nil"/>
              <w:bottom w:val="single" w:sz="4" w:space="0" w:color="auto"/>
              <w:right w:val="nil"/>
            </w:tcBorders>
            <w:shd w:val="clear" w:color="auto" w:fill="auto"/>
            <w:noWrap/>
            <w:vAlign w:val="center"/>
            <w:hideMark/>
          </w:tcPr>
          <w:p w14:paraId="16EBFA28"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2 090</w:t>
            </w:r>
          </w:p>
        </w:tc>
        <w:tc>
          <w:tcPr>
            <w:tcW w:w="851" w:type="dxa"/>
            <w:tcBorders>
              <w:top w:val="nil"/>
              <w:left w:val="nil"/>
              <w:bottom w:val="single" w:sz="4" w:space="0" w:color="auto"/>
              <w:right w:val="nil"/>
            </w:tcBorders>
            <w:shd w:val="clear" w:color="auto" w:fill="auto"/>
            <w:noWrap/>
            <w:vAlign w:val="center"/>
            <w:hideMark/>
          </w:tcPr>
          <w:p w14:paraId="75E8849A" w14:textId="318A639C"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993" w:type="dxa"/>
            <w:tcBorders>
              <w:top w:val="nil"/>
              <w:left w:val="single" w:sz="4" w:space="0" w:color="auto"/>
              <w:bottom w:val="single" w:sz="4" w:space="0" w:color="auto"/>
              <w:right w:val="nil"/>
            </w:tcBorders>
            <w:shd w:val="clear" w:color="auto" w:fill="auto"/>
            <w:noWrap/>
            <w:vAlign w:val="center"/>
            <w:hideMark/>
          </w:tcPr>
          <w:p w14:paraId="7434115C"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2 896</w:t>
            </w:r>
          </w:p>
        </w:tc>
        <w:tc>
          <w:tcPr>
            <w:tcW w:w="708" w:type="dxa"/>
            <w:tcBorders>
              <w:top w:val="nil"/>
              <w:left w:val="nil"/>
              <w:bottom w:val="single" w:sz="4" w:space="0" w:color="auto"/>
              <w:right w:val="single" w:sz="4" w:space="0" w:color="auto"/>
            </w:tcBorders>
            <w:shd w:val="clear" w:color="auto" w:fill="auto"/>
            <w:noWrap/>
            <w:vAlign w:val="center"/>
            <w:hideMark/>
          </w:tcPr>
          <w:p w14:paraId="0C8AFBB9" w14:textId="251C2A78"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988" w:type="dxa"/>
            <w:tcBorders>
              <w:top w:val="nil"/>
              <w:left w:val="nil"/>
              <w:bottom w:val="single" w:sz="4" w:space="0" w:color="auto"/>
              <w:right w:val="nil"/>
            </w:tcBorders>
            <w:shd w:val="clear" w:color="auto" w:fill="auto"/>
            <w:noWrap/>
            <w:vAlign w:val="center"/>
            <w:hideMark/>
          </w:tcPr>
          <w:p w14:paraId="4AE7A114"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48</w:t>
            </w:r>
          </w:p>
        </w:tc>
        <w:tc>
          <w:tcPr>
            <w:tcW w:w="770" w:type="dxa"/>
            <w:tcBorders>
              <w:top w:val="nil"/>
              <w:left w:val="nil"/>
              <w:bottom w:val="single" w:sz="4" w:space="0" w:color="auto"/>
              <w:right w:val="single" w:sz="4" w:space="0" w:color="auto"/>
            </w:tcBorders>
            <w:shd w:val="clear" w:color="auto" w:fill="auto"/>
            <w:noWrap/>
            <w:vAlign w:val="center"/>
            <w:hideMark/>
          </w:tcPr>
          <w:p w14:paraId="331B50F0" w14:textId="44960C6B"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1072" w:type="dxa"/>
            <w:tcBorders>
              <w:top w:val="nil"/>
              <w:left w:val="nil"/>
              <w:bottom w:val="single" w:sz="4" w:space="0" w:color="auto"/>
              <w:right w:val="nil"/>
            </w:tcBorders>
            <w:shd w:val="clear" w:color="auto" w:fill="auto"/>
            <w:noWrap/>
            <w:vAlign w:val="center"/>
            <w:hideMark/>
          </w:tcPr>
          <w:p w14:paraId="39FCC468"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11 351</w:t>
            </w:r>
          </w:p>
        </w:tc>
        <w:tc>
          <w:tcPr>
            <w:tcW w:w="709" w:type="dxa"/>
            <w:tcBorders>
              <w:top w:val="nil"/>
              <w:left w:val="nil"/>
              <w:bottom w:val="single" w:sz="4" w:space="0" w:color="auto"/>
              <w:right w:val="nil"/>
            </w:tcBorders>
            <w:shd w:val="clear" w:color="auto" w:fill="auto"/>
            <w:noWrap/>
            <w:vAlign w:val="center"/>
            <w:hideMark/>
          </w:tcPr>
          <w:p w14:paraId="31078C9E" w14:textId="4B674202"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-6 %</w:t>
            </w:r>
          </w:p>
        </w:tc>
      </w:tr>
      <w:tr w:rsidR="00F15667" w:rsidRPr="00F15667" w14:paraId="2405BEBB" w14:textId="77777777" w:rsidTr="00C17A44">
        <w:trPr>
          <w:gridAfter w:val="1"/>
          <w:wAfter w:w="13" w:type="dxa"/>
          <w:trHeight w:val="315"/>
        </w:trPr>
        <w:tc>
          <w:tcPr>
            <w:tcW w:w="1980" w:type="dxa"/>
            <w:tcBorders>
              <w:top w:val="nil"/>
              <w:left w:val="nil"/>
              <w:bottom w:val="single" w:sz="4" w:space="0" w:color="auto"/>
              <w:right w:val="nil"/>
            </w:tcBorders>
            <w:shd w:val="clear" w:color="auto" w:fill="auto"/>
            <w:noWrap/>
            <w:vAlign w:val="center"/>
            <w:hideMark/>
          </w:tcPr>
          <w:p w14:paraId="68D06B47" w14:textId="77777777" w:rsidR="00C8638C" w:rsidRPr="00F15667" w:rsidRDefault="00C8638C" w:rsidP="00C17A44">
            <w:pPr>
              <w:spacing w:line="240" w:lineRule="auto"/>
              <w:jc w:val="left"/>
              <w:rPr>
                <w:rFonts w:eastAsia="Times New Roman"/>
                <w:szCs w:val="24"/>
                <w:lang w:eastAsia="cs-CZ"/>
              </w:rPr>
            </w:pPr>
            <w:r w:rsidRPr="00F15667">
              <w:rPr>
                <w:rFonts w:eastAsia="Times New Roman"/>
                <w:szCs w:val="24"/>
                <w:lang w:eastAsia="cs-CZ"/>
              </w:rPr>
              <w:t>KS Brno</w:t>
            </w:r>
          </w:p>
        </w:tc>
        <w:tc>
          <w:tcPr>
            <w:tcW w:w="997" w:type="dxa"/>
            <w:tcBorders>
              <w:top w:val="nil"/>
              <w:left w:val="nil"/>
              <w:bottom w:val="single" w:sz="4" w:space="0" w:color="auto"/>
              <w:right w:val="nil"/>
            </w:tcBorders>
            <w:shd w:val="clear" w:color="auto" w:fill="auto"/>
            <w:noWrap/>
            <w:vAlign w:val="center"/>
            <w:hideMark/>
          </w:tcPr>
          <w:p w14:paraId="1EB07775"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3 395</w:t>
            </w:r>
          </w:p>
        </w:tc>
        <w:tc>
          <w:tcPr>
            <w:tcW w:w="851" w:type="dxa"/>
            <w:tcBorders>
              <w:top w:val="nil"/>
              <w:left w:val="nil"/>
              <w:bottom w:val="single" w:sz="4" w:space="0" w:color="auto"/>
              <w:right w:val="nil"/>
            </w:tcBorders>
            <w:shd w:val="clear" w:color="auto" w:fill="auto"/>
            <w:noWrap/>
            <w:vAlign w:val="center"/>
            <w:hideMark/>
          </w:tcPr>
          <w:p w14:paraId="72E39639" w14:textId="535C1819"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993" w:type="dxa"/>
            <w:tcBorders>
              <w:top w:val="nil"/>
              <w:left w:val="single" w:sz="4" w:space="0" w:color="auto"/>
              <w:bottom w:val="single" w:sz="4" w:space="0" w:color="auto"/>
              <w:right w:val="nil"/>
            </w:tcBorders>
            <w:shd w:val="clear" w:color="auto" w:fill="auto"/>
            <w:noWrap/>
            <w:vAlign w:val="center"/>
            <w:hideMark/>
          </w:tcPr>
          <w:p w14:paraId="2006F6EE"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3 614</w:t>
            </w:r>
          </w:p>
        </w:tc>
        <w:tc>
          <w:tcPr>
            <w:tcW w:w="708" w:type="dxa"/>
            <w:tcBorders>
              <w:top w:val="nil"/>
              <w:left w:val="nil"/>
              <w:bottom w:val="single" w:sz="4" w:space="0" w:color="auto"/>
              <w:right w:val="single" w:sz="4" w:space="0" w:color="auto"/>
            </w:tcBorders>
            <w:shd w:val="clear" w:color="auto" w:fill="auto"/>
            <w:noWrap/>
            <w:vAlign w:val="center"/>
            <w:hideMark/>
          </w:tcPr>
          <w:p w14:paraId="463BC36E" w14:textId="0F155AF7"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988" w:type="dxa"/>
            <w:tcBorders>
              <w:top w:val="nil"/>
              <w:left w:val="nil"/>
              <w:bottom w:val="single" w:sz="4" w:space="0" w:color="auto"/>
              <w:right w:val="nil"/>
            </w:tcBorders>
            <w:shd w:val="clear" w:color="auto" w:fill="auto"/>
            <w:noWrap/>
            <w:vAlign w:val="center"/>
            <w:hideMark/>
          </w:tcPr>
          <w:p w14:paraId="7DC52AEC"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314</w:t>
            </w:r>
          </w:p>
        </w:tc>
        <w:tc>
          <w:tcPr>
            <w:tcW w:w="770" w:type="dxa"/>
            <w:tcBorders>
              <w:top w:val="nil"/>
              <w:left w:val="nil"/>
              <w:bottom w:val="single" w:sz="4" w:space="0" w:color="auto"/>
              <w:right w:val="single" w:sz="4" w:space="0" w:color="auto"/>
            </w:tcBorders>
            <w:shd w:val="clear" w:color="auto" w:fill="auto"/>
            <w:noWrap/>
            <w:vAlign w:val="center"/>
            <w:hideMark/>
          </w:tcPr>
          <w:p w14:paraId="100CA962" w14:textId="414F6E14"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72" w:type="dxa"/>
            <w:tcBorders>
              <w:top w:val="nil"/>
              <w:left w:val="nil"/>
              <w:bottom w:val="single" w:sz="4" w:space="0" w:color="auto"/>
              <w:right w:val="nil"/>
            </w:tcBorders>
            <w:shd w:val="clear" w:color="auto" w:fill="auto"/>
            <w:noWrap/>
            <w:vAlign w:val="center"/>
            <w:hideMark/>
          </w:tcPr>
          <w:p w14:paraId="50CABBA3"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16 415</w:t>
            </w:r>
          </w:p>
        </w:tc>
        <w:tc>
          <w:tcPr>
            <w:tcW w:w="709" w:type="dxa"/>
            <w:tcBorders>
              <w:top w:val="nil"/>
              <w:left w:val="nil"/>
              <w:bottom w:val="single" w:sz="4" w:space="0" w:color="auto"/>
              <w:right w:val="nil"/>
            </w:tcBorders>
            <w:shd w:val="clear" w:color="auto" w:fill="auto"/>
            <w:noWrap/>
            <w:vAlign w:val="center"/>
            <w:hideMark/>
          </w:tcPr>
          <w:p w14:paraId="0C8D4E69" w14:textId="1F3EBF86"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-1 %</w:t>
            </w:r>
          </w:p>
        </w:tc>
      </w:tr>
      <w:tr w:rsidR="00F15667" w:rsidRPr="00F15667" w14:paraId="068B497D" w14:textId="77777777" w:rsidTr="00C17A44">
        <w:trPr>
          <w:gridAfter w:val="1"/>
          <w:wAfter w:w="13" w:type="dxa"/>
          <w:trHeight w:val="330"/>
        </w:trPr>
        <w:tc>
          <w:tcPr>
            <w:tcW w:w="1980" w:type="dxa"/>
            <w:tcBorders>
              <w:top w:val="nil"/>
              <w:left w:val="nil"/>
              <w:bottom w:val="double" w:sz="6" w:space="0" w:color="auto"/>
              <w:right w:val="nil"/>
            </w:tcBorders>
            <w:shd w:val="clear" w:color="auto" w:fill="auto"/>
            <w:noWrap/>
            <w:vAlign w:val="center"/>
            <w:hideMark/>
          </w:tcPr>
          <w:p w14:paraId="0B72C256" w14:textId="77777777" w:rsidR="00C8638C" w:rsidRPr="00F15667" w:rsidRDefault="00C8638C" w:rsidP="00C17A44">
            <w:pPr>
              <w:spacing w:line="240" w:lineRule="auto"/>
              <w:jc w:val="left"/>
              <w:rPr>
                <w:rFonts w:eastAsia="Times New Roman"/>
                <w:szCs w:val="24"/>
                <w:lang w:eastAsia="cs-CZ"/>
              </w:rPr>
            </w:pPr>
            <w:r w:rsidRPr="00F15667">
              <w:rPr>
                <w:rFonts w:eastAsia="Times New Roman"/>
                <w:szCs w:val="24"/>
                <w:lang w:eastAsia="cs-CZ"/>
              </w:rPr>
              <w:t>KS Ostrava</w:t>
            </w:r>
          </w:p>
        </w:tc>
        <w:tc>
          <w:tcPr>
            <w:tcW w:w="997" w:type="dxa"/>
            <w:tcBorders>
              <w:top w:val="nil"/>
              <w:left w:val="nil"/>
              <w:bottom w:val="double" w:sz="6" w:space="0" w:color="auto"/>
              <w:right w:val="nil"/>
            </w:tcBorders>
            <w:shd w:val="clear" w:color="auto" w:fill="auto"/>
            <w:noWrap/>
            <w:vAlign w:val="center"/>
            <w:hideMark/>
          </w:tcPr>
          <w:p w14:paraId="4C960BC6"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3 881</w:t>
            </w:r>
          </w:p>
        </w:tc>
        <w:tc>
          <w:tcPr>
            <w:tcW w:w="851" w:type="dxa"/>
            <w:tcBorders>
              <w:top w:val="nil"/>
              <w:left w:val="nil"/>
              <w:bottom w:val="double" w:sz="6" w:space="0" w:color="auto"/>
              <w:right w:val="nil"/>
            </w:tcBorders>
            <w:shd w:val="clear" w:color="auto" w:fill="auto"/>
            <w:noWrap/>
            <w:vAlign w:val="center"/>
            <w:hideMark/>
          </w:tcPr>
          <w:p w14:paraId="334E7D0D" w14:textId="45462B61"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-13 %</w:t>
            </w:r>
          </w:p>
        </w:tc>
        <w:tc>
          <w:tcPr>
            <w:tcW w:w="993" w:type="dxa"/>
            <w:tcBorders>
              <w:top w:val="nil"/>
              <w:left w:val="single" w:sz="4" w:space="0" w:color="auto"/>
              <w:bottom w:val="double" w:sz="6" w:space="0" w:color="auto"/>
              <w:right w:val="nil"/>
            </w:tcBorders>
            <w:shd w:val="clear" w:color="auto" w:fill="auto"/>
            <w:noWrap/>
            <w:vAlign w:val="center"/>
            <w:hideMark/>
          </w:tcPr>
          <w:p w14:paraId="6520388F"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5 008</w:t>
            </w:r>
          </w:p>
        </w:tc>
        <w:tc>
          <w:tcPr>
            <w:tcW w:w="708" w:type="dxa"/>
            <w:tcBorders>
              <w:top w:val="nil"/>
              <w:left w:val="nil"/>
              <w:bottom w:val="double" w:sz="6" w:space="0" w:color="auto"/>
              <w:right w:val="single" w:sz="4" w:space="0" w:color="auto"/>
            </w:tcBorders>
            <w:shd w:val="clear" w:color="auto" w:fill="auto"/>
            <w:noWrap/>
            <w:vAlign w:val="center"/>
            <w:hideMark/>
          </w:tcPr>
          <w:p w14:paraId="2026A1D0" w14:textId="2FFB0ED1"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988" w:type="dxa"/>
            <w:tcBorders>
              <w:top w:val="nil"/>
              <w:left w:val="nil"/>
              <w:bottom w:val="double" w:sz="6" w:space="0" w:color="auto"/>
              <w:right w:val="nil"/>
            </w:tcBorders>
            <w:shd w:val="clear" w:color="auto" w:fill="auto"/>
            <w:noWrap/>
            <w:vAlign w:val="center"/>
            <w:hideMark/>
          </w:tcPr>
          <w:p w14:paraId="051A7691"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265</w:t>
            </w:r>
          </w:p>
        </w:tc>
        <w:tc>
          <w:tcPr>
            <w:tcW w:w="770" w:type="dxa"/>
            <w:tcBorders>
              <w:top w:val="nil"/>
              <w:left w:val="nil"/>
              <w:bottom w:val="double" w:sz="6" w:space="0" w:color="auto"/>
              <w:right w:val="single" w:sz="4" w:space="0" w:color="auto"/>
            </w:tcBorders>
            <w:shd w:val="clear" w:color="auto" w:fill="auto"/>
            <w:noWrap/>
            <w:vAlign w:val="center"/>
            <w:hideMark/>
          </w:tcPr>
          <w:p w14:paraId="63434F85" w14:textId="4D7434F4"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-32 %</w:t>
            </w:r>
          </w:p>
        </w:tc>
        <w:tc>
          <w:tcPr>
            <w:tcW w:w="1072" w:type="dxa"/>
            <w:tcBorders>
              <w:top w:val="nil"/>
              <w:left w:val="nil"/>
              <w:bottom w:val="double" w:sz="6" w:space="0" w:color="auto"/>
              <w:right w:val="nil"/>
            </w:tcBorders>
            <w:shd w:val="clear" w:color="auto" w:fill="auto"/>
            <w:noWrap/>
            <w:vAlign w:val="center"/>
            <w:hideMark/>
          </w:tcPr>
          <w:p w14:paraId="284EA006" w14:textId="77777777" w:rsidR="00C8638C" w:rsidRPr="00F15667" w:rsidRDefault="00C8638C" w:rsidP="00C17A44">
            <w:pPr>
              <w:spacing w:line="240" w:lineRule="auto"/>
              <w:jc w:val="center"/>
              <w:rPr>
                <w:rFonts w:eastAsia="Times New Roman"/>
                <w:szCs w:val="24"/>
                <w:lang w:eastAsia="cs-CZ"/>
              </w:rPr>
            </w:pPr>
            <w:r w:rsidRPr="00F15667">
              <w:rPr>
                <w:rFonts w:eastAsia="Times New Roman"/>
                <w:szCs w:val="24"/>
                <w:lang w:eastAsia="cs-CZ"/>
              </w:rPr>
              <w:t>19 930</w:t>
            </w:r>
          </w:p>
        </w:tc>
        <w:tc>
          <w:tcPr>
            <w:tcW w:w="709" w:type="dxa"/>
            <w:tcBorders>
              <w:top w:val="nil"/>
              <w:left w:val="nil"/>
              <w:bottom w:val="double" w:sz="6" w:space="0" w:color="auto"/>
              <w:right w:val="nil"/>
            </w:tcBorders>
            <w:shd w:val="clear" w:color="auto" w:fill="auto"/>
            <w:noWrap/>
            <w:vAlign w:val="center"/>
            <w:hideMark/>
          </w:tcPr>
          <w:p w14:paraId="6B5DBF93" w14:textId="7E2043FC" w:rsidR="00C8638C" w:rsidRPr="00F15667" w:rsidRDefault="00C8638C" w:rsidP="00C17A44">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704504E9" w14:textId="77777777" w:rsidTr="00C17A44">
        <w:trPr>
          <w:gridAfter w:val="1"/>
          <w:wAfter w:w="13" w:type="dxa"/>
          <w:trHeight w:val="345"/>
        </w:trPr>
        <w:tc>
          <w:tcPr>
            <w:tcW w:w="1980" w:type="dxa"/>
            <w:tcBorders>
              <w:top w:val="nil"/>
              <w:left w:val="nil"/>
              <w:bottom w:val="double" w:sz="6" w:space="0" w:color="auto"/>
              <w:right w:val="nil"/>
            </w:tcBorders>
            <w:shd w:val="clear" w:color="auto" w:fill="auto"/>
            <w:noWrap/>
            <w:vAlign w:val="center"/>
            <w:hideMark/>
          </w:tcPr>
          <w:p w14:paraId="288F0738" w14:textId="77777777" w:rsidR="00C8638C" w:rsidRPr="00F15667" w:rsidRDefault="00C8638C" w:rsidP="00C17A4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997" w:type="dxa"/>
            <w:tcBorders>
              <w:top w:val="nil"/>
              <w:left w:val="nil"/>
              <w:bottom w:val="double" w:sz="6" w:space="0" w:color="auto"/>
              <w:right w:val="nil"/>
            </w:tcBorders>
            <w:shd w:val="clear" w:color="auto" w:fill="auto"/>
            <w:noWrap/>
            <w:vAlign w:val="center"/>
            <w:hideMark/>
          </w:tcPr>
          <w:p w14:paraId="1214BBC6" w14:textId="77777777" w:rsidR="00C8638C" w:rsidRPr="00F15667" w:rsidRDefault="00C8638C" w:rsidP="00C17A44">
            <w:pPr>
              <w:spacing w:line="240" w:lineRule="auto"/>
              <w:jc w:val="center"/>
              <w:rPr>
                <w:rFonts w:eastAsia="Times New Roman"/>
                <w:b/>
                <w:bCs/>
                <w:szCs w:val="24"/>
                <w:lang w:eastAsia="cs-CZ"/>
              </w:rPr>
            </w:pPr>
            <w:r w:rsidRPr="00F15667">
              <w:rPr>
                <w:rFonts w:eastAsia="Times New Roman"/>
                <w:b/>
                <w:bCs/>
                <w:szCs w:val="24"/>
                <w:lang w:eastAsia="cs-CZ"/>
              </w:rPr>
              <w:t>20 480</w:t>
            </w:r>
          </w:p>
        </w:tc>
        <w:tc>
          <w:tcPr>
            <w:tcW w:w="851" w:type="dxa"/>
            <w:tcBorders>
              <w:top w:val="nil"/>
              <w:left w:val="nil"/>
              <w:bottom w:val="double" w:sz="6" w:space="0" w:color="auto"/>
              <w:right w:val="nil"/>
            </w:tcBorders>
            <w:shd w:val="clear" w:color="auto" w:fill="auto"/>
            <w:noWrap/>
            <w:vAlign w:val="center"/>
            <w:hideMark/>
          </w:tcPr>
          <w:p w14:paraId="407458E5" w14:textId="36DD2876" w:rsidR="00C8638C" w:rsidRPr="00F15667" w:rsidRDefault="00C8638C"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-13 %</w:t>
            </w:r>
          </w:p>
        </w:tc>
        <w:tc>
          <w:tcPr>
            <w:tcW w:w="993" w:type="dxa"/>
            <w:tcBorders>
              <w:top w:val="nil"/>
              <w:left w:val="single" w:sz="4" w:space="0" w:color="auto"/>
              <w:bottom w:val="double" w:sz="6" w:space="0" w:color="auto"/>
              <w:right w:val="nil"/>
            </w:tcBorders>
            <w:shd w:val="clear" w:color="auto" w:fill="auto"/>
            <w:noWrap/>
            <w:vAlign w:val="center"/>
            <w:hideMark/>
          </w:tcPr>
          <w:p w14:paraId="4A832B59" w14:textId="77777777" w:rsidR="00C8638C" w:rsidRPr="00F15667" w:rsidRDefault="00C8638C" w:rsidP="00C17A44">
            <w:pPr>
              <w:spacing w:line="240" w:lineRule="auto"/>
              <w:jc w:val="center"/>
              <w:rPr>
                <w:rFonts w:eastAsia="Times New Roman"/>
                <w:b/>
                <w:bCs/>
                <w:szCs w:val="24"/>
                <w:lang w:eastAsia="cs-CZ"/>
              </w:rPr>
            </w:pPr>
            <w:r w:rsidRPr="00F15667">
              <w:rPr>
                <w:rFonts w:eastAsia="Times New Roman"/>
                <w:b/>
                <w:bCs/>
                <w:szCs w:val="24"/>
                <w:lang w:eastAsia="cs-CZ"/>
              </w:rPr>
              <w:t>24 965</w:t>
            </w:r>
          </w:p>
        </w:tc>
        <w:tc>
          <w:tcPr>
            <w:tcW w:w="708" w:type="dxa"/>
            <w:tcBorders>
              <w:top w:val="nil"/>
              <w:left w:val="nil"/>
              <w:bottom w:val="double" w:sz="6" w:space="0" w:color="auto"/>
              <w:right w:val="single" w:sz="4" w:space="0" w:color="auto"/>
            </w:tcBorders>
            <w:shd w:val="clear" w:color="auto" w:fill="auto"/>
            <w:noWrap/>
            <w:vAlign w:val="center"/>
            <w:hideMark/>
          </w:tcPr>
          <w:p w14:paraId="2522CD3A" w14:textId="5D6611E7" w:rsidR="00C8638C" w:rsidRPr="00F15667" w:rsidRDefault="00C8638C"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-6 %</w:t>
            </w:r>
          </w:p>
        </w:tc>
        <w:tc>
          <w:tcPr>
            <w:tcW w:w="988" w:type="dxa"/>
            <w:tcBorders>
              <w:top w:val="nil"/>
              <w:left w:val="nil"/>
              <w:bottom w:val="double" w:sz="6" w:space="0" w:color="auto"/>
              <w:right w:val="nil"/>
            </w:tcBorders>
            <w:shd w:val="clear" w:color="auto" w:fill="auto"/>
            <w:noWrap/>
            <w:vAlign w:val="center"/>
            <w:hideMark/>
          </w:tcPr>
          <w:p w14:paraId="4327E005" w14:textId="77777777" w:rsidR="00C8638C" w:rsidRPr="00F15667" w:rsidRDefault="00C8638C" w:rsidP="00C17A44">
            <w:pPr>
              <w:spacing w:line="240" w:lineRule="auto"/>
              <w:jc w:val="center"/>
              <w:rPr>
                <w:rFonts w:eastAsia="Times New Roman"/>
                <w:b/>
                <w:bCs/>
                <w:szCs w:val="24"/>
                <w:lang w:eastAsia="cs-CZ"/>
              </w:rPr>
            </w:pPr>
            <w:r w:rsidRPr="00F15667">
              <w:rPr>
                <w:rFonts w:eastAsia="Times New Roman"/>
                <w:b/>
                <w:bCs/>
                <w:szCs w:val="24"/>
                <w:lang w:eastAsia="cs-CZ"/>
              </w:rPr>
              <w:t>1 327</w:t>
            </w:r>
          </w:p>
        </w:tc>
        <w:tc>
          <w:tcPr>
            <w:tcW w:w="770" w:type="dxa"/>
            <w:tcBorders>
              <w:top w:val="nil"/>
              <w:left w:val="nil"/>
              <w:bottom w:val="double" w:sz="6" w:space="0" w:color="auto"/>
              <w:right w:val="single" w:sz="4" w:space="0" w:color="auto"/>
            </w:tcBorders>
            <w:shd w:val="clear" w:color="auto" w:fill="auto"/>
            <w:noWrap/>
            <w:vAlign w:val="center"/>
            <w:hideMark/>
          </w:tcPr>
          <w:p w14:paraId="6BC9F143" w14:textId="2FC9BF5C" w:rsidR="00C8638C" w:rsidRPr="00F15667" w:rsidRDefault="00C8638C"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-17 %</w:t>
            </w:r>
          </w:p>
        </w:tc>
        <w:tc>
          <w:tcPr>
            <w:tcW w:w="1072" w:type="dxa"/>
            <w:tcBorders>
              <w:top w:val="nil"/>
              <w:left w:val="nil"/>
              <w:bottom w:val="double" w:sz="6" w:space="0" w:color="auto"/>
              <w:right w:val="nil"/>
            </w:tcBorders>
            <w:shd w:val="clear" w:color="auto" w:fill="auto"/>
            <w:noWrap/>
            <w:vAlign w:val="center"/>
            <w:hideMark/>
          </w:tcPr>
          <w:p w14:paraId="3D398230" w14:textId="77777777" w:rsidR="00C8638C" w:rsidRPr="00F15667" w:rsidRDefault="00C8638C" w:rsidP="00C17A44">
            <w:pPr>
              <w:spacing w:line="240" w:lineRule="auto"/>
              <w:jc w:val="center"/>
              <w:rPr>
                <w:rFonts w:eastAsia="Times New Roman"/>
                <w:b/>
                <w:bCs/>
                <w:szCs w:val="24"/>
                <w:lang w:eastAsia="cs-CZ"/>
              </w:rPr>
            </w:pPr>
            <w:r w:rsidRPr="00F15667">
              <w:rPr>
                <w:rFonts w:eastAsia="Times New Roman"/>
                <w:b/>
                <w:bCs/>
                <w:szCs w:val="24"/>
                <w:lang w:eastAsia="cs-CZ"/>
              </w:rPr>
              <w:t>101 416</w:t>
            </w:r>
          </w:p>
        </w:tc>
        <w:tc>
          <w:tcPr>
            <w:tcW w:w="709" w:type="dxa"/>
            <w:tcBorders>
              <w:top w:val="nil"/>
              <w:left w:val="nil"/>
              <w:bottom w:val="double" w:sz="6" w:space="0" w:color="auto"/>
              <w:right w:val="nil"/>
            </w:tcBorders>
            <w:shd w:val="clear" w:color="auto" w:fill="auto"/>
            <w:noWrap/>
            <w:vAlign w:val="center"/>
            <w:hideMark/>
          </w:tcPr>
          <w:p w14:paraId="6244462D" w14:textId="69BEEA3C" w:rsidR="00C8638C" w:rsidRPr="00F15667" w:rsidRDefault="00C8638C"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-4 %</w:t>
            </w:r>
          </w:p>
        </w:tc>
      </w:tr>
      <w:tr w:rsidR="00F15667" w:rsidRPr="00F15667" w14:paraId="68494116" w14:textId="77777777" w:rsidTr="00C17A44">
        <w:trPr>
          <w:gridAfter w:val="1"/>
          <w:wAfter w:w="13" w:type="dxa"/>
          <w:trHeight w:val="330"/>
        </w:trPr>
        <w:tc>
          <w:tcPr>
            <w:tcW w:w="1980" w:type="dxa"/>
            <w:tcBorders>
              <w:top w:val="nil"/>
              <w:left w:val="nil"/>
              <w:bottom w:val="nil"/>
              <w:right w:val="nil"/>
            </w:tcBorders>
            <w:shd w:val="clear" w:color="auto" w:fill="auto"/>
            <w:noWrap/>
            <w:vAlign w:val="center"/>
            <w:hideMark/>
          </w:tcPr>
          <w:p w14:paraId="22DA534F" w14:textId="77777777" w:rsidR="00C8638C" w:rsidRPr="00F15667" w:rsidRDefault="00C8638C" w:rsidP="00C17A44">
            <w:pPr>
              <w:spacing w:line="240" w:lineRule="auto"/>
              <w:jc w:val="center"/>
              <w:rPr>
                <w:rFonts w:eastAsia="Times New Roman"/>
                <w:b/>
                <w:bCs/>
                <w:sz w:val="20"/>
                <w:szCs w:val="20"/>
                <w:lang w:eastAsia="cs-CZ"/>
              </w:rPr>
            </w:pPr>
          </w:p>
        </w:tc>
        <w:tc>
          <w:tcPr>
            <w:tcW w:w="997" w:type="dxa"/>
            <w:tcBorders>
              <w:top w:val="nil"/>
              <w:left w:val="nil"/>
              <w:bottom w:val="nil"/>
              <w:right w:val="nil"/>
            </w:tcBorders>
            <w:shd w:val="clear" w:color="auto" w:fill="auto"/>
            <w:noWrap/>
            <w:vAlign w:val="center"/>
            <w:hideMark/>
          </w:tcPr>
          <w:p w14:paraId="2CBAD07F" w14:textId="77777777" w:rsidR="00C8638C" w:rsidRPr="00F15667" w:rsidRDefault="00C8638C" w:rsidP="00C17A44">
            <w:pPr>
              <w:spacing w:line="240" w:lineRule="auto"/>
              <w:jc w:val="center"/>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center"/>
            <w:hideMark/>
          </w:tcPr>
          <w:p w14:paraId="15DD66F7" w14:textId="77777777" w:rsidR="00C8638C" w:rsidRPr="00F15667" w:rsidRDefault="00C8638C" w:rsidP="00C17A44">
            <w:pPr>
              <w:spacing w:line="240" w:lineRule="auto"/>
              <w:jc w:val="center"/>
              <w:rPr>
                <w:rFonts w:ascii="Times New Roman" w:eastAsia="Times New Roman" w:hAnsi="Times New Roman"/>
                <w:sz w:val="20"/>
                <w:szCs w:val="20"/>
                <w:lang w:eastAsia="cs-CZ"/>
              </w:rPr>
            </w:pPr>
          </w:p>
        </w:tc>
        <w:tc>
          <w:tcPr>
            <w:tcW w:w="993" w:type="dxa"/>
            <w:tcBorders>
              <w:top w:val="nil"/>
              <w:left w:val="nil"/>
              <w:bottom w:val="nil"/>
              <w:right w:val="nil"/>
            </w:tcBorders>
            <w:shd w:val="clear" w:color="auto" w:fill="auto"/>
            <w:noWrap/>
            <w:vAlign w:val="center"/>
            <w:hideMark/>
          </w:tcPr>
          <w:p w14:paraId="69C3C880" w14:textId="77777777" w:rsidR="00C8638C" w:rsidRPr="00F15667" w:rsidRDefault="00C8638C" w:rsidP="00C17A44">
            <w:pPr>
              <w:spacing w:line="240" w:lineRule="auto"/>
              <w:jc w:val="center"/>
              <w:rPr>
                <w:rFonts w:ascii="Times New Roman" w:eastAsia="Times New Roman" w:hAnsi="Times New Roman"/>
                <w:sz w:val="20"/>
                <w:szCs w:val="20"/>
                <w:lang w:eastAsia="cs-CZ"/>
              </w:rPr>
            </w:pPr>
          </w:p>
        </w:tc>
        <w:tc>
          <w:tcPr>
            <w:tcW w:w="708" w:type="dxa"/>
            <w:tcBorders>
              <w:top w:val="nil"/>
              <w:left w:val="nil"/>
              <w:bottom w:val="nil"/>
              <w:right w:val="nil"/>
            </w:tcBorders>
            <w:shd w:val="clear" w:color="auto" w:fill="auto"/>
            <w:noWrap/>
            <w:vAlign w:val="center"/>
            <w:hideMark/>
          </w:tcPr>
          <w:p w14:paraId="16EFCE3D" w14:textId="77777777" w:rsidR="00C8638C" w:rsidRPr="00F15667" w:rsidRDefault="00C8638C" w:rsidP="00C17A44">
            <w:pPr>
              <w:spacing w:line="240" w:lineRule="auto"/>
              <w:jc w:val="center"/>
              <w:rPr>
                <w:rFonts w:ascii="Times New Roman" w:eastAsia="Times New Roman" w:hAnsi="Times New Roman"/>
                <w:sz w:val="20"/>
                <w:szCs w:val="20"/>
                <w:lang w:eastAsia="cs-CZ"/>
              </w:rPr>
            </w:pPr>
          </w:p>
        </w:tc>
        <w:tc>
          <w:tcPr>
            <w:tcW w:w="988" w:type="dxa"/>
            <w:tcBorders>
              <w:top w:val="nil"/>
              <w:left w:val="nil"/>
              <w:bottom w:val="nil"/>
              <w:right w:val="nil"/>
            </w:tcBorders>
            <w:shd w:val="clear" w:color="auto" w:fill="auto"/>
            <w:noWrap/>
            <w:vAlign w:val="center"/>
            <w:hideMark/>
          </w:tcPr>
          <w:p w14:paraId="08C7B7AE" w14:textId="77777777" w:rsidR="00C8638C" w:rsidRPr="00F15667" w:rsidRDefault="00C8638C" w:rsidP="00C17A44">
            <w:pPr>
              <w:spacing w:line="240" w:lineRule="auto"/>
              <w:jc w:val="center"/>
              <w:rPr>
                <w:rFonts w:ascii="Times New Roman" w:eastAsia="Times New Roman" w:hAnsi="Times New Roman"/>
                <w:sz w:val="20"/>
                <w:szCs w:val="20"/>
                <w:lang w:eastAsia="cs-CZ"/>
              </w:rPr>
            </w:pPr>
          </w:p>
        </w:tc>
        <w:tc>
          <w:tcPr>
            <w:tcW w:w="770" w:type="dxa"/>
            <w:tcBorders>
              <w:top w:val="nil"/>
              <w:left w:val="nil"/>
              <w:bottom w:val="nil"/>
              <w:right w:val="nil"/>
            </w:tcBorders>
            <w:shd w:val="clear" w:color="auto" w:fill="auto"/>
            <w:noWrap/>
            <w:vAlign w:val="center"/>
            <w:hideMark/>
          </w:tcPr>
          <w:p w14:paraId="70DE468E" w14:textId="77777777" w:rsidR="00C8638C" w:rsidRPr="00F15667" w:rsidRDefault="00C8638C" w:rsidP="00C17A44">
            <w:pPr>
              <w:spacing w:line="240" w:lineRule="auto"/>
              <w:jc w:val="center"/>
              <w:rPr>
                <w:rFonts w:ascii="Times New Roman" w:eastAsia="Times New Roman" w:hAnsi="Times New Roman"/>
                <w:sz w:val="20"/>
                <w:szCs w:val="20"/>
                <w:lang w:eastAsia="cs-CZ"/>
              </w:rPr>
            </w:pPr>
          </w:p>
        </w:tc>
        <w:tc>
          <w:tcPr>
            <w:tcW w:w="1072" w:type="dxa"/>
            <w:tcBorders>
              <w:top w:val="nil"/>
              <w:left w:val="nil"/>
              <w:bottom w:val="nil"/>
              <w:right w:val="nil"/>
            </w:tcBorders>
            <w:shd w:val="clear" w:color="auto" w:fill="auto"/>
            <w:noWrap/>
            <w:vAlign w:val="center"/>
            <w:hideMark/>
          </w:tcPr>
          <w:p w14:paraId="1A45A635" w14:textId="77777777" w:rsidR="00C8638C" w:rsidRPr="00F15667" w:rsidRDefault="00C8638C" w:rsidP="00C17A44">
            <w:pPr>
              <w:spacing w:line="240" w:lineRule="auto"/>
              <w:jc w:val="center"/>
              <w:rPr>
                <w:rFonts w:ascii="Times New Roman" w:eastAsia="Times New Roman" w:hAnsi="Times New Roman"/>
                <w:sz w:val="20"/>
                <w:szCs w:val="20"/>
                <w:lang w:eastAsia="cs-CZ"/>
              </w:rPr>
            </w:pPr>
          </w:p>
        </w:tc>
        <w:tc>
          <w:tcPr>
            <w:tcW w:w="709" w:type="dxa"/>
            <w:tcBorders>
              <w:top w:val="nil"/>
              <w:left w:val="nil"/>
              <w:bottom w:val="nil"/>
              <w:right w:val="nil"/>
            </w:tcBorders>
            <w:shd w:val="clear" w:color="auto" w:fill="auto"/>
            <w:noWrap/>
            <w:vAlign w:val="center"/>
            <w:hideMark/>
          </w:tcPr>
          <w:p w14:paraId="7D05F307" w14:textId="77777777" w:rsidR="00C8638C" w:rsidRPr="00F15667" w:rsidRDefault="00C8638C" w:rsidP="00C17A44">
            <w:pPr>
              <w:spacing w:line="240" w:lineRule="auto"/>
              <w:jc w:val="center"/>
              <w:rPr>
                <w:rFonts w:ascii="Times New Roman" w:eastAsia="Times New Roman" w:hAnsi="Times New Roman"/>
                <w:sz w:val="20"/>
                <w:szCs w:val="20"/>
                <w:lang w:eastAsia="cs-CZ"/>
              </w:rPr>
            </w:pPr>
          </w:p>
        </w:tc>
      </w:tr>
    </w:tbl>
    <w:p w14:paraId="028B5156" w14:textId="552386A3" w:rsidR="0091517E" w:rsidRPr="00F15667" w:rsidRDefault="0091517E" w:rsidP="0091517E">
      <w:pPr>
        <w:pStyle w:val="OdstavecASR"/>
      </w:pPr>
      <w:r w:rsidRPr="00F15667">
        <w:t xml:space="preserve">Počet napadlých věcí v prvních letech logicky stoupal, protože se jednalo o novou agendu. Změnu trendu v roce 2013 můžeme připsat změnám v ekonomické situaci v ČR, zejména </w:t>
      </w:r>
      <w:r w:rsidR="00942400" w:rsidRPr="00F15667">
        <w:t xml:space="preserve">ovšem </w:t>
      </w:r>
      <w:r w:rsidRPr="00F15667">
        <w:t>tomu, že „zásoba“ osob, které se před rokem 2008 dostaly do úpadkové situace a byly schopny ji řešit oddlužením, se vyčerpala, a nově tedy již jde jen o navrhovatele, kteří k rozhodnutí o podání insolvenčního návrhu dospěli až v daném roce. Časová řada počtu nevyřízených věcí před rozhodnutím o úpadku má podobný průběh se zpožděním, což je vzhledem k rychlosti vyřizování insolvenčních návrhů logické. Počet vyřízených věcí rostl v letech 2016 až 2019, protože celé insolvenční řízení trvá několik let. Ve vyřízených věcech se tedy odrážel rostoucí nápad z let 2010 až 2013. Počet nevyřízených věcí po rozhodnutí o úpadku z podobných důvodů rostl až do roku 2016. Druhá fáze insolvenčního řízení totiž trvá relativně dlouho a nevyřízené věci po rozhodnutí o úpadku se tak postupně kumulovaly, což je efekt, který trval asi pět let. V roce 2017 se proto počet nevyřízených věcí po úpadku stabilizoval. Již zde „vyprchal“ efekt rostoucího nápadu do roku 2013. V roce 2018 pak počet nevyřízených věcí začal klesat, a to u všech soudů s výjimkou MS Praha. Vzhledem k novelám insolvenčního zákona je složitější odhadnout vývoj této proměnné v dalších letech. Novela účinná od 1. 7. 2017 mimo jiné zpřísnila podmínky pro podání insolvenčního návrhu u fyzických osob. Měsíční data za rok 2017 a 2018 ukázala, že to vedlo k velkému růstu nápadu před účinností novely, tedy v červnu 2017. Poté došlo k prudkému poklesu v nápadu. V součtu se tento efekt později projevil dalším snížením v počtu nevyřízených věcí po rozhodnutí o úpadku. V následujících měsících nápad opět postupně rostl a přibližoval se tak hodnotám před červnem 2017. Měsíční nápad ale stále byl v průměru nižší, než byl před novelou. Další novela insolvenční zákona je účinná od 1. 6. 2019, jak bylo uvedeno výše. Po účinnosti této novely došlo k velmi prudkému nárůstu v počtu napadlých věcí, a to především v prvních měsících. To se pak samozřejmě projevilo i v počtu nevyřízených věcí.</w:t>
      </w:r>
    </w:p>
    <w:p w14:paraId="35BC07D7" w14:textId="77C6B928" w:rsidR="0091517E" w:rsidRPr="00F15667" w:rsidRDefault="0091517E" w:rsidP="0091517E">
      <w:pPr>
        <w:pStyle w:val="OdstavecASR"/>
      </w:pPr>
      <w:r w:rsidRPr="00F15667">
        <w:t>V letech 2020 a 2021 došlo k poklesu v nápadu o 13 %, respektive 12 %. Nápad klesl u všech soudů. Byť je u insolvenční agendy obtížné jednoznačně určit zdroj poklesu s ohledem na legislativní změny z posledních let, lze předpokládat, že citelný dopad měla pandemie COVID</w:t>
      </w:r>
      <w:r w:rsidRPr="00F15667">
        <w:noBreakHyphen/>
        <w:t xml:space="preserve">19 a zejména pak „lex covid justice“, který mimo jiné upravoval ochranný institut mimořádného moratoria a pozastavoval povinnost dlužníka podat na sebe insolvenční návrh. </w:t>
      </w:r>
      <w:r w:rsidR="00743C4C" w:rsidRPr="00F15667">
        <w:t xml:space="preserve">V roce 2022 pokles </w:t>
      </w:r>
      <w:r w:rsidR="00743C4C" w:rsidRPr="00F15667">
        <w:lastRenderedPageBreak/>
        <w:t xml:space="preserve">pokračoval a došlo k dalšímu poklesu o 13 %. Opět došlo k poklesu u všech soudů, a to v rozmezí </w:t>
      </w:r>
      <w:r w:rsidR="00332DB3" w:rsidRPr="00F15667">
        <w:t>o</w:t>
      </w:r>
      <w:r w:rsidR="00743C4C" w:rsidRPr="00F15667">
        <w:t>d 11 do 16 %.</w:t>
      </w:r>
    </w:p>
    <w:p w14:paraId="0381D8DB" w14:textId="578FF164" w:rsidR="008430BD" w:rsidRPr="00F15667" w:rsidRDefault="008430BD" w:rsidP="008430BD">
      <w:pPr>
        <w:pStyle w:val="Nadpis3"/>
        <w:numPr>
          <w:ilvl w:val="2"/>
          <w:numId w:val="1"/>
        </w:numPr>
        <w:rPr>
          <w:color w:val="auto"/>
        </w:rPr>
      </w:pPr>
      <w:bookmarkStart w:id="958" w:name="_Toc515871275"/>
      <w:bookmarkStart w:id="959" w:name="_Toc106092782"/>
      <w:bookmarkStart w:id="960" w:name="_Toc144104395"/>
      <w:r w:rsidRPr="00F15667">
        <w:rPr>
          <w:color w:val="auto"/>
        </w:rPr>
        <w:t>Vyřizování věcí v přepočtu na soudce</w:t>
      </w:r>
      <w:bookmarkEnd w:id="958"/>
      <w:bookmarkEnd w:id="959"/>
      <w:bookmarkEnd w:id="960"/>
    </w:p>
    <w:p w14:paraId="529FB641" w14:textId="77777777" w:rsidR="00332DB3" w:rsidRPr="00F15667" w:rsidRDefault="00332DB3" w:rsidP="00C17A44">
      <w:pPr>
        <w:pStyle w:val="OdstavecASR"/>
      </w:pPr>
      <w:r w:rsidRPr="00F15667">
        <w:t>Stejně jako u ostatních agend má Ministerstvo spravedlnosti od roku 2019 k dispozici detailnější statistická data o počtu soudců na insolvenčních úsecích soudů.</w:t>
      </w:r>
    </w:p>
    <w:p w14:paraId="482C760D" w14:textId="4873DF64" w:rsidR="00332DB3" w:rsidRPr="00F15667" w:rsidRDefault="00332DB3" w:rsidP="00332DB3">
      <w:pPr>
        <w:pStyle w:val="Podnadpis"/>
        <w:rPr>
          <w:color w:val="auto"/>
        </w:rPr>
      </w:pPr>
      <w:bookmarkStart w:id="961" w:name="_Toc144104313"/>
      <w:r w:rsidRPr="00F15667">
        <w:rPr>
          <w:color w:val="auto"/>
        </w:rPr>
        <w:t xml:space="preserve">Tabulka </w:t>
      </w:r>
      <w:r w:rsidR="0034306F" w:rsidRPr="00F15667">
        <w:rPr>
          <w:color w:val="auto"/>
        </w:rPr>
        <w:fldChar w:fldCharType="begin"/>
      </w:r>
      <w:r w:rsidR="0034306F" w:rsidRPr="00F15667">
        <w:rPr>
          <w:color w:val="auto"/>
        </w:rPr>
        <w:instrText xml:space="preserve"> SEQ Tabulka \* ARABIC </w:instrText>
      </w:r>
      <w:r w:rsidR="0034306F" w:rsidRPr="00F15667">
        <w:rPr>
          <w:color w:val="auto"/>
        </w:rPr>
        <w:fldChar w:fldCharType="separate"/>
      </w:r>
      <w:r w:rsidR="001E1A67">
        <w:rPr>
          <w:noProof/>
          <w:color w:val="auto"/>
        </w:rPr>
        <w:t>74</w:t>
      </w:r>
      <w:r w:rsidR="0034306F" w:rsidRPr="00F15667">
        <w:rPr>
          <w:noProof/>
          <w:color w:val="auto"/>
        </w:rPr>
        <w:fldChar w:fldCharType="end"/>
      </w:r>
      <w:r w:rsidRPr="00F15667">
        <w:rPr>
          <w:color w:val="auto"/>
        </w:rPr>
        <w:t>: KS – vyřizování insolvenčních věcí na skutečný úvazek dle soudů</w:t>
      </w:r>
      <w:bookmarkEnd w:id="961"/>
    </w:p>
    <w:tbl>
      <w:tblPr>
        <w:tblW w:w="9171" w:type="dxa"/>
        <w:tblCellMar>
          <w:left w:w="70" w:type="dxa"/>
          <w:right w:w="70" w:type="dxa"/>
        </w:tblCellMar>
        <w:tblLook w:val="04A0" w:firstRow="1" w:lastRow="0" w:firstColumn="1" w:lastColumn="0" w:noHBand="0" w:noVBand="1"/>
      </w:tblPr>
      <w:tblGrid>
        <w:gridCol w:w="2060"/>
        <w:gridCol w:w="1020"/>
        <w:gridCol w:w="1173"/>
        <w:gridCol w:w="946"/>
        <w:gridCol w:w="1038"/>
        <w:gridCol w:w="851"/>
        <w:gridCol w:w="1134"/>
        <w:gridCol w:w="942"/>
        <w:gridCol w:w="7"/>
      </w:tblGrid>
      <w:tr w:rsidR="00F15667" w:rsidRPr="00F15667" w14:paraId="3C0DAA5E" w14:textId="77777777" w:rsidTr="00C17A44">
        <w:trPr>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3181543E" w14:textId="19D688C2" w:rsidR="00A779CD" w:rsidRPr="00F15667" w:rsidRDefault="00C17A44" w:rsidP="00C17A44">
            <w:pPr>
              <w:spacing w:line="240" w:lineRule="auto"/>
              <w:jc w:val="center"/>
              <w:rPr>
                <w:rFonts w:eastAsia="Times New Roman"/>
                <w:b/>
                <w:bCs/>
                <w:szCs w:val="24"/>
                <w:lang w:eastAsia="cs-CZ"/>
              </w:rPr>
            </w:pPr>
            <w:r>
              <w:rPr>
                <w:rFonts w:eastAsia="Times New Roman"/>
                <w:b/>
                <w:bCs/>
                <w:szCs w:val="24"/>
                <w:lang w:eastAsia="cs-CZ"/>
              </w:rPr>
              <w:t>S</w:t>
            </w:r>
            <w:r w:rsidR="00A779CD" w:rsidRPr="00F15667">
              <w:rPr>
                <w:rFonts w:eastAsia="Times New Roman"/>
                <w:b/>
                <w:bCs/>
                <w:szCs w:val="24"/>
                <w:lang w:eastAsia="cs-CZ"/>
              </w:rPr>
              <w:t>oud</w:t>
            </w:r>
          </w:p>
        </w:tc>
        <w:tc>
          <w:tcPr>
            <w:tcW w:w="1020" w:type="dxa"/>
            <w:vMerge w:val="restart"/>
            <w:tcBorders>
              <w:top w:val="double" w:sz="6" w:space="0" w:color="auto"/>
              <w:left w:val="nil"/>
              <w:bottom w:val="double" w:sz="6" w:space="0" w:color="000000"/>
              <w:right w:val="nil"/>
            </w:tcBorders>
            <w:shd w:val="clear" w:color="auto" w:fill="auto"/>
            <w:vAlign w:val="center"/>
            <w:hideMark/>
          </w:tcPr>
          <w:p w14:paraId="4989AE35" w14:textId="77777777" w:rsidR="00A779CD" w:rsidRPr="00F15667" w:rsidRDefault="00A779CD" w:rsidP="00C17A44">
            <w:pPr>
              <w:spacing w:line="240" w:lineRule="auto"/>
              <w:jc w:val="center"/>
              <w:rPr>
                <w:rFonts w:eastAsia="Times New Roman"/>
                <w:b/>
                <w:bCs/>
                <w:szCs w:val="24"/>
                <w:lang w:eastAsia="cs-CZ"/>
              </w:rPr>
            </w:pPr>
            <w:r w:rsidRPr="00F15667">
              <w:rPr>
                <w:rFonts w:eastAsia="Times New Roman"/>
                <w:b/>
                <w:bCs/>
                <w:szCs w:val="24"/>
                <w:lang w:eastAsia="cs-CZ"/>
              </w:rPr>
              <w:t>Počet úvazků</w:t>
            </w:r>
          </w:p>
        </w:tc>
        <w:tc>
          <w:tcPr>
            <w:tcW w:w="6091" w:type="dxa"/>
            <w:gridSpan w:val="7"/>
            <w:tcBorders>
              <w:top w:val="double" w:sz="6" w:space="0" w:color="auto"/>
              <w:left w:val="nil"/>
              <w:bottom w:val="nil"/>
              <w:right w:val="nil"/>
            </w:tcBorders>
            <w:shd w:val="clear" w:color="auto" w:fill="auto"/>
            <w:noWrap/>
            <w:vAlign w:val="center"/>
            <w:hideMark/>
          </w:tcPr>
          <w:p w14:paraId="41ECFF5F" w14:textId="1BE5C13B" w:rsidR="00A779CD" w:rsidRPr="00F15667" w:rsidRDefault="00A779CD" w:rsidP="00C17A44">
            <w:pPr>
              <w:spacing w:line="240" w:lineRule="auto"/>
              <w:jc w:val="center"/>
              <w:rPr>
                <w:rFonts w:eastAsia="Times New Roman"/>
                <w:b/>
                <w:bCs/>
                <w:szCs w:val="24"/>
                <w:lang w:eastAsia="cs-CZ"/>
              </w:rPr>
            </w:pPr>
            <w:r w:rsidRPr="00F15667">
              <w:rPr>
                <w:rFonts w:eastAsia="Times New Roman"/>
                <w:b/>
                <w:bCs/>
                <w:szCs w:val="24"/>
                <w:lang w:eastAsia="cs-CZ"/>
              </w:rPr>
              <w:t xml:space="preserve">Počet věcí na </w:t>
            </w:r>
            <w:r w:rsidR="00B32B1C">
              <w:rPr>
                <w:rFonts w:eastAsia="Times New Roman"/>
                <w:b/>
                <w:bCs/>
                <w:szCs w:val="24"/>
                <w:lang w:eastAsia="cs-CZ"/>
              </w:rPr>
              <w:t>úvazek</w:t>
            </w:r>
          </w:p>
        </w:tc>
      </w:tr>
      <w:tr w:rsidR="00F15667" w:rsidRPr="00F15667" w14:paraId="0E9B7359" w14:textId="77777777" w:rsidTr="00C17A44">
        <w:trPr>
          <w:gridAfter w:val="1"/>
          <w:wAfter w:w="7" w:type="dxa"/>
          <w:trHeight w:val="960"/>
        </w:trPr>
        <w:tc>
          <w:tcPr>
            <w:tcW w:w="2060" w:type="dxa"/>
            <w:vMerge/>
            <w:tcBorders>
              <w:top w:val="double" w:sz="6" w:space="0" w:color="auto"/>
              <w:left w:val="nil"/>
              <w:bottom w:val="double" w:sz="6" w:space="0" w:color="000000"/>
              <w:right w:val="nil"/>
            </w:tcBorders>
            <w:vAlign w:val="center"/>
            <w:hideMark/>
          </w:tcPr>
          <w:p w14:paraId="734D9D3B" w14:textId="77777777" w:rsidR="00A779CD" w:rsidRPr="00F15667" w:rsidRDefault="00A779CD" w:rsidP="00C17A44">
            <w:pPr>
              <w:spacing w:line="240" w:lineRule="auto"/>
              <w:jc w:val="center"/>
              <w:rPr>
                <w:rFonts w:eastAsia="Times New Roman"/>
                <w:b/>
                <w:bCs/>
                <w:szCs w:val="24"/>
                <w:lang w:eastAsia="cs-CZ"/>
              </w:rPr>
            </w:pPr>
          </w:p>
        </w:tc>
        <w:tc>
          <w:tcPr>
            <w:tcW w:w="1020" w:type="dxa"/>
            <w:vMerge/>
            <w:tcBorders>
              <w:top w:val="double" w:sz="6" w:space="0" w:color="auto"/>
              <w:left w:val="nil"/>
              <w:bottom w:val="double" w:sz="6" w:space="0" w:color="000000"/>
              <w:right w:val="nil"/>
            </w:tcBorders>
            <w:vAlign w:val="center"/>
            <w:hideMark/>
          </w:tcPr>
          <w:p w14:paraId="0395CC69" w14:textId="77777777" w:rsidR="00A779CD" w:rsidRPr="00F15667" w:rsidRDefault="00A779CD" w:rsidP="00C17A44">
            <w:pPr>
              <w:spacing w:line="240" w:lineRule="auto"/>
              <w:jc w:val="center"/>
              <w:rPr>
                <w:rFonts w:eastAsia="Times New Roman"/>
                <w:b/>
                <w:bCs/>
                <w:szCs w:val="24"/>
                <w:lang w:eastAsia="cs-CZ"/>
              </w:rPr>
            </w:pPr>
          </w:p>
        </w:tc>
        <w:tc>
          <w:tcPr>
            <w:tcW w:w="2119" w:type="dxa"/>
            <w:gridSpan w:val="2"/>
            <w:tcBorders>
              <w:top w:val="nil"/>
              <w:left w:val="nil"/>
              <w:bottom w:val="double" w:sz="6" w:space="0" w:color="auto"/>
              <w:right w:val="nil"/>
            </w:tcBorders>
            <w:shd w:val="clear" w:color="auto" w:fill="auto"/>
            <w:noWrap/>
            <w:vAlign w:val="center"/>
            <w:hideMark/>
          </w:tcPr>
          <w:p w14:paraId="24CF81E2" w14:textId="77777777" w:rsidR="00A779CD" w:rsidRPr="00F15667" w:rsidRDefault="00A779CD" w:rsidP="00C17A44">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88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7B6753F" w14:textId="77777777" w:rsidR="00A779CD" w:rsidRPr="00F15667" w:rsidRDefault="00A779CD" w:rsidP="00C17A44">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2076" w:type="dxa"/>
            <w:gridSpan w:val="2"/>
            <w:tcBorders>
              <w:top w:val="nil"/>
              <w:left w:val="nil"/>
              <w:bottom w:val="double" w:sz="6" w:space="0" w:color="auto"/>
              <w:right w:val="nil"/>
            </w:tcBorders>
            <w:shd w:val="clear" w:color="auto" w:fill="auto"/>
            <w:vAlign w:val="center"/>
            <w:hideMark/>
          </w:tcPr>
          <w:p w14:paraId="3DBCC9EE" w14:textId="77777777" w:rsidR="00A779CD" w:rsidRPr="00F15667" w:rsidRDefault="00A779CD" w:rsidP="00C17A44">
            <w:pPr>
              <w:spacing w:line="240" w:lineRule="auto"/>
              <w:jc w:val="center"/>
              <w:rPr>
                <w:rFonts w:eastAsia="Times New Roman"/>
                <w:b/>
                <w:bCs/>
                <w:szCs w:val="24"/>
                <w:lang w:eastAsia="cs-CZ"/>
              </w:rPr>
            </w:pPr>
            <w:r w:rsidRPr="00F15667">
              <w:rPr>
                <w:rFonts w:eastAsia="Times New Roman"/>
                <w:b/>
                <w:bCs/>
                <w:szCs w:val="24"/>
                <w:lang w:eastAsia="cs-CZ"/>
              </w:rPr>
              <w:t>Nevyřízeno před rozh. o úpadku</w:t>
            </w:r>
          </w:p>
        </w:tc>
      </w:tr>
      <w:tr w:rsidR="00F15667" w:rsidRPr="00F15667" w14:paraId="24140FFB" w14:textId="77777777" w:rsidTr="00C17A44">
        <w:trPr>
          <w:trHeight w:val="330"/>
        </w:trPr>
        <w:tc>
          <w:tcPr>
            <w:tcW w:w="2060" w:type="dxa"/>
            <w:tcBorders>
              <w:top w:val="single" w:sz="4" w:space="0" w:color="auto"/>
              <w:left w:val="nil"/>
              <w:bottom w:val="single" w:sz="4" w:space="0" w:color="auto"/>
              <w:right w:val="nil"/>
            </w:tcBorders>
            <w:shd w:val="clear" w:color="auto" w:fill="auto"/>
            <w:noWrap/>
            <w:vAlign w:val="center"/>
            <w:hideMark/>
          </w:tcPr>
          <w:p w14:paraId="7CA4E689" w14:textId="77777777" w:rsidR="00A779CD" w:rsidRPr="00F15667" w:rsidRDefault="00A779CD" w:rsidP="00C17A44">
            <w:pPr>
              <w:spacing w:line="240" w:lineRule="auto"/>
              <w:jc w:val="left"/>
              <w:rPr>
                <w:rFonts w:eastAsia="Times New Roman"/>
                <w:szCs w:val="24"/>
                <w:lang w:eastAsia="cs-CZ"/>
              </w:rPr>
            </w:pPr>
            <w:r w:rsidRPr="00F15667">
              <w:rPr>
                <w:rFonts w:eastAsia="Times New Roman"/>
                <w:szCs w:val="24"/>
                <w:lang w:eastAsia="cs-CZ"/>
              </w:rPr>
              <w:t>MS Praha</w:t>
            </w:r>
          </w:p>
        </w:tc>
        <w:tc>
          <w:tcPr>
            <w:tcW w:w="1020" w:type="dxa"/>
            <w:tcBorders>
              <w:top w:val="single" w:sz="4" w:space="0" w:color="auto"/>
              <w:left w:val="nil"/>
              <w:bottom w:val="single" w:sz="4" w:space="0" w:color="auto"/>
              <w:right w:val="nil"/>
            </w:tcBorders>
            <w:shd w:val="clear" w:color="auto" w:fill="auto"/>
            <w:vAlign w:val="center"/>
            <w:hideMark/>
          </w:tcPr>
          <w:p w14:paraId="5D2D015D" w14:textId="4C5F14FD"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17</w:t>
            </w:r>
            <w:r w:rsidR="00371782" w:rsidRPr="00F15667">
              <w:rPr>
                <w:rFonts w:eastAsia="Times New Roman"/>
                <w:szCs w:val="24"/>
                <w:lang w:eastAsia="cs-CZ"/>
              </w:rPr>
              <w:t>,</w:t>
            </w:r>
            <w:r w:rsidRPr="00F15667">
              <w:rPr>
                <w:rFonts w:eastAsia="Times New Roman"/>
                <w:szCs w:val="24"/>
                <w:lang w:eastAsia="cs-CZ"/>
              </w:rPr>
              <w:t>3</w:t>
            </w:r>
          </w:p>
        </w:tc>
        <w:tc>
          <w:tcPr>
            <w:tcW w:w="1173" w:type="dxa"/>
            <w:tcBorders>
              <w:top w:val="single" w:sz="4" w:space="0" w:color="auto"/>
              <w:left w:val="nil"/>
              <w:bottom w:val="single" w:sz="4" w:space="0" w:color="auto"/>
              <w:right w:val="nil"/>
            </w:tcBorders>
            <w:shd w:val="clear" w:color="auto" w:fill="auto"/>
            <w:noWrap/>
            <w:vAlign w:val="center"/>
            <w:hideMark/>
          </w:tcPr>
          <w:p w14:paraId="229A46B2" w14:textId="1C0DCA5F"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131</w:t>
            </w:r>
            <w:r w:rsidR="00371782" w:rsidRPr="00F15667">
              <w:rPr>
                <w:rFonts w:eastAsia="Times New Roman"/>
                <w:szCs w:val="24"/>
                <w:lang w:eastAsia="cs-CZ"/>
              </w:rPr>
              <w:t>,</w:t>
            </w:r>
            <w:r w:rsidRPr="00F15667">
              <w:rPr>
                <w:rFonts w:eastAsia="Times New Roman"/>
                <w:szCs w:val="24"/>
                <w:lang w:eastAsia="cs-CZ"/>
              </w:rPr>
              <w:t>39</w:t>
            </w:r>
          </w:p>
        </w:tc>
        <w:tc>
          <w:tcPr>
            <w:tcW w:w="946" w:type="dxa"/>
            <w:tcBorders>
              <w:top w:val="single" w:sz="4" w:space="0" w:color="auto"/>
              <w:left w:val="nil"/>
              <w:bottom w:val="single" w:sz="4" w:space="0" w:color="auto"/>
              <w:right w:val="nil"/>
            </w:tcBorders>
            <w:shd w:val="clear" w:color="auto" w:fill="auto"/>
            <w:noWrap/>
            <w:vAlign w:val="center"/>
            <w:hideMark/>
          </w:tcPr>
          <w:p w14:paraId="1396E273" w14:textId="56494853"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038" w:type="dxa"/>
            <w:tcBorders>
              <w:top w:val="nil"/>
              <w:left w:val="single" w:sz="4" w:space="0" w:color="auto"/>
              <w:bottom w:val="single" w:sz="4" w:space="0" w:color="auto"/>
              <w:right w:val="nil"/>
            </w:tcBorders>
            <w:shd w:val="clear" w:color="auto" w:fill="auto"/>
            <w:noWrap/>
            <w:vAlign w:val="center"/>
            <w:hideMark/>
          </w:tcPr>
          <w:p w14:paraId="1E7A09B4" w14:textId="5E76A810"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131</w:t>
            </w:r>
            <w:r w:rsidR="00371782" w:rsidRPr="00F15667">
              <w:rPr>
                <w:rFonts w:eastAsia="Times New Roman"/>
                <w:szCs w:val="24"/>
                <w:lang w:eastAsia="cs-CZ"/>
              </w:rPr>
              <w:t>,</w:t>
            </w:r>
            <w:r w:rsidRPr="00F15667">
              <w:rPr>
                <w:rFonts w:eastAsia="Times New Roman"/>
                <w:szCs w:val="24"/>
                <w:lang w:eastAsia="cs-CZ"/>
              </w:rPr>
              <w:t>50</w:t>
            </w:r>
          </w:p>
        </w:tc>
        <w:tc>
          <w:tcPr>
            <w:tcW w:w="851" w:type="dxa"/>
            <w:tcBorders>
              <w:top w:val="nil"/>
              <w:left w:val="nil"/>
              <w:bottom w:val="single" w:sz="4" w:space="0" w:color="auto"/>
              <w:right w:val="single" w:sz="4" w:space="0" w:color="auto"/>
            </w:tcBorders>
            <w:shd w:val="clear" w:color="auto" w:fill="auto"/>
            <w:noWrap/>
            <w:vAlign w:val="center"/>
            <w:hideMark/>
          </w:tcPr>
          <w:p w14:paraId="4AD31382" w14:textId="54688DCA"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-27 %</w:t>
            </w:r>
          </w:p>
        </w:tc>
        <w:tc>
          <w:tcPr>
            <w:tcW w:w="1134" w:type="dxa"/>
            <w:tcBorders>
              <w:top w:val="single" w:sz="4" w:space="0" w:color="auto"/>
              <w:left w:val="nil"/>
              <w:bottom w:val="single" w:sz="4" w:space="0" w:color="auto"/>
              <w:right w:val="nil"/>
            </w:tcBorders>
            <w:shd w:val="clear" w:color="auto" w:fill="auto"/>
            <w:noWrap/>
            <w:vAlign w:val="center"/>
            <w:hideMark/>
          </w:tcPr>
          <w:p w14:paraId="1EA04941" w14:textId="5371BE5A"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13</w:t>
            </w:r>
            <w:r w:rsidR="00371782" w:rsidRPr="00F15667">
              <w:rPr>
                <w:rFonts w:eastAsia="Times New Roman"/>
                <w:szCs w:val="24"/>
                <w:lang w:eastAsia="cs-CZ"/>
              </w:rPr>
              <w:t>,</w:t>
            </w:r>
            <w:r w:rsidRPr="00F15667">
              <w:rPr>
                <w:rFonts w:eastAsia="Times New Roman"/>
                <w:szCs w:val="24"/>
                <w:lang w:eastAsia="cs-CZ"/>
              </w:rPr>
              <w:t>99</w:t>
            </w:r>
          </w:p>
        </w:tc>
        <w:tc>
          <w:tcPr>
            <w:tcW w:w="946" w:type="dxa"/>
            <w:gridSpan w:val="2"/>
            <w:tcBorders>
              <w:top w:val="single" w:sz="4" w:space="0" w:color="auto"/>
              <w:left w:val="nil"/>
              <w:bottom w:val="single" w:sz="4" w:space="0" w:color="auto"/>
              <w:right w:val="nil"/>
            </w:tcBorders>
            <w:shd w:val="clear" w:color="auto" w:fill="auto"/>
            <w:noWrap/>
            <w:vAlign w:val="center"/>
            <w:hideMark/>
          </w:tcPr>
          <w:p w14:paraId="06271317" w14:textId="4A145EF7"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-1 %</w:t>
            </w:r>
          </w:p>
        </w:tc>
      </w:tr>
      <w:tr w:rsidR="00F15667" w:rsidRPr="00F15667" w14:paraId="2F7D9CA6"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30B5D39F" w14:textId="77777777" w:rsidR="00A779CD" w:rsidRPr="00F15667" w:rsidRDefault="00A779CD" w:rsidP="00C17A44">
            <w:pPr>
              <w:spacing w:line="240" w:lineRule="auto"/>
              <w:jc w:val="left"/>
              <w:rPr>
                <w:rFonts w:eastAsia="Times New Roman"/>
                <w:szCs w:val="24"/>
                <w:lang w:eastAsia="cs-CZ"/>
              </w:rPr>
            </w:pPr>
            <w:r w:rsidRPr="00F15667">
              <w:rPr>
                <w:rFonts w:eastAsia="Times New Roman"/>
                <w:szCs w:val="24"/>
                <w:lang w:eastAsia="cs-CZ"/>
              </w:rPr>
              <w:t>KS Praha</w:t>
            </w:r>
          </w:p>
        </w:tc>
        <w:tc>
          <w:tcPr>
            <w:tcW w:w="1020" w:type="dxa"/>
            <w:tcBorders>
              <w:top w:val="nil"/>
              <w:left w:val="nil"/>
              <w:bottom w:val="single" w:sz="4" w:space="0" w:color="auto"/>
              <w:right w:val="nil"/>
            </w:tcBorders>
            <w:shd w:val="clear" w:color="auto" w:fill="auto"/>
            <w:vAlign w:val="center"/>
            <w:hideMark/>
          </w:tcPr>
          <w:p w14:paraId="4A844085" w14:textId="1D91B3DB"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11</w:t>
            </w:r>
            <w:r w:rsidR="00371782" w:rsidRPr="00F15667">
              <w:rPr>
                <w:rFonts w:eastAsia="Times New Roman"/>
                <w:szCs w:val="24"/>
                <w:lang w:eastAsia="cs-CZ"/>
              </w:rPr>
              <w:t>,</w:t>
            </w:r>
            <w:r w:rsidRPr="00F15667">
              <w:rPr>
                <w:rFonts w:eastAsia="Times New Roman"/>
                <w:szCs w:val="24"/>
                <w:lang w:eastAsia="cs-CZ"/>
              </w:rPr>
              <w:t>3</w:t>
            </w:r>
          </w:p>
        </w:tc>
        <w:tc>
          <w:tcPr>
            <w:tcW w:w="1173" w:type="dxa"/>
            <w:tcBorders>
              <w:top w:val="nil"/>
              <w:left w:val="nil"/>
              <w:bottom w:val="single" w:sz="4" w:space="0" w:color="auto"/>
              <w:right w:val="nil"/>
            </w:tcBorders>
            <w:shd w:val="clear" w:color="auto" w:fill="auto"/>
            <w:noWrap/>
            <w:vAlign w:val="center"/>
            <w:hideMark/>
          </w:tcPr>
          <w:p w14:paraId="4EAC0C47" w14:textId="140FADDB"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214</w:t>
            </w:r>
            <w:r w:rsidR="00371782" w:rsidRPr="00F15667">
              <w:rPr>
                <w:rFonts w:eastAsia="Times New Roman"/>
                <w:szCs w:val="24"/>
                <w:lang w:eastAsia="cs-CZ"/>
              </w:rPr>
              <w:t>,</w:t>
            </w:r>
            <w:r w:rsidRPr="00F15667">
              <w:rPr>
                <w:rFonts w:eastAsia="Times New Roman"/>
                <w:szCs w:val="24"/>
                <w:lang w:eastAsia="cs-CZ"/>
              </w:rPr>
              <w:t>96</w:t>
            </w:r>
          </w:p>
        </w:tc>
        <w:tc>
          <w:tcPr>
            <w:tcW w:w="946" w:type="dxa"/>
            <w:tcBorders>
              <w:top w:val="nil"/>
              <w:left w:val="nil"/>
              <w:bottom w:val="single" w:sz="4" w:space="0" w:color="auto"/>
              <w:right w:val="nil"/>
            </w:tcBorders>
            <w:shd w:val="clear" w:color="auto" w:fill="auto"/>
            <w:noWrap/>
            <w:vAlign w:val="center"/>
            <w:hideMark/>
          </w:tcPr>
          <w:p w14:paraId="395FD117" w14:textId="0A8C08BE"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038" w:type="dxa"/>
            <w:tcBorders>
              <w:top w:val="nil"/>
              <w:left w:val="single" w:sz="4" w:space="0" w:color="auto"/>
              <w:bottom w:val="single" w:sz="4" w:space="0" w:color="auto"/>
              <w:right w:val="nil"/>
            </w:tcBorders>
            <w:shd w:val="clear" w:color="auto" w:fill="auto"/>
            <w:noWrap/>
            <w:vAlign w:val="center"/>
            <w:hideMark/>
          </w:tcPr>
          <w:p w14:paraId="2BE53C45" w14:textId="2337C71D"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254</w:t>
            </w:r>
            <w:r w:rsidR="00371782" w:rsidRPr="00F15667">
              <w:rPr>
                <w:rFonts w:eastAsia="Times New Roman"/>
                <w:szCs w:val="24"/>
                <w:lang w:eastAsia="cs-CZ"/>
              </w:rPr>
              <w:t>,</w:t>
            </w:r>
            <w:r w:rsidRPr="00F15667">
              <w:rPr>
                <w:rFonts w:eastAsia="Times New Roman"/>
                <w:szCs w:val="24"/>
                <w:lang w:eastAsia="cs-CZ"/>
              </w:rPr>
              <w:t>69</w:t>
            </w:r>
          </w:p>
        </w:tc>
        <w:tc>
          <w:tcPr>
            <w:tcW w:w="851" w:type="dxa"/>
            <w:tcBorders>
              <w:top w:val="nil"/>
              <w:left w:val="nil"/>
              <w:bottom w:val="single" w:sz="4" w:space="0" w:color="auto"/>
              <w:right w:val="single" w:sz="4" w:space="0" w:color="auto"/>
            </w:tcBorders>
            <w:shd w:val="clear" w:color="auto" w:fill="auto"/>
            <w:noWrap/>
            <w:vAlign w:val="center"/>
            <w:hideMark/>
          </w:tcPr>
          <w:p w14:paraId="1445DF89" w14:textId="393820CA"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134" w:type="dxa"/>
            <w:tcBorders>
              <w:top w:val="nil"/>
              <w:left w:val="nil"/>
              <w:bottom w:val="single" w:sz="4" w:space="0" w:color="auto"/>
              <w:right w:val="nil"/>
            </w:tcBorders>
            <w:shd w:val="clear" w:color="auto" w:fill="auto"/>
            <w:noWrap/>
            <w:vAlign w:val="center"/>
            <w:hideMark/>
          </w:tcPr>
          <w:p w14:paraId="579D54A6" w14:textId="4A79E930"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11</w:t>
            </w:r>
            <w:r w:rsidR="00371782" w:rsidRPr="00F15667">
              <w:rPr>
                <w:rFonts w:eastAsia="Times New Roman"/>
                <w:szCs w:val="24"/>
                <w:lang w:eastAsia="cs-CZ"/>
              </w:rPr>
              <w:t>,</w:t>
            </w:r>
            <w:r w:rsidRPr="00F15667">
              <w:rPr>
                <w:rFonts w:eastAsia="Times New Roman"/>
                <w:szCs w:val="24"/>
                <w:lang w:eastAsia="cs-CZ"/>
              </w:rPr>
              <w:t>06</w:t>
            </w:r>
          </w:p>
        </w:tc>
        <w:tc>
          <w:tcPr>
            <w:tcW w:w="946" w:type="dxa"/>
            <w:gridSpan w:val="2"/>
            <w:tcBorders>
              <w:top w:val="nil"/>
              <w:left w:val="nil"/>
              <w:bottom w:val="single" w:sz="4" w:space="0" w:color="auto"/>
              <w:right w:val="nil"/>
            </w:tcBorders>
            <w:shd w:val="clear" w:color="auto" w:fill="auto"/>
            <w:noWrap/>
            <w:vAlign w:val="center"/>
            <w:hideMark/>
          </w:tcPr>
          <w:p w14:paraId="49C541E4" w14:textId="394EAEF7"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r>
      <w:tr w:rsidR="00F15667" w:rsidRPr="00F15667" w14:paraId="1DB735B6"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00EF5776" w14:textId="77777777" w:rsidR="00A779CD" w:rsidRPr="00F15667" w:rsidRDefault="00A779CD" w:rsidP="00C17A44">
            <w:pPr>
              <w:spacing w:line="240" w:lineRule="auto"/>
              <w:jc w:val="left"/>
              <w:rPr>
                <w:rFonts w:eastAsia="Times New Roman"/>
                <w:szCs w:val="24"/>
                <w:lang w:eastAsia="cs-CZ"/>
              </w:rPr>
            </w:pPr>
            <w:r w:rsidRPr="00F15667">
              <w:rPr>
                <w:rFonts w:eastAsia="Times New Roman"/>
                <w:szCs w:val="24"/>
                <w:lang w:eastAsia="cs-CZ"/>
              </w:rPr>
              <w:t>KS Č. Budějovice</w:t>
            </w:r>
          </w:p>
        </w:tc>
        <w:tc>
          <w:tcPr>
            <w:tcW w:w="1020" w:type="dxa"/>
            <w:tcBorders>
              <w:top w:val="nil"/>
              <w:left w:val="nil"/>
              <w:bottom w:val="single" w:sz="4" w:space="0" w:color="auto"/>
              <w:right w:val="nil"/>
            </w:tcBorders>
            <w:shd w:val="clear" w:color="auto" w:fill="auto"/>
            <w:vAlign w:val="center"/>
            <w:hideMark/>
          </w:tcPr>
          <w:p w14:paraId="78FB0475" w14:textId="77777777"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6</w:t>
            </w:r>
          </w:p>
        </w:tc>
        <w:tc>
          <w:tcPr>
            <w:tcW w:w="1173" w:type="dxa"/>
            <w:tcBorders>
              <w:top w:val="nil"/>
              <w:left w:val="nil"/>
              <w:bottom w:val="single" w:sz="4" w:space="0" w:color="auto"/>
              <w:right w:val="nil"/>
            </w:tcBorders>
            <w:shd w:val="clear" w:color="auto" w:fill="auto"/>
            <w:noWrap/>
            <w:vAlign w:val="center"/>
            <w:hideMark/>
          </w:tcPr>
          <w:p w14:paraId="50E6FE5B" w14:textId="3AC47C3A"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206</w:t>
            </w:r>
            <w:r w:rsidR="00371782" w:rsidRPr="00F15667">
              <w:rPr>
                <w:rFonts w:eastAsia="Times New Roman"/>
                <w:szCs w:val="24"/>
                <w:lang w:eastAsia="cs-CZ"/>
              </w:rPr>
              <w:t>,</w:t>
            </w:r>
            <w:r w:rsidRPr="00F15667">
              <w:rPr>
                <w:rFonts w:eastAsia="Times New Roman"/>
                <w:szCs w:val="24"/>
                <w:lang w:eastAsia="cs-CZ"/>
              </w:rPr>
              <w:t>33</w:t>
            </w:r>
          </w:p>
        </w:tc>
        <w:tc>
          <w:tcPr>
            <w:tcW w:w="946" w:type="dxa"/>
            <w:tcBorders>
              <w:top w:val="nil"/>
              <w:left w:val="nil"/>
              <w:bottom w:val="single" w:sz="4" w:space="0" w:color="auto"/>
              <w:right w:val="nil"/>
            </w:tcBorders>
            <w:shd w:val="clear" w:color="auto" w:fill="auto"/>
            <w:noWrap/>
            <w:vAlign w:val="center"/>
            <w:hideMark/>
          </w:tcPr>
          <w:p w14:paraId="48B8C632" w14:textId="1A9AFB72"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-80 %</w:t>
            </w:r>
          </w:p>
        </w:tc>
        <w:tc>
          <w:tcPr>
            <w:tcW w:w="1038" w:type="dxa"/>
            <w:tcBorders>
              <w:top w:val="nil"/>
              <w:left w:val="single" w:sz="4" w:space="0" w:color="auto"/>
              <w:bottom w:val="single" w:sz="4" w:space="0" w:color="auto"/>
              <w:right w:val="nil"/>
            </w:tcBorders>
            <w:shd w:val="clear" w:color="auto" w:fill="auto"/>
            <w:noWrap/>
            <w:vAlign w:val="center"/>
            <w:hideMark/>
          </w:tcPr>
          <w:p w14:paraId="73983D89" w14:textId="5BB5014C"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278</w:t>
            </w:r>
            <w:r w:rsidR="00371782" w:rsidRPr="00F15667">
              <w:rPr>
                <w:rFonts w:eastAsia="Times New Roman"/>
                <w:szCs w:val="24"/>
                <w:lang w:eastAsia="cs-CZ"/>
              </w:rPr>
              <w:t>,</w:t>
            </w:r>
            <w:r w:rsidRPr="00F15667">
              <w:rPr>
                <w:rFonts w:eastAsia="Times New Roman"/>
                <w:szCs w:val="24"/>
                <w:lang w:eastAsia="cs-CZ"/>
              </w:rPr>
              <w:t>50</w:t>
            </w:r>
          </w:p>
        </w:tc>
        <w:tc>
          <w:tcPr>
            <w:tcW w:w="851" w:type="dxa"/>
            <w:tcBorders>
              <w:top w:val="nil"/>
              <w:left w:val="nil"/>
              <w:bottom w:val="single" w:sz="4" w:space="0" w:color="auto"/>
              <w:right w:val="single" w:sz="4" w:space="0" w:color="auto"/>
            </w:tcBorders>
            <w:shd w:val="clear" w:color="auto" w:fill="auto"/>
            <w:noWrap/>
            <w:vAlign w:val="center"/>
            <w:hideMark/>
          </w:tcPr>
          <w:p w14:paraId="327D94A6" w14:textId="46AD035B"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-70 %</w:t>
            </w:r>
          </w:p>
        </w:tc>
        <w:tc>
          <w:tcPr>
            <w:tcW w:w="1134" w:type="dxa"/>
            <w:tcBorders>
              <w:top w:val="nil"/>
              <w:left w:val="nil"/>
              <w:bottom w:val="single" w:sz="4" w:space="0" w:color="auto"/>
              <w:right w:val="nil"/>
            </w:tcBorders>
            <w:shd w:val="clear" w:color="auto" w:fill="auto"/>
            <w:noWrap/>
            <w:vAlign w:val="center"/>
            <w:hideMark/>
          </w:tcPr>
          <w:p w14:paraId="16BC8318" w14:textId="725E4B33"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5</w:t>
            </w:r>
            <w:r w:rsidR="00371782" w:rsidRPr="00F15667">
              <w:rPr>
                <w:rFonts w:eastAsia="Times New Roman"/>
                <w:szCs w:val="24"/>
                <w:lang w:eastAsia="cs-CZ"/>
              </w:rPr>
              <w:t>,</w:t>
            </w:r>
            <w:r w:rsidRPr="00F15667">
              <w:rPr>
                <w:rFonts w:eastAsia="Times New Roman"/>
                <w:szCs w:val="24"/>
                <w:lang w:eastAsia="cs-CZ"/>
              </w:rPr>
              <w:t>33</w:t>
            </w:r>
          </w:p>
        </w:tc>
        <w:tc>
          <w:tcPr>
            <w:tcW w:w="946" w:type="dxa"/>
            <w:gridSpan w:val="2"/>
            <w:tcBorders>
              <w:top w:val="nil"/>
              <w:left w:val="nil"/>
              <w:bottom w:val="single" w:sz="4" w:space="0" w:color="auto"/>
              <w:right w:val="nil"/>
            </w:tcBorders>
            <w:shd w:val="clear" w:color="auto" w:fill="auto"/>
            <w:noWrap/>
            <w:vAlign w:val="center"/>
            <w:hideMark/>
          </w:tcPr>
          <w:p w14:paraId="58FDDA94" w14:textId="766683B6"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-77 %</w:t>
            </w:r>
          </w:p>
        </w:tc>
      </w:tr>
      <w:tr w:rsidR="00F15667" w:rsidRPr="00F15667" w14:paraId="630CF4A3"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189447B5" w14:textId="77777777" w:rsidR="00A779CD" w:rsidRPr="00F15667" w:rsidRDefault="00A779CD" w:rsidP="00C17A44">
            <w:pPr>
              <w:spacing w:line="240" w:lineRule="auto"/>
              <w:jc w:val="left"/>
              <w:rPr>
                <w:rFonts w:eastAsia="Times New Roman"/>
                <w:szCs w:val="24"/>
                <w:lang w:eastAsia="cs-CZ"/>
              </w:rPr>
            </w:pPr>
            <w:r w:rsidRPr="00F15667">
              <w:rPr>
                <w:rFonts w:eastAsia="Times New Roman"/>
                <w:szCs w:val="24"/>
                <w:lang w:eastAsia="cs-CZ"/>
              </w:rPr>
              <w:t>KS Plzeň</w:t>
            </w:r>
          </w:p>
        </w:tc>
        <w:tc>
          <w:tcPr>
            <w:tcW w:w="1020" w:type="dxa"/>
            <w:tcBorders>
              <w:top w:val="nil"/>
              <w:left w:val="nil"/>
              <w:bottom w:val="single" w:sz="4" w:space="0" w:color="auto"/>
              <w:right w:val="nil"/>
            </w:tcBorders>
            <w:shd w:val="clear" w:color="auto" w:fill="auto"/>
            <w:vAlign w:val="center"/>
            <w:hideMark/>
          </w:tcPr>
          <w:p w14:paraId="0B8FB443" w14:textId="5E0CA9D6"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8</w:t>
            </w:r>
            <w:r w:rsidR="00371782" w:rsidRPr="00F15667">
              <w:rPr>
                <w:rFonts w:eastAsia="Times New Roman"/>
                <w:szCs w:val="24"/>
                <w:lang w:eastAsia="cs-CZ"/>
              </w:rPr>
              <w:t>,</w:t>
            </w:r>
            <w:r w:rsidRPr="00F15667">
              <w:rPr>
                <w:rFonts w:eastAsia="Times New Roman"/>
                <w:szCs w:val="24"/>
                <w:lang w:eastAsia="cs-CZ"/>
              </w:rPr>
              <w:t>4</w:t>
            </w:r>
          </w:p>
        </w:tc>
        <w:tc>
          <w:tcPr>
            <w:tcW w:w="1173" w:type="dxa"/>
            <w:tcBorders>
              <w:top w:val="nil"/>
              <w:left w:val="nil"/>
              <w:bottom w:val="single" w:sz="4" w:space="0" w:color="auto"/>
              <w:right w:val="nil"/>
            </w:tcBorders>
            <w:shd w:val="clear" w:color="auto" w:fill="auto"/>
            <w:noWrap/>
            <w:vAlign w:val="center"/>
            <w:hideMark/>
          </w:tcPr>
          <w:p w14:paraId="23032916" w14:textId="713C658F"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226</w:t>
            </w:r>
            <w:r w:rsidR="00371782" w:rsidRPr="00F15667">
              <w:rPr>
                <w:rFonts w:eastAsia="Times New Roman"/>
                <w:szCs w:val="24"/>
                <w:lang w:eastAsia="cs-CZ"/>
              </w:rPr>
              <w:t>,</w:t>
            </w:r>
            <w:r w:rsidRPr="00F15667">
              <w:rPr>
                <w:rFonts w:eastAsia="Times New Roman"/>
                <w:szCs w:val="24"/>
                <w:lang w:eastAsia="cs-CZ"/>
              </w:rPr>
              <w:t>90</w:t>
            </w:r>
          </w:p>
        </w:tc>
        <w:tc>
          <w:tcPr>
            <w:tcW w:w="946" w:type="dxa"/>
            <w:tcBorders>
              <w:top w:val="nil"/>
              <w:left w:val="nil"/>
              <w:bottom w:val="single" w:sz="4" w:space="0" w:color="auto"/>
              <w:right w:val="nil"/>
            </w:tcBorders>
            <w:shd w:val="clear" w:color="auto" w:fill="auto"/>
            <w:noWrap/>
            <w:vAlign w:val="center"/>
            <w:hideMark/>
          </w:tcPr>
          <w:p w14:paraId="4B4BF40D" w14:textId="55D7CC29"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-40 %</w:t>
            </w:r>
          </w:p>
        </w:tc>
        <w:tc>
          <w:tcPr>
            <w:tcW w:w="1038" w:type="dxa"/>
            <w:tcBorders>
              <w:top w:val="nil"/>
              <w:left w:val="single" w:sz="4" w:space="0" w:color="auto"/>
              <w:bottom w:val="single" w:sz="4" w:space="0" w:color="auto"/>
              <w:right w:val="nil"/>
            </w:tcBorders>
            <w:shd w:val="clear" w:color="auto" w:fill="auto"/>
            <w:noWrap/>
            <w:vAlign w:val="center"/>
            <w:hideMark/>
          </w:tcPr>
          <w:p w14:paraId="3BDE865E" w14:textId="6C6F124A"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282</w:t>
            </w:r>
            <w:r w:rsidR="00371782" w:rsidRPr="00F15667">
              <w:rPr>
                <w:rFonts w:eastAsia="Times New Roman"/>
                <w:szCs w:val="24"/>
                <w:lang w:eastAsia="cs-CZ"/>
              </w:rPr>
              <w:t>,</w:t>
            </w:r>
            <w:r w:rsidRPr="00F15667">
              <w:rPr>
                <w:rFonts w:eastAsia="Times New Roman"/>
                <w:szCs w:val="24"/>
                <w:lang w:eastAsia="cs-CZ"/>
              </w:rPr>
              <w:t>74</w:t>
            </w:r>
          </w:p>
        </w:tc>
        <w:tc>
          <w:tcPr>
            <w:tcW w:w="851" w:type="dxa"/>
            <w:tcBorders>
              <w:top w:val="nil"/>
              <w:left w:val="nil"/>
              <w:bottom w:val="single" w:sz="4" w:space="0" w:color="auto"/>
              <w:right w:val="single" w:sz="4" w:space="0" w:color="auto"/>
            </w:tcBorders>
            <w:shd w:val="clear" w:color="auto" w:fill="auto"/>
            <w:noWrap/>
            <w:vAlign w:val="center"/>
            <w:hideMark/>
          </w:tcPr>
          <w:p w14:paraId="62D59059" w14:textId="52C0223A"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-50 %</w:t>
            </w:r>
          </w:p>
        </w:tc>
        <w:tc>
          <w:tcPr>
            <w:tcW w:w="1134" w:type="dxa"/>
            <w:tcBorders>
              <w:top w:val="nil"/>
              <w:left w:val="nil"/>
              <w:bottom w:val="single" w:sz="4" w:space="0" w:color="auto"/>
              <w:right w:val="nil"/>
            </w:tcBorders>
            <w:shd w:val="clear" w:color="auto" w:fill="auto"/>
            <w:noWrap/>
            <w:vAlign w:val="center"/>
            <w:hideMark/>
          </w:tcPr>
          <w:p w14:paraId="360F9C1F" w14:textId="16524AFC"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17</w:t>
            </w:r>
            <w:r w:rsidR="00371782" w:rsidRPr="00F15667">
              <w:rPr>
                <w:rFonts w:eastAsia="Times New Roman"/>
                <w:szCs w:val="24"/>
                <w:lang w:eastAsia="cs-CZ"/>
              </w:rPr>
              <w:t>,</w:t>
            </w:r>
            <w:r w:rsidRPr="00F15667">
              <w:rPr>
                <w:rFonts w:eastAsia="Times New Roman"/>
                <w:szCs w:val="24"/>
                <w:lang w:eastAsia="cs-CZ"/>
              </w:rPr>
              <w:t>62</w:t>
            </w:r>
          </w:p>
        </w:tc>
        <w:tc>
          <w:tcPr>
            <w:tcW w:w="946" w:type="dxa"/>
            <w:gridSpan w:val="2"/>
            <w:tcBorders>
              <w:top w:val="nil"/>
              <w:left w:val="nil"/>
              <w:bottom w:val="single" w:sz="4" w:space="0" w:color="auto"/>
              <w:right w:val="nil"/>
            </w:tcBorders>
            <w:shd w:val="clear" w:color="auto" w:fill="auto"/>
            <w:noWrap/>
            <w:vAlign w:val="center"/>
            <w:hideMark/>
          </w:tcPr>
          <w:p w14:paraId="0FE5196C" w14:textId="2FEDE30A"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-39 %</w:t>
            </w:r>
          </w:p>
        </w:tc>
      </w:tr>
      <w:tr w:rsidR="00F15667" w:rsidRPr="00F15667" w14:paraId="4647D554"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0311F818" w14:textId="77777777" w:rsidR="00A779CD" w:rsidRPr="00F15667" w:rsidRDefault="00A779CD" w:rsidP="00C17A44">
            <w:pPr>
              <w:spacing w:line="240" w:lineRule="auto"/>
              <w:jc w:val="left"/>
              <w:rPr>
                <w:rFonts w:eastAsia="Times New Roman"/>
                <w:szCs w:val="24"/>
                <w:lang w:eastAsia="cs-CZ"/>
              </w:rPr>
            </w:pPr>
            <w:r w:rsidRPr="00F15667">
              <w:rPr>
                <w:rFonts w:eastAsia="Times New Roman"/>
                <w:szCs w:val="24"/>
                <w:lang w:eastAsia="cs-CZ"/>
              </w:rPr>
              <w:t>KS Ústí n. Labem</w:t>
            </w:r>
          </w:p>
        </w:tc>
        <w:tc>
          <w:tcPr>
            <w:tcW w:w="1020" w:type="dxa"/>
            <w:tcBorders>
              <w:top w:val="nil"/>
              <w:left w:val="nil"/>
              <w:bottom w:val="single" w:sz="4" w:space="0" w:color="auto"/>
              <w:right w:val="nil"/>
            </w:tcBorders>
            <w:shd w:val="clear" w:color="auto" w:fill="auto"/>
            <w:vAlign w:val="center"/>
            <w:hideMark/>
          </w:tcPr>
          <w:p w14:paraId="63677341" w14:textId="76091B55"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15</w:t>
            </w:r>
            <w:r w:rsidR="00371782" w:rsidRPr="00F15667">
              <w:rPr>
                <w:rFonts w:eastAsia="Times New Roman"/>
                <w:szCs w:val="24"/>
                <w:lang w:eastAsia="cs-CZ"/>
              </w:rPr>
              <w:t>,</w:t>
            </w:r>
            <w:r w:rsidRPr="00F15667">
              <w:rPr>
                <w:rFonts w:eastAsia="Times New Roman"/>
                <w:szCs w:val="24"/>
                <w:lang w:eastAsia="cs-CZ"/>
              </w:rPr>
              <w:t>5</w:t>
            </w:r>
          </w:p>
        </w:tc>
        <w:tc>
          <w:tcPr>
            <w:tcW w:w="1173" w:type="dxa"/>
            <w:tcBorders>
              <w:top w:val="nil"/>
              <w:left w:val="nil"/>
              <w:bottom w:val="single" w:sz="4" w:space="0" w:color="auto"/>
              <w:right w:val="nil"/>
            </w:tcBorders>
            <w:shd w:val="clear" w:color="auto" w:fill="auto"/>
            <w:noWrap/>
            <w:vAlign w:val="center"/>
            <w:hideMark/>
          </w:tcPr>
          <w:p w14:paraId="12BD69D9" w14:textId="50AF51D3"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210</w:t>
            </w:r>
            <w:r w:rsidR="00371782" w:rsidRPr="00F15667">
              <w:rPr>
                <w:rFonts w:eastAsia="Times New Roman"/>
                <w:szCs w:val="24"/>
                <w:lang w:eastAsia="cs-CZ"/>
              </w:rPr>
              <w:t>,</w:t>
            </w:r>
            <w:r w:rsidRPr="00F15667">
              <w:rPr>
                <w:rFonts w:eastAsia="Times New Roman"/>
                <w:szCs w:val="24"/>
                <w:lang w:eastAsia="cs-CZ"/>
              </w:rPr>
              <w:t>84</w:t>
            </w:r>
          </w:p>
        </w:tc>
        <w:tc>
          <w:tcPr>
            <w:tcW w:w="946" w:type="dxa"/>
            <w:tcBorders>
              <w:top w:val="nil"/>
              <w:left w:val="nil"/>
              <w:bottom w:val="single" w:sz="4" w:space="0" w:color="auto"/>
              <w:right w:val="nil"/>
            </w:tcBorders>
            <w:shd w:val="clear" w:color="auto" w:fill="auto"/>
            <w:noWrap/>
            <w:vAlign w:val="center"/>
            <w:hideMark/>
          </w:tcPr>
          <w:p w14:paraId="07925D29" w14:textId="542BB38C"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038" w:type="dxa"/>
            <w:tcBorders>
              <w:top w:val="nil"/>
              <w:left w:val="single" w:sz="4" w:space="0" w:color="auto"/>
              <w:bottom w:val="single" w:sz="4" w:space="0" w:color="auto"/>
              <w:right w:val="nil"/>
            </w:tcBorders>
            <w:shd w:val="clear" w:color="auto" w:fill="auto"/>
            <w:noWrap/>
            <w:vAlign w:val="center"/>
            <w:hideMark/>
          </w:tcPr>
          <w:p w14:paraId="150CB1A2" w14:textId="4ADB8C55"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274</w:t>
            </w:r>
            <w:r w:rsidR="00371782" w:rsidRPr="00F15667">
              <w:rPr>
                <w:rFonts w:eastAsia="Times New Roman"/>
                <w:szCs w:val="24"/>
                <w:lang w:eastAsia="cs-CZ"/>
              </w:rPr>
              <w:t>,</w:t>
            </w:r>
            <w:r w:rsidRPr="00F15667">
              <w:rPr>
                <w:rFonts w:eastAsia="Times New Roman"/>
                <w:szCs w:val="24"/>
                <w:lang w:eastAsia="cs-CZ"/>
              </w:rPr>
              <w:t>06</w:t>
            </w:r>
          </w:p>
        </w:tc>
        <w:tc>
          <w:tcPr>
            <w:tcW w:w="851" w:type="dxa"/>
            <w:tcBorders>
              <w:top w:val="nil"/>
              <w:left w:val="nil"/>
              <w:bottom w:val="single" w:sz="4" w:space="0" w:color="auto"/>
              <w:right w:val="single" w:sz="4" w:space="0" w:color="auto"/>
            </w:tcBorders>
            <w:shd w:val="clear" w:color="auto" w:fill="auto"/>
            <w:noWrap/>
            <w:vAlign w:val="center"/>
            <w:hideMark/>
          </w:tcPr>
          <w:p w14:paraId="23074F1F" w14:textId="2B93F58D"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1134" w:type="dxa"/>
            <w:tcBorders>
              <w:top w:val="nil"/>
              <w:left w:val="nil"/>
              <w:bottom w:val="single" w:sz="4" w:space="0" w:color="auto"/>
              <w:right w:val="nil"/>
            </w:tcBorders>
            <w:shd w:val="clear" w:color="auto" w:fill="auto"/>
            <w:noWrap/>
            <w:vAlign w:val="center"/>
            <w:hideMark/>
          </w:tcPr>
          <w:p w14:paraId="6A7325BC" w14:textId="1393EA91"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9</w:t>
            </w:r>
            <w:r w:rsidR="00371782" w:rsidRPr="00F15667">
              <w:rPr>
                <w:rFonts w:eastAsia="Times New Roman"/>
                <w:szCs w:val="24"/>
                <w:lang w:eastAsia="cs-CZ"/>
              </w:rPr>
              <w:t>,</w:t>
            </w:r>
            <w:r w:rsidRPr="00F15667">
              <w:rPr>
                <w:rFonts w:eastAsia="Times New Roman"/>
                <w:szCs w:val="24"/>
                <w:lang w:eastAsia="cs-CZ"/>
              </w:rPr>
              <w:t>87</w:t>
            </w:r>
          </w:p>
        </w:tc>
        <w:tc>
          <w:tcPr>
            <w:tcW w:w="946" w:type="dxa"/>
            <w:gridSpan w:val="2"/>
            <w:tcBorders>
              <w:top w:val="nil"/>
              <w:left w:val="nil"/>
              <w:bottom w:val="single" w:sz="4" w:space="0" w:color="auto"/>
              <w:right w:val="nil"/>
            </w:tcBorders>
            <w:shd w:val="clear" w:color="auto" w:fill="auto"/>
            <w:noWrap/>
            <w:vAlign w:val="center"/>
            <w:hideMark/>
          </w:tcPr>
          <w:p w14:paraId="5E7B9674" w14:textId="663FE714"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-2 %</w:t>
            </w:r>
          </w:p>
        </w:tc>
      </w:tr>
      <w:tr w:rsidR="00F15667" w:rsidRPr="00F15667" w14:paraId="0464E1C7"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4CCFD4A7" w14:textId="77777777" w:rsidR="00A779CD" w:rsidRPr="00F15667" w:rsidRDefault="00A779CD" w:rsidP="00C17A44">
            <w:pPr>
              <w:spacing w:line="240" w:lineRule="auto"/>
              <w:jc w:val="left"/>
              <w:rPr>
                <w:rFonts w:eastAsia="Times New Roman"/>
                <w:szCs w:val="24"/>
                <w:lang w:eastAsia="cs-CZ"/>
              </w:rPr>
            </w:pPr>
            <w:r w:rsidRPr="00F15667">
              <w:rPr>
                <w:rFonts w:eastAsia="Times New Roman"/>
                <w:szCs w:val="24"/>
                <w:lang w:eastAsia="cs-CZ"/>
              </w:rPr>
              <w:t>KS Hr. Králové</w:t>
            </w:r>
          </w:p>
        </w:tc>
        <w:tc>
          <w:tcPr>
            <w:tcW w:w="1020" w:type="dxa"/>
            <w:tcBorders>
              <w:top w:val="nil"/>
              <w:left w:val="nil"/>
              <w:bottom w:val="single" w:sz="4" w:space="0" w:color="auto"/>
              <w:right w:val="nil"/>
            </w:tcBorders>
            <w:shd w:val="clear" w:color="auto" w:fill="auto"/>
            <w:vAlign w:val="center"/>
            <w:hideMark/>
          </w:tcPr>
          <w:p w14:paraId="5C1DDC0A" w14:textId="3C855190"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9</w:t>
            </w:r>
            <w:r w:rsidR="00371782" w:rsidRPr="00F15667">
              <w:rPr>
                <w:rFonts w:eastAsia="Times New Roman"/>
                <w:szCs w:val="24"/>
                <w:lang w:eastAsia="cs-CZ"/>
              </w:rPr>
              <w:t>,</w:t>
            </w:r>
            <w:r w:rsidRPr="00F15667">
              <w:rPr>
                <w:rFonts w:eastAsia="Times New Roman"/>
                <w:szCs w:val="24"/>
                <w:lang w:eastAsia="cs-CZ"/>
              </w:rPr>
              <w:t>1</w:t>
            </w:r>
          </w:p>
        </w:tc>
        <w:tc>
          <w:tcPr>
            <w:tcW w:w="1173" w:type="dxa"/>
            <w:tcBorders>
              <w:top w:val="nil"/>
              <w:left w:val="nil"/>
              <w:bottom w:val="single" w:sz="4" w:space="0" w:color="auto"/>
              <w:right w:val="nil"/>
            </w:tcBorders>
            <w:shd w:val="clear" w:color="auto" w:fill="auto"/>
            <w:noWrap/>
            <w:vAlign w:val="center"/>
            <w:hideMark/>
          </w:tcPr>
          <w:p w14:paraId="008F4F84" w14:textId="7408F156"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229</w:t>
            </w:r>
            <w:r w:rsidR="00371782" w:rsidRPr="00F15667">
              <w:rPr>
                <w:rFonts w:eastAsia="Times New Roman"/>
                <w:szCs w:val="24"/>
                <w:lang w:eastAsia="cs-CZ"/>
              </w:rPr>
              <w:t>,</w:t>
            </w:r>
            <w:r w:rsidRPr="00F15667">
              <w:rPr>
                <w:rFonts w:eastAsia="Times New Roman"/>
                <w:szCs w:val="24"/>
                <w:lang w:eastAsia="cs-CZ"/>
              </w:rPr>
              <w:t>67</w:t>
            </w:r>
          </w:p>
        </w:tc>
        <w:tc>
          <w:tcPr>
            <w:tcW w:w="946" w:type="dxa"/>
            <w:tcBorders>
              <w:top w:val="nil"/>
              <w:left w:val="nil"/>
              <w:bottom w:val="single" w:sz="4" w:space="0" w:color="auto"/>
              <w:right w:val="nil"/>
            </w:tcBorders>
            <w:shd w:val="clear" w:color="auto" w:fill="auto"/>
            <w:noWrap/>
            <w:vAlign w:val="center"/>
            <w:hideMark/>
          </w:tcPr>
          <w:p w14:paraId="14EA334D" w14:textId="3C90E7B2"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-20 %</w:t>
            </w:r>
          </w:p>
        </w:tc>
        <w:tc>
          <w:tcPr>
            <w:tcW w:w="1038" w:type="dxa"/>
            <w:tcBorders>
              <w:top w:val="nil"/>
              <w:left w:val="single" w:sz="4" w:space="0" w:color="auto"/>
              <w:bottom w:val="single" w:sz="4" w:space="0" w:color="auto"/>
              <w:right w:val="nil"/>
            </w:tcBorders>
            <w:shd w:val="clear" w:color="auto" w:fill="auto"/>
            <w:noWrap/>
            <w:vAlign w:val="center"/>
            <w:hideMark/>
          </w:tcPr>
          <w:p w14:paraId="77BEDB3A" w14:textId="4DC52732"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318</w:t>
            </w:r>
            <w:r w:rsidR="00371782" w:rsidRPr="00F15667">
              <w:rPr>
                <w:rFonts w:eastAsia="Times New Roman"/>
                <w:szCs w:val="24"/>
                <w:lang w:eastAsia="cs-CZ"/>
              </w:rPr>
              <w:t>,</w:t>
            </w:r>
            <w:r w:rsidRPr="00F15667">
              <w:rPr>
                <w:rFonts w:eastAsia="Times New Roman"/>
                <w:szCs w:val="24"/>
                <w:lang w:eastAsia="cs-CZ"/>
              </w:rPr>
              <w:t>24</w:t>
            </w:r>
          </w:p>
        </w:tc>
        <w:tc>
          <w:tcPr>
            <w:tcW w:w="851" w:type="dxa"/>
            <w:tcBorders>
              <w:top w:val="nil"/>
              <w:left w:val="nil"/>
              <w:bottom w:val="single" w:sz="4" w:space="0" w:color="auto"/>
              <w:right w:val="single" w:sz="4" w:space="0" w:color="auto"/>
            </w:tcBorders>
            <w:shd w:val="clear" w:color="auto" w:fill="auto"/>
            <w:noWrap/>
            <w:vAlign w:val="center"/>
            <w:hideMark/>
          </w:tcPr>
          <w:p w14:paraId="6FED25A2" w14:textId="1E15740E"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-26 %</w:t>
            </w:r>
          </w:p>
        </w:tc>
        <w:tc>
          <w:tcPr>
            <w:tcW w:w="1134" w:type="dxa"/>
            <w:tcBorders>
              <w:top w:val="nil"/>
              <w:left w:val="nil"/>
              <w:bottom w:val="single" w:sz="4" w:space="0" w:color="auto"/>
              <w:right w:val="nil"/>
            </w:tcBorders>
            <w:shd w:val="clear" w:color="auto" w:fill="auto"/>
            <w:noWrap/>
            <w:vAlign w:val="center"/>
            <w:hideMark/>
          </w:tcPr>
          <w:p w14:paraId="77C9AD1C" w14:textId="2FE90E93"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5</w:t>
            </w:r>
            <w:r w:rsidR="00371782" w:rsidRPr="00F15667">
              <w:rPr>
                <w:rFonts w:eastAsia="Times New Roman"/>
                <w:szCs w:val="24"/>
                <w:lang w:eastAsia="cs-CZ"/>
              </w:rPr>
              <w:t>,</w:t>
            </w:r>
            <w:r w:rsidRPr="00F15667">
              <w:rPr>
                <w:rFonts w:eastAsia="Times New Roman"/>
                <w:szCs w:val="24"/>
                <w:lang w:eastAsia="cs-CZ"/>
              </w:rPr>
              <w:t>27</w:t>
            </w:r>
          </w:p>
        </w:tc>
        <w:tc>
          <w:tcPr>
            <w:tcW w:w="946" w:type="dxa"/>
            <w:gridSpan w:val="2"/>
            <w:tcBorders>
              <w:top w:val="nil"/>
              <w:left w:val="nil"/>
              <w:bottom w:val="single" w:sz="4" w:space="0" w:color="auto"/>
              <w:right w:val="nil"/>
            </w:tcBorders>
            <w:shd w:val="clear" w:color="auto" w:fill="auto"/>
            <w:noWrap/>
            <w:vAlign w:val="center"/>
            <w:hideMark/>
          </w:tcPr>
          <w:p w14:paraId="0F0315B8" w14:textId="3811EF24"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-21 %</w:t>
            </w:r>
          </w:p>
        </w:tc>
      </w:tr>
      <w:tr w:rsidR="00F15667" w:rsidRPr="00F15667" w14:paraId="0F38DC9D" w14:textId="77777777" w:rsidTr="00C17A44">
        <w:trPr>
          <w:trHeight w:val="315"/>
        </w:trPr>
        <w:tc>
          <w:tcPr>
            <w:tcW w:w="2060" w:type="dxa"/>
            <w:tcBorders>
              <w:top w:val="nil"/>
              <w:left w:val="nil"/>
              <w:bottom w:val="single" w:sz="4" w:space="0" w:color="auto"/>
              <w:right w:val="nil"/>
            </w:tcBorders>
            <w:shd w:val="clear" w:color="auto" w:fill="auto"/>
            <w:noWrap/>
            <w:vAlign w:val="center"/>
            <w:hideMark/>
          </w:tcPr>
          <w:p w14:paraId="2D365008" w14:textId="77777777" w:rsidR="00A779CD" w:rsidRPr="00F15667" w:rsidRDefault="00A779CD" w:rsidP="00C17A44">
            <w:pPr>
              <w:spacing w:line="240" w:lineRule="auto"/>
              <w:jc w:val="left"/>
              <w:rPr>
                <w:rFonts w:eastAsia="Times New Roman"/>
                <w:szCs w:val="24"/>
                <w:lang w:eastAsia="cs-CZ"/>
              </w:rPr>
            </w:pPr>
            <w:r w:rsidRPr="00F15667">
              <w:rPr>
                <w:rFonts w:eastAsia="Times New Roman"/>
                <w:szCs w:val="24"/>
                <w:lang w:eastAsia="cs-CZ"/>
              </w:rPr>
              <w:t>KS Brno</w:t>
            </w:r>
          </w:p>
        </w:tc>
        <w:tc>
          <w:tcPr>
            <w:tcW w:w="1020" w:type="dxa"/>
            <w:tcBorders>
              <w:top w:val="nil"/>
              <w:left w:val="nil"/>
              <w:bottom w:val="single" w:sz="4" w:space="0" w:color="auto"/>
              <w:right w:val="nil"/>
            </w:tcBorders>
            <w:shd w:val="clear" w:color="auto" w:fill="auto"/>
            <w:vAlign w:val="center"/>
            <w:hideMark/>
          </w:tcPr>
          <w:p w14:paraId="17A91A5A" w14:textId="77777777"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17</w:t>
            </w:r>
          </w:p>
        </w:tc>
        <w:tc>
          <w:tcPr>
            <w:tcW w:w="1173" w:type="dxa"/>
            <w:tcBorders>
              <w:top w:val="nil"/>
              <w:left w:val="nil"/>
              <w:bottom w:val="single" w:sz="4" w:space="0" w:color="auto"/>
              <w:right w:val="nil"/>
            </w:tcBorders>
            <w:shd w:val="clear" w:color="auto" w:fill="auto"/>
            <w:noWrap/>
            <w:vAlign w:val="center"/>
            <w:hideMark/>
          </w:tcPr>
          <w:p w14:paraId="4D64A132" w14:textId="439F3584"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199</w:t>
            </w:r>
            <w:r w:rsidR="00371782" w:rsidRPr="00F15667">
              <w:rPr>
                <w:rFonts w:eastAsia="Times New Roman"/>
                <w:szCs w:val="24"/>
                <w:lang w:eastAsia="cs-CZ"/>
              </w:rPr>
              <w:t>,</w:t>
            </w:r>
            <w:r w:rsidRPr="00F15667">
              <w:rPr>
                <w:rFonts w:eastAsia="Times New Roman"/>
                <w:szCs w:val="24"/>
                <w:lang w:eastAsia="cs-CZ"/>
              </w:rPr>
              <w:t>71</w:t>
            </w:r>
          </w:p>
        </w:tc>
        <w:tc>
          <w:tcPr>
            <w:tcW w:w="946" w:type="dxa"/>
            <w:tcBorders>
              <w:top w:val="nil"/>
              <w:left w:val="nil"/>
              <w:bottom w:val="single" w:sz="4" w:space="0" w:color="auto"/>
              <w:right w:val="nil"/>
            </w:tcBorders>
            <w:shd w:val="clear" w:color="auto" w:fill="auto"/>
            <w:noWrap/>
            <w:vAlign w:val="center"/>
            <w:hideMark/>
          </w:tcPr>
          <w:p w14:paraId="2888E557" w14:textId="230FF872"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38" w:type="dxa"/>
            <w:tcBorders>
              <w:top w:val="nil"/>
              <w:left w:val="single" w:sz="4" w:space="0" w:color="auto"/>
              <w:bottom w:val="single" w:sz="4" w:space="0" w:color="auto"/>
              <w:right w:val="nil"/>
            </w:tcBorders>
            <w:shd w:val="clear" w:color="auto" w:fill="auto"/>
            <w:noWrap/>
            <w:vAlign w:val="center"/>
            <w:hideMark/>
          </w:tcPr>
          <w:p w14:paraId="26D2FCD8" w14:textId="78B49272"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212</w:t>
            </w:r>
            <w:r w:rsidR="00371782" w:rsidRPr="00F15667">
              <w:rPr>
                <w:rFonts w:eastAsia="Times New Roman"/>
                <w:szCs w:val="24"/>
                <w:lang w:eastAsia="cs-CZ"/>
              </w:rPr>
              <w:t>,</w:t>
            </w:r>
            <w:r w:rsidRPr="00F15667">
              <w:rPr>
                <w:rFonts w:eastAsia="Times New Roman"/>
                <w:szCs w:val="24"/>
                <w:lang w:eastAsia="cs-CZ"/>
              </w:rPr>
              <w:t>59</w:t>
            </w:r>
          </w:p>
        </w:tc>
        <w:tc>
          <w:tcPr>
            <w:tcW w:w="851" w:type="dxa"/>
            <w:tcBorders>
              <w:top w:val="nil"/>
              <w:left w:val="nil"/>
              <w:bottom w:val="single" w:sz="4" w:space="0" w:color="auto"/>
              <w:right w:val="single" w:sz="4" w:space="0" w:color="auto"/>
            </w:tcBorders>
            <w:shd w:val="clear" w:color="auto" w:fill="auto"/>
            <w:noWrap/>
            <w:vAlign w:val="center"/>
            <w:hideMark/>
          </w:tcPr>
          <w:p w14:paraId="073AB3D4" w14:textId="36BAE204"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134" w:type="dxa"/>
            <w:tcBorders>
              <w:top w:val="nil"/>
              <w:left w:val="nil"/>
              <w:bottom w:val="single" w:sz="4" w:space="0" w:color="auto"/>
              <w:right w:val="nil"/>
            </w:tcBorders>
            <w:shd w:val="clear" w:color="auto" w:fill="auto"/>
            <w:noWrap/>
            <w:vAlign w:val="center"/>
            <w:hideMark/>
          </w:tcPr>
          <w:p w14:paraId="721178D2" w14:textId="6C87C72F"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18</w:t>
            </w:r>
            <w:r w:rsidR="00371782" w:rsidRPr="00F15667">
              <w:rPr>
                <w:rFonts w:eastAsia="Times New Roman"/>
                <w:szCs w:val="24"/>
                <w:lang w:eastAsia="cs-CZ"/>
              </w:rPr>
              <w:t>,</w:t>
            </w:r>
            <w:r w:rsidRPr="00F15667">
              <w:rPr>
                <w:rFonts w:eastAsia="Times New Roman"/>
                <w:szCs w:val="24"/>
                <w:lang w:eastAsia="cs-CZ"/>
              </w:rPr>
              <w:t>47</w:t>
            </w:r>
          </w:p>
        </w:tc>
        <w:tc>
          <w:tcPr>
            <w:tcW w:w="946" w:type="dxa"/>
            <w:gridSpan w:val="2"/>
            <w:tcBorders>
              <w:top w:val="nil"/>
              <w:left w:val="nil"/>
              <w:bottom w:val="single" w:sz="4" w:space="0" w:color="auto"/>
              <w:right w:val="nil"/>
            </w:tcBorders>
            <w:shd w:val="clear" w:color="auto" w:fill="auto"/>
            <w:noWrap/>
            <w:vAlign w:val="center"/>
            <w:hideMark/>
          </w:tcPr>
          <w:p w14:paraId="235501F5" w14:textId="3A7D7A90"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-1 %</w:t>
            </w:r>
          </w:p>
        </w:tc>
      </w:tr>
      <w:tr w:rsidR="00F15667" w:rsidRPr="00F15667" w14:paraId="64F101CC" w14:textId="77777777" w:rsidTr="00C17A44">
        <w:trPr>
          <w:trHeight w:val="330"/>
        </w:trPr>
        <w:tc>
          <w:tcPr>
            <w:tcW w:w="2060" w:type="dxa"/>
            <w:tcBorders>
              <w:top w:val="nil"/>
              <w:left w:val="nil"/>
              <w:bottom w:val="double" w:sz="6" w:space="0" w:color="auto"/>
              <w:right w:val="nil"/>
            </w:tcBorders>
            <w:shd w:val="clear" w:color="auto" w:fill="auto"/>
            <w:noWrap/>
            <w:vAlign w:val="center"/>
            <w:hideMark/>
          </w:tcPr>
          <w:p w14:paraId="137426E3" w14:textId="77777777" w:rsidR="00A779CD" w:rsidRPr="00F15667" w:rsidRDefault="00A779CD" w:rsidP="00C17A44">
            <w:pPr>
              <w:spacing w:line="240" w:lineRule="auto"/>
              <w:jc w:val="left"/>
              <w:rPr>
                <w:rFonts w:eastAsia="Times New Roman"/>
                <w:szCs w:val="24"/>
                <w:lang w:eastAsia="cs-CZ"/>
              </w:rPr>
            </w:pPr>
            <w:r w:rsidRPr="00F15667">
              <w:rPr>
                <w:rFonts w:eastAsia="Times New Roman"/>
                <w:szCs w:val="24"/>
                <w:lang w:eastAsia="cs-CZ"/>
              </w:rPr>
              <w:t>KS Ostrava</w:t>
            </w:r>
          </w:p>
        </w:tc>
        <w:tc>
          <w:tcPr>
            <w:tcW w:w="1020" w:type="dxa"/>
            <w:tcBorders>
              <w:top w:val="nil"/>
              <w:left w:val="nil"/>
              <w:bottom w:val="double" w:sz="6" w:space="0" w:color="auto"/>
              <w:right w:val="nil"/>
            </w:tcBorders>
            <w:shd w:val="clear" w:color="auto" w:fill="auto"/>
            <w:vAlign w:val="center"/>
            <w:hideMark/>
          </w:tcPr>
          <w:p w14:paraId="6A04A09D" w14:textId="77777777"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14</w:t>
            </w:r>
          </w:p>
        </w:tc>
        <w:tc>
          <w:tcPr>
            <w:tcW w:w="1173" w:type="dxa"/>
            <w:tcBorders>
              <w:top w:val="nil"/>
              <w:left w:val="nil"/>
              <w:bottom w:val="double" w:sz="6" w:space="0" w:color="auto"/>
              <w:right w:val="nil"/>
            </w:tcBorders>
            <w:shd w:val="clear" w:color="auto" w:fill="auto"/>
            <w:noWrap/>
            <w:vAlign w:val="center"/>
            <w:hideMark/>
          </w:tcPr>
          <w:p w14:paraId="4E92922F" w14:textId="577C5FA4"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277</w:t>
            </w:r>
            <w:r w:rsidR="00371782" w:rsidRPr="00F15667">
              <w:rPr>
                <w:rFonts w:eastAsia="Times New Roman"/>
                <w:szCs w:val="24"/>
                <w:lang w:eastAsia="cs-CZ"/>
              </w:rPr>
              <w:t>,</w:t>
            </w:r>
            <w:r w:rsidRPr="00F15667">
              <w:rPr>
                <w:rFonts w:eastAsia="Times New Roman"/>
                <w:szCs w:val="24"/>
                <w:lang w:eastAsia="cs-CZ"/>
              </w:rPr>
              <w:t>21</w:t>
            </w:r>
          </w:p>
        </w:tc>
        <w:tc>
          <w:tcPr>
            <w:tcW w:w="946" w:type="dxa"/>
            <w:tcBorders>
              <w:top w:val="nil"/>
              <w:left w:val="nil"/>
              <w:bottom w:val="double" w:sz="6" w:space="0" w:color="auto"/>
              <w:right w:val="nil"/>
            </w:tcBorders>
            <w:shd w:val="clear" w:color="auto" w:fill="auto"/>
            <w:noWrap/>
            <w:vAlign w:val="center"/>
            <w:hideMark/>
          </w:tcPr>
          <w:p w14:paraId="67FEE52C" w14:textId="7AD3A83F"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038" w:type="dxa"/>
            <w:tcBorders>
              <w:top w:val="nil"/>
              <w:left w:val="single" w:sz="4" w:space="0" w:color="auto"/>
              <w:bottom w:val="double" w:sz="6" w:space="0" w:color="auto"/>
              <w:right w:val="nil"/>
            </w:tcBorders>
            <w:shd w:val="clear" w:color="auto" w:fill="auto"/>
            <w:noWrap/>
            <w:vAlign w:val="center"/>
            <w:hideMark/>
          </w:tcPr>
          <w:p w14:paraId="38AAA97E" w14:textId="6BA413E9"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357</w:t>
            </w:r>
            <w:r w:rsidR="00371782" w:rsidRPr="00F15667">
              <w:rPr>
                <w:rFonts w:eastAsia="Times New Roman"/>
                <w:szCs w:val="24"/>
                <w:lang w:eastAsia="cs-CZ"/>
              </w:rPr>
              <w:t>,</w:t>
            </w:r>
            <w:r w:rsidRPr="00F15667">
              <w:rPr>
                <w:rFonts w:eastAsia="Times New Roman"/>
                <w:szCs w:val="24"/>
                <w:lang w:eastAsia="cs-CZ"/>
              </w:rPr>
              <w:t>71</w:t>
            </w:r>
          </w:p>
        </w:tc>
        <w:tc>
          <w:tcPr>
            <w:tcW w:w="851" w:type="dxa"/>
            <w:tcBorders>
              <w:top w:val="nil"/>
              <w:left w:val="nil"/>
              <w:bottom w:val="double" w:sz="6" w:space="0" w:color="auto"/>
              <w:right w:val="single" w:sz="4" w:space="0" w:color="auto"/>
            </w:tcBorders>
            <w:shd w:val="clear" w:color="auto" w:fill="auto"/>
            <w:noWrap/>
            <w:vAlign w:val="center"/>
            <w:hideMark/>
          </w:tcPr>
          <w:p w14:paraId="06351ED1" w14:textId="24EA7319"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-32 %</w:t>
            </w:r>
          </w:p>
        </w:tc>
        <w:tc>
          <w:tcPr>
            <w:tcW w:w="1134" w:type="dxa"/>
            <w:tcBorders>
              <w:top w:val="nil"/>
              <w:left w:val="nil"/>
              <w:bottom w:val="double" w:sz="6" w:space="0" w:color="auto"/>
              <w:right w:val="nil"/>
            </w:tcBorders>
            <w:shd w:val="clear" w:color="auto" w:fill="auto"/>
            <w:noWrap/>
            <w:vAlign w:val="center"/>
            <w:hideMark/>
          </w:tcPr>
          <w:p w14:paraId="3EEBFBD0" w14:textId="6682592C" w:rsidR="00A779CD" w:rsidRPr="00F15667" w:rsidRDefault="00A779CD" w:rsidP="00C17A44">
            <w:pPr>
              <w:spacing w:line="240" w:lineRule="auto"/>
              <w:jc w:val="center"/>
              <w:rPr>
                <w:rFonts w:eastAsia="Times New Roman"/>
                <w:szCs w:val="24"/>
                <w:lang w:eastAsia="cs-CZ"/>
              </w:rPr>
            </w:pPr>
            <w:r w:rsidRPr="00F15667">
              <w:rPr>
                <w:rFonts w:eastAsia="Times New Roman"/>
                <w:szCs w:val="24"/>
                <w:lang w:eastAsia="cs-CZ"/>
              </w:rPr>
              <w:t>18</w:t>
            </w:r>
            <w:r w:rsidR="00371782" w:rsidRPr="00F15667">
              <w:rPr>
                <w:rFonts w:eastAsia="Times New Roman"/>
                <w:szCs w:val="24"/>
                <w:lang w:eastAsia="cs-CZ"/>
              </w:rPr>
              <w:t>,</w:t>
            </w:r>
            <w:r w:rsidRPr="00F15667">
              <w:rPr>
                <w:rFonts w:eastAsia="Times New Roman"/>
                <w:szCs w:val="24"/>
                <w:lang w:eastAsia="cs-CZ"/>
              </w:rPr>
              <w:t>93</w:t>
            </w:r>
          </w:p>
        </w:tc>
        <w:tc>
          <w:tcPr>
            <w:tcW w:w="946" w:type="dxa"/>
            <w:gridSpan w:val="2"/>
            <w:tcBorders>
              <w:top w:val="nil"/>
              <w:left w:val="nil"/>
              <w:bottom w:val="double" w:sz="6" w:space="0" w:color="auto"/>
              <w:right w:val="nil"/>
            </w:tcBorders>
            <w:shd w:val="clear" w:color="auto" w:fill="auto"/>
            <w:noWrap/>
            <w:vAlign w:val="center"/>
            <w:hideMark/>
          </w:tcPr>
          <w:p w14:paraId="7E2823C4" w14:textId="514E4373" w:rsidR="00A779CD" w:rsidRPr="00F15667" w:rsidRDefault="00A779CD" w:rsidP="00C17A44">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047F5EB9" w14:textId="77777777" w:rsidTr="00C17A44">
        <w:trPr>
          <w:trHeight w:val="345"/>
        </w:trPr>
        <w:tc>
          <w:tcPr>
            <w:tcW w:w="2060" w:type="dxa"/>
            <w:tcBorders>
              <w:top w:val="nil"/>
              <w:left w:val="nil"/>
              <w:bottom w:val="double" w:sz="6" w:space="0" w:color="auto"/>
              <w:right w:val="nil"/>
            </w:tcBorders>
            <w:shd w:val="clear" w:color="auto" w:fill="auto"/>
            <w:noWrap/>
            <w:vAlign w:val="center"/>
            <w:hideMark/>
          </w:tcPr>
          <w:p w14:paraId="0CDEE905" w14:textId="77777777" w:rsidR="00A779CD" w:rsidRPr="00F15667" w:rsidRDefault="00A779CD" w:rsidP="00C17A4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20" w:type="dxa"/>
            <w:tcBorders>
              <w:top w:val="nil"/>
              <w:left w:val="nil"/>
              <w:bottom w:val="double" w:sz="6" w:space="0" w:color="auto"/>
              <w:right w:val="nil"/>
            </w:tcBorders>
            <w:shd w:val="clear" w:color="auto" w:fill="auto"/>
            <w:vAlign w:val="center"/>
            <w:hideMark/>
          </w:tcPr>
          <w:p w14:paraId="5E9E2C99" w14:textId="7653D8B0" w:rsidR="00A779CD" w:rsidRPr="00F15667" w:rsidRDefault="00A779CD" w:rsidP="00C17A44">
            <w:pPr>
              <w:spacing w:line="240" w:lineRule="auto"/>
              <w:jc w:val="center"/>
              <w:rPr>
                <w:rFonts w:eastAsia="Times New Roman"/>
                <w:b/>
                <w:bCs/>
                <w:szCs w:val="24"/>
                <w:lang w:eastAsia="cs-CZ"/>
              </w:rPr>
            </w:pPr>
            <w:r w:rsidRPr="00F15667">
              <w:rPr>
                <w:rFonts w:eastAsia="Times New Roman"/>
                <w:b/>
                <w:bCs/>
                <w:szCs w:val="24"/>
                <w:lang w:eastAsia="cs-CZ"/>
              </w:rPr>
              <w:t>98</w:t>
            </w:r>
            <w:r w:rsidR="00371782" w:rsidRPr="00F15667">
              <w:rPr>
                <w:rFonts w:eastAsia="Times New Roman"/>
                <w:b/>
                <w:bCs/>
                <w:szCs w:val="24"/>
                <w:lang w:eastAsia="cs-CZ"/>
              </w:rPr>
              <w:t>,</w:t>
            </w:r>
            <w:r w:rsidRPr="00F15667">
              <w:rPr>
                <w:rFonts w:eastAsia="Times New Roman"/>
                <w:b/>
                <w:bCs/>
                <w:szCs w:val="24"/>
                <w:lang w:eastAsia="cs-CZ"/>
              </w:rPr>
              <w:t>6</w:t>
            </w:r>
          </w:p>
        </w:tc>
        <w:tc>
          <w:tcPr>
            <w:tcW w:w="1173" w:type="dxa"/>
            <w:tcBorders>
              <w:top w:val="nil"/>
              <w:left w:val="nil"/>
              <w:bottom w:val="double" w:sz="6" w:space="0" w:color="auto"/>
              <w:right w:val="nil"/>
            </w:tcBorders>
            <w:shd w:val="clear" w:color="auto" w:fill="auto"/>
            <w:noWrap/>
            <w:vAlign w:val="center"/>
            <w:hideMark/>
          </w:tcPr>
          <w:p w14:paraId="7521C3DE" w14:textId="455D20BA" w:rsidR="00A779CD" w:rsidRPr="00F15667" w:rsidRDefault="00A779CD" w:rsidP="00C17A44">
            <w:pPr>
              <w:spacing w:line="240" w:lineRule="auto"/>
              <w:jc w:val="center"/>
              <w:rPr>
                <w:rFonts w:eastAsia="Times New Roman"/>
                <w:b/>
                <w:bCs/>
                <w:szCs w:val="24"/>
                <w:lang w:eastAsia="cs-CZ"/>
              </w:rPr>
            </w:pPr>
            <w:r w:rsidRPr="00F15667">
              <w:rPr>
                <w:rFonts w:eastAsia="Times New Roman"/>
                <w:b/>
                <w:bCs/>
                <w:szCs w:val="24"/>
                <w:lang w:eastAsia="cs-CZ"/>
              </w:rPr>
              <w:t>207</w:t>
            </w:r>
            <w:r w:rsidR="00371782" w:rsidRPr="00F15667">
              <w:rPr>
                <w:rFonts w:eastAsia="Times New Roman"/>
                <w:b/>
                <w:bCs/>
                <w:szCs w:val="24"/>
                <w:lang w:eastAsia="cs-CZ"/>
              </w:rPr>
              <w:t>,</w:t>
            </w:r>
            <w:r w:rsidRPr="00F15667">
              <w:rPr>
                <w:rFonts w:eastAsia="Times New Roman"/>
                <w:b/>
                <w:bCs/>
                <w:szCs w:val="24"/>
                <w:lang w:eastAsia="cs-CZ"/>
              </w:rPr>
              <w:t>71</w:t>
            </w:r>
          </w:p>
        </w:tc>
        <w:tc>
          <w:tcPr>
            <w:tcW w:w="946" w:type="dxa"/>
            <w:tcBorders>
              <w:top w:val="nil"/>
              <w:left w:val="nil"/>
              <w:bottom w:val="double" w:sz="6" w:space="0" w:color="auto"/>
              <w:right w:val="nil"/>
            </w:tcBorders>
            <w:shd w:val="clear" w:color="auto" w:fill="auto"/>
            <w:noWrap/>
            <w:vAlign w:val="center"/>
            <w:hideMark/>
          </w:tcPr>
          <w:p w14:paraId="2B641722" w14:textId="427E638D" w:rsidR="00A779CD" w:rsidRPr="00F15667" w:rsidRDefault="00A779CD"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-14 %</w:t>
            </w:r>
          </w:p>
        </w:tc>
        <w:tc>
          <w:tcPr>
            <w:tcW w:w="1038" w:type="dxa"/>
            <w:tcBorders>
              <w:top w:val="nil"/>
              <w:left w:val="single" w:sz="4" w:space="0" w:color="auto"/>
              <w:bottom w:val="double" w:sz="6" w:space="0" w:color="auto"/>
              <w:right w:val="nil"/>
            </w:tcBorders>
            <w:shd w:val="clear" w:color="auto" w:fill="auto"/>
            <w:noWrap/>
            <w:vAlign w:val="center"/>
            <w:hideMark/>
          </w:tcPr>
          <w:p w14:paraId="39D83404" w14:textId="1AA6081F" w:rsidR="00A779CD" w:rsidRPr="00F15667" w:rsidRDefault="00A779CD" w:rsidP="00C17A44">
            <w:pPr>
              <w:spacing w:line="240" w:lineRule="auto"/>
              <w:jc w:val="center"/>
              <w:rPr>
                <w:rFonts w:eastAsia="Times New Roman"/>
                <w:b/>
                <w:bCs/>
                <w:szCs w:val="24"/>
                <w:lang w:eastAsia="cs-CZ"/>
              </w:rPr>
            </w:pPr>
            <w:r w:rsidRPr="00F15667">
              <w:rPr>
                <w:rFonts w:eastAsia="Times New Roman"/>
                <w:b/>
                <w:bCs/>
                <w:szCs w:val="24"/>
                <w:lang w:eastAsia="cs-CZ"/>
              </w:rPr>
              <w:t>253</w:t>
            </w:r>
            <w:r w:rsidR="00371782" w:rsidRPr="00F15667">
              <w:rPr>
                <w:rFonts w:eastAsia="Times New Roman"/>
                <w:b/>
                <w:bCs/>
                <w:szCs w:val="24"/>
                <w:lang w:eastAsia="cs-CZ"/>
              </w:rPr>
              <w:t>,</w:t>
            </w:r>
            <w:r w:rsidRPr="00F15667">
              <w:rPr>
                <w:rFonts w:eastAsia="Times New Roman"/>
                <w:b/>
                <w:bCs/>
                <w:szCs w:val="24"/>
                <w:lang w:eastAsia="cs-CZ"/>
              </w:rPr>
              <w:t>19</w:t>
            </w:r>
          </w:p>
        </w:tc>
        <w:tc>
          <w:tcPr>
            <w:tcW w:w="851" w:type="dxa"/>
            <w:tcBorders>
              <w:top w:val="nil"/>
              <w:left w:val="nil"/>
              <w:bottom w:val="double" w:sz="6" w:space="0" w:color="auto"/>
              <w:right w:val="single" w:sz="4" w:space="0" w:color="auto"/>
            </w:tcBorders>
            <w:shd w:val="clear" w:color="auto" w:fill="auto"/>
            <w:noWrap/>
            <w:vAlign w:val="center"/>
            <w:hideMark/>
          </w:tcPr>
          <w:p w14:paraId="36504DED" w14:textId="05BDEAB9" w:rsidR="00A779CD" w:rsidRPr="00F15667" w:rsidRDefault="00A779CD"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-24 %</w:t>
            </w:r>
          </w:p>
        </w:tc>
        <w:tc>
          <w:tcPr>
            <w:tcW w:w="1134" w:type="dxa"/>
            <w:tcBorders>
              <w:top w:val="nil"/>
              <w:left w:val="nil"/>
              <w:bottom w:val="double" w:sz="6" w:space="0" w:color="auto"/>
              <w:right w:val="nil"/>
            </w:tcBorders>
            <w:shd w:val="clear" w:color="auto" w:fill="auto"/>
            <w:noWrap/>
            <w:vAlign w:val="center"/>
            <w:hideMark/>
          </w:tcPr>
          <w:p w14:paraId="41CA5A15" w14:textId="7E0C2A56" w:rsidR="00A779CD" w:rsidRPr="00F15667" w:rsidRDefault="00A779CD" w:rsidP="00C17A44">
            <w:pPr>
              <w:spacing w:line="240" w:lineRule="auto"/>
              <w:jc w:val="center"/>
              <w:rPr>
                <w:rFonts w:eastAsia="Times New Roman"/>
                <w:b/>
                <w:bCs/>
                <w:szCs w:val="24"/>
                <w:lang w:eastAsia="cs-CZ"/>
              </w:rPr>
            </w:pPr>
            <w:r w:rsidRPr="00F15667">
              <w:rPr>
                <w:rFonts w:eastAsia="Times New Roman"/>
                <w:b/>
                <w:bCs/>
                <w:szCs w:val="24"/>
                <w:lang w:eastAsia="cs-CZ"/>
              </w:rPr>
              <w:t>13</w:t>
            </w:r>
            <w:r w:rsidR="00371782" w:rsidRPr="00F15667">
              <w:rPr>
                <w:rFonts w:eastAsia="Times New Roman"/>
                <w:b/>
                <w:bCs/>
                <w:szCs w:val="24"/>
                <w:lang w:eastAsia="cs-CZ"/>
              </w:rPr>
              <w:t>,</w:t>
            </w:r>
            <w:r w:rsidRPr="00F15667">
              <w:rPr>
                <w:rFonts w:eastAsia="Times New Roman"/>
                <w:b/>
                <w:bCs/>
                <w:szCs w:val="24"/>
                <w:lang w:eastAsia="cs-CZ"/>
              </w:rPr>
              <w:t>46</w:t>
            </w:r>
          </w:p>
        </w:tc>
        <w:tc>
          <w:tcPr>
            <w:tcW w:w="946" w:type="dxa"/>
            <w:gridSpan w:val="2"/>
            <w:tcBorders>
              <w:top w:val="nil"/>
              <w:left w:val="nil"/>
              <w:bottom w:val="double" w:sz="6" w:space="0" w:color="auto"/>
              <w:right w:val="nil"/>
            </w:tcBorders>
            <w:shd w:val="clear" w:color="auto" w:fill="auto"/>
            <w:noWrap/>
            <w:vAlign w:val="center"/>
            <w:hideMark/>
          </w:tcPr>
          <w:p w14:paraId="0AEEC16E" w14:textId="61E26E28" w:rsidR="00A779CD" w:rsidRPr="00F15667" w:rsidRDefault="00A779CD"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-12 %</w:t>
            </w:r>
          </w:p>
        </w:tc>
      </w:tr>
      <w:tr w:rsidR="00F15667" w:rsidRPr="00F15667" w14:paraId="2FF80B5D" w14:textId="77777777" w:rsidTr="00C17A44">
        <w:trPr>
          <w:trHeight w:val="330"/>
        </w:trPr>
        <w:tc>
          <w:tcPr>
            <w:tcW w:w="2060" w:type="dxa"/>
            <w:tcBorders>
              <w:top w:val="nil"/>
              <w:left w:val="nil"/>
              <w:bottom w:val="nil"/>
              <w:right w:val="nil"/>
            </w:tcBorders>
            <w:shd w:val="clear" w:color="auto" w:fill="auto"/>
            <w:noWrap/>
            <w:vAlign w:val="center"/>
            <w:hideMark/>
          </w:tcPr>
          <w:p w14:paraId="256196CE" w14:textId="77777777" w:rsidR="00A779CD" w:rsidRPr="00F15667" w:rsidRDefault="00A779CD" w:rsidP="00C17A44">
            <w:pPr>
              <w:spacing w:line="240" w:lineRule="auto"/>
              <w:jc w:val="center"/>
              <w:rPr>
                <w:rFonts w:eastAsia="Times New Roman"/>
                <w:b/>
                <w:bCs/>
                <w:sz w:val="20"/>
                <w:szCs w:val="20"/>
                <w:lang w:eastAsia="cs-CZ"/>
              </w:rPr>
            </w:pPr>
          </w:p>
        </w:tc>
        <w:tc>
          <w:tcPr>
            <w:tcW w:w="1020" w:type="dxa"/>
            <w:tcBorders>
              <w:top w:val="nil"/>
              <w:left w:val="nil"/>
              <w:bottom w:val="nil"/>
              <w:right w:val="nil"/>
            </w:tcBorders>
            <w:shd w:val="clear" w:color="auto" w:fill="auto"/>
            <w:noWrap/>
            <w:vAlign w:val="center"/>
            <w:hideMark/>
          </w:tcPr>
          <w:p w14:paraId="2BE32E22" w14:textId="77777777" w:rsidR="00A779CD" w:rsidRPr="00F15667" w:rsidRDefault="00A779CD" w:rsidP="00C17A44">
            <w:pPr>
              <w:spacing w:line="240" w:lineRule="auto"/>
              <w:jc w:val="center"/>
              <w:rPr>
                <w:rFonts w:ascii="Times New Roman" w:eastAsia="Times New Roman" w:hAnsi="Times New Roman"/>
                <w:sz w:val="20"/>
                <w:szCs w:val="20"/>
                <w:lang w:eastAsia="cs-CZ"/>
              </w:rPr>
            </w:pPr>
          </w:p>
        </w:tc>
        <w:tc>
          <w:tcPr>
            <w:tcW w:w="1173" w:type="dxa"/>
            <w:tcBorders>
              <w:top w:val="nil"/>
              <w:left w:val="nil"/>
              <w:bottom w:val="nil"/>
              <w:right w:val="nil"/>
            </w:tcBorders>
            <w:shd w:val="clear" w:color="auto" w:fill="auto"/>
            <w:noWrap/>
            <w:vAlign w:val="center"/>
            <w:hideMark/>
          </w:tcPr>
          <w:p w14:paraId="456DAB43" w14:textId="77777777" w:rsidR="00A779CD" w:rsidRPr="00F15667" w:rsidRDefault="00A779CD" w:rsidP="00C17A44">
            <w:pPr>
              <w:spacing w:line="240" w:lineRule="auto"/>
              <w:jc w:val="center"/>
              <w:rPr>
                <w:rFonts w:ascii="Times New Roman" w:eastAsia="Times New Roman" w:hAnsi="Times New Roman"/>
                <w:sz w:val="20"/>
                <w:szCs w:val="20"/>
                <w:lang w:eastAsia="cs-CZ"/>
              </w:rPr>
            </w:pPr>
          </w:p>
        </w:tc>
        <w:tc>
          <w:tcPr>
            <w:tcW w:w="946" w:type="dxa"/>
            <w:tcBorders>
              <w:top w:val="nil"/>
              <w:left w:val="nil"/>
              <w:bottom w:val="nil"/>
              <w:right w:val="nil"/>
            </w:tcBorders>
            <w:shd w:val="clear" w:color="auto" w:fill="auto"/>
            <w:noWrap/>
            <w:vAlign w:val="center"/>
            <w:hideMark/>
          </w:tcPr>
          <w:p w14:paraId="1B500C2C" w14:textId="77777777" w:rsidR="00A779CD" w:rsidRPr="00F15667" w:rsidRDefault="00A779CD" w:rsidP="00C17A44">
            <w:pPr>
              <w:spacing w:line="240" w:lineRule="auto"/>
              <w:jc w:val="center"/>
              <w:rPr>
                <w:rFonts w:ascii="Times New Roman" w:eastAsia="Times New Roman" w:hAnsi="Times New Roman"/>
                <w:sz w:val="20"/>
                <w:szCs w:val="20"/>
                <w:lang w:eastAsia="cs-CZ"/>
              </w:rPr>
            </w:pPr>
          </w:p>
        </w:tc>
        <w:tc>
          <w:tcPr>
            <w:tcW w:w="1038" w:type="dxa"/>
            <w:tcBorders>
              <w:top w:val="nil"/>
              <w:left w:val="nil"/>
              <w:bottom w:val="nil"/>
              <w:right w:val="nil"/>
            </w:tcBorders>
            <w:shd w:val="clear" w:color="auto" w:fill="auto"/>
            <w:noWrap/>
            <w:vAlign w:val="center"/>
            <w:hideMark/>
          </w:tcPr>
          <w:p w14:paraId="68EFBDDD" w14:textId="77777777" w:rsidR="00A779CD" w:rsidRPr="00F15667" w:rsidRDefault="00A779CD" w:rsidP="00C17A44">
            <w:pPr>
              <w:spacing w:line="240" w:lineRule="auto"/>
              <w:jc w:val="center"/>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center"/>
            <w:hideMark/>
          </w:tcPr>
          <w:p w14:paraId="5053A4DF" w14:textId="77777777" w:rsidR="00A779CD" w:rsidRPr="00F15667" w:rsidRDefault="00A779CD" w:rsidP="00C17A44">
            <w:pPr>
              <w:spacing w:line="240" w:lineRule="auto"/>
              <w:jc w:val="center"/>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center"/>
            <w:hideMark/>
          </w:tcPr>
          <w:p w14:paraId="33E8D3D5" w14:textId="77777777" w:rsidR="00A779CD" w:rsidRPr="00F15667" w:rsidRDefault="00A779CD" w:rsidP="00C17A44">
            <w:pPr>
              <w:spacing w:line="240" w:lineRule="auto"/>
              <w:jc w:val="center"/>
              <w:rPr>
                <w:rFonts w:ascii="Times New Roman" w:eastAsia="Times New Roman" w:hAnsi="Times New Roman"/>
                <w:sz w:val="20"/>
                <w:szCs w:val="20"/>
                <w:lang w:eastAsia="cs-CZ"/>
              </w:rPr>
            </w:pPr>
          </w:p>
        </w:tc>
        <w:tc>
          <w:tcPr>
            <w:tcW w:w="946" w:type="dxa"/>
            <w:gridSpan w:val="2"/>
            <w:tcBorders>
              <w:top w:val="nil"/>
              <w:left w:val="nil"/>
              <w:bottom w:val="nil"/>
              <w:right w:val="nil"/>
            </w:tcBorders>
            <w:shd w:val="clear" w:color="auto" w:fill="auto"/>
            <w:noWrap/>
            <w:vAlign w:val="center"/>
            <w:hideMark/>
          </w:tcPr>
          <w:p w14:paraId="06135D89" w14:textId="77777777" w:rsidR="00A779CD" w:rsidRPr="00F15667" w:rsidRDefault="00A779CD" w:rsidP="00C17A44">
            <w:pPr>
              <w:spacing w:line="240" w:lineRule="auto"/>
              <w:jc w:val="center"/>
              <w:rPr>
                <w:rFonts w:ascii="Times New Roman" w:eastAsia="Times New Roman" w:hAnsi="Times New Roman"/>
                <w:sz w:val="20"/>
                <w:szCs w:val="20"/>
                <w:lang w:eastAsia="cs-CZ"/>
              </w:rPr>
            </w:pPr>
          </w:p>
        </w:tc>
      </w:tr>
    </w:tbl>
    <w:p w14:paraId="1178DCC3" w14:textId="7C52711F" w:rsidR="00065AFE" w:rsidRPr="00F15667" w:rsidRDefault="00371782" w:rsidP="00371782">
      <w:pPr>
        <w:pStyle w:val="OdstavecASR"/>
      </w:pPr>
      <w:r w:rsidRPr="00F15667">
        <w:t xml:space="preserve">Přepočteme-li na soudce počet příchozích věcí a počet vyřízených věcí výrazně nižší </w:t>
      </w:r>
      <w:r w:rsidR="00CC6A71" w:rsidRPr="00F15667">
        <w:t>hodnoty</w:t>
      </w:r>
      <w:r w:rsidRPr="00F15667">
        <w:t xml:space="preserve"> než ostatní soudy vykazuje MS Praha. Je to dáno tím, že tento soud má na insolvenčním úseku relativně více soudců, protože jeho insolvenční agenda je výrazně složitější než u ostatních soudů. Je za to zodpovědný především vyšší podíl úpadků řešených konkursem. Naopak vysoké hodnoty vykazuje KS Plzeň, kde ale zřejmě vedle faktorů vážících se k samotné agendě hraje roli i způsob vykazování dat.</w:t>
      </w:r>
    </w:p>
    <w:p w14:paraId="29EBDE70" w14:textId="6883D159" w:rsidR="00371782" w:rsidRPr="00F15667" w:rsidRDefault="00371782" w:rsidP="00371782">
      <w:pPr>
        <w:pStyle w:val="OdstavecASR"/>
      </w:pPr>
      <w:r w:rsidRPr="00F15667">
        <w:t>Je třeba upozornit na KS České Budějovice, který v předchozím roce vykázal jen 1,5 soudce na insolvenčním úseku, zatímco v</w:t>
      </w:r>
      <w:r w:rsidR="00744257" w:rsidRPr="00F15667">
        <w:t> </w:t>
      </w:r>
      <w:r w:rsidRPr="00F15667">
        <w:t>roce</w:t>
      </w:r>
      <w:r w:rsidR="00744257" w:rsidRPr="00F15667">
        <w:t xml:space="preserve"> 2022</w:t>
      </w:r>
      <w:r w:rsidRPr="00F15667">
        <w:t xml:space="preserve"> to bylo 6 soudců. To má samozřejmě i výrazný vliv na přepočet na soudce. Obdobný, i když o něco menší posun je vidět u KS v Plzni.</w:t>
      </w:r>
    </w:p>
    <w:p w14:paraId="366B41BD" w14:textId="77777777" w:rsidR="00371782" w:rsidRPr="00F15667" w:rsidRDefault="00371782" w:rsidP="00371782">
      <w:pPr>
        <w:pStyle w:val="OdstavecASR"/>
      </w:pPr>
      <w:r w:rsidRPr="00F15667">
        <w:t>DT není u této agendy uveden. Jelikož se jedná o vícefázové řízení, jeho použití se totiž jeví jako nevhodné.</w:t>
      </w:r>
    </w:p>
    <w:p w14:paraId="62F1E24A" w14:textId="5B1AA220" w:rsidR="00A342F2" w:rsidRPr="00F15667" w:rsidRDefault="00371782" w:rsidP="00371782">
      <w:pPr>
        <w:pStyle w:val="Nadpis3"/>
        <w:pageBreakBefore/>
        <w:numPr>
          <w:ilvl w:val="2"/>
          <w:numId w:val="1"/>
        </w:numPr>
        <w:rPr>
          <w:color w:val="auto"/>
        </w:rPr>
      </w:pPr>
      <w:bookmarkStart w:id="962" w:name="_Toc109801394"/>
      <w:bookmarkStart w:id="963" w:name="_Toc144104396"/>
      <w:r w:rsidRPr="00F15667">
        <w:rPr>
          <w:color w:val="auto"/>
        </w:rPr>
        <w:lastRenderedPageBreak/>
        <w:t>Další statistiky</w:t>
      </w:r>
      <w:bookmarkEnd w:id="962"/>
      <w:bookmarkEnd w:id="963"/>
    </w:p>
    <w:p w14:paraId="1C57C4F5" w14:textId="77777777" w:rsidR="00A342F2" w:rsidRPr="00F15667" w:rsidRDefault="00A342F2" w:rsidP="00A342F2">
      <w:pPr>
        <w:pStyle w:val="OdstavecASR"/>
      </w:pPr>
      <w:r w:rsidRPr="00F15667">
        <w:t>Zajímavým a velmi důležitým statistickým údajem je složení agendy z hlediska způsobu řešení úpadku. Proto tyto statistiky uvádíme každoročně. V následující tabulce uvádíme podíl počtu věcí dosud v řízení podle jednotlivých způsobů řešení úpadku a podle krajských soudů ke konci roku 2021.</w:t>
      </w:r>
    </w:p>
    <w:p w14:paraId="6E2B9CC1" w14:textId="5340967A" w:rsidR="00A342F2" w:rsidRPr="00F15667" w:rsidRDefault="00A342F2" w:rsidP="00A342F2">
      <w:pPr>
        <w:pStyle w:val="Podnadpis"/>
        <w:numPr>
          <w:ilvl w:val="0"/>
          <w:numId w:val="0"/>
        </w:numPr>
        <w:rPr>
          <w:color w:val="auto"/>
        </w:rPr>
      </w:pPr>
      <w:bookmarkStart w:id="964" w:name="_Toc43931246"/>
      <w:bookmarkStart w:id="965" w:name="_Toc75952379"/>
      <w:bookmarkStart w:id="966" w:name="_Toc106106832"/>
      <w:bookmarkStart w:id="967" w:name="_Toc109802155"/>
      <w:bookmarkStart w:id="968" w:name="_Toc144104314"/>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75</w:t>
      </w:r>
      <w:r w:rsidRPr="00F15667">
        <w:rPr>
          <w:noProof/>
          <w:color w:val="auto"/>
        </w:rPr>
        <w:fldChar w:fldCharType="end"/>
      </w:r>
      <w:r w:rsidRPr="00F15667">
        <w:rPr>
          <w:color w:val="auto"/>
        </w:rPr>
        <w:t>: KS – podíl jednotlivých způsobů řešení úpadku</w:t>
      </w:r>
      <w:bookmarkEnd w:id="964"/>
      <w:bookmarkEnd w:id="965"/>
      <w:r w:rsidRPr="00F15667">
        <w:rPr>
          <w:color w:val="auto"/>
        </w:rPr>
        <w:t xml:space="preserve"> v %</w:t>
      </w:r>
      <w:bookmarkEnd w:id="966"/>
      <w:bookmarkEnd w:id="967"/>
      <w:bookmarkEnd w:id="968"/>
    </w:p>
    <w:tbl>
      <w:tblPr>
        <w:tblW w:w="7520" w:type="dxa"/>
        <w:tblLayout w:type="fixed"/>
        <w:tblCellMar>
          <w:left w:w="70" w:type="dxa"/>
          <w:right w:w="70" w:type="dxa"/>
        </w:tblCellMar>
        <w:tblLook w:val="04A0" w:firstRow="1" w:lastRow="0" w:firstColumn="1" w:lastColumn="0" w:noHBand="0" w:noVBand="1"/>
      </w:tblPr>
      <w:tblGrid>
        <w:gridCol w:w="2480"/>
        <w:gridCol w:w="1680"/>
        <w:gridCol w:w="1680"/>
        <w:gridCol w:w="1680"/>
      </w:tblGrid>
      <w:tr w:rsidR="00F15667" w:rsidRPr="00F15667" w14:paraId="6C6A4511" w14:textId="77777777" w:rsidTr="00C17A4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17C312C" w14:textId="77777777" w:rsidR="0068399D" w:rsidRPr="00F15667" w:rsidRDefault="0068399D" w:rsidP="00C17A44">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5040" w:type="dxa"/>
            <w:gridSpan w:val="3"/>
            <w:tcBorders>
              <w:top w:val="double" w:sz="6" w:space="0" w:color="auto"/>
              <w:left w:val="nil"/>
              <w:bottom w:val="nil"/>
              <w:right w:val="nil"/>
            </w:tcBorders>
            <w:shd w:val="clear" w:color="auto" w:fill="auto"/>
            <w:noWrap/>
            <w:vAlign w:val="center"/>
            <w:hideMark/>
          </w:tcPr>
          <w:p w14:paraId="04773649" w14:textId="77777777" w:rsidR="0068399D" w:rsidRPr="00F15667" w:rsidRDefault="0068399D" w:rsidP="00C17A44">
            <w:pPr>
              <w:spacing w:line="240" w:lineRule="auto"/>
              <w:jc w:val="center"/>
              <w:rPr>
                <w:rFonts w:eastAsia="Times New Roman"/>
                <w:b/>
                <w:bCs/>
                <w:szCs w:val="24"/>
                <w:lang w:eastAsia="cs-CZ"/>
              </w:rPr>
            </w:pPr>
            <w:r w:rsidRPr="00F15667">
              <w:rPr>
                <w:rFonts w:eastAsia="Times New Roman"/>
                <w:b/>
                <w:bCs/>
                <w:szCs w:val="24"/>
                <w:lang w:eastAsia="cs-CZ"/>
              </w:rPr>
              <w:t>Způsob řešení úpadku</w:t>
            </w:r>
          </w:p>
        </w:tc>
      </w:tr>
      <w:tr w:rsidR="00F15667" w:rsidRPr="00F15667" w14:paraId="7A315971" w14:textId="77777777" w:rsidTr="00C17A44">
        <w:trPr>
          <w:trHeight w:val="330"/>
        </w:trPr>
        <w:tc>
          <w:tcPr>
            <w:tcW w:w="2480" w:type="dxa"/>
            <w:vMerge/>
            <w:tcBorders>
              <w:top w:val="double" w:sz="6" w:space="0" w:color="auto"/>
              <w:left w:val="nil"/>
              <w:bottom w:val="double" w:sz="6" w:space="0" w:color="000000"/>
              <w:right w:val="nil"/>
            </w:tcBorders>
            <w:vAlign w:val="center"/>
            <w:hideMark/>
          </w:tcPr>
          <w:p w14:paraId="43E88002" w14:textId="77777777" w:rsidR="0068399D" w:rsidRPr="00F15667" w:rsidRDefault="0068399D" w:rsidP="00C17A44">
            <w:pPr>
              <w:spacing w:line="240" w:lineRule="auto"/>
              <w:jc w:val="center"/>
              <w:rPr>
                <w:rFonts w:eastAsia="Times New Roman"/>
                <w:b/>
                <w:bCs/>
                <w:szCs w:val="24"/>
                <w:lang w:eastAsia="cs-CZ"/>
              </w:rPr>
            </w:pPr>
          </w:p>
        </w:tc>
        <w:tc>
          <w:tcPr>
            <w:tcW w:w="1680" w:type="dxa"/>
            <w:tcBorders>
              <w:top w:val="nil"/>
              <w:left w:val="nil"/>
              <w:bottom w:val="double" w:sz="6" w:space="0" w:color="auto"/>
              <w:right w:val="nil"/>
            </w:tcBorders>
            <w:shd w:val="clear" w:color="auto" w:fill="auto"/>
            <w:noWrap/>
            <w:vAlign w:val="center"/>
            <w:hideMark/>
          </w:tcPr>
          <w:p w14:paraId="498396AE" w14:textId="77777777" w:rsidR="0068399D" w:rsidRPr="00F15667" w:rsidRDefault="0068399D" w:rsidP="00C17A44">
            <w:pPr>
              <w:spacing w:line="240" w:lineRule="auto"/>
              <w:jc w:val="center"/>
              <w:rPr>
                <w:rFonts w:eastAsia="Times New Roman"/>
                <w:b/>
                <w:bCs/>
                <w:szCs w:val="24"/>
                <w:lang w:eastAsia="cs-CZ"/>
              </w:rPr>
            </w:pPr>
            <w:r w:rsidRPr="00F15667">
              <w:rPr>
                <w:rFonts w:eastAsia="Times New Roman"/>
                <w:b/>
                <w:bCs/>
                <w:szCs w:val="24"/>
                <w:lang w:eastAsia="cs-CZ"/>
              </w:rPr>
              <w:t>Konkurzem</w:t>
            </w:r>
          </w:p>
        </w:tc>
        <w:tc>
          <w:tcPr>
            <w:tcW w:w="1680" w:type="dxa"/>
            <w:tcBorders>
              <w:top w:val="nil"/>
              <w:left w:val="nil"/>
              <w:bottom w:val="double" w:sz="6" w:space="0" w:color="auto"/>
              <w:right w:val="nil"/>
            </w:tcBorders>
            <w:shd w:val="clear" w:color="auto" w:fill="auto"/>
            <w:noWrap/>
            <w:vAlign w:val="center"/>
            <w:hideMark/>
          </w:tcPr>
          <w:p w14:paraId="583875C3" w14:textId="77777777" w:rsidR="0068399D" w:rsidRPr="00F15667" w:rsidRDefault="0068399D" w:rsidP="00C17A44">
            <w:pPr>
              <w:spacing w:line="240" w:lineRule="auto"/>
              <w:jc w:val="center"/>
              <w:rPr>
                <w:rFonts w:eastAsia="Times New Roman"/>
                <w:b/>
                <w:bCs/>
                <w:szCs w:val="24"/>
                <w:lang w:eastAsia="cs-CZ"/>
              </w:rPr>
            </w:pPr>
            <w:r w:rsidRPr="00F15667">
              <w:rPr>
                <w:rFonts w:eastAsia="Times New Roman"/>
                <w:b/>
                <w:bCs/>
                <w:szCs w:val="24"/>
                <w:lang w:eastAsia="cs-CZ"/>
              </w:rPr>
              <w:t>Reorganizací</w:t>
            </w:r>
          </w:p>
        </w:tc>
        <w:tc>
          <w:tcPr>
            <w:tcW w:w="1680" w:type="dxa"/>
            <w:tcBorders>
              <w:top w:val="nil"/>
              <w:left w:val="nil"/>
              <w:bottom w:val="double" w:sz="6" w:space="0" w:color="auto"/>
              <w:right w:val="nil"/>
            </w:tcBorders>
            <w:shd w:val="clear" w:color="auto" w:fill="auto"/>
            <w:noWrap/>
            <w:vAlign w:val="center"/>
            <w:hideMark/>
          </w:tcPr>
          <w:p w14:paraId="090AB0E8" w14:textId="77777777" w:rsidR="0068399D" w:rsidRPr="00F15667" w:rsidRDefault="0068399D" w:rsidP="00C17A44">
            <w:pPr>
              <w:spacing w:line="240" w:lineRule="auto"/>
              <w:jc w:val="center"/>
              <w:rPr>
                <w:rFonts w:eastAsia="Times New Roman"/>
                <w:b/>
                <w:bCs/>
                <w:szCs w:val="24"/>
                <w:lang w:eastAsia="cs-CZ"/>
              </w:rPr>
            </w:pPr>
            <w:r w:rsidRPr="00F15667">
              <w:rPr>
                <w:rFonts w:eastAsia="Times New Roman"/>
                <w:b/>
                <w:bCs/>
                <w:szCs w:val="24"/>
                <w:lang w:eastAsia="cs-CZ"/>
              </w:rPr>
              <w:t>Oddlužením</w:t>
            </w:r>
          </w:p>
        </w:tc>
      </w:tr>
      <w:tr w:rsidR="00F15667" w:rsidRPr="00F15667" w14:paraId="0C27E0C2" w14:textId="77777777" w:rsidTr="00C17A44">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524147D9" w14:textId="77777777" w:rsidR="0068399D" w:rsidRPr="00F15667" w:rsidRDefault="0068399D" w:rsidP="00C17A44">
            <w:pPr>
              <w:spacing w:line="240" w:lineRule="auto"/>
              <w:jc w:val="left"/>
              <w:rPr>
                <w:rFonts w:eastAsia="Times New Roman"/>
                <w:szCs w:val="24"/>
                <w:lang w:eastAsia="cs-CZ"/>
              </w:rPr>
            </w:pPr>
            <w:r w:rsidRPr="00F15667">
              <w:rPr>
                <w:rFonts w:eastAsia="Times New Roman"/>
                <w:szCs w:val="24"/>
                <w:lang w:eastAsia="cs-CZ"/>
              </w:rPr>
              <w:t>MS Praha</w:t>
            </w:r>
          </w:p>
        </w:tc>
        <w:tc>
          <w:tcPr>
            <w:tcW w:w="1680" w:type="dxa"/>
            <w:tcBorders>
              <w:top w:val="single" w:sz="4" w:space="0" w:color="auto"/>
              <w:left w:val="nil"/>
              <w:bottom w:val="single" w:sz="4" w:space="0" w:color="auto"/>
              <w:right w:val="nil"/>
            </w:tcBorders>
            <w:shd w:val="clear" w:color="auto" w:fill="auto"/>
            <w:noWrap/>
            <w:vAlign w:val="center"/>
            <w:hideMark/>
          </w:tcPr>
          <w:p w14:paraId="2D6E3D27" w14:textId="5D2450F4"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13,45</w:t>
            </w:r>
          </w:p>
        </w:tc>
        <w:tc>
          <w:tcPr>
            <w:tcW w:w="1680" w:type="dxa"/>
            <w:tcBorders>
              <w:top w:val="single" w:sz="4" w:space="0" w:color="auto"/>
              <w:left w:val="nil"/>
              <w:bottom w:val="single" w:sz="4" w:space="0" w:color="auto"/>
              <w:right w:val="nil"/>
            </w:tcBorders>
            <w:shd w:val="clear" w:color="auto" w:fill="auto"/>
            <w:noWrap/>
            <w:vAlign w:val="center"/>
            <w:hideMark/>
          </w:tcPr>
          <w:p w14:paraId="792CDB87" w14:textId="75587036"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0,12</w:t>
            </w:r>
          </w:p>
        </w:tc>
        <w:tc>
          <w:tcPr>
            <w:tcW w:w="1680" w:type="dxa"/>
            <w:tcBorders>
              <w:top w:val="single" w:sz="4" w:space="0" w:color="auto"/>
              <w:left w:val="nil"/>
              <w:bottom w:val="single" w:sz="4" w:space="0" w:color="auto"/>
              <w:right w:val="nil"/>
            </w:tcBorders>
            <w:shd w:val="clear" w:color="auto" w:fill="auto"/>
            <w:noWrap/>
            <w:vAlign w:val="center"/>
            <w:hideMark/>
          </w:tcPr>
          <w:p w14:paraId="48EECC7E" w14:textId="0E3D6D9C"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86,43</w:t>
            </w:r>
          </w:p>
        </w:tc>
      </w:tr>
      <w:tr w:rsidR="00F15667" w:rsidRPr="00F15667" w14:paraId="394E29D4"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70E623ED" w14:textId="77777777" w:rsidR="0068399D" w:rsidRPr="00F15667" w:rsidRDefault="0068399D" w:rsidP="00C17A44">
            <w:pPr>
              <w:spacing w:line="240" w:lineRule="auto"/>
              <w:jc w:val="left"/>
              <w:rPr>
                <w:rFonts w:eastAsia="Times New Roman"/>
                <w:szCs w:val="24"/>
                <w:lang w:eastAsia="cs-CZ"/>
              </w:rPr>
            </w:pPr>
            <w:r w:rsidRPr="00F15667">
              <w:rPr>
                <w:rFonts w:eastAsia="Times New Roman"/>
                <w:szCs w:val="24"/>
                <w:lang w:eastAsia="cs-CZ"/>
              </w:rPr>
              <w:t>KS Praha</w:t>
            </w:r>
          </w:p>
        </w:tc>
        <w:tc>
          <w:tcPr>
            <w:tcW w:w="1680" w:type="dxa"/>
            <w:tcBorders>
              <w:top w:val="nil"/>
              <w:left w:val="nil"/>
              <w:bottom w:val="single" w:sz="4" w:space="0" w:color="auto"/>
              <w:right w:val="nil"/>
            </w:tcBorders>
            <w:shd w:val="clear" w:color="auto" w:fill="auto"/>
            <w:noWrap/>
            <w:vAlign w:val="center"/>
            <w:hideMark/>
          </w:tcPr>
          <w:p w14:paraId="47FD36CE" w14:textId="302F1611"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2,81</w:t>
            </w:r>
          </w:p>
        </w:tc>
        <w:tc>
          <w:tcPr>
            <w:tcW w:w="1680" w:type="dxa"/>
            <w:tcBorders>
              <w:top w:val="nil"/>
              <w:left w:val="nil"/>
              <w:bottom w:val="single" w:sz="4" w:space="0" w:color="auto"/>
              <w:right w:val="nil"/>
            </w:tcBorders>
            <w:shd w:val="clear" w:color="auto" w:fill="auto"/>
            <w:noWrap/>
            <w:vAlign w:val="center"/>
            <w:hideMark/>
          </w:tcPr>
          <w:p w14:paraId="582C527A" w14:textId="3B7B5991"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0,03</w:t>
            </w:r>
          </w:p>
        </w:tc>
        <w:tc>
          <w:tcPr>
            <w:tcW w:w="1680" w:type="dxa"/>
            <w:tcBorders>
              <w:top w:val="nil"/>
              <w:left w:val="nil"/>
              <w:bottom w:val="single" w:sz="4" w:space="0" w:color="auto"/>
              <w:right w:val="nil"/>
            </w:tcBorders>
            <w:shd w:val="clear" w:color="auto" w:fill="auto"/>
            <w:noWrap/>
            <w:vAlign w:val="center"/>
            <w:hideMark/>
          </w:tcPr>
          <w:p w14:paraId="376503C3" w14:textId="4095C866"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97,16</w:t>
            </w:r>
          </w:p>
        </w:tc>
      </w:tr>
      <w:tr w:rsidR="00F15667" w:rsidRPr="00F15667" w14:paraId="6464D8E7"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06A789A1" w14:textId="77777777" w:rsidR="0068399D" w:rsidRPr="00F15667" w:rsidRDefault="0068399D" w:rsidP="00C17A44">
            <w:pPr>
              <w:spacing w:line="240" w:lineRule="auto"/>
              <w:jc w:val="left"/>
              <w:rPr>
                <w:rFonts w:eastAsia="Times New Roman"/>
                <w:szCs w:val="24"/>
                <w:lang w:eastAsia="cs-CZ"/>
              </w:rPr>
            </w:pPr>
            <w:r w:rsidRPr="00F15667">
              <w:rPr>
                <w:rFonts w:eastAsia="Times New Roman"/>
                <w:szCs w:val="24"/>
                <w:lang w:eastAsia="cs-CZ"/>
              </w:rPr>
              <w:t>KS Č. Budějovice</w:t>
            </w:r>
          </w:p>
        </w:tc>
        <w:tc>
          <w:tcPr>
            <w:tcW w:w="1680" w:type="dxa"/>
            <w:tcBorders>
              <w:top w:val="nil"/>
              <w:left w:val="nil"/>
              <w:bottom w:val="single" w:sz="4" w:space="0" w:color="auto"/>
              <w:right w:val="nil"/>
            </w:tcBorders>
            <w:shd w:val="clear" w:color="auto" w:fill="auto"/>
            <w:noWrap/>
            <w:vAlign w:val="center"/>
            <w:hideMark/>
          </w:tcPr>
          <w:p w14:paraId="64579045" w14:textId="21E6B9B0"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3,04</w:t>
            </w:r>
          </w:p>
        </w:tc>
        <w:tc>
          <w:tcPr>
            <w:tcW w:w="1680" w:type="dxa"/>
            <w:tcBorders>
              <w:top w:val="nil"/>
              <w:left w:val="nil"/>
              <w:bottom w:val="single" w:sz="4" w:space="0" w:color="auto"/>
              <w:right w:val="nil"/>
            </w:tcBorders>
            <w:shd w:val="clear" w:color="auto" w:fill="auto"/>
            <w:noWrap/>
            <w:vAlign w:val="center"/>
            <w:hideMark/>
          </w:tcPr>
          <w:p w14:paraId="0E469C68" w14:textId="427DA96D"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0,03</w:t>
            </w:r>
          </w:p>
        </w:tc>
        <w:tc>
          <w:tcPr>
            <w:tcW w:w="1680" w:type="dxa"/>
            <w:tcBorders>
              <w:top w:val="nil"/>
              <w:left w:val="nil"/>
              <w:bottom w:val="single" w:sz="4" w:space="0" w:color="auto"/>
              <w:right w:val="nil"/>
            </w:tcBorders>
            <w:shd w:val="clear" w:color="auto" w:fill="auto"/>
            <w:noWrap/>
            <w:vAlign w:val="center"/>
            <w:hideMark/>
          </w:tcPr>
          <w:p w14:paraId="45EB067E" w14:textId="5D7EE312"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96,93</w:t>
            </w:r>
          </w:p>
        </w:tc>
      </w:tr>
      <w:tr w:rsidR="00F15667" w:rsidRPr="00F15667" w14:paraId="7EFC1F15"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0BE1FA8D" w14:textId="77777777" w:rsidR="0068399D" w:rsidRPr="00F15667" w:rsidRDefault="0068399D" w:rsidP="00C17A44">
            <w:pPr>
              <w:spacing w:line="240" w:lineRule="auto"/>
              <w:jc w:val="left"/>
              <w:rPr>
                <w:rFonts w:eastAsia="Times New Roman"/>
                <w:szCs w:val="24"/>
                <w:lang w:eastAsia="cs-CZ"/>
              </w:rPr>
            </w:pPr>
            <w:r w:rsidRPr="00F15667">
              <w:rPr>
                <w:rFonts w:eastAsia="Times New Roman"/>
                <w:szCs w:val="24"/>
                <w:lang w:eastAsia="cs-CZ"/>
              </w:rPr>
              <w:t>KS Plzeň</w:t>
            </w:r>
          </w:p>
        </w:tc>
        <w:tc>
          <w:tcPr>
            <w:tcW w:w="1680" w:type="dxa"/>
            <w:tcBorders>
              <w:top w:val="nil"/>
              <w:left w:val="nil"/>
              <w:bottom w:val="single" w:sz="4" w:space="0" w:color="auto"/>
              <w:right w:val="nil"/>
            </w:tcBorders>
            <w:shd w:val="clear" w:color="auto" w:fill="auto"/>
            <w:noWrap/>
            <w:vAlign w:val="center"/>
            <w:hideMark/>
          </w:tcPr>
          <w:p w14:paraId="7755A486" w14:textId="339ABC93"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2,86</w:t>
            </w:r>
          </w:p>
        </w:tc>
        <w:tc>
          <w:tcPr>
            <w:tcW w:w="1680" w:type="dxa"/>
            <w:tcBorders>
              <w:top w:val="nil"/>
              <w:left w:val="nil"/>
              <w:bottom w:val="single" w:sz="4" w:space="0" w:color="auto"/>
              <w:right w:val="nil"/>
            </w:tcBorders>
            <w:shd w:val="clear" w:color="auto" w:fill="auto"/>
            <w:noWrap/>
            <w:vAlign w:val="center"/>
            <w:hideMark/>
          </w:tcPr>
          <w:p w14:paraId="2B959674" w14:textId="2535C5F4"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0,00</w:t>
            </w:r>
          </w:p>
        </w:tc>
        <w:tc>
          <w:tcPr>
            <w:tcW w:w="1680" w:type="dxa"/>
            <w:tcBorders>
              <w:top w:val="nil"/>
              <w:left w:val="nil"/>
              <w:bottom w:val="single" w:sz="4" w:space="0" w:color="auto"/>
              <w:right w:val="nil"/>
            </w:tcBorders>
            <w:shd w:val="clear" w:color="auto" w:fill="auto"/>
            <w:noWrap/>
            <w:vAlign w:val="center"/>
            <w:hideMark/>
          </w:tcPr>
          <w:p w14:paraId="24B997AA" w14:textId="3383715F"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97,14</w:t>
            </w:r>
          </w:p>
        </w:tc>
      </w:tr>
      <w:tr w:rsidR="00F15667" w:rsidRPr="00F15667" w14:paraId="1CA5AB39"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29417007" w14:textId="77777777" w:rsidR="0068399D" w:rsidRPr="00F15667" w:rsidRDefault="0068399D" w:rsidP="00C17A44">
            <w:pPr>
              <w:spacing w:line="240" w:lineRule="auto"/>
              <w:jc w:val="left"/>
              <w:rPr>
                <w:rFonts w:eastAsia="Times New Roman"/>
                <w:szCs w:val="24"/>
                <w:lang w:eastAsia="cs-CZ"/>
              </w:rPr>
            </w:pPr>
            <w:r w:rsidRPr="00F15667">
              <w:rPr>
                <w:rFonts w:eastAsia="Times New Roman"/>
                <w:szCs w:val="24"/>
                <w:lang w:eastAsia="cs-CZ"/>
              </w:rPr>
              <w:t>KS Ústí n. Labem</w:t>
            </w:r>
          </w:p>
        </w:tc>
        <w:tc>
          <w:tcPr>
            <w:tcW w:w="1680" w:type="dxa"/>
            <w:tcBorders>
              <w:top w:val="nil"/>
              <w:left w:val="nil"/>
              <w:bottom w:val="single" w:sz="4" w:space="0" w:color="auto"/>
              <w:right w:val="nil"/>
            </w:tcBorders>
            <w:shd w:val="clear" w:color="auto" w:fill="auto"/>
            <w:noWrap/>
            <w:vAlign w:val="center"/>
            <w:hideMark/>
          </w:tcPr>
          <w:p w14:paraId="4E7378B6" w14:textId="4077D7AD"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1,94</w:t>
            </w:r>
          </w:p>
        </w:tc>
        <w:tc>
          <w:tcPr>
            <w:tcW w:w="1680" w:type="dxa"/>
            <w:tcBorders>
              <w:top w:val="nil"/>
              <w:left w:val="nil"/>
              <w:bottom w:val="single" w:sz="4" w:space="0" w:color="auto"/>
              <w:right w:val="nil"/>
            </w:tcBorders>
            <w:shd w:val="clear" w:color="auto" w:fill="auto"/>
            <w:noWrap/>
            <w:vAlign w:val="center"/>
            <w:hideMark/>
          </w:tcPr>
          <w:p w14:paraId="3EEAB27D" w14:textId="39295D7C"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0,01</w:t>
            </w:r>
          </w:p>
        </w:tc>
        <w:tc>
          <w:tcPr>
            <w:tcW w:w="1680" w:type="dxa"/>
            <w:tcBorders>
              <w:top w:val="nil"/>
              <w:left w:val="nil"/>
              <w:bottom w:val="single" w:sz="4" w:space="0" w:color="auto"/>
              <w:right w:val="nil"/>
            </w:tcBorders>
            <w:shd w:val="clear" w:color="auto" w:fill="auto"/>
            <w:noWrap/>
            <w:vAlign w:val="center"/>
            <w:hideMark/>
          </w:tcPr>
          <w:p w14:paraId="4CCE2D1E" w14:textId="6A481CB8"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98,05</w:t>
            </w:r>
          </w:p>
        </w:tc>
      </w:tr>
      <w:tr w:rsidR="00F15667" w:rsidRPr="00F15667" w14:paraId="42006FFD"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1AA65C96" w14:textId="77777777" w:rsidR="0068399D" w:rsidRPr="00F15667" w:rsidRDefault="0068399D" w:rsidP="00C17A44">
            <w:pPr>
              <w:spacing w:line="240" w:lineRule="auto"/>
              <w:jc w:val="left"/>
              <w:rPr>
                <w:rFonts w:eastAsia="Times New Roman"/>
                <w:szCs w:val="24"/>
                <w:lang w:eastAsia="cs-CZ"/>
              </w:rPr>
            </w:pPr>
            <w:r w:rsidRPr="00F15667">
              <w:rPr>
                <w:rFonts w:eastAsia="Times New Roman"/>
                <w:szCs w:val="24"/>
                <w:lang w:eastAsia="cs-CZ"/>
              </w:rPr>
              <w:t>KS Hr. Králové</w:t>
            </w:r>
          </w:p>
        </w:tc>
        <w:tc>
          <w:tcPr>
            <w:tcW w:w="1680" w:type="dxa"/>
            <w:tcBorders>
              <w:top w:val="nil"/>
              <w:left w:val="nil"/>
              <w:bottom w:val="single" w:sz="4" w:space="0" w:color="auto"/>
              <w:right w:val="nil"/>
            </w:tcBorders>
            <w:shd w:val="clear" w:color="auto" w:fill="auto"/>
            <w:noWrap/>
            <w:vAlign w:val="center"/>
            <w:hideMark/>
          </w:tcPr>
          <w:p w14:paraId="7B3AA6C7" w14:textId="0D3F2DB5"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2,90</w:t>
            </w:r>
          </w:p>
        </w:tc>
        <w:tc>
          <w:tcPr>
            <w:tcW w:w="1680" w:type="dxa"/>
            <w:tcBorders>
              <w:top w:val="nil"/>
              <w:left w:val="nil"/>
              <w:bottom w:val="single" w:sz="4" w:space="0" w:color="auto"/>
              <w:right w:val="nil"/>
            </w:tcBorders>
            <w:shd w:val="clear" w:color="auto" w:fill="auto"/>
            <w:noWrap/>
            <w:vAlign w:val="center"/>
            <w:hideMark/>
          </w:tcPr>
          <w:p w14:paraId="141D1AA7" w14:textId="01A10EDE"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0,03</w:t>
            </w:r>
          </w:p>
        </w:tc>
        <w:tc>
          <w:tcPr>
            <w:tcW w:w="1680" w:type="dxa"/>
            <w:tcBorders>
              <w:top w:val="nil"/>
              <w:left w:val="nil"/>
              <w:bottom w:val="single" w:sz="4" w:space="0" w:color="auto"/>
              <w:right w:val="nil"/>
            </w:tcBorders>
            <w:shd w:val="clear" w:color="auto" w:fill="auto"/>
            <w:noWrap/>
            <w:vAlign w:val="center"/>
            <w:hideMark/>
          </w:tcPr>
          <w:p w14:paraId="3B9443F9" w14:textId="6B9013A1"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97,07</w:t>
            </w:r>
          </w:p>
        </w:tc>
      </w:tr>
      <w:tr w:rsidR="00F15667" w:rsidRPr="00F15667" w14:paraId="302BF8D9"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25D51028" w14:textId="77777777" w:rsidR="0068399D" w:rsidRPr="00F15667" w:rsidRDefault="0068399D" w:rsidP="00C17A44">
            <w:pPr>
              <w:spacing w:line="240" w:lineRule="auto"/>
              <w:jc w:val="left"/>
              <w:rPr>
                <w:rFonts w:eastAsia="Times New Roman"/>
                <w:szCs w:val="24"/>
                <w:lang w:eastAsia="cs-CZ"/>
              </w:rPr>
            </w:pPr>
            <w:r w:rsidRPr="00F15667">
              <w:rPr>
                <w:rFonts w:eastAsia="Times New Roman"/>
                <w:szCs w:val="24"/>
                <w:lang w:eastAsia="cs-CZ"/>
              </w:rPr>
              <w:t>KS Brno</w:t>
            </w:r>
          </w:p>
        </w:tc>
        <w:tc>
          <w:tcPr>
            <w:tcW w:w="1680" w:type="dxa"/>
            <w:tcBorders>
              <w:top w:val="nil"/>
              <w:left w:val="nil"/>
              <w:bottom w:val="single" w:sz="4" w:space="0" w:color="auto"/>
              <w:right w:val="nil"/>
            </w:tcBorders>
            <w:shd w:val="clear" w:color="auto" w:fill="auto"/>
            <w:noWrap/>
            <w:vAlign w:val="center"/>
            <w:hideMark/>
          </w:tcPr>
          <w:p w14:paraId="79D9A0CD" w14:textId="749D6BCB"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4,49</w:t>
            </w:r>
          </w:p>
        </w:tc>
        <w:tc>
          <w:tcPr>
            <w:tcW w:w="1680" w:type="dxa"/>
            <w:tcBorders>
              <w:top w:val="nil"/>
              <w:left w:val="nil"/>
              <w:bottom w:val="single" w:sz="4" w:space="0" w:color="auto"/>
              <w:right w:val="nil"/>
            </w:tcBorders>
            <w:shd w:val="clear" w:color="auto" w:fill="auto"/>
            <w:noWrap/>
            <w:vAlign w:val="center"/>
            <w:hideMark/>
          </w:tcPr>
          <w:p w14:paraId="2CFAC33F" w14:textId="04CAE822"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0,05</w:t>
            </w:r>
          </w:p>
        </w:tc>
        <w:tc>
          <w:tcPr>
            <w:tcW w:w="1680" w:type="dxa"/>
            <w:tcBorders>
              <w:top w:val="nil"/>
              <w:left w:val="nil"/>
              <w:bottom w:val="single" w:sz="4" w:space="0" w:color="auto"/>
              <w:right w:val="nil"/>
            </w:tcBorders>
            <w:shd w:val="clear" w:color="auto" w:fill="auto"/>
            <w:noWrap/>
            <w:vAlign w:val="center"/>
            <w:hideMark/>
          </w:tcPr>
          <w:p w14:paraId="2B211B95" w14:textId="3EE18C3B"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95,47</w:t>
            </w:r>
          </w:p>
        </w:tc>
      </w:tr>
      <w:tr w:rsidR="00F15667" w:rsidRPr="00F15667" w14:paraId="1E72E6BF" w14:textId="77777777" w:rsidTr="00C17A44">
        <w:trPr>
          <w:trHeight w:val="330"/>
        </w:trPr>
        <w:tc>
          <w:tcPr>
            <w:tcW w:w="2480" w:type="dxa"/>
            <w:tcBorders>
              <w:top w:val="nil"/>
              <w:left w:val="nil"/>
              <w:bottom w:val="double" w:sz="6" w:space="0" w:color="auto"/>
              <w:right w:val="nil"/>
            </w:tcBorders>
            <w:shd w:val="clear" w:color="auto" w:fill="auto"/>
            <w:noWrap/>
            <w:vAlign w:val="center"/>
            <w:hideMark/>
          </w:tcPr>
          <w:p w14:paraId="21F66EE1" w14:textId="77777777" w:rsidR="0068399D" w:rsidRPr="00F15667" w:rsidRDefault="0068399D" w:rsidP="00C17A44">
            <w:pPr>
              <w:spacing w:line="240" w:lineRule="auto"/>
              <w:jc w:val="left"/>
              <w:rPr>
                <w:rFonts w:eastAsia="Times New Roman"/>
                <w:szCs w:val="24"/>
                <w:lang w:eastAsia="cs-CZ"/>
              </w:rPr>
            </w:pPr>
            <w:r w:rsidRPr="00F15667">
              <w:rPr>
                <w:rFonts w:eastAsia="Times New Roman"/>
                <w:szCs w:val="24"/>
                <w:lang w:eastAsia="cs-CZ"/>
              </w:rPr>
              <w:t>KS Ostrava</w:t>
            </w:r>
          </w:p>
        </w:tc>
        <w:tc>
          <w:tcPr>
            <w:tcW w:w="1680" w:type="dxa"/>
            <w:tcBorders>
              <w:top w:val="nil"/>
              <w:left w:val="nil"/>
              <w:bottom w:val="double" w:sz="6" w:space="0" w:color="auto"/>
              <w:right w:val="nil"/>
            </w:tcBorders>
            <w:shd w:val="clear" w:color="auto" w:fill="auto"/>
            <w:noWrap/>
            <w:vAlign w:val="center"/>
            <w:hideMark/>
          </w:tcPr>
          <w:p w14:paraId="0608839C" w14:textId="7EC069FB"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2,70</w:t>
            </w:r>
          </w:p>
        </w:tc>
        <w:tc>
          <w:tcPr>
            <w:tcW w:w="1680" w:type="dxa"/>
            <w:tcBorders>
              <w:top w:val="nil"/>
              <w:left w:val="nil"/>
              <w:bottom w:val="double" w:sz="6" w:space="0" w:color="auto"/>
              <w:right w:val="nil"/>
            </w:tcBorders>
            <w:shd w:val="clear" w:color="auto" w:fill="auto"/>
            <w:noWrap/>
            <w:vAlign w:val="center"/>
            <w:hideMark/>
          </w:tcPr>
          <w:p w14:paraId="0FADB14C" w14:textId="6A2798EA"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0,02</w:t>
            </w:r>
          </w:p>
        </w:tc>
        <w:tc>
          <w:tcPr>
            <w:tcW w:w="1680" w:type="dxa"/>
            <w:tcBorders>
              <w:top w:val="nil"/>
              <w:left w:val="nil"/>
              <w:bottom w:val="double" w:sz="6" w:space="0" w:color="auto"/>
              <w:right w:val="nil"/>
            </w:tcBorders>
            <w:shd w:val="clear" w:color="auto" w:fill="auto"/>
            <w:noWrap/>
            <w:vAlign w:val="center"/>
            <w:hideMark/>
          </w:tcPr>
          <w:p w14:paraId="157757E0" w14:textId="19991737" w:rsidR="0068399D" w:rsidRPr="00F15667" w:rsidRDefault="0068399D" w:rsidP="00C17A44">
            <w:pPr>
              <w:spacing w:line="240" w:lineRule="auto"/>
              <w:jc w:val="center"/>
              <w:rPr>
                <w:rFonts w:eastAsia="Times New Roman"/>
                <w:szCs w:val="24"/>
                <w:lang w:eastAsia="cs-CZ"/>
              </w:rPr>
            </w:pPr>
            <w:r w:rsidRPr="00F15667">
              <w:rPr>
                <w:rFonts w:eastAsia="Times New Roman"/>
                <w:szCs w:val="24"/>
                <w:lang w:eastAsia="cs-CZ"/>
              </w:rPr>
              <w:t>97,28</w:t>
            </w:r>
          </w:p>
        </w:tc>
      </w:tr>
      <w:tr w:rsidR="00F15667" w:rsidRPr="00F15667" w14:paraId="6F055537" w14:textId="77777777" w:rsidTr="00C17A44">
        <w:trPr>
          <w:trHeight w:val="345"/>
        </w:trPr>
        <w:tc>
          <w:tcPr>
            <w:tcW w:w="2480" w:type="dxa"/>
            <w:tcBorders>
              <w:top w:val="nil"/>
              <w:left w:val="nil"/>
              <w:bottom w:val="double" w:sz="6" w:space="0" w:color="auto"/>
              <w:right w:val="nil"/>
            </w:tcBorders>
            <w:shd w:val="clear" w:color="auto" w:fill="auto"/>
            <w:noWrap/>
            <w:vAlign w:val="center"/>
            <w:hideMark/>
          </w:tcPr>
          <w:p w14:paraId="390AF3F8" w14:textId="77777777" w:rsidR="0068399D" w:rsidRPr="00F15667" w:rsidRDefault="0068399D" w:rsidP="00C17A4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680" w:type="dxa"/>
            <w:tcBorders>
              <w:top w:val="nil"/>
              <w:left w:val="nil"/>
              <w:bottom w:val="double" w:sz="6" w:space="0" w:color="auto"/>
              <w:right w:val="nil"/>
            </w:tcBorders>
            <w:shd w:val="clear" w:color="auto" w:fill="auto"/>
            <w:noWrap/>
            <w:vAlign w:val="center"/>
            <w:hideMark/>
          </w:tcPr>
          <w:p w14:paraId="743E4EFA" w14:textId="57FB3BAA" w:rsidR="0068399D" w:rsidRPr="00F15667" w:rsidRDefault="0068399D" w:rsidP="00C17A44">
            <w:pPr>
              <w:spacing w:line="240" w:lineRule="auto"/>
              <w:jc w:val="center"/>
              <w:rPr>
                <w:rFonts w:eastAsia="Times New Roman"/>
                <w:b/>
                <w:bCs/>
                <w:szCs w:val="24"/>
                <w:lang w:eastAsia="cs-CZ"/>
              </w:rPr>
            </w:pPr>
            <w:r w:rsidRPr="00F15667">
              <w:rPr>
                <w:rFonts w:eastAsia="Times New Roman"/>
                <w:b/>
                <w:bCs/>
                <w:szCs w:val="24"/>
                <w:lang w:eastAsia="cs-CZ"/>
              </w:rPr>
              <w:t>3,91</w:t>
            </w:r>
          </w:p>
        </w:tc>
        <w:tc>
          <w:tcPr>
            <w:tcW w:w="1680" w:type="dxa"/>
            <w:tcBorders>
              <w:top w:val="nil"/>
              <w:left w:val="nil"/>
              <w:bottom w:val="double" w:sz="6" w:space="0" w:color="auto"/>
              <w:right w:val="nil"/>
            </w:tcBorders>
            <w:shd w:val="clear" w:color="auto" w:fill="auto"/>
            <w:noWrap/>
            <w:vAlign w:val="center"/>
            <w:hideMark/>
          </w:tcPr>
          <w:p w14:paraId="1568BD84" w14:textId="3C015B74" w:rsidR="0068399D" w:rsidRPr="00F15667" w:rsidRDefault="0068399D" w:rsidP="00C17A44">
            <w:pPr>
              <w:spacing w:line="240" w:lineRule="auto"/>
              <w:jc w:val="center"/>
              <w:rPr>
                <w:rFonts w:eastAsia="Times New Roman"/>
                <w:b/>
                <w:bCs/>
                <w:szCs w:val="24"/>
                <w:lang w:eastAsia="cs-CZ"/>
              </w:rPr>
            </w:pPr>
            <w:r w:rsidRPr="00F15667">
              <w:rPr>
                <w:rFonts w:eastAsia="Times New Roman"/>
                <w:b/>
                <w:bCs/>
                <w:szCs w:val="24"/>
                <w:lang w:eastAsia="cs-CZ"/>
              </w:rPr>
              <w:t>0,03</w:t>
            </w:r>
          </w:p>
        </w:tc>
        <w:tc>
          <w:tcPr>
            <w:tcW w:w="1680" w:type="dxa"/>
            <w:tcBorders>
              <w:top w:val="nil"/>
              <w:left w:val="nil"/>
              <w:bottom w:val="double" w:sz="6" w:space="0" w:color="auto"/>
              <w:right w:val="nil"/>
            </w:tcBorders>
            <w:shd w:val="clear" w:color="auto" w:fill="auto"/>
            <w:noWrap/>
            <w:vAlign w:val="center"/>
            <w:hideMark/>
          </w:tcPr>
          <w:p w14:paraId="6E3B2B9F" w14:textId="731E3D23" w:rsidR="0068399D" w:rsidRPr="00F15667" w:rsidRDefault="0068399D" w:rsidP="00C17A44">
            <w:pPr>
              <w:spacing w:line="240" w:lineRule="auto"/>
              <w:jc w:val="center"/>
              <w:rPr>
                <w:rFonts w:eastAsia="Times New Roman"/>
                <w:b/>
                <w:bCs/>
                <w:szCs w:val="24"/>
                <w:lang w:eastAsia="cs-CZ"/>
              </w:rPr>
            </w:pPr>
            <w:r w:rsidRPr="00F15667">
              <w:rPr>
                <w:rFonts w:eastAsia="Times New Roman"/>
                <w:b/>
                <w:bCs/>
                <w:szCs w:val="24"/>
                <w:lang w:eastAsia="cs-CZ"/>
              </w:rPr>
              <w:t>96,06</w:t>
            </w:r>
          </w:p>
        </w:tc>
      </w:tr>
      <w:tr w:rsidR="00F15667" w:rsidRPr="00F15667" w14:paraId="4AAF04C2" w14:textId="77777777" w:rsidTr="00C17A44">
        <w:trPr>
          <w:trHeight w:val="330"/>
        </w:trPr>
        <w:tc>
          <w:tcPr>
            <w:tcW w:w="2480" w:type="dxa"/>
            <w:tcBorders>
              <w:top w:val="nil"/>
              <w:left w:val="nil"/>
              <w:bottom w:val="nil"/>
              <w:right w:val="nil"/>
            </w:tcBorders>
            <w:shd w:val="clear" w:color="auto" w:fill="auto"/>
            <w:noWrap/>
            <w:vAlign w:val="bottom"/>
            <w:hideMark/>
          </w:tcPr>
          <w:p w14:paraId="3AA312E5" w14:textId="77777777" w:rsidR="0068399D" w:rsidRPr="00F15667" w:rsidRDefault="0068399D" w:rsidP="0068399D">
            <w:pPr>
              <w:spacing w:line="240" w:lineRule="auto"/>
              <w:jc w:val="center"/>
              <w:rPr>
                <w:rFonts w:eastAsia="Times New Roman"/>
                <w:b/>
                <w:bCs/>
                <w:szCs w:val="24"/>
                <w:lang w:eastAsia="cs-CZ"/>
              </w:rPr>
            </w:pPr>
          </w:p>
        </w:tc>
        <w:tc>
          <w:tcPr>
            <w:tcW w:w="1680" w:type="dxa"/>
            <w:tcBorders>
              <w:top w:val="nil"/>
              <w:left w:val="nil"/>
              <w:bottom w:val="nil"/>
              <w:right w:val="nil"/>
            </w:tcBorders>
            <w:shd w:val="clear" w:color="auto" w:fill="auto"/>
            <w:noWrap/>
            <w:vAlign w:val="bottom"/>
            <w:hideMark/>
          </w:tcPr>
          <w:p w14:paraId="1D18B508" w14:textId="77777777" w:rsidR="0068399D" w:rsidRPr="00F15667" w:rsidRDefault="0068399D" w:rsidP="0068399D">
            <w:pPr>
              <w:spacing w:line="240" w:lineRule="auto"/>
              <w:jc w:val="left"/>
              <w:rPr>
                <w:rFonts w:ascii="Times New Roman" w:eastAsia="Times New Roman" w:hAnsi="Times New Roman"/>
                <w:sz w:val="20"/>
                <w:szCs w:val="20"/>
                <w:lang w:eastAsia="cs-CZ"/>
              </w:rPr>
            </w:pPr>
          </w:p>
        </w:tc>
        <w:tc>
          <w:tcPr>
            <w:tcW w:w="1680" w:type="dxa"/>
            <w:tcBorders>
              <w:top w:val="nil"/>
              <w:left w:val="nil"/>
              <w:bottom w:val="nil"/>
              <w:right w:val="nil"/>
            </w:tcBorders>
            <w:shd w:val="clear" w:color="auto" w:fill="auto"/>
            <w:noWrap/>
            <w:vAlign w:val="bottom"/>
            <w:hideMark/>
          </w:tcPr>
          <w:p w14:paraId="57E5C594" w14:textId="77777777" w:rsidR="0068399D" w:rsidRPr="00F15667" w:rsidRDefault="0068399D" w:rsidP="0068399D">
            <w:pPr>
              <w:spacing w:line="240" w:lineRule="auto"/>
              <w:jc w:val="left"/>
              <w:rPr>
                <w:rFonts w:ascii="Times New Roman" w:eastAsia="Times New Roman" w:hAnsi="Times New Roman"/>
                <w:sz w:val="20"/>
                <w:szCs w:val="20"/>
                <w:lang w:eastAsia="cs-CZ"/>
              </w:rPr>
            </w:pPr>
          </w:p>
        </w:tc>
        <w:tc>
          <w:tcPr>
            <w:tcW w:w="1680" w:type="dxa"/>
            <w:tcBorders>
              <w:top w:val="nil"/>
              <w:left w:val="nil"/>
              <w:bottom w:val="nil"/>
              <w:right w:val="nil"/>
            </w:tcBorders>
            <w:shd w:val="clear" w:color="auto" w:fill="auto"/>
            <w:noWrap/>
            <w:vAlign w:val="bottom"/>
            <w:hideMark/>
          </w:tcPr>
          <w:p w14:paraId="24D99828" w14:textId="77777777" w:rsidR="0068399D" w:rsidRPr="00F15667" w:rsidRDefault="0068399D" w:rsidP="0068399D">
            <w:pPr>
              <w:spacing w:line="240" w:lineRule="auto"/>
              <w:jc w:val="left"/>
              <w:rPr>
                <w:rFonts w:ascii="Times New Roman" w:eastAsia="Times New Roman" w:hAnsi="Times New Roman"/>
                <w:sz w:val="20"/>
                <w:szCs w:val="20"/>
                <w:lang w:eastAsia="cs-CZ"/>
              </w:rPr>
            </w:pPr>
          </w:p>
        </w:tc>
      </w:tr>
    </w:tbl>
    <w:p w14:paraId="5FE80763" w14:textId="26A49C59" w:rsidR="0068399D" w:rsidRPr="00F15667" w:rsidRDefault="0068399D" w:rsidP="0068399D">
      <w:pPr>
        <w:pStyle w:val="OdstavecASR"/>
      </w:pPr>
      <w:r w:rsidRPr="00F15667">
        <w:t>Naprosté minimum věcí se řeší reorganizací a pouze necelých 4 % věcí se řeší konkursem (ve většině případů se jedná o řešení úpadku právnických osob). Oproti loňskému roku klesl počet úpadků řešených konkursem o 0,4 procentního bodu, předchozí rok to bylo o 0,6 procentního bodu. V roce 2020 se jednalo o pokles o 0,9 p.b. a v roce 2019 byl pokles asi o 1,4 p.b. V roce 2018 to bylo o 1,6 p.b. a rozdíl mezi rokem 2016 a 2017 byl 1,5 p.b. Od roku 2016 už tedy klesl podíl věcí řešených konkurzem o 6,4 procentních bodů.</w:t>
      </w:r>
    </w:p>
    <w:p w14:paraId="4978C0FE" w14:textId="77777777" w:rsidR="000218DE" w:rsidRPr="00F15667" w:rsidRDefault="000218DE" w:rsidP="000218DE">
      <w:pPr>
        <w:pStyle w:val="OdstavecASR"/>
      </w:pPr>
      <w:r w:rsidRPr="00F15667">
        <w:t>Velmi zajímavé jsou rozdíly mezi jednotlivými soudy. Největší podíl úpadků řešených konkursem má suverénně Praha (asi třikrát více než je celorepublikový průměr), nejmenší naopak KS Ústí nad Labem a KS Ostrava. To je dáno zejména tím, že v Praze sídlí velké množství společností a koncentrují se zde tedy podnikatelské úpadky, a zároveň je zde naopak oproti ekonomicky slabším regionům relativně menší množství spotřebitelů ohrožených insolvencí.</w:t>
      </w:r>
    </w:p>
    <w:p w14:paraId="27CA97AB" w14:textId="77777777" w:rsidR="00A342F2" w:rsidRPr="00F15667" w:rsidRDefault="00A342F2">
      <w:pPr>
        <w:spacing w:after="160" w:line="259" w:lineRule="auto"/>
        <w:jc w:val="left"/>
        <w:rPr>
          <w:rFonts w:eastAsia="Times New Roman"/>
          <w:b/>
          <w:bCs/>
        </w:rPr>
      </w:pPr>
      <w:r w:rsidRPr="00F15667">
        <w:br w:type="page"/>
      </w:r>
    </w:p>
    <w:p w14:paraId="49865EAE" w14:textId="73924D43" w:rsidR="008430BD" w:rsidRPr="00F15667" w:rsidRDefault="008430BD" w:rsidP="008430BD">
      <w:pPr>
        <w:pStyle w:val="Nadpis2"/>
        <w:numPr>
          <w:ilvl w:val="1"/>
          <w:numId w:val="1"/>
        </w:numPr>
        <w:spacing w:before="120"/>
        <w:rPr>
          <w:color w:val="auto"/>
        </w:rPr>
      </w:pPr>
      <w:bookmarkStart w:id="969" w:name="_Toc106092784"/>
      <w:bookmarkStart w:id="970" w:name="_Toc144104397"/>
      <w:r w:rsidRPr="00F15667">
        <w:rPr>
          <w:color w:val="auto"/>
        </w:rPr>
        <w:lastRenderedPageBreak/>
        <w:t>Incidenční spory</w:t>
      </w:r>
      <w:bookmarkEnd w:id="969"/>
      <w:bookmarkEnd w:id="970"/>
    </w:p>
    <w:p w14:paraId="59B2C94C" w14:textId="38DED80B" w:rsidR="000218DE" w:rsidRPr="00F15667" w:rsidRDefault="000218DE" w:rsidP="00C17A44">
      <w:pPr>
        <w:pStyle w:val="OdstavecASR"/>
      </w:pPr>
      <w:r w:rsidRPr="00F15667">
        <w:t>Od roku 2019 jsou ve výroční statistické zprávě rovněž diskutovány tzv. incidenční spory. Jedná se o spory vyvolané insolvenčním řízením a projednávané v jeho rámci. Incidenční spory jsou definovány v insolvenčním zákoně (zákon č. 182/2006 Sb.) a jsou jimi například:</w:t>
      </w:r>
    </w:p>
    <w:p w14:paraId="3AE16118" w14:textId="77777777" w:rsidR="000218DE" w:rsidRPr="00F15667" w:rsidRDefault="000218DE" w:rsidP="00C17A44">
      <w:pPr>
        <w:pStyle w:val="Odstavecseseznamem"/>
        <w:numPr>
          <w:ilvl w:val="0"/>
          <w:numId w:val="19"/>
        </w:numPr>
        <w:spacing w:before="60" w:after="120"/>
        <w:ind w:left="714" w:hanging="357"/>
      </w:pPr>
      <w:r w:rsidRPr="00F15667">
        <w:t>spory o pravost, výši nebo pořadí přihlášených pohledávek,</w:t>
      </w:r>
    </w:p>
    <w:p w14:paraId="7356B28D" w14:textId="77777777" w:rsidR="000218DE" w:rsidRPr="00F15667" w:rsidRDefault="000218DE" w:rsidP="00C17A44">
      <w:pPr>
        <w:pStyle w:val="Odstavecseseznamem"/>
        <w:numPr>
          <w:ilvl w:val="0"/>
          <w:numId w:val="19"/>
        </w:numPr>
        <w:spacing w:before="60" w:after="120"/>
        <w:ind w:left="714" w:hanging="357"/>
      </w:pPr>
      <w:r w:rsidRPr="00F15667">
        <w:t>spory o vypořádání společného jmění dlužníka a jeho manžela,</w:t>
      </w:r>
    </w:p>
    <w:p w14:paraId="600CCD72" w14:textId="77777777" w:rsidR="000218DE" w:rsidRPr="00F15667" w:rsidRDefault="000218DE" w:rsidP="00C17A44">
      <w:pPr>
        <w:pStyle w:val="Odstavecseseznamem"/>
        <w:numPr>
          <w:ilvl w:val="0"/>
          <w:numId w:val="19"/>
        </w:numPr>
        <w:spacing w:before="60" w:after="120"/>
        <w:ind w:left="714" w:hanging="357"/>
      </w:pPr>
      <w:r w:rsidRPr="00F15667">
        <w:t>spory o platnost smluv, kterými došlo ke zpeněžení majetkové podstaty prodejem mimo dražbu.</w:t>
      </w:r>
    </w:p>
    <w:p w14:paraId="663282ED" w14:textId="77777777" w:rsidR="000218DE" w:rsidRPr="00F15667" w:rsidRDefault="000218DE" w:rsidP="00C17A44">
      <w:pPr>
        <w:pStyle w:val="OdstavecASR"/>
      </w:pPr>
      <w:r w:rsidRPr="00F15667">
        <w:t>Laicky lze říct, že se tyto spory nacházejí na pomezí insolvenčních a obchodních sporů a jsou rozhodovány insolvenčními odděleními na obchodních úsecích soudů. Vedeny jsou od roku 2010 v rejstříku ICm; v dalším průběhu let nedošlo k žádným výrazným změnám ve vedení statistik. Dříve byly zapisovány do rejstříku Cm.</w:t>
      </w:r>
    </w:p>
    <w:p w14:paraId="3AD5A93F" w14:textId="77777777" w:rsidR="000218DE" w:rsidRPr="00F15667" w:rsidRDefault="000218DE" w:rsidP="000218DE">
      <w:pPr>
        <w:pStyle w:val="Nadpis3"/>
        <w:numPr>
          <w:ilvl w:val="2"/>
          <w:numId w:val="1"/>
        </w:numPr>
        <w:rPr>
          <w:color w:val="auto"/>
        </w:rPr>
      </w:pPr>
      <w:bookmarkStart w:id="971" w:name="_Toc109801396"/>
      <w:bookmarkStart w:id="972" w:name="_Toc144104398"/>
      <w:r w:rsidRPr="00F15667">
        <w:rPr>
          <w:color w:val="auto"/>
        </w:rPr>
        <w:t>Délka řízení</w:t>
      </w:r>
      <w:bookmarkEnd w:id="971"/>
      <w:bookmarkEnd w:id="972"/>
    </w:p>
    <w:p w14:paraId="2AACB266" w14:textId="77777777" w:rsidR="00210F3E" w:rsidRPr="00F15667" w:rsidRDefault="00210F3E" w:rsidP="00210F3E">
      <w:r w:rsidRPr="00F15667">
        <w:t>Uvádíme délky řízení v kalendářních dnech ode dne nápadu do dne konečného vyřízení soudem I. stupně zjištěné ze statistických listů. Délky řízení sledujeme až od roku 2011, protože, jak už jsme uvedli v úvodu této kapitoly, v prvním roce nové věci do rejstříku ICm na soudy vesměs pouze napadaly a k pravomocnému vyřízení věcí tak docházelo v daném roce sporadicky.</w:t>
      </w:r>
    </w:p>
    <w:p w14:paraId="3E44CCAB" w14:textId="313B8C6A" w:rsidR="00210F3E" w:rsidRPr="00F15667" w:rsidRDefault="00210F3E" w:rsidP="00210F3E">
      <w:pPr>
        <w:pStyle w:val="Podnadpis"/>
        <w:numPr>
          <w:ilvl w:val="0"/>
          <w:numId w:val="0"/>
        </w:numPr>
        <w:rPr>
          <w:color w:val="auto"/>
        </w:rPr>
      </w:pPr>
      <w:bookmarkStart w:id="973" w:name="_Toc75952258"/>
      <w:bookmarkStart w:id="974" w:name="_Toc106106715"/>
      <w:bookmarkStart w:id="975" w:name="_Toc109802039"/>
      <w:bookmarkStart w:id="976" w:name="_Toc144104189"/>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77</w:t>
      </w:r>
      <w:r w:rsidR="009A10E2" w:rsidRPr="00F15667">
        <w:rPr>
          <w:color w:val="auto"/>
        </w:rPr>
        <w:fldChar w:fldCharType="end"/>
      </w:r>
      <w:r w:rsidRPr="00F15667">
        <w:rPr>
          <w:color w:val="auto"/>
        </w:rPr>
        <w:t>: KS – délka incidenčních sporů řízení v letech 2011–202</w:t>
      </w:r>
      <w:bookmarkEnd w:id="973"/>
      <w:bookmarkEnd w:id="974"/>
      <w:bookmarkEnd w:id="975"/>
      <w:r w:rsidRPr="00F15667">
        <w:rPr>
          <w:color w:val="auto"/>
        </w:rPr>
        <w:t>2</w:t>
      </w:r>
      <w:bookmarkEnd w:id="976"/>
    </w:p>
    <w:p w14:paraId="53DD7D06" w14:textId="6E8B1C6E" w:rsidR="00210F3E" w:rsidRPr="00F15667" w:rsidRDefault="00993303" w:rsidP="00210F3E">
      <w:pPr>
        <w:pStyle w:val="OdstavecASR"/>
      </w:pPr>
      <w:r w:rsidRPr="00F15667">
        <w:rPr>
          <w:noProof/>
          <w:lang w:eastAsia="cs-CZ"/>
        </w:rPr>
        <w:drawing>
          <wp:inline distT="0" distB="0" distL="0" distR="0" wp14:anchorId="09316341" wp14:editId="182F6D91">
            <wp:extent cx="5029200" cy="3657600"/>
            <wp:effectExtent l="0" t="0" r="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C5C3A1C" w14:textId="1E64DE26" w:rsidR="00210F3E" w:rsidRPr="00F15667" w:rsidRDefault="00210F3E" w:rsidP="00210F3E">
      <w:pPr>
        <w:pStyle w:val="OdstavecASR"/>
      </w:pPr>
      <w:r w:rsidRPr="00F15667">
        <w:t xml:space="preserve">Graf ukazuje, že délka řízení velmi prudce rostla v letech 2011 až 2015. To je logické, neboť šlo o nový rejstřík pro zápis incidenčních sporů a do statistik se nejdříve dostaly především věci vyřízené rychleji, než je nyní v dané agendě běžné. V letech 2015 až 2017 se délka řízení stabilizovala, nicméně v roce 2018 došlo k nárůstu a v letech 2019 a 2020 opět k poklesu. Také je třeba zmínit, že se zvětšuje rozdíl mezi hodnotami percentilu 90 a mediánem. Jinými slovy, se </w:t>
      </w:r>
      <w:r w:rsidRPr="00F15667">
        <w:lastRenderedPageBreak/>
        <w:t>zvětšuje rozdíl mezi věcí s „běžnou“ délkou řízení a věcí dlouho trvající.</w:t>
      </w:r>
      <w:r w:rsidR="00993303" w:rsidRPr="00F15667">
        <w:t xml:space="preserve"> V roce 2022 pak došlo k mírnému poklesu v délkách řízení.</w:t>
      </w:r>
    </w:p>
    <w:p w14:paraId="392E1937" w14:textId="77777777" w:rsidR="00210F3E" w:rsidRPr="00F15667" w:rsidRDefault="00210F3E" w:rsidP="00210F3E">
      <w:pPr>
        <w:pStyle w:val="OdstavecASR"/>
      </w:pPr>
      <w:r w:rsidRPr="00F15667">
        <w:t>Obecné závěry o trendech vyřizování v této agendě můžeme vyvodit až poté, co prozkoumáme (poměrně příznivá) další data (vyřizování věcí, disposition time). Z absolutních hodnot délek řízení je nicméně patrné, že agenda je nelehká a vyřízení zabírá soudům mnoho času.</w:t>
      </w:r>
    </w:p>
    <w:p w14:paraId="1D6E5774" w14:textId="573B9FA4" w:rsidR="00210F3E" w:rsidRPr="00F15667" w:rsidRDefault="00210F3E" w:rsidP="00210F3E">
      <w:pPr>
        <w:pStyle w:val="Podnadpis"/>
        <w:rPr>
          <w:color w:val="auto"/>
        </w:rPr>
      </w:pPr>
      <w:bookmarkStart w:id="977" w:name="_Toc43931247"/>
      <w:bookmarkStart w:id="978" w:name="_Toc75952380"/>
      <w:bookmarkStart w:id="979" w:name="_Toc106106833"/>
      <w:bookmarkStart w:id="980" w:name="_Toc109802156"/>
      <w:bookmarkStart w:id="981" w:name="_Toc144104315"/>
      <w:r w:rsidRPr="00F15667">
        <w:rPr>
          <w:color w:val="auto"/>
        </w:rPr>
        <w:t xml:space="preserve">Tabulka </w:t>
      </w:r>
      <w:r w:rsidRPr="00F15667">
        <w:rPr>
          <w:noProof/>
          <w:color w:val="auto"/>
        </w:rPr>
        <w:fldChar w:fldCharType="begin"/>
      </w:r>
      <w:r w:rsidRPr="00F15667">
        <w:rPr>
          <w:noProof/>
          <w:color w:val="auto"/>
        </w:rPr>
        <w:instrText xml:space="preserve"> SEQ Tabulka \* ARABIC </w:instrText>
      </w:r>
      <w:r w:rsidRPr="00F15667">
        <w:rPr>
          <w:noProof/>
          <w:color w:val="auto"/>
        </w:rPr>
        <w:fldChar w:fldCharType="separate"/>
      </w:r>
      <w:r w:rsidR="001E1A67">
        <w:rPr>
          <w:noProof/>
          <w:color w:val="auto"/>
        </w:rPr>
        <w:t>76</w:t>
      </w:r>
      <w:r w:rsidRPr="00F15667">
        <w:rPr>
          <w:noProof/>
          <w:color w:val="auto"/>
        </w:rPr>
        <w:fldChar w:fldCharType="end"/>
      </w:r>
      <w:r w:rsidRPr="00F15667">
        <w:rPr>
          <w:color w:val="auto"/>
        </w:rPr>
        <w:t>: KS – délky incidenčních sporů dle soudů</w:t>
      </w:r>
      <w:bookmarkEnd w:id="977"/>
      <w:bookmarkEnd w:id="978"/>
      <w:bookmarkEnd w:id="979"/>
      <w:bookmarkEnd w:id="980"/>
      <w:bookmarkEnd w:id="981"/>
    </w:p>
    <w:tbl>
      <w:tblPr>
        <w:tblW w:w="9072" w:type="dxa"/>
        <w:tblCellMar>
          <w:left w:w="70" w:type="dxa"/>
          <w:right w:w="70" w:type="dxa"/>
        </w:tblCellMar>
        <w:tblLook w:val="04A0" w:firstRow="1" w:lastRow="0" w:firstColumn="1" w:lastColumn="0" w:noHBand="0" w:noVBand="1"/>
      </w:tblPr>
      <w:tblGrid>
        <w:gridCol w:w="2478"/>
        <w:gridCol w:w="1205"/>
        <w:gridCol w:w="996"/>
        <w:gridCol w:w="1134"/>
        <w:gridCol w:w="992"/>
        <w:gridCol w:w="1204"/>
        <w:gridCol w:w="1063"/>
      </w:tblGrid>
      <w:tr w:rsidR="00F15667" w:rsidRPr="00F15667" w14:paraId="3719D1DD" w14:textId="77777777" w:rsidTr="00C17A4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35DAD2E" w14:textId="0DE0A84F" w:rsidR="007C1608" w:rsidRPr="00F15667" w:rsidRDefault="00C17A44" w:rsidP="00C17A44">
            <w:pPr>
              <w:spacing w:line="240" w:lineRule="auto"/>
              <w:jc w:val="center"/>
              <w:rPr>
                <w:rFonts w:eastAsia="Times New Roman"/>
                <w:b/>
                <w:bCs/>
                <w:szCs w:val="24"/>
                <w:lang w:eastAsia="cs-CZ"/>
              </w:rPr>
            </w:pPr>
            <w:r>
              <w:rPr>
                <w:rFonts w:eastAsia="Times New Roman"/>
                <w:b/>
                <w:bCs/>
                <w:szCs w:val="24"/>
                <w:lang w:eastAsia="cs-CZ"/>
              </w:rPr>
              <w:t>S</w:t>
            </w:r>
            <w:r w:rsidR="007C1608" w:rsidRPr="00F15667">
              <w:rPr>
                <w:rFonts w:eastAsia="Times New Roman"/>
                <w:b/>
                <w:bCs/>
                <w:szCs w:val="24"/>
                <w:lang w:eastAsia="cs-CZ"/>
              </w:rPr>
              <w:t>oud</w:t>
            </w:r>
          </w:p>
        </w:tc>
        <w:tc>
          <w:tcPr>
            <w:tcW w:w="6590" w:type="dxa"/>
            <w:gridSpan w:val="6"/>
            <w:tcBorders>
              <w:top w:val="double" w:sz="6" w:space="0" w:color="auto"/>
              <w:left w:val="nil"/>
              <w:bottom w:val="nil"/>
              <w:right w:val="nil"/>
            </w:tcBorders>
            <w:shd w:val="clear" w:color="auto" w:fill="auto"/>
            <w:noWrap/>
            <w:vAlign w:val="center"/>
            <w:hideMark/>
          </w:tcPr>
          <w:p w14:paraId="3BC95DA2" w14:textId="77777777" w:rsidR="007C1608" w:rsidRPr="00F15667" w:rsidRDefault="007C1608" w:rsidP="00C17A44">
            <w:pPr>
              <w:spacing w:line="240" w:lineRule="auto"/>
              <w:jc w:val="center"/>
              <w:rPr>
                <w:rFonts w:eastAsia="Times New Roman"/>
                <w:b/>
                <w:bCs/>
                <w:szCs w:val="24"/>
                <w:lang w:eastAsia="cs-CZ"/>
              </w:rPr>
            </w:pPr>
            <w:r w:rsidRPr="00F15667">
              <w:rPr>
                <w:rFonts w:eastAsia="Times New Roman"/>
                <w:b/>
                <w:bCs/>
                <w:szCs w:val="24"/>
                <w:lang w:eastAsia="cs-CZ"/>
              </w:rPr>
              <w:t>Délka řízení</w:t>
            </w:r>
          </w:p>
        </w:tc>
      </w:tr>
      <w:tr w:rsidR="00F15667" w:rsidRPr="00F15667" w14:paraId="2E8497A9" w14:textId="77777777" w:rsidTr="00C17A44">
        <w:trPr>
          <w:trHeight w:val="330"/>
        </w:trPr>
        <w:tc>
          <w:tcPr>
            <w:tcW w:w="2480" w:type="dxa"/>
            <w:vMerge/>
            <w:tcBorders>
              <w:top w:val="double" w:sz="6" w:space="0" w:color="auto"/>
              <w:left w:val="nil"/>
              <w:bottom w:val="double" w:sz="6" w:space="0" w:color="000000"/>
              <w:right w:val="nil"/>
            </w:tcBorders>
            <w:vAlign w:val="center"/>
            <w:hideMark/>
          </w:tcPr>
          <w:p w14:paraId="7494E618" w14:textId="77777777" w:rsidR="007C1608" w:rsidRPr="00F15667" w:rsidRDefault="007C1608" w:rsidP="00C17A44">
            <w:pPr>
              <w:spacing w:line="240" w:lineRule="auto"/>
              <w:jc w:val="center"/>
              <w:rPr>
                <w:rFonts w:eastAsia="Times New Roman"/>
                <w:b/>
                <w:bCs/>
                <w:szCs w:val="24"/>
                <w:lang w:eastAsia="cs-CZ"/>
              </w:rPr>
            </w:pPr>
          </w:p>
        </w:tc>
        <w:tc>
          <w:tcPr>
            <w:tcW w:w="2202" w:type="dxa"/>
            <w:gridSpan w:val="2"/>
            <w:tcBorders>
              <w:top w:val="nil"/>
              <w:left w:val="nil"/>
              <w:bottom w:val="double" w:sz="6" w:space="0" w:color="auto"/>
              <w:right w:val="nil"/>
            </w:tcBorders>
            <w:shd w:val="clear" w:color="auto" w:fill="auto"/>
            <w:noWrap/>
            <w:vAlign w:val="center"/>
            <w:hideMark/>
          </w:tcPr>
          <w:p w14:paraId="0F4C2C9E" w14:textId="77777777" w:rsidR="007C1608" w:rsidRPr="00F15667" w:rsidRDefault="007C1608" w:rsidP="00C17A44">
            <w:pPr>
              <w:spacing w:line="240" w:lineRule="auto"/>
              <w:jc w:val="center"/>
              <w:rPr>
                <w:rFonts w:eastAsia="Times New Roman"/>
                <w:b/>
                <w:bCs/>
                <w:szCs w:val="24"/>
                <w:lang w:eastAsia="cs-CZ"/>
              </w:rPr>
            </w:pPr>
            <w:r w:rsidRPr="00F15667">
              <w:rPr>
                <w:rFonts w:eastAsia="Times New Roman"/>
                <w:b/>
                <w:bCs/>
                <w:szCs w:val="24"/>
                <w:lang w:eastAsia="cs-CZ"/>
              </w:rPr>
              <w:t>Průměr</w:t>
            </w:r>
          </w:p>
        </w:tc>
        <w:tc>
          <w:tcPr>
            <w:tcW w:w="212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85873A6" w14:textId="77777777" w:rsidR="007C1608" w:rsidRPr="00F15667" w:rsidRDefault="007C1608" w:rsidP="00C17A44">
            <w:pPr>
              <w:spacing w:line="240" w:lineRule="auto"/>
              <w:jc w:val="center"/>
              <w:rPr>
                <w:rFonts w:eastAsia="Times New Roman"/>
                <w:b/>
                <w:bCs/>
                <w:szCs w:val="24"/>
                <w:lang w:eastAsia="cs-CZ"/>
              </w:rPr>
            </w:pPr>
            <w:r w:rsidRPr="00F15667">
              <w:rPr>
                <w:rFonts w:eastAsia="Times New Roman"/>
                <w:b/>
                <w:bCs/>
                <w:szCs w:val="24"/>
                <w:lang w:eastAsia="cs-CZ"/>
              </w:rPr>
              <w:t>Medián</w:t>
            </w:r>
          </w:p>
        </w:tc>
        <w:tc>
          <w:tcPr>
            <w:tcW w:w="2268" w:type="dxa"/>
            <w:gridSpan w:val="2"/>
            <w:tcBorders>
              <w:top w:val="nil"/>
              <w:left w:val="nil"/>
              <w:bottom w:val="double" w:sz="6" w:space="0" w:color="auto"/>
              <w:right w:val="nil"/>
            </w:tcBorders>
            <w:shd w:val="clear" w:color="auto" w:fill="auto"/>
            <w:noWrap/>
            <w:vAlign w:val="center"/>
            <w:hideMark/>
          </w:tcPr>
          <w:p w14:paraId="7459A7BB" w14:textId="77777777" w:rsidR="007C1608" w:rsidRPr="00F15667" w:rsidRDefault="007C1608" w:rsidP="00C17A44">
            <w:pPr>
              <w:spacing w:line="240" w:lineRule="auto"/>
              <w:jc w:val="center"/>
              <w:rPr>
                <w:rFonts w:eastAsia="Times New Roman"/>
                <w:b/>
                <w:bCs/>
                <w:szCs w:val="24"/>
                <w:lang w:eastAsia="cs-CZ"/>
              </w:rPr>
            </w:pPr>
            <w:r w:rsidRPr="00F15667">
              <w:rPr>
                <w:rFonts w:eastAsia="Times New Roman"/>
                <w:b/>
                <w:bCs/>
                <w:szCs w:val="24"/>
                <w:lang w:eastAsia="cs-CZ"/>
              </w:rPr>
              <w:t>Percentil 90</w:t>
            </w:r>
          </w:p>
        </w:tc>
      </w:tr>
      <w:tr w:rsidR="00F15667" w:rsidRPr="00F15667" w14:paraId="66CD2D18" w14:textId="77777777" w:rsidTr="00C17A44">
        <w:trPr>
          <w:trHeight w:val="330"/>
        </w:trPr>
        <w:tc>
          <w:tcPr>
            <w:tcW w:w="2480" w:type="dxa"/>
            <w:tcBorders>
              <w:top w:val="single" w:sz="4" w:space="0" w:color="auto"/>
              <w:left w:val="nil"/>
              <w:bottom w:val="single" w:sz="4" w:space="0" w:color="auto"/>
              <w:right w:val="nil"/>
            </w:tcBorders>
            <w:shd w:val="clear" w:color="auto" w:fill="auto"/>
            <w:noWrap/>
            <w:vAlign w:val="center"/>
            <w:hideMark/>
          </w:tcPr>
          <w:p w14:paraId="2FBB096F" w14:textId="77777777" w:rsidR="007C1608" w:rsidRPr="00F15667" w:rsidRDefault="007C1608" w:rsidP="00C17A44">
            <w:pPr>
              <w:spacing w:line="240" w:lineRule="auto"/>
              <w:jc w:val="left"/>
              <w:rPr>
                <w:rFonts w:eastAsia="Times New Roman"/>
                <w:szCs w:val="24"/>
                <w:lang w:eastAsia="cs-CZ"/>
              </w:rPr>
            </w:pPr>
            <w:r w:rsidRPr="00F15667">
              <w:rPr>
                <w:rFonts w:eastAsia="Times New Roman"/>
                <w:szCs w:val="24"/>
                <w:lang w:eastAsia="cs-CZ"/>
              </w:rPr>
              <w:t>MS Praha</w:t>
            </w:r>
          </w:p>
        </w:tc>
        <w:tc>
          <w:tcPr>
            <w:tcW w:w="1206" w:type="dxa"/>
            <w:tcBorders>
              <w:top w:val="single" w:sz="4" w:space="0" w:color="auto"/>
              <w:left w:val="nil"/>
              <w:bottom w:val="single" w:sz="4" w:space="0" w:color="auto"/>
              <w:right w:val="nil"/>
            </w:tcBorders>
            <w:shd w:val="clear" w:color="auto" w:fill="auto"/>
            <w:noWrap/>
            <w:vAlign w:val="center"/>
            <w:hideMark/>
          </w:tcPr>
          <w:p w14:paraId="3565B567"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562</w:t>
            </w:r>
          </w:p>
        </w:tc>
        <w:tc>
          <w:tcPr>
            <w:tcW w:w="992" w:type="dxa"/>
            <w:tcBorders>
              <w:top w:val="single" w:sz="4" w:space="0" w:color="auto"/>
              <w:left w:val="nil"/>
              <w:bottom w:val="single" w:sz="4" w:space="0" w:color="auto"/>
              <w:right w:val="nil"/>
            </w:tcBorders>
            <w:shd w:val="clear" w:color="auto" w:fill="auto"/>
            <w:noWrap/>
            <w:vAlign w:val="center"/>
            <w:hideMark/>
          </w:tcPr>
          <w:p w14:paraId="19ECEE3D" w14:textId="7EA5935F"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-18 %</w:t>
            </w:r>
          </w:p>
        </w:tc>
        <w:tc>
          <w:tcPr>
            <w:tcW w:w="1134" w:type="dxa"/>
            <w:tcBorders>
              <w:top w:val="nil"/>
              <w:left w:val="single" w:sz="4" w:space="0" w:color="auto"/>
              <w:bottom w:val="single" w:sz="4" w:space="0" w:color="auto"/>
              <w:right w:val="nil"/>
            </w:tcBorders>
            <w:shd w:val="clear" w:color="auto" w:fill="auto"/>
            <w:noWrap/>
            <w:vAlign w:val="center"/>
            <w:hideMark/>
          </w:tcPr>
          <w:p w14:paraId="317C4804"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407</w:t>
            </w:r>
          </w:p>
        </w:tc>
        <w:tc>
          <w:tcPr>
            <w:tcW w:w="992" w:type="dxa"/>
            <w:tcBorders>
              <w:top w:val="nil"/>
              <w:left w:val="nil"/>
              <w:bottom w:val="single" w:sz="4" w:space="0" w:color="auto"/>
              <w:right w:val="single" w:sz="4" w:space="0" w:color="auto"/>
            </w:tcBorders>
            <w:shd w:val="clear" w:color="auto" w:fill="auto"/>
            <w:noWrap/>
            <w:vAlign w:val="center"/>
            <w:hideMark/>
          </w:tcPr>
          <w:p w14:paraId="07E3A197" w14:textId="311397F4"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-29 %</w:t>
            </w:r>
          </w:p>
        </w:tc>
        <w:tc>
          <w:tcPr>
            <w:tcW w:w="1205" w:type="dxa"/>
            <w:tcBorders>
              <w:top w:val="single" w:sz="4" w:space="0" w:color="auto"/>
              <w:left w:val="nil"/>
              <w:bottom w:val="single" w:sz="4" w:space="0" w:color="auto"/>
              <w:right w:val="nil"/>
            </w:tcBorders>
            <w:shd w:val="clear" w:color="auto" w:fill="auto"/>
            <w:noWrap/>
            <w:vAlign w:val="center"/>
            <w:hideMark/>
          </w:tcPr>
          <w:p w14:paraId="42BAD30E"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1 306</w:t>
            </w:r>
          </w:p>
        </w:tc>
        <w:tc>
          <w:tcPr>
            <w:tcW w:w="1063" w:type="dxa"/>
            <w:tcBorders>
              <w:top w:val="single" w:sz="4" w:space="0" w:color="auto"/>
              <w:left w:val="nil"/>
              <w:bottom w:val="single" w:sz="4" w:space="0" w:color="auto"/>
              <w:right w:val="nil"/>
            </w:tcBorders>
            <w:shd w:val="clear" w:color="auto" w:fill="auto"/>
            <w:noWrap/>
            <w:vAlign w:val="center"/>
            <w:hideMark/>
          </w:tcPr>
          <w:p w14:paraId="143F9894" w14:textId="57B9299B"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r>
      <w:tr w:rsidR="00F15667" w:rsidRPr="00F15667" w14:paraId="23119496"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6847EEEC" w14:textId="77777777" w:rsidR="007C1608" w:rsidRPr="00F15667" w:rsidRDefault="007C1608" w:rsidP="00C17A44">
            <w:pPr>
              <w:spacing w:line="240" w:lineRule="auto"/>
              <w:jc w:val="left"/>
              <w:rPr>
                <w:rFonts w:eastAsia="Times New Roman"/>
                <w:szCs w:val="24"/>
                <w:lang w:eastAsia="cs-CZ"/>
              </w:rPr>
            </w:pPr>
            <w:r w:rsidRPr="00F15667">
              <w:rPr>
                <w:rFonts w:eastAsia="Times New Roman"/>
                <w:szCs w:val="24"/>
                <w:lang w:eastAsia="cs-CZ"/>
              </w:rPr>
              <w:t>KS Praha</w:t>
            </w:r>
          </w:p>
        </w:tc>
        <w:tc>
          <w:tcPr>
            <w:tcW w:w="1206" w:type="dxa"/>
            <w:tcBorders>
              <w:top w:val="nil"/>
              <w:left w:val="nil"/>
              <w:bottom w:val="single" w:sz="4" w:space="0" w:color="auto"/>
              <w:right w:val="nil"/>
            </w:tcBorders>
            <w:shd w:val="clear" w:color="auto" w:fill="auto"/>
            <w:noWrap/>
            <w:vAlign w:val="center"/>
            <w:hideMark/>
          </w:tcPr>
          <w:p w14:paraId="2AA5C195"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364</w:t>
            </w:r>
          </w:p>
        </w:tc>
        <w:tc>
          <w:tcPr>
            <w:tcW w:w="992" w:type="dxa"/>
            <w:tcBorders>
              <w:top w:val="nil"/>
              <w:left w:val="nil"/>
              <w:bottom w:val="single" w:sz="4" w:space="0" w:color="auto"/>
              <w:right w:val="nil"/>
            </w:tcBorders>
            <w:shd w:val="clear" w:color="auto" w:fill="auto"/>
            <w:noWrap/>
            <w:vAlign w:val="center"/>
            <w:hideMark/>
          </w:tcPr>
          <w:p w14:paraId="34002F8C" w14:textId="757E0176"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1134" w:type="dxa"/>
            <w:tcBorders>
              <w:top w:val="nil"/>
              <w:left w:val="single" w:sz="4" w:space="0" w:color="auto"/>
              <w:bottom w:val="single" w:sz="4" w:space="0" w:color="auto"/>
              <w:right w:val="nil"/>
            </w:tcBorders>
            <w:shd w:val="clear" w:color="auto" w:fill="auto"/>
            <w:noWrap/>
            <w:vAlign w:val="center"/>
            <w:hideMark/>
          </w:tcPr>
          <w:p w14:paraId="062CCD1A"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238</w:t>
            </w:r>
          </w:p>
        </w:tc>
        <w:tc>
          <w:tcPr>
            <w:tcW w:w="992" w:type="dxa"/>
            <w:tcBorders>
              <w:top w:val="nil"/>
              <w:left w:val="nil"/>
              <w:bottom w:val="single" w:sz="4" w:space="0" w:color="auto"/>
              <w:right w:val="single" w:sz="4" w:space="0" w:color="auto"/>
            </w:tcBorders>
            <w:shd w:val="clear" w:color="auto" w:fill="auto"/>
            <w:noWrap/>
            <w:vAlign w:val="center"/>
            <w:hideMark/>
          </w:tcPr>
          <w:p w14:paraId="7FC51D9B" w14:textId="7E0B0A1E"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205" w:type="dxa"/>
            <w:tcBorders>
              <w:top w:val="nil"/>
              <w:left w:val="nil"/>
              <w:bottom w:val="single" w:sz="4" w:space="0" w:color="auto"/>
              <w:right w:val="nil"/>
            </w:tcBorders>
            <w:shd w:val="clear" w:color="auto" w:fill="auto"/>
            <w:noWrap/>
            <w:vAlign w:val="center"/>
            <w:hideMark/>
          </w:tcPr>
          <w:p w14:paraId="480DC83B"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794</w:t>
            </w:r>
          </w:p>
        </w:tc>
        <w:tc>
          <w:tcPr>
            <w:tcW w:w="1063" w:type="dxa"/>
            <w:tcBorders>
              <w:top w:val="nil"/>
              <w:left w:val="nil"/>
              <w:bottom w:val="single" w:sz="4" w:space="0" w:color="auto"/>
              <w:right w:val="nil"/>
            </w:tcBorders>
            <w:shd w:val="clear" w:color="auto" w:fill="auto"/>
            <w:noWrap/>
            <w:vAlign w:val="center"/>
            <w:hideMark/>
          </w:tcPr>
          <w:p w14:paraId="53C76243" w14:textId="089023A7"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-31 %</w:t>
            </w:r>
          </w:p>
        </w:tc>
      </w:tr>
      <w:tr w:rsidR="00F15667" w:rsidRPr="00F15667" w14:paraId="230054E8"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747DF5B6" w14:textId="77777777" w:rsidR="007C1608" w:rsidRPr="00F15667" w:rsidRDefault="007C1608" w:rsidP="00C17A44">
            <w:pPr>
              <w:spacing w:line="240" w:lineRule="auto"/>
              <w:jc w:val="left"/>
              <w:rPr>
                <w:rFonts w:eastAsia="Times New Roman"/>
                <w:szCs w:val="24"/>
                <w:lang w:eastAsia="cs-CZ"/>
              </w:rPr>
            </w:pPr>
            <w:r w:rsidRPr="00F15667">
              <w:rPr>
                <w:rFonts w:eastAsia="Times New Roman"/>
                <w:szCs w:val="24"/>
                <w:lang w:eastAsia="cs-CZ"/>
              </w:rPr>
              <w:t>KS Č. Budějovice</w:t>
            </w:r>
          </w:p>
        </w:tc>
        <w:tc>
          <w:tcPr>
            <w:tcW w:w="1206" w:type="dxa"/>
            <w:tcBorders>
              <w:top w:val="nil"/>
              <w:left w:val="nil"/>
              <w:bottom w:val="single" w:sz="4" w:space="0" w:color="auto"/>
              <w:right w:val="nil"/>
            </w:tcBorders>
            <w:shd w:val="clear" w:color="auto" w:fill="auto"/>
            <w:noWrap/>
            <w:vAlign w:val="center"/>
            <w:hideMark/>
          </w:tcPr>
          <w:p w14:paraId="1F48424D"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265</w:t>
            </w:r>
          </w:p>
        </w:tc>
        <w:tc>
          <w:tcPr>
            <w:tcW w:w="992" w:type="dxa"/>
            <w:tcBorders>
              <w:top w:val="nil"/>
              <w:left w:val="nil"/>
              <w:bottom w:val="single" w:sz="4" w:space="0" w:color="auto"/>
              <w:right w:val="nil"/>
            </w:tcBorders>
            <w:shd w:val="clear" w:color="auto" w:fill="auto"/>
            <w:noWrap/>
            <w:vAlign w:val="center"/>
            <w:hideMark/>
          </w:tcPr>
          <w:p w14:paraId="32244F20" w14:textId="1CB46FCC"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134" w:type="dxa"/>
            <w:tcBorders>
              <w:top w:val="nil"/>
              <w:left w:val="single" w:sz="4" w:space="0" w:color="auto"/>
              <w:bottom w:val="single" w:sz="4" w:space="0" w:color="auto"/>
              <w:right w:val="nil"/>
            </w:tcBorders>
            <w:shd w:val="clear" w:color="auto" w:fill="auto"/>
            <w:noWrap/>
            <w:vAlign w:val="center"/>
            <w:hideMark/>
          </w:tcPr>
          <w:p w14:paraId="35FC5F95"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109</w:t>
            </w:r>
          </w:p>
        </w:tc>
        <w:tc>
          <w:tcPr>
            <w:tcW w:w="992" w:type="dxa"/>
            <w:tcBorders>
              <w:top w:val="nil"/>
              <w:left w:val="nil"/>
              <w:bottom w:val="single" w:sz="4" w:space="0" w:color="auto"/>
              <w:right w:val="single" w:sz="4" w:space="0" w:color="auto"/>
            </w:tcBorders>
            <w:shd w:val="clear" w:color="auto" w:fill="auto"/>
            <w:noWrap/>
            <w:vAlign w:val="center"/>
            <w:hideMark/>
          </w:tcPr>
          <w:p w14:paraId="2DEBB29E" w14:textId="5131AC71"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-29 %</w:t>
            </w:r>
          </w:p>
        </w:tc>
        <w:tc>
          <w:tcPr>
            <w:tcW w:w="1205" w:type="dxa"/>
            <w:tcBorders>
              <w:top w:val="nil"/>
              <w:left w:val="nil"/>
              <w:bottom w:val="single" w:sz="4" w:space="0" w:color="auto"/>
              <w:right w:val="nil"/>
            </w:tcBorders>
            <w:shd w:val="clear" w:color="auto" w:fill="auto"/>
            <w:noWrap/>
            <w:vAlign w:val="center"/>
            <w:hideMark/>
          </w:tcPr>
          <w:p w14:paraId="463028EC"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662</w:t>
            </w:r>
          </w:p>
        </w:tc>
        <w:tc>
          <w:tcPr>
            <w:tcW w:w="1063" w:type="dxa"/>
            <w:tcBorders>
              <w:top w:val="nil"/>
              <w:left w:val="nil"/>
              <w:bottom w:val="single" w:sz="4" w:space="0" w:color="auto"/>
              <w:right w:val="nil"/>
            </w:tcBorders>
            <w:shd w:val="clear" w:color="auto" w:fill="auto"/>
            <w:noWrap/>
            <w:vAlign w:val="center"/>
            <w:hideMark/>
          </w:tcPr>
          <w:p w14:paraId="409EB130" w14:textId="79B141E4"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+24 %</w:t>
            </w:r>
          </w:p>
        </w:tc>
      </w:tr>
      <w:tr w:rsidR="00F15667" w:rsidRPr="00F15667" w14:paraId="45716FC2"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5EC61348" w14:textId="77777777" w:rsidR="007C1608" w:rsidRPr="00F15667" w:rsidRDefault="007C1608" w:rsidP="00C17A44">
            <w:pPr>
              <w:spacing w:line="240" w:lineRule="auto"/>
              <w:jc w:val="left"/>
              <w:rPr>
                <w:rFonts w:eastAsia="Times New Roman"/>
                <w:szCs w:val="24"/>
                <w:lang w:eastAsia="cs-CZ"/>
              </w:rPr>
            </w:pPr>
            <w:r w:rsidRPr="00F15667">
              <w:rPr>
                <w:rFonts w:eastAsia="Times New Roman"/>
                <w:szCs w:val="24"/>
                <w:lang w:eastAsia="cs-CZ"/>
              </w:rPr>
              <w:t>KS Plzeň</w:t>
            </w:r>
          </w:p>
        </w:tc>
        <w:tc>
          <w:tcPr>
            <w:tcW w:w="1206" w:type="dxa"/>
            <w:tcBorders>
              <w:top w:val="nil"/>
              <w:left w:val="nil"/>
              <w:bottom w:val="single" w:sz="4" w:space="0" w:color="auto"/>
              <w:right w:val="nil"/>
            </w:tcBorders>
            <w:shd w:val="clear" w:color="auto" w:fill="auto"/>
            <w:noWrap/>
            <w:vAlign w:val="center"/>
            <w:hideMark/>
          </w:tcPr>
          <w:p w14:paraId="6FDEAA8A"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370</w:t>
            </w:r>
          </w:p>
        </w:tc>
        <w:tc>
          <w:tcPr>
            <w:tcW w:w="992" w:type="dxa"/>
            <w:tcBorders>
              <w:top w:val="nil"/>
              <w:left w:val="nil"/>
              <w:bottom w:val="single" w:sz="4" w:space="0" w:color="auto"/>
              <w:right w:val="nil"/>
            </w:tcBorders>
            <w:shd w:val="clear" w:color="auto" w:fill="auto"/>
            <w:noWrap/>
            <w:vAlign w:val="center"/>
            <w:hideMark/>
          </w:tcPr>
          <w:p w14:paraId="4C4153DD" w14:textId="2039B5AD"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+3 %</w:t>
            </w:r>
          </w:p>
        </w:tc>
        <w:tc>
          <w:tcPr>
            <w:tcW w:w="1134" w:type="dxa"/>
            <w:tcBorders>
              <w:top w:val="nil"/>
              <w:left w:val="single" w:sz="4" w:space="0" w:color="auto"/>
              <w:bottom w:val="single" w:sz="4" w:space="0" w:color="auto"/>
              <w:right w:val="nil"/>
            </w:tcBorders>
            <w:shd w:val="clear" w:color="auto" w:fill="auto"/>
            <w:noWrap/>
            <w:vAlign w:val="center"/>
            <w:hideMark/>
          </w:tcPr>
          <w:p w14:paraId="013B1623"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181</w:t>
            </w:r>
          </w:p>
        </w:tc>
        <w:tc>
          <w:tcPr>
            <w:tcW w:w="992" w:type="dxa"/>
            <w:tcBorders>
              <w:top w:val="nil"/>
              <w:left w:val="nil"/>
              <w:bottom w:val="single" w:sz="4" w:space="0" w:color="auto"/>
              <w:right w:val="single" w:sz="4" w:space="0" w:color="auto"/>
            </w:tcBorders>
            <w:shd w:val="clear" w:color="auto" w:fill="auto"/>
            <w:noWrap/>
            <w:vAlign w:val="center"/>
            <w:hideMark/>
          </w:tcPr>
          <w:p w14:paraId="52CCEFD1" w14:textId="60FB6C69"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+0 %</w:t>
            </w:r>
          </w:p>
        </w:tc>
        <w:tc>
          <w:tcPr>
            <w:tcW w:w="1205" w:type="dxa"/>
            <w:tcBorders>
              <w:top w:val="nil"/>
              <w:left w:val="nil"/>
              <w:bottom w:val="single" w:sz="4" w:space="0" w:color="auto"/>
              <w:right w:val="nil"/>
            </w:tcBorders>
            <w:shd w:val="clear" w:color="auto" w:fill="auto"/>
            <w:noWrap/>
            <w:vAlign w:val="center"/>
            <w:hideMark/>
          </w:tcPr>
          <w:p w14:paraId="1B18FA1F"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946</w:t>
            </w:r>
          </w:p>
        </w:tc>
        <w:tc>
          <w:tcPr>
            <w:tcW w:w="1063" w:type="dxa"/>
            <w:tcBorders>
              <w:top w:val="nil"/>
              <w:left w:val="nil"/>
              <w:bottom w:val="single" w:sz="4" w:space="0" w:color="auto"/>
              <w:right w:val="nil"/>
            </w:tcBorders>
            <w:shd w:val="clear" w:color="auto" w:fill="auto"/>
            <w:noWrap/>
            <w:vAlign w:val="center"/>
            <w:hideMark/>
          </w:tcPr>
          <w:p w14:paraId="28404A5C" w14:textId="287AEBB0"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-3 %</w:t>
            </w:r>
          </w:p>
        </w:tc>
      </w:tr>
      <w:tr w:rsidR="00F15667" w:rsidRPr="00F15667" w14:paraId="040B3B54"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2BD93221" w14:textId="77777777" w:rsidR="007C1608" w:rsidRPr="00F15667" w:rsidRDefault="007C1608" w:rsidP="00C17A44">
            <w:pPr>
              <w:spacing w:line="240" w:lineRule="auto"/>
              <w:jc w:val="left"/>
              <w:rPr>
                <w:rFonts w:eastAsia="Times New Roman"/>
                <w:szCs w:val="24"/>
                <w:lang w:eastAsia="cs-CZ"/>
              </w:rPr>
            </w:pPr>
            <w:r w:rsidRPr="00F15667">
              <w:rPr>
                <w:rFonts w:eastAsia="Times New Roman"/>
                <w:szCs w:val="24"/>
                <w:lang w:eastAsia="cs-CZ"/>
              </w:rPr>
              <w:t>KS Ústí n. Labem</w:t>
            </w:r>
          </w:p>
        </w:tc>
        <w:tc>
          <w:tcPr>
            <w:tcW w:w="1206" w:type="dxa"/>
            <w:tcBorders>
              <w:top w:val="nil"/>
              <w:left w:val="nil"/>
              <w:bottom w:val="single" w:sz="4" w:space="0" w:color="auto"/>
              <w:right w:val="nil"/>
            </w:tcBorders>
            <w:shd w:val="clear" w:color="auto" w:fill="auto"/>
            <w:noWrap/>
            <w:vAlign w:val="center"/>
            <w:hideMark/>
          </w:tcPr>
          <w:p w14:paraId="4664EEDC"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465</w:t>
            </w:r>
          </w:p>
        </w:tc>
        <w:tc>
          <w:tcPr>
            <w:tcW w:w="992" w:type="dxa"/>
            <w:tcBorders>
              <w:top w:val="nil"/>
              <w:left w:val="nil"/>
              <w:bottom w:val="single" w:sz="4" w:space="0" w:color="auto"/>
              <w:right w:val="nil"/>
            </w:tcBorders>
            <w:shd w:val="clear" w:color="auto" w:fill="auto"/>
            <w:noWrap/>
            <w:vAlign w:val="center"/>
            <w:hideMark/>
          </w:tcPr>
          <w:p w14:paraId="292C43B7" w14:textId="0EB075DD"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134" w:type="dxa"/>
            <w:tcBorders>
              <w:top w:val="nil"/>
              <w:left w:val="single" w:sz="4" w:space="0" w:color="auto"/>
              <w:bottom w:val="single" w:sz="4" w:space="0" w:color="auto"/>
              <w:right w:val="nil"/>
            </w:tcBorders>
            <w:shd w:val="clear" w:color="auto" w:fill="auto"/>
            <w:noWrap/>
            <w:vAlign w:val="center"/>
            <w:hideMark/>
          </w:tcPr>
          <w:p w14:paraId="222E9C7F"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307</w:t>
            </w:r>
          </w:p>
        </w:tc>
        <w:tc>
          <w:tcPr>
            <w:tcW w:w="992" w:type="dxa"/>
            <w:tcBorders>
              <w:top w:val="nil"/>
              <w:left w:val="nil"/>
              <w:bottom w:val="single" w:sz="4" w:space="0" w:color="auto"/>
              <w:right w:val="single" w:sz="4" w:space="0" w:color="auto"/>
            </w:tcBorders>
            <w:shd w:val="clear" w:color="auto" w:fill="auto"/>
            <w:noWrap/>
            <w:vAlign w:val="center"/>
            <w:hideMark/>
          </w:tcPr>
          <w:p w14:paraId="713685E1" w14:textId="22A6583C"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-1 %</w:t>
            </w:r>
          </w:p>
        </w:tc>
        <w:tc>
          <w:tcPr>
            <w:tcW w:w="1205" w:type="dxa"/>
            <w:tcBorders>
              <w:top w:val="nil"/>
              <w:left w:val="nil"/>
              <w:bottom w:val="single" w:sz="4" w:space="0" w:color="auto"/>
              <w:right w:val="nil"/>
            </w:tcBorders>
            <w:shd w:val="clear" w:color="auto" w:fill="auto"/>
            <w:noWrap/>
            <w:vAlign w:val="center"/>
            <w:hideMark/>
          </w:tcPr>
          <w:p w14:paraId="53BB0F75"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1 077</w:t>
            </w:r>
          </w:p>
        </w:tc>
        <w:tc>
          <w:tcPr>
            <w:tcW w:w="1063" w:type="dxa"/>
            <w:tcBorders>
              <w:top w:val="nil"/>
              <w:left w:val="nil"/>
              <w:bottom w:val="single" w:sz="4" w:space="0" w:color="auto"/>
              <w:right w:val="nil"/>
            </w:tcBorders>
            <w:shd w:val="clear" w:color="auto" w:fill="auto"/>
            <w:noWrap/>
            <w:vAlign w:val="center"/>
            <w:hideMark/>
          </w:tcPr>
          <w:p w14:paraId="4A4CEC1F" w14:textId="6293AB12"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-18 %</w:t>
            </w:r>
          </w:p>
        </w:tc>
      </w:tr>
      <w:tr w:rsidR="00F15667" w:rsidRPr="00F15667" w14:paraId="6E19912B"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3DEFC5BB" w14:textId="77777777" w:rsidR="007C1608" w:rsidRPr="00F15667" w:rsidRDefault="007C1608" w:rsidP="00C17A44">
            <w:pPr>
              <w:spacing w:line="240" w:lineRule="auto"/>
              <w:jc w:val="left"/>
              <w:rPr>
                <w:rFonts w:eastAsia="Times New Roman"/>
                <w:szCs w:val="24"/>
                <w:lang w:eastAsia="cs-CZ"/>
              </w:rPr>
            </w:pPr>
            <w:r w:rsidRPr="00F15667">
              <w:rPr>
                <w:rFonts w:eastAsia="Times New Roman"/>
                <w:szCs w:val="24"/>
                <w:lang w:eastAsia="cs-CZ"/>
              </w:rPr>
              <w:t>KS Hr. Králové</w:t>
            </w:r>
          </w:p>
        </w:tc>
        <w:tc>
          <w:tcPr>
            <w:tcW w:w="1206" w:type="dxa"/>
            <w:tcBorders>
              <w:top w:val="nil"/>
              <w:left w:val="nil"/>
              <w:bottom w:val="single" w:sz="4" w:space="0" w:color="auto"/>
              <w:right w:val="nil"/>
            </w:tcBorders>
            <w:shd w:val="clear" w:color="auto" w:fill="auto"/>
            <w:noWrap/>
            <w:vAlign w:val="center"/>
            <w:hideMark/>
          </w:tcPr>
          <w:p w14:paraId="328163F6"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349</w:t>
            </w:r>
          </w:p>
        </w:tc>
        <w:tc>
          <w:tcPr>
            <w:tcW w:w="992" w:type="dxa"/>
            <w:tcBorders>
              <w:top w:val="nil"/>
              <w:left w:val="nil"/>
              <w:bottom w:val="single" w:sz="4" w:space="0" w:color="auto"/>
              <w:right w:val="nil"/>
            </w:tcBorders>
            <w:shd w:val="clear" w:color="auto" w:fill="auto"/>
            <w:noWrap/>
            <w:vAlign w:val="center"/>
            <w:hideMark/>
          </w:tcPr>
          <w:p w14:paraId="28E4A3B8" w14:textId="5616B0FF"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-9 %</w:t>
            </w:r>
          </w:p>
        </w:tc>
        <w:tc>
          <w:tcPr>
            <w:tcW w:w="1134" w:type="dxa"/>
            <w:tcBorders>
              <w:top w:val="nil"/>
              <w:left w:val="single" w:sz="4" w:space="0" w:color="auto"/>
              <w:bottom w:val="single" w:sz="4" w:space="0" w:color="auto"/>
              <w:right w:val="nil"/>
            </w:tcBorders>
            <w:shd w:val="clear" w:color="auto" w:fill="auto"/>
            <w:noWrap/>
            <w:vAlign w:val="center"/>
            <w:hideMark/>
          </w:tcPr>
          <w:p w14:paraId="66698B08"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186</w:t>
            </w:r>
          </w:p>
        </w:tc>
        <w:tc>
          <w:tcPr>
            <w:tcW w:w="992" w:type="dxa"/>
            <w:tcBorders>
              <w:top w:val="nil"/>
              <w:left w:val="nil"/>
              <w:bottom w:val="single" w:sz="4" w:space="0" w:color="auto"/>
              <w:right w:val="single" w:sz="4" w:space="0" w:color="auto"/>
            </w:tcBorders>
            <w:shd w:val="clear" w:color="auto" w:fill="auto"/>
            <w:noWrap/>
            <w:vAlign w:val="center"/>
            <w:hideMark/>
          </w:tcPr>
          <w:p w14:paraId="7A078CCB" w14:textId="3F911036"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+12 %</w:t>
            </w:r>
          </w:p>
        </w:tc>
        <w:tc>
          <w:tcPr>
            <w:tcW w:w="1205" w:type="dxa"/>
            <w:tcBorders>
              <w:top w:val="nil"/>
              <w:left w:val="nil"/>
              <w:bottom w:val="single" w:sz="4" w:space="0" w:color="auto"/>
              <w:right w:val="nil"/>
            </w:tcBorders>
            <w:shd w:val="clear" w:color="auto" w:fill="auto"/>
            <w:noWrap/>
            <w:vAlign w:val="center"/>
            <w:hideMark/>
          </w:tcPr>
          <w:p w14:paraId="0EB12E40"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922</w:t>
            </w:r>
          </w:p>
        </w:tc>
        <w:tc>
          <w:tcPr>
            <w:tcW w:w="1063" w:type="dxa"/>
            <w:tcBorders>
              <w:top w:val="nil"/>
              <w:left w:val="nil"/>
              <w:bottom w:val="single" w:sz="4" w:space="0" w:color="auto"/>
              <w:right w:val="nil"/>
            </w:tcBorders>
            <w:shd w:val="clear" w:color="auto" w:fill="auto"/>
            <w:noWrap/>
            <w:vAlign w:val="center"/>
            <w:hideMark/>
          </w:tcPr>
          <w:p w14:paraId="3E48134F" w14:textId="3B27BED6"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-20 %</w:t>
            </w:r>
          </w:p>
        </w:tc>
      </w:tr>
      <w:tr w:rsidR="00F15667" w:rsidRPr="00F15667" w14:paraId="0D35F58E" w14:textId="77777777" w:rsidTr="00C17A44">
        <w:trPr>
          <w:trHeight w:val="315"/>
        </w:trPr>
        <w:tc>
          <w:tcPr>
            <w:tcW w:w="2480" w:type="dxa"/>
            <w:tcBorders>
              <w:top w:val="nil"/>
              <w:left w:val="nil"/>
              <w:bottom w:val="single" w:sz="4" w:space="0" w:color="auto"/>
              <w:right w:val="nil"/>
            </w:tcBorders>
            <w:shd w:val="clear" w:color="auto" w:fill="auto"/>
            <w:noWrap/>
            <w:vAlign w:val="center"/>
            <w:hideMark/>
          </w:tcPr>
          <w:p w14:paraId="65E305CC" w14:textId="77777777" w:rsidR="007C1608" w:rsidRPr="00F15667" w:rsidRDefault="007C1608" w:rsidP="00C17A44">
            <w:pPr>
              <w:spacing w:line="240" w:lineRule="auto"/>
              <w:jc w:val="left"/>
              <w:rPr>
                <w:rFonts w:eastAsia="Times New Roman"/>
                <w:szCs w:val="24"/>
                <w:lang w:eastAsia="cs-CZ"/>
              </w:rPr>
            </w:pPr>
            <w:r w:rsidRPr="00F15667">
              <w:rPr>
                <w:rFonts w:eastAsia="Times New Roman"/>
                <w:szCs w:val="24"/>
                <w:lang w:eastAsia="cs-CZ"/>
              </w:rPr>
              <w:t>KS Brno</w:t>
            </w:r>
          </w:p>
        </w:tc>
        <w:tc>
          <w:tcPr>
            <w:tcW w:w="1206" w:type="dxa"/>
            <w:tcBorders>
              <w:top w:val="nil"/>
              <w:left w:val="nil"/>
              <w:bottom w:val="single" w:sz="4" w:space="0" w:color="auto"/>
              <w:right w:val="nil"/>
            </w:tcBorders>
            <w:shd w:val="clear" w:color="auto" w:fill="auto"/>
            <w:noWrap/>
            <w:vAlign w:val="center"/>
            <w:hideMark/>
          </w:tcPr>
          <w:p w14:paraId="51624198"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710</w:t>
            </w:r>
          </w:p>
        </w:tc>
        <w:tc>
          <w:tcPr>
            <w:tcW w:w="992" w:type="dxa"/>
            <w:tcBorders>
              <w:top w:val="nil"/>
              <w:left w:val="nil"/>
              <w:bottom w:val="single" w:sz="4" w:space="0" w:color="auto"/>
              <w:right w:val="nil"/>
            </w:tcBorders>
            <w:shd w:val="clear" w:color="auto" w:fill="auto"/>
            <w:noWrap/>
            <w:vAlign w:val="center"/>
            <w:hideMark/>
          </w:tcPr>
          <w:p w14:paraId="417B3FEE" w14:textId="7ED0DBB3"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1134" w:type="dxa"/>
            <w:tcBorders>
              <w:top w:val="nil"/>
              <w:left w:val="single" w:sz="4" w:space="0" w:color="auto"/>
              <w:bottom w:val="single" w:sz="4" w:space="0" w:color="auto"/>
              <w:right w:val="nil"/>
            </w:tcBorders>
            <w:shd w:val="clear" w:color="auto" w:fill="auto"/>
            <w:noWrap/>
            <w:vAlign w:val="center"/>
            <w:hideMark/>
          </w:tcPr>
          <w:p w14:paraId="305073E4"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500</w:t>
            </w:r>
          </w:p>
        </w:tc>
        <w:tc>
          <w:tcPr>
            <w:tcW w:w="992" w:type="dxa"/>
            <w:tcBorders>
              <w:top w:val="nil"/>
              <w:left w:val="nil"/>
              <w:bottom w:val="single" w:sz="4" w:space="0" w:color="auto"/>
              <w:right w:val="single" w:sz="4" w:space="0" w:color="auto"/>
            </w:tcBorders>
            <w:shd w:val="clear" w:color="auto" w:fill="auto"/>
            <w:noWrap/>
            <w:vAlign w:val="center"/>
            <w:hideMark/>
          </w:tcPr>
          <w:p w14:paraId="197AB0EC" w14:textId="2D895891"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-25 %</w:t>
            </w:r>
          </w:p>
        </w:tc>
        <w:tc>
          <w:tcPr>
            <w:tcW w:w="1205" w:type="dxa"/>
            <w:tcBorders>
              <w:top w:val="nil"/>
              <w:left w:val="nil"/>
              <w:bottom w:val="single" w:sz="4" w:space="0" w:color="auto"/>
              <w:right w:val="nil"/>
            </w:tcBorders>
            <w:shd w:val="clear" w:color="auto" w:fill="auto"/>
            <w:noWrap/>
            <w:vAlign w:val="center"/>
            <w:hideMark/>
          </w:tcPr>
          <w:p w14:paraId="12E1FEF7"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1 696</w:t>
            </w:r>
          </w:p>
        </w:tc>
        <w:tc>
          <w:tcPr>
            <w:tcW w:w="1063" w:type="dxa"/>
            <w:tcBorders>
              <w:top w:val="nil"/>
              <w:left w:val="nil"/>
              <w:bottom w:val="single" w:sz="4" w:space="0" w:color="auto"/>
              <w:right w:val="nil"/>
            </w:tcBorders>
            <w:shd w:val="clear" w:color="auto" w:fill="auto"/>
            <w:noWrap/>
            <w:vAlign w:val="center"/>
            <w:hideMark/>
          </w:tcPr>
          <w:p w14:paraId="02FF0A2C" w14:textId="091773F1"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+10 %</w:t>
            </w:r>
          </w:p>
        </w:tc>
      </w:tr>
      <w:tr w:rsidR="00F15667" w:rsidRPr="00F15667" w14:paraId="2BE11C1D" w14:textId="77777777" w:rsidTr="00C17A44">
        <w:trPr>
          <w:trHeight w:val="330"/>
        </w:trPr>
        <w:tc>
          <w:tcPr>
            <w:tcW w:w="2480" w:type="dxa"/>
            <w:tcBorders>
              <w:top w:val="nil"/>
              <w:left w:val="nil"/>
              <w:bottom w:val="double" w:sz="6" w:space="0" w:color="auto"/>
              <w:right w:val="nil"/>
            </w:tcBorders>
            <w:shd w:val="clear" w:color="auto" w:fill="auto"/>
            <w:noWrap/>
            <w:vAlign w:val="center"/>
            <w:hideMark/>
          </w:tcPr>
          <w:p w14:paraId="6A1A0B92" w14:textId="77777777" w:rsidR="007C1608" w:rsidRPr="00F15667" w:rsidRDefault="007C1608" w:rsidP="00C17A44">
            <w:pPr>
              <w:spacing w:line="240" w:lineRule="auto"/>
              <w:jc w:val="left"/>
              <w:rPr>
                <w:rFonts w:eastAsia="Times New Roman"/>
                <w:szCs w:val="24"/>
                <w:lang w:eastAsia="cs-CZ"/>
              </w:rPr>
            </w:pPr>
            <w:r w:rsidRPr="00F15667">
              <w:rPr>
                <w:rFonts w:eastAsia="Times New Roman"/>
                <w:szCs w:val="24"/>
                <w:lang w:eastAsia="cs-CZ"/>
              </w:rPr>
              <w:t>KS Ostrava</w:t>
            </w:r>
          </w:p>
        </w:tc>
        <w:tc>
          <w:tcPr>
            <w:tcW w:w="1206" w:type="dxa"/>
            <w:tcBorders>
              <w:top w:val="nil"/>
              <w:left w:val="nil"/>
              <w:bottom w:val="double" w:sz="6" w:space="0" w:color="auto"/>
              <w:right w:val="nil"/>
            </w:tcBorders>
            <w:shd w:val="clear" w:color="auto" w:fill="auto"/>
            <w:noWrap/>
            <w:vAlign w:val="center"/>
            <w:hideMark/>
          </w:tcPr>
          <w:p w14:paraId="043ADFB6"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504</w:t>
            </w:r>
          </w:p>
        </w:tc>
        <w:tc>
          <w:tcPr>
            <w:tcW w:w="992" w:type="dxa"/>
            <w:tcBorders>
              <w:top w:val="nil"/>
              <w:left w:val="nil"/>
              <w:bottom w:val="double" w:sz="6" w:space="0" w:color="auto"/>
              <w:right w:val="nil"/>
            </w:tcBorders>
            <w:shd w:val="clear" w:color="auto" w:fill="auto"/>
            <w:noWrap/>
            <w:vAlign w:val="center"/>
            <w:hideMark/>
          </w:tcPr>
          <w:p w14:paraId="61A50116" w14:textId="63C7A00B"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134" w:type="dxa"/>
            <w:tcBorders>
              <w:top w:val="nil"/>
              <w:left w:val="single" w:sz="4" w:space="0" w:color="auto"/>
              <w:bottom w:val="double" w:sz="6" w:space="0" w:color="auto"/>
              <w:right w:val="nil"/>
            </w:tcBorders>
            <w:shd w:val="clear" w:color="auto" w:fill="auto"/>
            <w:noWrap/>
            <w:vAlign w:val="center"/>
            <w:hideMark/>
          </w:tcPr>
          <w:p w14:paraId="12279D22"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304</w:t>
            </w:r>
          </w:p>
        </w:tc>
        <w:tc>
          <w:tcPr>
            <w:tcW w:w="992" w:type="dxa"/>
            <w:tcBorders>
              <w:top w:val="nil"/>
              <w:left w:val="nil"/>
              <w:bottom w:val="double" w:sz="6" w:space="0" w:color="auto"/>
              <w:right w:val="single" w:sz="4" w:space="0" w:color="auto"/>
            </w:tcBorders>
            <w:shd w:val="clear" w:color="auto" w:fill="auto"/>
            <w:noWrap/>
            <w:vAlign w:val="center"/>
            <w:hideMark/>
          </w:tcPr>
          <w:p w14:paraId="14C3E9A9" w14:textId="7C53A860"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205" w:type="dxa"/>
            <w:tcBorders>
              <w:top w:val="nil"/>
              <w:left w:val="nil"/>
              <w:bottom w:val="double" w:sz="6" w:space="0" w:color="auto"/>
              <w:right w:val="nil"/>
            </w:tcBorders>
            <w:shd w:val="clear" w:color="auto" w:fill="auto"/>
            <w:noWrap/>
            <w:vAlign w:val="center"/>
            <w:hideMark/>
          </w:tcPr>
          <w:p w14:paraId="3AE7B6BC" w14:textId="77777777" w:rsidR="007C1608" w:rsidRPr="00F15667" w:rsidRDefault="007C1608" w:rsidP="00C17A44">
            <w:pPr>
              <w:spacing w:line="240" w:lineRule="auto"/>
              <w:jc w:val="center"/>
              <w:rPr>
                <w:rFonts w:eastAsia="Times New Roman"/>
                <w:szCs w:val="24"/>
                <w:lang w:eastAsia="cs-CZ"/>
              </w:rPr>
            </w:pPr>
            <w:r w:rsidRPr="00F15667">
              <w:rPr>
                <w:rFonts w:eastAsia="Times New Roman"/>
                <w:szCs w:val="24"/>
                <w:lang w:eastAsia="cs-CZ"/>
              </w:rPr>
              <w:t>1 113</w:t>
            </w:r>
          </w:p>
        </w:tc>
        <w:tc>
          <w:tcPr>
            <w:tcW w:w="1063" w:type="dxa"/>
            <w:tcBorders>
              <w:top w:val="nil"/>
              <w:left w:val="nil"/>
              <w:bottom w:val="double" w:sz="6" w:space="0" w:color="auto"/>
              <w:right w:val="nil"/>
            </w:tcBorders>
            <w:shd w:val="clear" w:color="auto" w:fill="auto"/>
            <w:noWrap/>
            <w:vAlign w:val="center"/>
            <w:hideMark/>
          </w:tcPr>
          <w:p w14:paraId="665A28EE" w14:textId="306F57AC" w:rsidR="007C1608" w:rsidRPr="00F15667" w:rsidRDefault="007C1608" w:rsidP="00C17A44">
            <w:pPr>
              <w:spacing w:line="240" w:lineRule="auto"/>
              <w:jc w:val="center"/>
              <w:rPr>
                <w:rFonts w:eastAsia="Times New Roman"/>
                <w:sz w:val="20"/>
                <w:szCs w:val="20"/>
                <w:lang w:eastAsia="cs-CZ"/>
              </w:rPr>
            </w:pPr>
            <w:r w:rsidRPr="00F15667">
              <w:rPr>
                <w:rFonts w:eastAsia="Times New Roman"/>
                <w:sz w:val="20"/>
                <w:szCs w:val="20"/>
                <w:lang w:eastAsia="cs-CZ"/>
              </w:rPr>
              <w:t>-15 %</w:t>
            </w:r>
          </w:p>
        </w:tc>
      </w:tr>
      <w:tr w:rsidR="00F15667" w:rsidRPr="00F15667" w14:paraId="0F1B5EA6" w14:textId="77777777" w:rsidTr="00C17A44">
        <w:trPr>
          <w:trHeight w:val="345"/>
        </w:trPr>
        <w:tc>
          <w:tcPr>
            <w:tcW w:w="2480" w:type="dxa"/>
            <w:tcBorders>
              <w:top w:val="nil"/>
              <w:left w:val="nil"/>
              <w:bottom w:val="double" w:sz="6" w:space="0" w:color="auto"/>
              <w:right w:val="nil"/>
            </w:tcBorders>
            <w:shd w:val="clear" w:color="auto" w:fill="auto"/>
            <w:noWrap/>
            <w:vAlign w:val="center"/>
            <w:hideMark/>
          </w:tcPr>
          <w:p w14:paraId="76003C5B" w14:textId="77777777" w:rsidR="007C1608" w:rsidRPr="00F15667" w:rsidRDefault="007C1608" w:rsidP="00C17A44">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206" w:type="dxa"/>
            <w:tcBorders>
              <w:top w:val="nil"/>
              <w:left w:val="nil"/>
              <w:bottom w:val="double" w:sz="6" w:space="0" w:color="auto"/>
              <w:right w:val="nil"/>
            </w:tcBorders>
            <w:shd w:val="clear" w:color="auto" w:fill="auto"/>
            <w:noWrap/>
            <w:vAlign w:val="center"/>
            <w:hideMark/>
          </w:tcPr>
          <w:p w14:paraId="02185544" w14:textId="77777777" w:rsidR="007C1608" w:rsidRPr="00F15667" w:rsidRDefault="007C1608" w:rsidP="00C17A44">
            <w:pPr>
              <w:spacing w:line="240" w:lineRule="auto"/>
              <w:jc w:val="center"/>
              <w:rPr>
                <w:rFonts w:eastAsia="Times New Roman"/>
                <w:b/>
                <w:bCs/>
                <w:szCs w:val="24"/>
                <w:lang w:eastAsia="cs-CZ"/>
              </w:rPr>
            </w:pPr>
            <w:r w:rsidRPr="00F15667">
              <w:rPr>
                <w:rFonts w:eastAsia="Times New Roman"/>
                <w:b/>
                <w:bCs/>
                <w:szCs w:val="24"/>
                <w:lang w:eastAsia="cs-CZ"/>
              </w:rPr>
              <w:t>511</w:t>
            </w:r>
          </w:p>
        </w:tc>
        <w:tc>
          <w:tcPr>
            <w:tcW w:w="992" w:type="dxa"/>
            <w:tcBorders>
              <w:top w:val="nil"/>
              <w:left w:val="nil"/>
              <w:bottom w:val="double" w:sz="6" w:space="0" w:color="auto"/>
              <w:right w:val="nil"/>
            </w:tcBorders>
            <w:shd w:val="clear" w:color="auto" w:fill="auto"/>
            <w:noWrap/>
            <w:vAlign w:val="center"/>
            <w:hideMark/>
          </w:tcPr>
          <w:p w14:paraId="7A8BBBE2" w14:textId="3A83316F" w:rsidR="007C1608" w:rsidRPr="00F15667" w:rsidRDefault="007C1608"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-5 %</w:t>
            </w:r>
          </w:p>
        </w:tc>
        <w:tc>
          <w:tcPr>
            <w:tcW w:w="1134" w:type="dxa"/>
            <w:tcBorders>
              <w:top w:val="nil"/>
              <w:left w:val="single" w:sz="4" w:space="0" w:color="auto"/>
              <w:bottom w:val="double" w:sz="6" w:space="0" w:color="auto"/>
              <w:right w:val="nil"/>
            </w:tcBorders>
            <w:shd w:val="clear" w:color="auto" w:fill="auto"/>
            <w:noWrap/>
            <w:vAlign w:val="center"/>
            <w:hideMark/>
          </w:tcPr>
          <w:p w14:paraId="5DB3D76C" w14:textId="77777777" w:rsidR="007C1608" w:rsidRPr="00F15667" w:rsidRDefault="007C1608" w:rsidP="00C17A44">
            <w:pPr>
              <w:spacing w:line="240" w:lineRule="auto"/>
              <w:jc w:val="center"/>
              <w:rPr>
                <w:rFonts w:eastAsia="Times New Roman"/>
                <w:b/>
                <w:bCs/>
                <w:szCs w:val="24"/>
                <w:lang w:eastAsia="cs-CZ"/>
              </w:rPr>
            </w:pPr>
            <w:r w:rsidRPr="00F15667">
              <w:rPr>
                <w:rFonts w:eastAsia="Times New Roman"/>
                <w:b/>
                <w:bCs/>
                <w:szCs w:val="24"/>
                <w:lang w:eastAsia="cs-CZ"/>
              </w:rPr>
              <w:t>308</w:t>
            </w:r>
          </w:p>
        </w:tc>
        <w:tc>
          <w:tcPr>
            <w:tcW w:w="992" w:type="dxa"/>
            <w:tcBorders>
              <w:top w:val="nil"/>
              <w:left w:val="nil"/>
              <w:bottom w:val="double" w:sz="6" w:space="0" w:color="auto"/>
              <w:right w:val="single" w:sz="4" w:space="0" w:color="auto"/>
            </w:tcBorders>
            <w:shd w:val="clear" w:color="auto" w:fill="auto"/>
            <w:noWrap/>
            <w:vAlign w:val="center"/>
            <w:hideMark/>
          </w:tcPr>
          <w:p w14:paraId="575C20A0" w14:textId="560C41E5" w:rsidR="007C1608" w:rsidRPr="00F15667" w:rsidRDefault="007C1608"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c>
          <w:tcPr>
            <w:tcW w:w="1205" w:type="dxa"/>
            <w:tcBorders>
              <w:top w:val="nil"/>
              <w:left w:val="nil"/>
              <w:bottom w:val="double" w:sz="6" w:space="0" w:color="auto"/>
              <w:right w:val="nil"/>
            </w:tcBorders>
            <w:shd w:val="clear" w:color="auto" w:fill="auto"/>
            <w:noWrap/>
            <w:vAlign w:val="center"/>
            <w:hideMark/>
          </w:tcPr>
          <w:p w14:paraId="045C8487" w14:textId="77777777" w:rsidR="007C1608" w:rsidRPr="00F15667" w:rsidRDefault="007C1608" w:rsidP="00C17A44">
            <w:pPr>
              <w:spacing w:line="240" w:lineRule="auto"/>
              <w:jc w:val="center"/>
              <w:rPr>
                <w:rFonts w:eastAsia="Times New Roman"/>
                <w:b/>
                <w:bCs/>
                <w:szCs w:val="24"/>
                <w:lang w:eastAsia="cs-CZ"/>
              </w:rPr>
            </w:pPr>
            <w:r w:rsidRPr="00F15667">
              <w:rPr>
                <w:rFonts w:eastAsia="Times New Roman"/>
                <w:b/>
                <w:bCs/>
                <w:szCs w:val="24"/>
                <w:lang w:eastAsia="cs-CZ"/>
              </w:rPr>
              <w:t>1 252</w:t>
            </w:r>
          </w:p>
        </w:tc>
        <w:tc>
          <w:tcPr>
            <w:tcW w:w="1063" w:type="dxa"/>
            <w:tcBorders>
              <w:top w:val="nil"/>
              <w:left w:val="nil"/>
              <w:bottom w:val="double" w:sz="6" w:space="0" w:color="auto"/>
              <w:right w:val="nil"/>
            </w:tcBorders>
            <w:shd w:val="clear" w:color="auto" w:fill="auto"/>
            <w:noWrap/>
            <w:vAlign w:val="center"/>
            <w:hideMark/>
          </w:tcPr>
          <w:p w14:paraId="6C54DFD2" w14:textId="2F48CE7A" w:rsidR="007C1608" w:rsidRPr="00F15667" w:rsidRDefault="007C1608" w:rsidP="00C17A44">
            <w:pPr>
              <w:spacing w:line="240" w:lineRule="auto"/>
              <w:jc w:val="center"/>
              <w:rPr>
                <w:rFonts w:eastAsia="Times New Roman"/>
                <w:b/>
                <w:bCs/>
                <w:sz w:val="20"/>
                <w:szCs w:val="20"/>
                <w:lang w:eastAsia="cs-CZ"/>
              </w:rPr>
            </w:pPr>
            <w:r w:rsidRPr="00F15667">
              <w:rPr>
                <w:rFonts w:eastAsia="Times New Roman"/>
                <w:b/>
                <w:bCs/>
                <w:sz w:val="20"/>
                <w:szCs w:val="20"/>
                <w:lang w:eastAsia="cs-CZ"/>
              </w:rPr>
              <w:t>-5 %</w:t>
            </w:r>
          </w:p>
        </w:tc>
      </w:tr>
      <w:tr w:rsidR="00F15667" w:rsidRPr="00F15667" w14:paraId="41BD805A" w14:textId="77777777" w:rsidTr="00C17A44">
        <w:trPr>
          <w:trHeight w:val="330"/>
        </w:trPr>
        <w:tc>
          <w:tcPr>
            <w:tcW w:w="2480" w:type="dxa"/>
            <w:tcBorders>
              <w:top w:val="nil"/>
              <w:left w:val="nil"/>
              <w:bottom w:val="nil"/>
              <w:right w:val="nil"/>
            </w:tcBorders>
            <w:shd w:val="clear" w:color="auto" w:fill="auto"/>
            <w:noWrap/>
            <w:vAlign w:val="center"/>
            <w:hideMark/>
          </w:tcPr>
          <w:p w14:paraId="280AB463" w14:textId="77777777" w:rsidR="007C1608" w:rsidRPr="00F15667" w:rsidRDefault="007C1608" w:rsidP="00C17A44">
            <w:pPr>
              <w:spacing w:line="240" w:lineRule="auto"/>
              <w:jc w:val="center"/>
              <w:rPr>
                <w:rFonts w:eastAsia="Times New Roman"/>
                <w:b/>
                <w:bCs/>
                <w:sz w:val="20"/>
                <w:szCs w:val="20"/>
                <w:lang w:eastAsia="cs-CZ"/>
              </w:rPr>
            </w:pPr>
          </w:p>
        </w:tc>
        <w:tc>
          <w:tcPr>
            <w:tcW w:w="1206" w:type="dxa"/>
            <w:tcBorders>
              <w:top w:val="nil"/>
              <w:left w:val="nil"/>
              <w:bottom w:val="nil"/>
              <w:right w:val="nil"/>
            </w:tcBorders>
            <w:shd w:val="clear" w:color="auto" w:fill="auto"/>
            <w:noWrap/>
            <w:vAlign w:val="center"/>
            <w:hideMark/>
          </w:tcPr>
          <w:p w14:paraId="3DB708A4" w14:textId="77777777" w:rsidR="007C1608" w:rsidRPr="00F15667" w:rsidRDefault="007C1608" w:rsidP="00C17A44">
            <w:pPr>
              <w:spacing w:line="240" w:lineRule="auto"/>
              <w:jc w:val="center"/>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center"/>
            <w:hideMark/>
          </w:tcPr>
          <w:p w14:paraId="31D34AC7" w14:textId="77777777" w:rsidR="007C1608" w:rsidRPr="00F15667" w:rsidRDefault="007C1608" w:rsidP="00C17A44">
            <w:pPr>
              <w:spacing w:line="240" w:lineRule="auto"/>
              <w:jc w:val="center"/>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center"/>
            <w:hideMark/>
          </w:tcPr>
          <w:p w14:paraId="11E88DE9" w14:textId="77777777" w:rsidR="007C1608" w:rsidRPr="00F15667" w:rsidRDefault="007C1608" w:rsidP="00C17A44">
            <w:pPr>
              <w:spacing w:line="240" w:lineRule="auto"/>
              <w:jc w:val="center"/>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center"/>
            <w:hideMark/>
          </w:tcPr>
          <w:p w14:paraId="2198E06A" w14:textId="77777777" w:rsidR="007C1608" w:rsidRPr="00F15667" w:rsidRDefault="007C1608" w:rsidP="00C17A44">
            <w:pPr>
              <w:spacing w:line="240" w:lineRule="auto"/>
              <w:jc w:val="center"/>
              <w:rPr>
                <w:rFonts w:ascii="Times New Roman" w:eastAsia="Times New Roman" w:hAnsi="Times New Roman"/>
                <w:sz w:val="20"/>
                <w:szCs w:val="20"/>
                <w:lang w:eastAsia="cs-CZ"/>
              </w:rPr>
            </w:pPr>
          </w:p>
        </w:tc>
        <w:tc>
          <w:tcPr>
            <w:tcW w:w="1205" w:type="dxa"/>
            <w:tcBorders>
              <w:top w:val="nil"/>
              <w:left w:val="nil"/>
              <w:bottom w:val="nil"/>
              <w:right w:val="nil"/>
            </w:tcBorders>
            <w:shd w:val="clear" w:color="auto" w:fill="auto"/>
            <w:noWrap/>
            <w:vAlign w:val="center"/>
            <w:hideMark/>
          </w:tcPr>
          <w:p w14:paraId="00E601E7" w14:textId="77777777" w:rsidR="007C1608" w:rsidRPr="00F15667" w:rsidRDefault="007C1608" w:rsidP="00C17A44">
            <w:pPr>
              <w:spacing w:line="240" w:lineRule="auto"/>
              <w:jc w:val="center"/>
              <w:rPr>
                <w:rFonts w:ascii="Times New Roman" w:eastAsia="Times New Roman" w:hAnsi="Times New Roman"/>
                <w:sz w:val="20"/>
                <w:szCs w:val="20"/>
                <w:lang w:eastAsia="cs-CZ"/>
              </w:rPr>
            </w:pPr>
          </w:p>
        </w:tc>
        <w:tc>
          <w:tcPr>
            <w:tcW w:w="1063" w:type="dxa"/>
            <w:tcBorders>
              <w:top w:val="nil"/>
              <w:left w:val="nil"/>
              <w:bottom w:val="nil"/>
              <w:right w:val="nil"/>
            </w:tcBorders>
            <w:shd w:val="clear" w:color="auto" w:fill="auto"/>
            <w:noWrap/>
            <w:vAlign w:val="center"/>
            <w:hideMark/>
          </w:tcPr>
          <w:p w14:paraId="12E3A1A9" w14:textId="77777777" w:rsidR="007C1608" w:rsidRPr="00F15667" w:rsidRDefault="007C1608" w:rsidP="00C17A44">
            <w:pPr>
              <w:spacing w:line="240" w:lineRule="auto"/>
              <w:jc w:val="center"/>
              <w:rPr>
                <w:rFonts w:ascii="Times New Roman" w:eastAsia="Times New Roman" w:hAnsi="Times New Roman"/>
                <w:sz w:val="20"/>
                <w:szCs w:val="20"/>
                <w:lang w:eastAsia="cs-CZ"/>
              </w:rPr>
            </w:pPr>
          </w:p>
        </w:tc>
      </w:tr>
    </w:tbl>
    <w:p w14:paraId="047B4C9C" w14:textId="32A0E0C2" w:rsidR="007C1608" w:rsidRPr="00F15667" w:rsidRDefault="007C1608" w:rsidP="007C1608">
      <w:pPr>
        <w:pStyle w:val="OdstavecASR"/>
      </w:pPr>
      <w:r w:rsidRPr="00F15667">
        <w:t>Vidíme, že již několik let zdaleka nejdelší délky řízení vykazuje KS Brno a MS Praha, nejkratší naopak KS České Budějovice.</w:t>
      </w:r>
    </w:p>
    <w:p w14:paraId="0936B40C" w14:textId="77777777" w:rsidR="007C1608" w:rsidRPr="00F15667" w:rsidRDefault="007C1608" w:rsidP="007C1608">
      <w:pPr>
        <w:pStyle w:val="OdstavecASR"/>
      </w:pPr>
      <w:r w:rsidRPr="00F15667">
        <w:t>Nakonec délky řízení zobrazíme pomocí histogramu. Šířka jednoho sloupce je 50 dnů a poslední sloupec reprezentuje všechny hodnoty nad 1 500 dnů.</w:t>
      </w:r>
    </w:p>
    <w:p w14:paraId="7AF234CA" w14:textId="2962BDBF" w:rsidR="007C1608" w:rsidRPr="00F15667" w:rsidRDefault="007C1608" w:rsidP="007C1608">
      <w:pPr>
        <w:pStyle w:val="Podnadpis"/>
        <w:rPr>
          <w:color w:val="auto"/>
        </w:rPr>
      </w:pPr>
      <w:bookmarkStart w:id="982" w:name="_Toc43841456"/>
      <w:bookmarkStart w:id="983" w:name="_Toc75952259"/>
      <w:bookmarkStart w:id="984" w:name="_Toc106106716"/>
      <w:bookmarkStart w:id="985" w:name="_Toc109802040"/>
      <w:bookmarkStart w:id="986" w:name="_Toc144104190"/>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78</w:t>
      </w:r>
      <w:r w:rsidR="009A10E2" w:rsidRPr="00F15667">
        <w:rPr>
          <w:color w:val="auto"/>
        </w:rPr>
        <w:fldChar w:fldCharType="end"/>
      </w:r>
      <w:r w:rsidRPr="00F15667">
        <w:rPr>
          <w:color w:val="auto"/>
        </w:rPr>
        <w:t>: KS – distribuce délek incidenčních sporů</w:t>
      </w:r>
      <w:bookmarkEnd w:id="982"/>
      <w:bookmarkEnd w:id="983"/>
      <w:bookmarkEnd w:id="984"/>
      <w:bookmarkEnd w:id="985"/>
      <w:bookmarkEnd w:id="986"/>
    </w:p>
    <w:p w14:paraId="6723317A" w14:textId="2DC04E64" w:rsidR="00B247B7" w:rsidRPr="00F15667" w:rsidRDefault="0008597A" w:rsidP="00C17A44">
      <w:pPr>
        <w:pStyle w:val="OdstavecASR"/>
      </w:pPr>
      <w:r w:rsidRPr="00F15667">
        <w:rPr>
          <w:noProof/>
          <w:lang w:eastAsia="cs-CZ"/>
        </w:rPr>
        <w:drawing>
          <wp:inline distT="0" distB="0" distL="0" distR="0" wp14:anchorId="704E7D0F" wp14:editId="29BB97AF">
            <wp:extent cx="5029200" cy="3657600"/>
            <wp:effectExtent l="0" t="0" r="0"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99B899" w14:textId="29B96F53" w:rsidR="008430BD" w:rsidRPr="00F15667" w:rsidRDefault="008430BD" w:rsidP="008430BD">
      <w:pPr>
        <w:pStyle w:val="Nadpis3"/>
        <w:numPr>
          <w:ilvl w:val="2"/>
          <w:numId w:val="1"/>
        </w:numPr>
        <w:rPr>
          <w:color w:val="auto"/>
        </w:rPr>
      </w:pPr>
      <w:bookmarkStart w:id="987" w:name="_Toc41059000"/>
      <w:bookmarkStart w:id="988" w:name="_Toc41060948"/>
      <w:bookmarkStart w:id="989" w:name="_Toc106092786"/>
      <w:bookmarkStart w:id="990" w:name="_Toc144104399"/>
      <w:bookmarkEnd w:id="987"/>
      <w:bookmarkEnd w:id="988"/>
      <w:r w:rsidRPr="00F15667">
        <w:rPr>
          <w:color w:val="auto"/>
        </w:rPr>
        <w:lastRenderedPageBreak/>
        <w:t>Vyřizování věcí</w:t>
      </w:r>
      <w:bookmarkEnd w:id="989"/>
      <w:bookmarkEnd w:id="990"/>
    </w:p>
    <w:p w14:paraId="3E5F4FA2" w14:textId="587D9B17" w:rsidR="0008597A" w:rsidRPr="00F15667" w:rsidRDefault="0008597A" w:rsidP="0008597A">
      <w:r w:rsidRPr="00F15667">
        <w:t xml:space="preserve">Na grafu níže vidíme jev, který byl zmiňován již </w:t>
      </w:r>
      <w:r w:rsidR="00CF4E52" w:rsidRPr="00F15667">
        <w:t>dříve</w:t>
      </w:r>
      <w:r w:rsidRPr="00F15667">
        <w:t>. Celá insolvenční agenda je poměrně nová a incidenční spory na ni „navazují“. Proto byl v prvních letech malý nápad, který postupně narůstal až do roku 2017. V těchto letech převyšoval počet příchozích věcí počet věcí vyřízených, a to ze začátku poměrně výrazně; počet vyřízených věcí se ale velmi rychle zvyšoval. Nahromadilo se poměrně velké množství nevyřízených věcí. Do určité míry nápad celkem logicky kopíruje růst nápadu v insolvenční agendě, nicméně s určitým zpožděním.</w:t>
      </w:r>
    </w:p>
    <w:p w14:paraId="697ECDB2" w14:textId="304C332C" w:rsidR="0008597A" w:rsidRPr="00F15667" w:rsidRDefault="0008597A" w:rsidP="0008597A">
      <w:pPr>
        <w:pStyle w:val="OdstavecASR"/>
      </w:pPr>
      <w:r w:rsidRPr="00F15667">
        <w:t>V roce 2018 pak došlo k značnému poklesu v počtu příchozích věcí. Nejvyšší pokles byl zaznamenán u obou moravských krajských soudů, konkrétně u KS v Brně o 662 věcí (snížení o 56,7 %) a v Ostravě o 329 věcí (pokles o 67,3 %). U krajských soudů v Čechách se snížení příchozích věcí pohybovalo mezi 30 až 40 %. Tento náhlý pokles z roku 2018 lze připisovat snížení počtu nových úpadků obchodních společností, a to zřejmě díky příznivé ekonomické situaci toho období. Výše zmíněný pokles v počtu příchozích věcí pak vedl k velmi výraznému poklesu počtu věcí nevyřízených.</w:t>
      </w:r>
    </w:p>
    <w:p w14:paraId="40A60952" w14:textId="4A3575EB" w:rsidR="0008597A" w:rsidRPr="00F15667" w:rsidRDefault="0008597A" w:rsidP="0008597A">
      <w:r w:rsidRPr="00F15667">
        <w:t>Po roce 2018 již v počtu příchozích věcí není vidět žádný jasný trend. V roce 2021 ale došlo v porovnání s rokem 2020 k dalšímu poklesu. Pro rok 2021 bylo důležité to, že také došlo ke značnému poklesu v počtu nevyřízených věcí.</w:t>
      </w:r>
      <w:r w:rsidR="00DC0662" w:rsidRPr="00F15667">
        <w:t xml:space="preserve"> V roce 2022 opět výrazně poklesl počet nevyřízených věcí.</w:t>
      </w:r>
      <w:r w:rsidRPr="00F15667">
        <w:t xml:space="preserve"> </w:t>
      </w:r>
      <w:r w:rsidR="00DC0662" w:rsidRPr="00F15667">
        <w:t xml:space="preserve">Všechny soudy s výjimkou MS Praha měly míru vyřizování výrazně přes 100 %. </w:t>
      </w:r>
      <w:r w:rsidRPr="00F15667">
        <w:t xml:space="preserve">Nejvyšší míru vyřizování měl KS </w:t>
      </w:r>
      <w:r w:rsidR="00DC0662" w:rsidRPr="00F15667">
        <w:t>Hradec Králové.</w:t>
      </w:r>
    </w:p>
    <w:p w14:paraId="2C4FA825" w14:textId="0DA916E9" w:rsidR="0008597A" w:rsidRPr="00F15667" w:rsidRDefault="0008597A" w:rsidP="0008597A">
      <w:pPr>
        <w:pStyle w:val="Podnadpis"/>
        <w:rPr>
          <w:color w:val="auto"/>
        </w:rPr>
      </w:pPr>
      <w:bookmarkStart w:id="991" w:name="_Toc43841457"/>
      <w:bookmarkStart w:id="992" w:name="_Toc75952260"/>
      <w:bookmarkStart w:id="993" w:name="_Toc106106717"/>
      <w:bookmarkStart w:id="994" w:name="_Toc109802041"/>
      <w:bookmarkStart w:id="995" w:name="_Toc144104191"/>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79</w:t>
      </w:r>
      <w:r w:rsidR="009A10E2" w:rsidRPr="00F15667">
        <w:rPr>
          <w:color w:val="auto"/>
        </w:rPr>
        <w:fldChar w:fldCharType="end"/>
      </w:r>
      <w:r w:rsidRPr="00F15667">
        <w:rPr>
          <w:color w:val="auto"/>
        </w:rPr>
        <w:t>: KS – vyřizování incidenčních sporů v letech 2011–20</w:t>
      </w:r>
      <w:bookmarkEnd w:id="991"/>
      <w:r w:rsidRPr="00F15667">
        <w:rPr>
          <w:color w:val="auto"/>
        </w:rPr>
        <w:t>2</w:t>
      </w:r>
      <w:bookmarkEnd w:id="992"/>
      <w:r w:rsidRPr="00F15667">
        <w:rPr>
          <w:color w:val="auto"/>
        </w:rPr>
        <w:t>1</w:t>
      </w:r>
      <w:bookmarkEnd w:id="993"/>
      <w:bookmarkEnd w:id="994"/>
      <w:bookmarkEnd w:id="995"/>
    </w:p>
    <w:p w14:paraId="160186BD" w14:textId="2D1B8423" w:rsidR="0008597A" w:rsidRDefault="0008597A" w:rsidP="00115F4F">
      <w:pPr>
        <w:pStyle w:val="OdstavecASR"/>
      </w:pPr>
      <w:r w:rsidRPr="00F15667">
        <w:rPr>
          <w:rFonts w:eastAsia="Times New Roman"/>
          <w:b/>
          <w:bCs/>
          <w:noProof/>
          <w:lang w:eastAsia="cs-CZ"/>
        </w:rPr>
        <w:drawing>
          <wp:inline distT="0" distB="0" distL="0" distR="0" wp14:anchorId="2BC85C87" wp14:editId="6CD3EE2F">
            <wp:extent cx="5029200" cy="3657600"/>
            <wp:effectExtent l="0" t="0" r="0"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3A90D15" w14:textId="62699BCB" w:rsidR="00115F4F" w:rsidRDefault="00115F4F">
      <w:pPr>
        <w:spacing w:after="160" w:line="259" w:lineRule="auto"/>
        <w:jc w:val="left"/>
      </w:pPr>
      <w:r>
        <w:br w:type="page"/>
      </w:r>
    </w:p>
    <w:p w14:paraId="1BDC4BBD" w14:textId="2429F928" w:rsidR="00DC0662" w:rsidRPr="00F15667" w:rsidRDefault="00DC0662" w:rsidP="00DC0662">
      <w:pPr>
        <w:pStyle w:val="Podnadpis"/>
        <w:rPr>
          <w:color w:val="auto"/>
        </w:rPr>
      </w:pPr>
      <w:bookmarkStart w:id="996" w:name="_Toc43931248"/>
      <w:bookmarkStart w:id="997" w:name="_Toc75952381"/>
      <w:bookmarkStart w:id="998" w:name="_Toc106106834"/>
      <w:bookmarkStart w:id="999" w:name="_Toc109802157"/>
      <w:bookmarkStart w:id="1000" w:name="_Toc144104316"/>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77</w:t>
      </w:r>
      <w:r w:rsidRPr="00F15667">
        <w:rPr>
          <w:noProof/>
          <w:color w:val="auto"/>
        </w:rPr>
        <w:fldChar w:fldCharType="end"/>
      </w:r>
      <w:r w:rsidRPr="00F15667">
        <w:rPr>
          <w:color w:val="auto"/>
        </w:rPr>
        <w:t>: KS – vyřizování incidenčních sporů dle soudů</w:t>
      </w:r>
      <w:bookmarkEnd w:id="996"/>
      <w:bookmarkEnd w:id="997"/>
      <w:bookmarkEnd w:id="998"/>
      <w:bookmarkEnd w:id="999"/>
      <w:bookmarkEnd w:id="1000"/>
    </w:p>
    <w:tbl>
      <w:tblPr>
        <w:tblW w:w="9072" w:type="dxa"/>
        <w:tblCellMar>
          <w:left w:w="70" w:type="dxa"/>
          <w:right w:w="70" w:type="dxa"/>
        </w:tblCellMar>
        <w:tblLook w:val="04A0" w:firstRow="1" w:lastRow="0" w:firstColumn="1" w:lastColumn="0" w:noHBand="0" w:noVBand="1"/>
      </w:tblPr>
      <w:tblGrid>
        <w:gridCol w:w="1980"/>
        <w:gridCol w:w="1139"/>
        <w:gridCol w:w="997"/>
        <w:gridCol w:w="948"/>
        <w:gridCol w:w="869"/>
        <w:gridCol w:w="948"/>
        <w:gridCol w:w="994"/>
        <w:gridCol w:w="1197"/>
      </w:tblGrid>
      <w:tr w:rsidR="00F15667" w:rsidRPr="00F15667" w14:paraId="06C1E827" w14:textId="77777777" w:rsidTr="00115F4F">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64BAAE84" w14:textId="27DBC264" w:rsidR="00DC0662" w:rsidRPr="00F15667" w:rsidRDefault="00115F4F" w:rsidP="00115F4F">
            <w:pPr>
              <w:spacing w:line="240" w:lineRule="auto"/>
              <w:jc w:val="center"/>
              <w:rPr>
                <w:rFonts w:eastAsia="Times New Roman"/>
                <w:b/>
                <w:bCs/>
                <w:szCs w:val="24"/>
                <w:lang w:eastAsia="cs-CZ"/>
              </w:rPr>
            </w:pPr>
            <w:r>
              <w:rPr>
                <w:rFonts w:eastAsia="Times New Roman"/>
                <w:b/>
                <w:bCs/>
                <w:szCs w:val="24"/>
                <w:lang w:eastAsia="cs-CZ"/>
              </w:rPr>
              <w:t>S</w:t>
            </w:r>
            <w:r w:rsidR="00DC0662" w:rsidRPr="00F15667">
              <w:rPr>
                <w:rFonts w:eastAsia="Times New Roman"/>
                <w:b/>
                <w:bCs/>
                <w:szCs w:val="24"/>
                <w:lang w:eastAsia="cs-CZ"/>
              </w:rPr>
              <w:t>oud</w:t>
            </w:r>
          </w:p>
        </w:tc>
        <w:tc>
          <w:tcPr>
            <w:tcW w:w="5895" w:type="dxa"/>
            <w:gridSpan w:val="6"/>
            <w:tcBorders>
              <w:top w:val="double" w:sz="6" w:space="0" w:color="auto"/>
              <w:left w:val="nil"/>
              <w:bottom w:val="nil"/>
              <w:right w:val="single" w:sz="4" w:space="0" w:color="000000"/>
            </w:tcBorders>
            <w:shd w:val="clear" w:color="auto" w:fill="auto"/>
            <w:noWrap/>
            <w:vAlign w:val="center"/>
            <w:hideMark/>
          </w:tcPr>
          <w:p w14:paraId="68C5EF2B" w14:textId="77777777" w:rsidR="00DC0662" w:rsidRPr="00F15667" w:rsidRDefault="00DC0662" w:rsidP="00115F4F">
            <w:pPr>
              <w:spacing w:line="240" w:lineRule="auto"/>
              <w:jc w:val="center"/>
              <w:rPr>
                <w:rFonts w:eastAsia="Times New Roman"/>
                <w:b/>
                <w:bCs/>
                <w:szCs w:val="24"/>
                <w:lang w:eastAsia="cs-CZ"/>
              </w:rPr>
            </w:pPr>
            <w:r w:rsidRPr="00F15667">
              <w:rPr>
                <w:rFonts w:eastAsia="Times New Roman"/>
                <w:b/>
                <w:bCs/>
                <w:szCs w:val="24"/>
                <w:lang w:eastAsia="cs-CZ"/>
              </w:rPr>
              <w:t>Počet věcí</w:t>
            </w:r>
          </w:p>
        </w:tc>
        <w:tc>
          <w:tcPr>
            <w:tcW w:w="1197" w:type="dxa"/>
            <w:vMerge w:val="restart"/>
            <w:tcBorders>
              <w:top w:val="double" w:sz="6" w:space="0" w:color="auto"/>
              <w:left w:val="single" w:sz="4" w:space="0" w:color="auto"/>
              <w:bottom w:val="double" w:sz="6" w:space="0" w:color="000000"/>
              <w:right w:val="nil"/>
            </w:tcBorders>
            <w:shd w:val="clear" w:color="auto" w:fill="auto"/>
            <w:vAlign w:val="center"/>
            <w:hideMark/>
          </w:tcPr>
          <w:p w14:paraId="0C753012" w14:textId="1F032F2F" w:rsidR="00DC0662" w:rsidRPr="00F15667" w:rsidRDefault="00DC0662" w:rsidP="00115F4F">
            <w:pPr>
              <w:spacing w:line="240" w:lineRule="auto"/>
              <w:jc w:val="center"/>
              <w:rPr>
                <w:rFonts w:eastAsia="Times New Roman"/>
                <w:b/>
                <w:bCs/>
                <w:szCs w:val="24"/>
                <w:lang w:eastAsia="cs-CZ"/>
              </w:rPr>
            </w:pPr>
            <w:r w:rsidRPr="00F15667">
              <w:rPr>
                <w:rFonts w:eastAsia="Times New Roman"/>
                <w:b/>
                <w:bCs/>
                <w:szCs w:val="24"/>
                <w:lang w:eastAsia="cs-CZ"/>
              </w:rPr>
              <w:t>Míra vyřizování v</w:t>
            </w:r>
            <w:r w:rsidR="00115F4F">
              <w:rPr>
                <w:rFonts w:eastAsia="Times New Roman"/>
                <w:b/>
                <w:bCs/>
                <w:szCs w:val="24"/>
                <w:lang w:eastAsia="cs-CZ"/>
              </w:rPr>
              <w:t> </w:t>
            </w:r>
            <w:r w:rsidRPr="00F15667">
              <w:rPr>
                <w:rFonts w:eastAsia="Times New Roman"/>
                <w:b/>
                <w:bCs/>
                <w:szCs w:val="24"/>
                <w:lang w:eastAsia="cs-CZ"/>
              </w:rPr>
              <w:t>%</w:t>
            </w:r>
          </w:p>
        </w:tc>
      </w:tr>
      <w:tr w:rsidR="00F15667" w:rsidRPr="00F15667" w14:paraId="0C55D405" w14:textId="77777777" w:rsidTr="00115F4F">
        <w:trPr>
          <w:trHeight w:val="330"/>
        </w:trPr>
        <w:tc>
          <w:tcPr>
            <w:tcW w:w="1980" w:type="dxa"/>
            <w:vMerge/>
            <w:tcBorders>
              <w:top w:val="double" w:sz="6" w:space="0" w:color="auto"/>
              <w:left w:val="nil"/>
              <w:bottom w:val="double" w:sz="6" w:space="0" w:color="000000"/>
              <w:right w:val="nil"/>
            </w:tcBorders>
            <w:vAlign w:val="center"/>
            <w:hideMark/>
          </w:tcPr>
          <w:p w14:paraId="57F3C9D4" w14:textId="77777777" w:rsidR="00DC0662" w:rsidRPr="00F15667" w:rsidRDefault="00DC0662" w:rsidP="00115F4F">
            <w:pPr>
              <w:spacing w:line="240" w:lineRule="auto"/>
              <w:jc w:val="center"/>
              <w:rPr>
                <w:rFonts w:eastAsia="Times New Roman"/>
                <w:b/>
                <w:bCs/>
                <w:szCs w:val="24"/>
                <w:lang w:eastAsia="cs-CZ"/>
              </w:rPr>
            </w:pPr>
          </w:p>
        </w:tc>
        <w:tc>
          <w:tcPr>
            <w:tcW w:w="2136" w:type="dxa"/>
            <w:gridSpan w:val="2"/>
            <w:tcBorders>
              <w:top w:val="nil"/>
              <w:left w:val="nil"/>
              <w:bottom w:val="double" w:sz="6" w:space="0" w:color="auto"/>
              <w:right w:val="single" w:sz="4" w:space="0" w:color="000000"/>
            </w:tcBorders>
            <w:shd w:val="clear" w:color="auto" w:fill="auto"/>
            <w:vAlign w:val="center"/>
            <w:hideMark/>
          </w:tcPr>
          <w:p w14:paraId="3E92A38E" w14:textId="77777777" w:rsidR="00DC0662" w:rsidRPr="00F15667" w:rsidRDefault="00DC0662" w:rsidP="00115F4F">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817" w:type="dxa"/>
            <w:gridSpan w:val="2"/>
            <w:tcBorders>
              <w:top w:val="nil"/>
              <w:left w:val="nil"/>
              <w:bottom w:val="double" w:sz="6" w:space="0" w:color="auto"/>
              <w:right w:val="single" w:sz="4" w:space="0" w:color="000000"/>
            </w:tcBorders>
            <w:shd w:val="clear" w:color="auto" w:fill="auto"/>
            <w:noWrap/>
            <w:vAlign w:val="center"/>
            <w:hideMark/>
          </w:tcPr>
          <w:p w14:paraId="1A995AC0" w14:textId="77777777" w:rsidR="00DC0662" w:rsidRPr="00F15667" w:rsidRDefault="00DC0662" w:rsidP="00115F4F">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942" w:type="dxa"/>
            <w:gridSpan w:val="2"/>
            <w:tcBorders>
              <w:top w:val="nil"/>
              <w:left w:val="nil"/>
              <w:bottom w:val="double" w:sz="6" w:space="0" w:color="auto"/>
              <w:right w:val="single" w:sz="4" w:space="0" w:color="000000"/>
            </w:tcBorders>
            <w:shd w:val="clear" w:color="auto" w:fill="auto"/>
            <w:noWrap/>
            <w:vAlign w:val="center"/>
            <w:hideMark/>
          </w:tcPr>
          <w:p w14:paraId="083B3B44" w14:textId="77777777" w:rsidR="00DC0662" w:rsidRPr="00F15667" w:rsidRDefault="00DC0662" w:rsidP="00115F4F">
            <w:pPr>
              <w:spacing w:line="240" w:lineRule="auto"/>
              <w:jc w:val="center"/>
              <w:rPr>
                <w:rFonts w:eastAsia="Times New Roman"/>
                <w:b/>
                <w:bCs/>
                <w:szCs w:val="24"/>
                <w:lang w:eastAsia="cs-CZ"/>
              </w:rPr>
            </w:pPr>
            <w:r w:rsidRPr="00F15667">
              <w:rPr>
                <w:rFonts w:eastAsia="Times New Roman"/>
                <w:b/>
                <w:bCs/>
                <w:szCs w:val="24"/>
                <w:lang w:eastAsia="cs-CZ"/>
              </w:rPr>
              <w:t>Nevyřízeno</w:t>
            </w:r>
          </w:p>
        </w:tc>
        <w:tc>
          <w:tcPr>
            <w:tcW w:w="1197" w:type="dxa"/>
            <w:vMerge/>
            <w:tcBorders>
              <w:top w:val="double" w:sz="6" w:space="0" w:color="auto"/>
              <w:left w:val="single" w:sz="4" w:space="0" w:color="auto"/>
              <w:bottom w:val="double" w:sz="6" w:space="0" w:color="000000"/>
              <w:right w:val="nil"/>
            </w:tcBorders>
            <w:vAlign w:val="center"/>
            <w:hideMark/>
          </w:tcPr>
          <w:p w14:paraId="635D4611" w14:textId="77777777" w:rsidR="00DC0662" w:rsidRPr="00F15667" w:rsidRDefault="00DC0662" w:rsidP="00115F4F">
            <w:pPr>
              <w:spacing w:line="240" w:lineRule="auto"/>
              <w:jc w:val="center"/>
              <w:rPr>
                <w:rFonts w:eastAsia="Times New Roman"/>
                <w:b/>
                <w:bCs/>
                <w:szCs w:val="24"/>
                <w:lang w:eastAsia="cs-CZ"/>
              </w:rPr>
            </w:pPr>
          </w:p>
        </w:tc>
      </w:tr>
      <w:tr w:rsidR="00F15667" w:rsidRPr="00F15667" w14:paraId="1B5E8478" w14:textId="77777777" w:rsidTr="00115F4F">
        <w:trPr>
          <w:trHeight w:val="330"/>
        </w:trPr>
        <w:tc>
          <w:tcPr>
            <w:tcW w:w="1980" w:type="dxa"/>
            <w:tcBorders>
              <w:top w:val="single" w:sz="4" w:space="0" w:color="auto"/>
              <w:left w:val="nil"/>
              <w:bottom w:val="single" w:sz="4" w:space="0" w:color="auto"/>
              <w:right w:val="nil"/>
            </w:tcBorders>
            <w:shd w:val="clear" w:color="auto" w:fill="auto"/>
            <w:noWrap/>
            <w:vAlign w:val="center"/>
            <w:hideMark/>
          </w:tcPr>
          <w:p w14:paraId="53B36F20" w14:textId="77777777" w:rsidR="00DC0662" w:rsidRPr="00F15667" w:rsidRDefault="00DC0662" w:rsidP="00115F4F">
            <w:pPr>
              <w:spacing w:line="240" w:lineRule="auto"/>
              <w:jc w:val="left"/>
              <w:rPr>
                <w:rFonts w:eastAsia="Times New Roman"/>
                <w:szCs w:val="24"/>
                <w:lang w:eastAsia="cs-CZ"/>
              </w:rPr>
            </w:pPr>
            <w:r w:rsidRPr="00F15667">
              <w:rPr>
                <w:rFonts w:eastAsia="Times New Roman"/>
                <w:szCs w:val="24"/>
                <w:lang w:eastAsia="cs-CZ"/>
              </w:rPr>
              <w:t>MS Praha</w:t>
            </w:r>
          </w:p>
        </w:tc>
        <w:tc>
          <w:tcPr>
            <w:tcW w:w="1139" w:type="dxa"/>
            <w:tcBorders>
              <w:top w:val="single" w:sz="4" w:space="0" w:color="auto"/>
              <w:left w:val="nil"/>
              <w:bottom w:val="single" w:sz="4" w:space="0" w:color="auto"/>
              <w:right w:val="nil"/>
            </w:tcBorders>
            <w:shd w:val="clear" w:color="auto" w:fill="auto"/>
            <w:noWrap/>
            <w:vAlign w:val="center"/>
            <w:hideMark/>
          </w:tcPr>
          <w:p w14:paraId="25BAF804"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1 185</w:t>
            </w:r>
          </w:p>
        </w:tc>
        <w:tc>
          <w:tcPr>
            <w:tcW w:w="997" w:type="dxa"/>
            <w:tcBorders>
              <w:top w:val="single" w:sz="4" w:space="0" w:color="auto"/>
              <w:left w:val="nil"/>
              <w:bottom w:val="single" w:sz="4" w:space="0" w:color="auto"/>
              <w:right w:val="nil"/>
            </w:tcBorders>
            <w:shd w:val="clear" w:color="auto" w:fill="auto"/>
            <w:noWrap/>
            <w:vAlign w:val="center"/>
            <w:hideMark/>
          </w:tcPr>
          <w:p w14:paraId="10C97FAE" w14:textId="34BD3D36"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+34 %</w:t>
            </w:r>
          </w:p>
        </w:tc>
        <w:tc>
          <w:tcPr>
            <w:tcW w:w="948" w:type="dxa"/>
            <w:tcBorders>
              <w:top w:val="single" w:sz="4" w:space="0" w:color="auto"/>
              <w:left w:val="single" w:sz="4" w:space="0" w:color="auto"/>
              <w:bottom w:val="single" w:sz="4" w:space="0" w:color="auto"/>
              <w:right w:val="nil"/>
            </w:tcBorders>
            <w:shd w:val="clear" w:color="auto" w:fill="auto"/>
            <w:noWrap/>
            <w:vAlign w:val="center"/>
            <w:hideMark/>
          </w:tcPr>
          <w:p w14:paraId="1D3401F7"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1 062</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6F3C2CB5" w14:textId="5AE21403"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948" w:type="dxa"/>
            <w:tcBorders>
              <w:top w:val="single" w:sz="4" w:space="0" w:color="auto"/>
              <w:left w:val="nil"/>
              <w:bottom w:val="single" w:sz="4" w:space="0" w:color="auto"/>
              <w:right w:val="nil"/>
            </w:tcBorders>
            <w:shd w:val="clear" w:color="auto" w:fill="auto"/>
            <w:noWrap/>
            <w:vAlign w:val="center"/>
            <w:hideMark/>
          </w:tcPr>
          <w:p w14:paraId="728BFCA2"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1 415</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7F67CDCE" w14:textId="2E26974D"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197" w:type="dxa"/>
            <w:tcBorders>
              <w:top w:val="single" w:sz="4" w:space="0" w:color="auto"/>
              <w:left w:val="nil"/>
              <w:bottom w:val="single" w:sz="4" w:space="0" w:color="auto"/>
              <w:right w:val="nil"/>
            </w:tcBorders>
            <w:shd w:val="clear" w:color="auto" w:fill="auto"/>
            <w:noWrap/>
            <w:vAlign w:val="center"/>
            <w:hideMark/>
          </w:tcPr>
          <w:p w14:paraId="4C4F5AE3" w14:textId="215B4795"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89,62</w:t>
            </w:r>
          </w:p>
        </w:tc>
      </w:tr>
      <w:tr w:rsidR="00F15667" w:rsidRPr="00F15667" w14:paraId="5B2AE7A5" w14:textId="77777777" w:rsidTr="00115F4F">
        <w:trPr>
          <w:trHeight w:val="315"/>
        </w:trPr>
        <w:tc>
          <w:tcPr>
            <w:tcW w:w="1980" w:type="dxa"/>
            <w:tcBorders>
              <w:top w:val="nil"/>
              <w:left w:val="nil"/>
              <w:bottom w:val="single" w:sz="4" w:space="0" w:color="auto"/>
              <w:right w:val="nil"/>
            </w:tcBorders>
            <w:shd w:val="clear" w:color="auto" w:fill="auto"/>
            <w:noWrap/>
            <w:vAlign w:val="center"/>
            <w:hideMark/>
          </w:tcPr>
          <w:p w14:paraId="140CA672" w14:textId="77777777" w:rsidR="00DC0662" w:rsidRPr="00F15667" w:rsidRDefault="00DC0662" w:rsidP="00115F4F">
            <w:pPr>
              <w:spacing w:line="240" w:lineRule="auto"/>
              <w:jc w:val="left"/>
              <w:rPr>
                <w:rFonts w:eastAsia="Times New Roman"/>
                <w:szCs w:val="24"/>
                <w:lang w:eastAsia="cs-CZ"/>
              </w:rPr>
            </w:pPr>
            <w:r w:rsidRPr="00F15667">
              <w:rPr>
                <w:rFonts w:eastAsia="Times New Roman"/>
                <w:szCs w:val="24"/>
                <w:lang w:eastAsia="cs-CZ"/>
              </w:rPr>
              <w:t>KS Praha</w:t>
            </w:r>
          </w:p>
        </w:tc>
        <w:tc>
          <w:tcPr>
            <w:tcW w:w="1139" w:type="dxa"/>
            <w:tcBorders>
              <w:top w:val="nil"/>
              <w:left w:val="nil"/>
              <w:bottom w:val="single" w:sz="4" w:space="0" w:color="auto"/>
              <w:right w:val="nil"/>
            </w:tcBorders>
            <w:shd w:val="clear" w:color="auto" w:fill="auto"/>
            <w:noWrap/>
            <w:vAlign w:val="center"/>
            <w:hideMark/>
          </w:tcPr>
          <w:p w14:paraId="445A1564"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392</w:t>
            </w:r>
          </w:p>
        </w:tc>
        <w:tc>
          <w:tcPr>
            <w:tcW w:w="997" w:type="dxa"/>
            <w:tcBorders>
              <w:top w:val="nil"/>
              <w:left w:val="nil"/>
              <w:bottom w:val="single" w:sz="4" w:space="0" w:color="auto"/>
              <w:right w:val="nil"/>
            </w:tcBorders>
            <w:shd w:val="clear" w:color="auto" w:fill="auto"/>
            <w:noWrap/>
            <w:vAlign w:val="center"/>
            <w:hideMark/>
          </w:tcPr>
          <w:p w14:paraId="4EF37D16" w14:textId="19872125"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948" w:type="dxa"/>
            <w:tcBorders>
              <w:top w:val="nil"/>
              <w:left w:val="single" w:sz="4" w:space="0" w:color="auto"/>
              <w:bottom w:val="single" w:sz="4" w:space="0" w:color="auto"/>
              <w:right w:val="nil"/>
            </w:tcBorders>
            <w:shd w:val="clear" w:color="auto" w:fill="auto"/>
            <w:noWrap/>
            <w:vAlign w:val="center"/>
            <w:hideMark/>
          </w:tcPr>
          <w:p w14:paraId="6E129413"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492</w:t>
            </w:r>
          </w:p>
        </w:tc>
        <w:tc>
          <w:tcPr>
            <w:tcW w:w="869" w:type="dxa"/>
            <w:tcBorders>
              <w:top w:val="nil"/>
              <w:left w:val="nil"/>
              <w:bottom w:val="single" w:sz="4" w:space="0" w:color="auto"/>
              <w:right w:val="single" w:sz="4" w:space="0" w:color="auto"/>
            </w:tcBorders>
            <w:shd w:val="clear" w:color="auto" w:fill="auto"/>
            <w:noWrap/>
            <w:vAlign w:val="center"/>
            <w:hideMark/>
          </w:tcPr>
          <w:p w14:paraId="59C789FF" w14:textId="700F3672"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948" w:type="dxa"/>
            <w:tcBorders>
              <w:top w:val="nil"/>
              <w:left w:val="nil"/>
              <w:bottom w:val="single" w:sz="4" w:space="0" w:color="auto"/>
              <w:right w:val="nil"/>
            </w:tcBorders>
            <w:shd w:val="clear" w:color="auto" w:fill="auto"/>
            <w:noWrap/>
            <w:vAlign w:val="center"/>
            <w:hideMark/>
          </w:tcPr>
          <w:p w14:paraId="5705E775"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290</w:t>
            </w:r>
          </w:p>
        </w:tc>
        <w:tc>
          <w:tcPr>
            <w:tcW w:w="994" w:type="dxa"/>
            <w:tcBorders>
              <w:top w:val="nil"/>
              <w:left w:val="nil"/>
              <w:bottom w:val="single" w:sz="4" w:space="0" w:color="auto"/>
              <w:right w:val="single" w:sz="4" w:space="0" w:color="auto"/>
            </w:tcBorders>
            <w:shd w:val="clear" w:color="auto" w:fill="auto"/>
            <w:noWrap/>
            <w:vAlign w:val="center"/>
            <w:hideMark/>
          </w:tcPr>
          <w:p w14:paraId="188D5BF5" w14:textId="12A8A17D"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-26 %</w:t>
            </w:r>
          </w:p>
        </w:tc>
        <w:tc>
          <w:tcPr>
            <w:tcW w:w="1197" w:type="dxa"/>
            <w:tcBorders>
              <w:top w:val="nil"/>
              <w:left w:val="nil"/>
              <w:bottom w:val="single" w:sz="4" w:space="0" w:color="auto"/>
              <w:right w:val="nil"/>
            </w:tcBorders>
            <w:shd w:val="clear" w:color="auto" w:fill="auto"/>
            <w:noWrap/>
            <w:vAlign w:val="center"/>
            <w:hideMark/>
          </w:tcPr>
          <w:p w14:paraId="020D816D" w14:textId="3AC8EA45"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125,51</w:t>
            </w:r>
          </w:p>
        </w:tc>
      </w:tr>
      <w:tr w:rsidR="00F15667" w:rsidRPr="00F15667" w14:paraId="5231F0B3" w14:textId="77777777" w:rsidTr="00115F4F">
        <w:trPr>
          <w:trHeight w:val="315"/>
        </w:trPr>
        <w:tc>
          <w:tcPr>
            <w:tcW w:w="1980" w:type="dxa"/>
            <w:tcBorders>
              <w:top w:val="nil"/>
              <w:left w:val="nil"/>
              <w:bottom w:val="single" w:sz="4" w:space="0" w:color="auto"/>
              <w:right w:val="nil"/>
            </w:tcBorders>
            <w:shd w:val="clear" w:color="auto" w:fill="auto"/>
            <w:noWrap/>
            <w:vAlign w:val="center"/>
            <w:hideMark/>
          </w:tcPr>
          <w:p w14:paraId="180595DD" w14:textId="77777777" w:rsidR="00DC0662" w:rsidRPr="00F15667" w:rsidRDefault="00DC0662" w:rsidP="00115F4F">
            <w:pPr>
              <w:spacing w:line="240" w:lineRule="auto"/>
              <w:jc w:val="left"/>
              <w:rPr>
                <w:rFonts w:eastAsia="Times New Roman"/>
                <w:szCs w:val="24"/>
                <w:lang w:eastAsia="cs-CZ"/>
              </w:rPr>
            </w:pPr>
            <w:r w:rsidRPr="00F15667">
              <w:rPr>
                <w:rFonts w:eastAsia="Times New Roman"/>
                <w:szCs w:val="24"/>
                <w:lang w:eastAsia="cs-CZ"/>
              </w:rPr>
              <w:t>KS Č. Budějovice</w:t>
            </w:r>
          </w:p>
        </w:tc>
        <w:tc>
          <w:tcPr>
            <w:tcW w:w="1139" w:type="dxa"/>
            <w:tcBorders>
              <w:top w:val="nil"/>
              <w:left w:val="nil"/>
              <w:bottom w:val="single" w:sz="4" w:space="0" w:color="auto"/>
              <w:right w:val="nil"/>
            </w:tcBorders>
            <w:shd w:val="clear" w:color="auto" w:fill="auto"/>
            <w:noWrap/>
            <w:vAlign w:val="center"/>
            <w:hideMark/>
          </w:tcPr>
          <w:p w14:paraId="2952FF80"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156</w:t>
            </w:r>
          </w:p>
        </w:tc>
        <w:tc>
          <w:tcPr>
            <w:tcW w:w="997" w:type="dxa"/>
            <w:tcBorders>
              <w:top w:val="nil"/>
              <w:left w:val="nil"/>
              <w:bottom w:val="single" w:sz="4" w:space="0" w:color="auto"/>
              <w:right w:val="nil"/>
            </w:tcBorders>
            <w:shd w:val="clear" w:color="auto" w:fill="auto"/>
            <w:noWrap/>
            <w:vAlign w:val="center"/>
            <w:hideMark/>
          </w:tcPr>
          <w:p w14:paraId="70209E86" w14:textId="6A47E571"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948" w:type="dxa"/>
            <w:tcBorders>
              <w:top w:val="nil"/>
              <w:left w:val="single" w:sz="4" w:space="0" w:color="auto"/>
              <w:bottom w:val="single" w:sz="4" w:space="0" w:color="auto"/>
              <w:right w:val="nil"/>
            </w:tcBorders>
            <w:shd w:val="clear" w:color="auto" w:fill="auto"/>
            <w:noWrap/>
            <w:vAlign w:val="center"/>
            <w:hideMark/>
          </w:tcPr>
          <w:p w14:paraId="2E6E7065"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167</w:t>
            </w:r>
          </w:p>
        </w:tc>
        <w:tc>
          <w:tcPr>
            <w:tcW w:w="869" w:type="dxa"/>
            <w:tcBorders>
              <w:top w:val="nil"/>
              <w:left w:val="nil"/>
              <w:bottom w:val="single" w:sz="4" w:space="0" w:color="auto"/>
              <w:right w:val="single" w:sz="4" w:space="0" w:color="auto"/>
            </w:tcBorders>
            <w:shd w:val="clear" w:color="auto" w:fill="auto"/>
            <w:noWrap/>
            <w:vAlign w:val="center"/>
            <w:hideMark/>
          </w:tcPr>
          <w:p w14:paraId="5DDA93F4" w14:textId="633A0042"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-28 %</w:t>
            </w:r>
          </w:p>
        </w:tc>
        <w:tc>
          <w:tcPr>
            <w:tcW w:w="948" w:type="dxa"/>
            <w:tcBorders>
              <w:top w:val="nil"/>
              <w:left w:val="nil"/>
              <w:bottom w:val="single" w:sz="4" w:space="0" w:color="auto"/>
              <w:right w:val="nil"/>
            </w:tcBorders>
            <w:shd w:val="clear" w:color="auto" w:fill="auto"/>
            <w:noWrap/>
            <w:vAlign w:val="center"/>
            <w:hideMark/>
          </w:tcPr>
          <w:p w14:paraId="256AD980"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80</w:t>
            </w:r>
          </w:p>
        </w:tc>
        <w:tc>
          <w:tcPr>
            <w:tcW w:w="994" w:type="dxa"/>
            <w:tcBorders>
              <w:top w:val="nil"/>
              <w:left w:val="nil"/>
              <w:bottom w:val="single" w:sz="4" w:space="0" w:color="auto"/>
              <w:right w:val="single" w:sz="4" w:space="0" w:color="auto"/>
            </w:tcBorders>
            <w:shd w:val="clear" w:color="auto" w:fill="auto"/>
            <w:noWrap/>
            <w:vAlign w:val="center"/>
            <w:hideMark/>
          </w:tcPr>
          <w:p w14:paraId="0F26BF85" w14:textId="4328C682"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-12 %</w:t>
            </w:r>
          </w:p>
        </w:tc>
        <w:tc>
          <w:tcPr>
            <w:tcW w:w="1197" w:type="dxa"/>
            <w:tcBorders>
              <w:top w:val="nil"/>
              <w:left w:val="nil"/>
              <w:bottom w:val="single" w:sz="4" w:space="0" w:color="auto"/>
              <w:right w:val="nil"/>
            </w:tcBorders>
            <w:shd w:val="clear" w:color="auto" w:fill="auto"/>
            <w:noWrap/>
            <w:vAlign w:val="center"/>
            <w:hideMark/>
          </w:tcPr>
          <w:p w14:paraId="5C8E17BF" w14:textId="74665529"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107,05</w:t>
            </w:r>
          </w:p>
        </w:tc>
      </w:tr>
      <w:tr w:rsidR="00F15667" w:rsidRPr="00F15667" w14:paraId="42FD538B" w14:textId="77777777" w:rsidTr="00115F4F">
        <w:trPr>
          <w:trHeight w:val="315"/>
        </w:trPr>
        <w:tc>
          <w:tcPr>
            <w:tcW w:w="1980" w:type="dxa"/>
            <w:tcBorders>
              <w:top w:val="nil"/>
              <w:left w:val="nil"/>
              <w:bottom w:val="single" w:sz="4" w:space="0" w:color="auto"/>
              <w:right w:val="nil"/>
            </w:tcBorders>
            <w:shd w:val="clear" w:color="auto" w:fill="auto"/>
            <w:noWrap/>
            <w:vAlign w:val="center"/>
            <w:hideMark/>
          </w:tcPr>
          <w:p w14:paraId="60EBD599" w14:textId="77777777" w:rsidR="00DC0662" w:rsidRPr="00F15667" w:rsidRDefault="00DC0662" w:rsidP="00115F4F">
            <w:pPr>
              <w:spacing w:line="240" w:lineRule="auto"/>
              <w:jc w:val="left"/>
              <w:rPr>
                <w:rFonts w:eastAsia="Times New Roman"/>
                <w:szCs w:val="24"/>
                <w:lang w:eastAsia="cs-CZ"/>
              </w:rPr>
            </w:pPr>
            <w:r w:rsidRPr="00F15667">
              <w:rPr>
                <w:rFonts w:eastAsia="Times New Roman"/>
                <w:szCs w:val="24"/>
                <w:lang w:eastAsia="cs-CZ"/>
              </w:rPr>
              <w:t>KS Plzeň</w:t>
            </w:r>
          </w:p>
        </w:tc>
        <w:tc>
          <w:tcPr>
            <w:tcW w:w="1139" w:type="dxa"/>
            <w:tcBorders>
              <w:top w:val="nil"/>
              <w:left w:val="nil"/>
              <w:bottom w:val="single" w:sz="4" w:space="0" w:color="auto"/>
              <w:right w:val="nil"/>
            </w:tcBorders>
            <w:shd w:val="clear" w:color="auto" w:fill="auto"/>
            <w:noWrap/>
            <w:vAlign w:val="center"/>
            <w:hideMark/>
          </w:tcPr>
          <w:p w14:paraId="526E2EDD"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191</w:t>
            </w:r>
          </w:p>
        </w:tc>
        <w:tc>
          <w:tcPr>
            <w:tcW w:w="997" w:type="dxa"/>
            <w:tcBorders>
              <w:top w:val="nil"/>
              <w:left w:val="nil"/>
              <w:bottom w:val="single" w:sz="4" w:space="0" w:color="auto"/>
              <w:right w:val="nil"/>
            </w:tcBorders>
            <w:shd w:val="clear" w:color="auto" w:fill="auto"/>
            <w:noWrap/>
            <w:vAlign w:val="center"/>
            <w:hideMark/>
          </w:tcPr>
          <w:p w14:paraId="6808BDC8" w14:textId="0E543D99"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-34 %</w:t>
            </w:r>
          </w:p>
        </w:tc>
        <w:tc>
          <w:tcPr>
            <w:tcW w:w="948" w:type="dxa"/>
            <w:tcBorders>
              <w:top w:val="nil"/>
              <w:left w:val="single" w:sz="4" w:space="0" w:color="auto"/>
              <w:bottom w:val="single" w:sz="4" w:space="0" w:color="auto"/>
              <w:right w:val="nil"/>
            </w:tcBorders>
            <w:shd w:val="clear" w:color="auto" w:fill="auto"/>
            <w:noWrap/>
            <w:vAlign w:val="center"/>
            <w:hideMark/>
          </w:tcPr>
          <w:p w14:paraId="32659845"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248</w:t>
            </w:r>
          </w:p>
        </w:tc>
        <w:tc>
          <w:tcPr>
            <w:tcW w:w="869" w:type="dxa"/>
            <w:tcBorders>
              <w:top w:val="nil"/>
              <w:left w:val="nil"/>
              <w:bottom w:val="single" w:sz="4" w:space="0" w:color="auto"/>
              <w:right w:val="single" w:sz="4" w:space="0" w:color="auto"/>
            </w:tcBorders>
            <w:shd w:val="clear" w:color="auto" w:fill="auto"/>
            <w:noWrap/>
            <w:vAlign w:val="center"/>
            <w:hideMark/>
          </w:tcPr>
          <w:p w14:paraId="7E8F5725" w14:textId="50CBDE4A"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-28 %</w:t>
            </w:r>
          </w:p>
        </w:tc>
        <w:tc>
          <w:tcPr>
            <w:tcW w:w="948" w:type="dxa"/>
            <w:tcBorders>
              <w:top w:val="nil"/>
              <w:left w:val="nil"/>
              <w:bottom w:val="single" w:sz="4" w:space="0" w:color="auto"/>
              <w:right w:val="nil"/>
            </w:tcBorders>
            <w:shd w:val="clear" w:color="auto" w:fill="auto"/>
            <w:noWrap/>
            <w:vAlign w:val="center"/>
            <w:hideMark/>
          </w:tcPr>
          <w:p w14:paraId="5C0F1C9A"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166</w:t>
            </w:r>
          </w:p>
        </w:tc>
        <w:tc>
          <w:tcPr>
            <w:tcW w:w="994" w:type="dxa"/>
            <w:tcBorders>
              <w:top w:val="nil"/>
              <w:left w:val="nil"/>
              <w:bottom w:val="single" w:sz="4" w:space="0" w:color="auto"/>
              <w:right w:val="single" w:sz="4" w:space="0" w:color="auto"/>
            </w:tcBorders>
            <w:shd w:val="clear" w:color="auto" w:fill="auto"/>
            <w:noWrap/>
            <w:vAlign w:val="center"/>
            <w:hideMark/>
          </w:tcPr>
          <w:p w14:paraId="4AC92B04" w14:textId="381B9034"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-26 %</w:t>
            </w:r>
          </w:p>
        </w:tc>
        <w:tc>
          <w:tcPr>
            <w:tcW w:w="1197" w:type="dxa"/>
            <w:tcBorders>
              <w:top w:val="nil"/>
              <w:left w:val="nil"/>
              <w:bottom w:val="single" w:sz="4" w:space="0" w:color="auto"/>
              <w:right w:val="nil"/>
            </w:tcBorders>
            <w:shd w:val="clear" w:color="auto" w:fill="auto"/>
            <w:noWrap/>
            <w:vAlign w:val="center"/>
            <w:hideMark/>
          </w:tcPr>
          <w:p w14:paraId="228427F3" w14:textId="225818F4"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129,84</w:t>
            </w:r>
          </w:p>
        </w:tc>
      </w:tr>
      <w:tr w:rsidR="00F15667" w:rsidRPr="00F15667" w14:paraId="0F8DBDA8" w14:textId="77777777" w:rsidTr="00115F4F">
        <w:trPr>
          <w:trHeight w:val="315"/>
        </w:trPr>
        <w:tc>
          <w:tcPr>
            <w:tcW w:w="1980" w:type="dxa"/>
            <w:tcBorders>
              <w:top w:val="nil"/>
              <w:left w:val="nil"/>
              <w:bottom w:val="single" w:sz="4" w:space="0" w:color="auto"/>
              <w:right w:val="nil"/>
            </w:tcBorders>
            <w:shd w:val="clear" w:color="auto" w:fill="auto"/>
            <w:noWrap/>
            <w:vAlign w:val="center"/>
            <w:hideMark/>
          </w:tcPr>
          <w:p w14:paraId="0B7AD32A" w14:textId="77777777" w:rsidR="00DC0662" w:rsidRPr="00F15667" w:rsidRDefault="00DC0662" w:rsidP="00115F4F">
            <w:pPr>
              <w:spacing w:line="240" w:lineRule="auto"/>
              <w:jc w:val="left"/>
              <w:rPr>
                <w:rFonts w:eastAsia="Times New Roman"/>
                <w:szCs w:val="24"/>
                <w:lang w:eastAsia="cs-CZ"/>
              </w:rPr>
            </w:pPr>
            <w:r w:rsidRPr="00F15667">
              <w:rPr>
                <w:rFonts w:eastAsia="Times New Roman"/>
                <w:szCs w:val="24"/>
                <w:lang w:eastAsia="cs-CZ"/>
              </w:rPr>
              <w:t>KS Ústí n. Labem</w:t>
            </w:r>
          </w:p>
        </w:tc>
        <w:tc>
          <w:tcPr>
            <w:tcW w:w="1139" w:type="dxa"/>
            <w:tcBorders>
              <w:top w:val="nil"/>
              <w:left w:val="nil"/>
              <w:bottom w:val="single" w:sz="4" w:space="0" w:color="auto"/>
              <w:right w:val="nil"/>
            </w:tcBorders>
            <w:shd w:val="clear" w:color="auto" w:fill="auto"/>
            <w:noWrap/>
            <w:vAlign w:val="center"/>
            <w:hideMark/>
          </w:tcPr>
          <w:p w14:paraId="0203B9AB"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333</w:t>
            </w:r>
          </w:p>
        </w:tc>
        <w:tc>
          <w:tcPr>
            <w:tcW w:w="997" w:type="dxa"/>
            <w:tcBorders>
              <w:top w:val="nil"/>
              <w:left w:val="nil"/>
              <w:bottom w:val="single" w:sz="4" w:space="0" w:color="auto"/>
              <w:right w:val="nil"/>
            </w:tcBorders>
            <w:shd w:val="clear" w:color="auto" w:fill="auto"/>
            <w:noWrap/>
            <w:vAlign w:val="center"/>
            <w:hideMark/>
          </w:tcPr>
          <w:p w14:paraId="63F68C91" w14:textId="1477F422"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948" w:type="dxa"/>
            <w:tcBorders>
              <w:top w:val="nil"/>
              <w:left w:val="single" w:sz="4" w:space="0" w:color="auto"/>
              <w:bottom w:val="single" w:sz="4" w:space="0" w:color="auto"/>
              <w:right w:val="nil"/>
            </w:tcBorders>
            <w:shd w:val="clear" w:color="auto" w:fill="auto"/>
            <w:noWrap/>
            <w:vAlign w:val="center"/>
            <w:hideMark/>
          </w:tcPr>
          <w:p w14:paraId="047B8068"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366</w:t>
            </w:r>
          </w:p>
        </w:tc>
        <w:tc>
          <w:tcPr>
            <w:tcW w:w="869" w:type="dxa"/>
            <w:tcBorders>
              <w:top w:val="nil"/>
              <w:left w:val="nil"/>
              <w:bottom w:val="single" w:sz="4" w:space="0" w:color="auto"/>
              <w:right w:val="single" w:sz="4" w:space="0" w:color="auto"/>
            </w:tcBorders>
            <w:shd w:val="clear" w:color="auto" w:fill="auto"/>
            <w:noWrap/>
            <w:vAlign w:val="center"/>
            <w:hideMark/>
          </w:tcPr>
          <w:p w14:paraId="10F9C537" w14:textId="58DD7CA4"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-25 %</w:t>
            </w:r>
          </w:p>
        </w:tc>
        <w:tc>
          <w:tcPr>
            <w:tcW w:w="948" w:type="dxa"/>
            <w:tcBorders>
              <w:top w:val="nil"/>
              <w:left w:val="nil"/>
              <w:bottom w:val="single" w:sz="4" w:space="0" w:color="auto"/>
              <w:right w:val="nil"/>
            </w:tcBorders>
            <w:shd w:val="clear" w:color="auto" w:fill="auto"/>
            <w:noWrap/>
            <w:vAlign w:val="center"/>
            <w:hideMark/>
          </w:tcPr>
          <w:p w14:paraId="590F81A1"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364</w:t>
            </w:r>
          </w:p>
        </w:tc>
        <w:tc>
          <w:tcPr>
            <w:tcW w:w="994" w:type="dxa"/>
            <w:tcBorders>
              <w:top w:val="nil"/>
              <w:left w:val="nil"/>
              <w:bottom w:val="single" w:sz="4" w:space="0" w:color="auto"/>
              <w:right w:val="single" w:sz="4" w:space="0" w:color="auto"/>
            </w:tcBorders>
            <w:shd w:val="clear" w:color="auto" w:fill="auto"/>
            <w:noWrap/>
            <w:vAlign w:val="center"/>
            <w:hideMark/>
          </w:tcPr>
          <w:p w14:paraId="42ECF599" w14:textId="44037393"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1197" w:type="dxa"/>
            <w:tcBorders>
              <w:top w:val="nil"/>
              <w:left w:val="nil"/>
              <w:bottom w:val="single" w:sz="4" w:space="0" w:color="auto"/>
              <w:right w:val="nil"/>
            </w:tcBorders>
            <w:shd w:val="clear" w:color="auto" w:fill="auto"/>
            <w:noWrap/>
            <w:vAlign w:val="center"/>
            <w:hideMark/>
          </w:tcPr>
          <w:p w14:paraId="1796CEF1" w14:textId="39F10305"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109,91</w:t>
            </w:r>
          </w:p>
        </w:tc>
      </w:tr>
      <w:tr w:rsidR="00F15667" w:rsidRPr="00F15667" w14:paraId="42D304A1" w14:textId="77777777" w:rsidTr="00115F4F">
        <w:trPr>
          <w:trHeight w:val="315"/>
        </w:trPr>
        <w:tc>
          <w:tcPr>
            <w:tcW w:w="1980" w:type="dxa"/>
            <w:tcBorders>
              <w:top w:val="nil"/>
              <w:left w:val="nil"/>
              <w:bottom w:val="single" w:sz="4" w:space="0" w:color="auto"/>
              <w:right w:val="nil"/>
            </w:tcBorders>
            <w:shd w:val="clear" w:color="auto" w:fill="auto"/>
            <w:noWrap/>
            <w:vAlign w:val="center"/>
            <w:hideMark/>
          </w:tcPr>
          <w:p w14:paraId="4BB1A228" w14:textId="77777777" w:rsidR="00DC0662" w:rsidRPr="00F15667" w:rsidRDefault="00DC0662" w:rsidP="00115F4F">
            <w:pPr>
              <w:spacing w:line="240" w:lineRule="auto"/>
              <w:jc w:val="left"/>
              <w:rPr>
                <w:rFonts w:eastAsia="Times New Roman"/>
                <w:szCs w:val="24"/>
                <w:lang w:eastAsia="cs-CZ"/>
              </w:rPr>
            </w:pPr>
            <w:r w:rsidRPr="00F15667">
              <w:rPr>
                <w:rFonts w:eastAsia="Times New Roman"/>
                <w:szCs w:val="24"/>
                <w:lang w:eastAsia="cs-CZ"/>
              </w:rPr>
              <w:t>KS Hr. Králové</w:t>
            </w:r>
          </w:p>
        </w:tc>
        <w:tc>
          <w:tcPr>
            <w:tcW w:w="1139" w:type="dxa"/>
            <w:tcBorders>
              <w:top w:val="nil"/>
              <w:left w:val="nil"/>
              <w:bottom w:val="single" w:sz="4" w:space="0" w:color="auto"/>
              <w:right w:val="nil"/>
            </w:tcBorders>
            <w:shd w:val="clear" w:color="auto" w:fill="auto"/>
            <w:noWrap/>
            <w:vAlign w:val="center"/>
            <w:hideMark/>
          </w:tcPr>
          <w:p w14:paraId="78A6C759"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255</w:t>
            </w:r>
          </w:p>
        </w:tc>
        <w:tc>
          <w:tcPr>
            <w:tcW w:w="997" w:type="dxa"/>
            <w:tcBorders>
              <w:top w:val="nil"/>
              <w:left w:val="nil"/>
              <w:bottom w:val="single" w:sz="4" w:space="0" w:color="auto"/>
              <w:right w:val="nil"/>
            </w:tcBorders>
            <w:shd w:val="clear" w:color="auto" w:fill="auto"/>
            <w:noWrap/>
            <w:vAlign w:val="center"/>
            <w:hideMark/>
          </w:tcPr>
          <w:p w14:paraId="313A93F9" w14:textId="537599A1"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-27 %</w:t>
            </w:r>
          </w:p>
        </w:tc>
        <w:tc>
          <w:tcPr>
            <w:tcW w:w="948" w:type="dxa"/>
            <w:tcBorders>
              <w:top w:val="nil"/>
              <w:left w:val="single" w:sz="4" w:space="0" w:color="auto"/>
              <w:bottom w:val="single" w:sz="4" w:space="0" w:color="auto"/>
              <w:right w:val="nil"/>
            </w:tcBorders>
            <w:shd w:val="clear" w:color="auto" w:fill="auto"/>
            <w:noWrap/>
            <w:vAlign w:val="center"/>
            <w:hideMark/>
          </w:tcPr>
          <w:p w14:paraId="2F4B8E00"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336</w:t>
            </w:r>
          </w:p>
        </w:tc>
        <w:tc>
          <w:tcPr>
            <w:tcW w:w="869" w:type="dxa"/>
            <w:tcBorders>
              <w:top w:val="nil"/>
              <w:left w:val="nil"/>
              <w:bottom w:val="single" w:sz="4" w:space="0" w:color="auto"/>
              <w:right w:val="single" w:sz="4" w:space="0" w:color="auto"/>
            </w:tcBorders>
            <w:shd w:val="clear" w:color="auto" w:fill="auto"/>
            <w:noWrap/>
            <w:vAlign w:val="center"/>
            <w:hideMark/>
          </w:tcPr>
          <w:p w14:paraId="009367FA" w14:textId="61939D69"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-5 %</w:t>
            </w:r>
          </w:p>
        </w:tc>
        <w:tc>
          <w:tcPr>
            <w:tcW w:w="948" w:type="dxa"/>
            <w:tcBorders>
              <w:top w:val="nil"/>
              <w:left w:val="nil"/>
              <w:bottom w:val="single" w:sz="4" w:space="0" w:color="auto"/>
              <w:right w:val="nil"/>
            </w:tcBorders>
            <w:shd w:val="clear" w:color="auto" w:fill="auto"/>
            <w:noWrap/>
            <w:vAlign w:val="center"/>
            <w:hideMark/>
          </w:tcPr>
          <w:p w14:paraId="32088A5C"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234</w:t>
            </w:r>
          </w:p>
        </w:tc>
        <w:tc>
          <w:tcPr>
            <w:tcW w:w="994" w:type="dxa"/>
            <w:tcBorders>
              <w:top w:val="nil"/>
              <w:left w:val="nil"/>
              <w:bottom w:val="single" w:sz="4" w:space="0" w:color="auto"/>
              <w:right w:val="single" w:sz="4" w:space="0" w:color="auto"/>
            </w:tcBorders>
            <w:shd w:val="clear" w:color="auto" w:fill="auto"/>
            <w:noWrap/>
            <w:vAlign w:val="center"/>
            <w:hideMark/>
          </w:tcPr>
          <w:p w14:paraId="0CB0A92B" w14:textId="770AC2DF"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-26 %</w:t>
            </w:r>
          </w:p>
        </w:tc>
        <w:tc>
          <w:tcPr>
            <w:tcW w:w="1197" w:type="dxa"/>
            <w:tcBorders>
              <w:top w:val="nil"/>
              <w:left w:val="nil"/>
              <w:bottom w:val="single" w:sz="4" w:space="0" w:color="auto"/>
              <w:right w:val="nil"/>
            </w:tcBorders>
            <w:shd w:val="clear" w:color="auto" w:fill="auto"/>
            <w:noWrap/>
            <w:vAlign w:val="center"/>
            <w:hideMark/>
          </w:tcPr>
          <w:p w14:paraId="70568902" w14:textId="1F50026B"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131,76</w:t>
            </w:r>
          </w:p>
        </w:tc>
      </w:tr>
      <w:tr w:rsidR="00F15667" w:rsidRPr="00F15667" w14:paraId="46D87259" w14:textId="77777777" w:rsidTr="00115F4F">
        <w:trPr>
          <w:trHeight w:val="315"/>
        </w:trPr>
        <w:tc>
          <w:tcPr>
            <w:tcW w:w="1980" w:type="dxa"/>
            <w:tcBorders>
              <w:top w:val="nil"/>
              <w:left w:val="nil"/>
              <w:bottom w:val="single" w:sz="4" w:space="0" w:color="auto"/>
              <w:right w:val="nil"/>
            </w:tcBorders>
            <w:shd w:val="clear" w:color="auto" w:fill="auto"/>
            <w:noWrap/>
            <w:vAlign w:val="center"/>
            <w:hideMark/>
          </w:tcPr>
          <w:p w14:paraId="34657020" w14:textId="77777777" w:rsidR="00DC0662" w:rsidRPr="00F15667" w:rsidRDefault="00DC0662" w:rsidP="00115F4F">
            <w:pPr>
              <w:spacing w:line="240" w:lineRule="auto"/>
              <w:jc w:val="left"/>
              <w:rPr>
                <w:rFonts w:eastAsia="Times New Roman"/>
                <w:szCs w:val="24"/>
                <w:lang w:eastAsia="cs-CZ"/>
              </w:rPr>
            </w:pPr>
            <w:r w:rsidRPr="00F15667">
              <w:rPr>
                <w:rFonts w:eastAsia="Times New Roman"/>
                <w:szCs w:val="24"/>
                <w:lang w:eastAsia="cs-CZ"/>
              </w:rPr>
              <w:t>KS Brno</w:t>
            </w:r>
          </w:p>
        </w:tc>
        <w:tc>
          <w:tcPr>
            <w:tcW w:w="1139" w:type="dxa"/>
            <w:tcBorders>
              <w:top w:val="nil"/>
              <w:left w:val="nil"/>
              <w:bottom w:val="single" w:sz="4" w:space="0" w:color="auto"/>
              <w:right w:val="nil"/>
            </w:tcBorders>
            <w:shd w:val="clear" w:color="auto" w:fill="auto"/>
            <w:noWrap/>
            <w:vAlign w:val="center"/>
            <w:hideMark/>
          </w:tcPr>
          <w:p w14:paraId="328B5B16"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621</w:t>
            </w:r>
          </w:p>
        </w:tc>
        <w:tc>
          <w:tcPr>
            <w:tcW w:w="997" w:type="dxa"/>
            <w:tcBorders>
              <w:top w:val="nil"/>
              <w:left w:val="nil"/>
              <w:bottom w:val="single" w:sz="4" w:space="0" w:color="auto"/>
              <w:right w:val="nil"/>
            </w:tcBorders>
            <w:shd w:val="clear" w:color="auto" w:fill="auto"/>
            <w:noWrap/>
            <w:vAlign w:val="center"/>
            <w:hideMark/>
          </w:tcPr>
          <w:p w14:paraId="27321E34" w14:textId="72E2DD45"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948" w:type="dxa"/>
            <w:tcBorders>
              <w:top w:val="nil"/>
              <w:left w:val="single" w:sz="4" w:space="0" w:color="auto"/>
              <w:bottom w:val="single" w:sz="4" w:space="0" w:color="auto"/>
              <w:right w:val="nil"/>
            </w:tcBorders>
            <w:shd w:val="clear" w:color="auto" w:fill="auto"/>
            <w:noWrap/>
            <w:vAlign w:val="center"/>
            <w:hideMark/>
          </w:tcPr>
          <w:p w14:paraId="48BD881B"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755</w:t>
            </w:r>
          </w:p>
        </w:tc>
        <w:tc>
          <w:tcPr>
            <w:tcW w:w="869" w:type="dxa"/>
            <w:tcBorders>
              <w:top w:val="nil"/>
              <w:left w:val="nil"/>
              <w:bottom w:val="single" w:sz="4" w:space="0" w:color="auto"/>
              <w:right w:val="single" w:sz="4" w:space="0" w:color="auto"/>
            </w:tcBorders>
            <w:shd w:val="clear" w:color="auto" w:fill="auto"/>
            <w:noWrap/>
            <w:vAlign w:val="center"/>
            <w:hideMark/>
          </w:tcPr>
          <w:p w14:paraId="2A1B5E22" w14:textId="044F8E71"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948" w:type="dxa"/>
            <w:tcBorders>
              <w:top w:val="nil"/>
              <w:left w:val="nil"/>
              <w:bottom w:val="single" w:sz="4" w:space="0" w:color="auto"/>
              <w:right w:val="nil"/>
            </w:tcBorders>
            <w:shd w:val="clear" w:color="auto" w:fill="auto"/>
            <w:noWrap/>
            <w:vAlign w:val="center"/>
            <w:hideMark/>
          </w:tcPr>
          <w:p w14:paraId="76F70E86"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828</w:t>
            </w:r>
          </w:p>
        </w:tc>
        <w:tc>
          <w:tcPr>
            <w:tcW w:w="994" w:type="dxa"/>
            <w:tcBorders>
              <w:top w:val="nil"/>
              <w:left w:val="nil"/>
              <w:bottom w:val="single" w:sz="4" w:space="0" w:color="auto"/>
              <w:right w:val="single" w:sz="4" w:space="0" w:color="auto"/>
            </w:tcBorders>
            <w:shd w:val="clear" w:color="auto" w:fill="auto"/>
            <w:noWrap/>
            <w:vAlign w:val="center"/>
            <w:hideMark/>
          </w:tcPr>
          <w:p w14:paraId="7EF51227" w14:textId="7B182797"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-14 %</w:t>
            </w:r>
          </w:p>
        </w:tc>
        <w:tc>
          <w:tcPr>
            <w:tcW w:w="1197" w:type="dxa"/>
            <w:tcBorders>
              <w:top w:val="nil"/>
              <w:left w:val="nil"/>
              <w:bottom w:val="single" w:sz="4" w:space="0" w:color="auto"/>
              <w:right w:val="nil"/>
            </w:tcBorders>
            <w:shd w:val="clear" w:color="auto" w:fill="auto"/>
            <w:noWrap/>
            <w:vAlign w:val="center"/>
            <w:hideMark/>
          </w:tcPr>
          <w:p w14:paraId="1AC65C87" w14:textId="62419203"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121,58</w:t>
            </w:r>
          </w:p>
        </w:tc>
      </w:tr>
      <w:tr w:rsidR="00F15667" w:rsidRPr="00F15667" w14:paraId="26153EF4" w14:textId="77777777" w:rsidTr="00115F4F">
        <w:trPr>
          <w:trHeight w:val="330"/>
        </w:trPr>
        <w:tc>
          <w:tcPr>
            <w:tcW w:w="1980" w:type="dxa"/>
            <w:tcBorders>
              <w:top w:val="nil"/>
              <w:left w:val="nil"/>
              <w:bottom w:val="double" w:sz="6" w:space="0" w:color="auto"/>
              <w:right w:val="nil"/>
            </w:tcBorders>
            <w:shd w:val="clear" w:color="auto" w:fill="auto"/>
            <w:noWrap/>
            <w:vAlign w:val="center"/>
            <w:hideMark/>
          </w:tcPr>
          <w:p w14:paraId="78A788DC" w14:textId="77777777" w:rsidR="00DC0662" w:rsidRPr="00F15667" w:rsidRDefault="00DC0662" w:rsidP="00115F4F">
            <w:pPr>
              <w:spacing w:line="240" w:lineRule="auto"/>
              <w:jc w:val="left"/>
              <w:rPr>
                <w:rFonts w:eastAsia="Times New Roman"/>
                <w:szCs w:val="24"/>
                <w:lang w:eastAsia="cs-CZ"/>
              </w:rPr>
            </w:pPr>
            <w:r w:rsidRPr="00F15667">
              <w:rPr>
                <w:rFonts w:eastAsia="Times New Roman"/>
                <w:szCs w:val="24"/>
                <w:lang w:eastAsia="cs-CZ"/>
              </w:rPr>
              <w:t>KS Ostrava</w:t>
            </w:r>
          </w:p>
        </w:tc>
        <w:tc>
          <w:tcPr>
            <w:tcW w:w="1139" w:type="dxa"/>
            <w:tcBorders>
              <w:top w:val="nil"/>
              <w:left w:val="nil"/>
              <w:bottom w:val="double" w:sz="6" w:space="0" w:color="auto"/>
              <w:right w:val="nil"/>
            </w:tcBorders>
            <w:shd w:val="clear" w:color="auto" w:fill="auto"/>
            <w:noWrap/>
            <w:vAlign w:val="center"/>
            <w:hideMark/>
          </w:tcPr>
          <w:p w14:paraId="4E3A5988"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561</w:t>
            </w:r>
          </w:p>
        </w:tc>
        <w:tc>
          <w:tcPr>
            <w:tcW w:w="997" w:type="dxa"/>
            <w:tcBorders>
              <w:top w:val="nil"/>
              <w:left w:val="nil"/>
              <w:bottom w:val="double" w:sz="6" w:space="0" w:color="auto"/>
              <w:right w:val="nil"/>
            </w:tcBorders>
            <w:shd w:val="clear" w:color="auto" w:fill="auto"/>
            <w:noWrap/>
            <w:vAlign w:val="center"/>
            <w:hideMark/>
          </w:tcPr>
          <w:p w14:paraId="2F8988C1" w14:textId="68B3C1F1"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948" w:type="dxa"/>
            <w:tcBorders>
              <w:top w:val="nil"/>
              <w:left w:val="single" w:sz="4" w:space="0" w:color="auto"/>
              <w:bottom w:val="double" w:sz="6" w:space="0" w:color="auto"/>
              <w:right w:val="nil"/>
            </w:tcBorders>
            <w:shd w:val="clear" w:color="auto" w:fill="auto"/>
            <w:noWrap/>
            <w:vAlign w:val="center"/>
            <w:hideMark/>
          </w:tcPr>
          <w:p w14:paraId="4A501F7E"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705</w:t>
            </w:r>
          </w:p>
        </w:tc>
        <w:tc>
          <w:tcPr>
            <w:tcW w:w="869" w:type="dxa"/>
            <w:tcBorders>
              <w:top w:val="nil"/>
              <w:left w:val="nil"/>
              <w:bottom w:val="double" w:sz="6" w:space="0" w:color="auto"/>
              <w:right w:val="single" w:sz="4" w:space="0" w:color="auto"/>
            </w:tcBorders>
            <w:shd w:val="clear" w:color="auto" w:fill="auto"/>
            <w:noWrap/>
            <w:vAlign w:val="center"/>
            <w:hideMark/>
          </w:tcPr>
          <w:p w14:paraId="7ED4F445" w14:textId="53241E94"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948" w:type="dxa"/>
            <w:tcBorders>
              <w:top w:val="nil"/>
              <w:left w:val="nil"/>
              <w:bottom w:val="double" w:sz="6" w:space="0" w:color="auto"/>
              <w:right w:val="nil"/>
            </w:tcBorders>
            <w:shd w:val="clear" w:color="auto" w:fill="auto"/>
            <w:noWrap/>
            <w:vAlign w:val="center"/>
            <w:hideMark/>
          </w:tcPr>
          <w:p w14:paraId="4AABF08E" w14:textId="77777777"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552</w:t>
            </w:r>
          </w:p>
        </w:tc>
        <w:tc>
          <w:tcPr>
            <w:tcW w:w="994" w:type="dxa"/>
            <w:tcBorders>
              <w:top w:val="nil"/>
              <w:left w:val="nil"/>
              <w:bottom w:val="double" w:sz="6" w:space="0" w:color="auto"/>
              <w:right w:val="single" w:sz="4" w:space="0" w:color="auto"/>
            </w:tcBorders>
            <w:shd w:val="clear" w:color="auto" w:fill="auto"/>
            <w:noWrap/>
            <w:vAlign w:val="center"/>
            <w:hideMark/>
          </w:tcPr>
          <w:p w14:paraId="41384A3B" w14:textId="2BB6006A" w:rsidR="00DC0662" w:rsidRPr="00F15667" w:rsidRDefault="00DC0662" w:rsidP="00115F4F">
            <w:pPr>
              <w:spacing w:line="240" w:lineRule="auto"/>
              <w:jc w:val="center"/>
              <w:rPr>
                <w:rFonts w:eastAsia="Times New Roman"/>
                <w:sz w:val="20"/>
                <w:szCs w:val="20"/>
                <w:lang w:eastAsia="cs-CZ"/>
              </w:rPr>
            </w:pPr>
            <w:r w:rsidRPr="00F15667">
              <w:rPr>
                <w:rFonts w:eastAsia="Times New Roman"/>
                <w:sz w:val="20"/>
                <w:szCs w:val="20"/>
                <w:lang w:eastAsia="cs-CZ"/>
              </w:rPr>
              <w:t>-21 %</w:t>
            </w:r>
          </w:p>
        </w:tc>
        <w:tc>
          <w:tcPr>
            <w:tcW w:w="1197" w:type="dxa"/>
            <w:tcBorders>
              <w:top w:val="nil"/>
              <w:left w:val="nil"/>
              <w:bottom w:val="double" w:sz="6" w:space="0" w:color="auto"/>
              <w:right w:val="nil"/>
            </w:tcBorders>
            <w:shd w:val="clear" w:color="auto" w:fill="auto"/>
            <w:noWrap/>
            <w:vAlign w:val="center"/>
            <w:hideMark/>
          </w:tcPr>
          <w:p w14:paraId="2784A0B0" w14:textId="693304D9" w:rsidR="00DC0662" w:rsidRPr="00F15667" w:rsidRDefault="00DC0662" w:rsidP="00115F4F">
            <w:pPr>
              <w:spacing w:line="240" w:lineRule="auto"/>
              <w:jc w:val="center"/>
              <w:rPr>
                <w:rFonts w:eastAsia="Times New Roman"/>
                <w:szCs w:val="24"/>
                <w:lang w:eastAsia="cs-CZ"/>
              </w:rPr>
            </w:pPr>
            <w:r w:rsidRPr="00F15667">
              <w:rPr>
                <w:rFonts w:eastAsia="Times New Roman"/>
                <w:szCs w:val="24"/>
                <w:lang w:eastAsia="cs-CZ"/>
              </w:rPr>
              <w:t>125,67</w:t>
            </w:r>
          </w:p>
        </w:tc>
      </w:tr>
      <w:tr w:rsidR="00F15667" w:rsidRPr="00F15667" w14:paraId="54E73804" w14:textId="77777777" w:rsidTr="00115F4F">
        <w:trPr>
          <w:trHeight w:val="345"/>
        </w:trPr>
        <w:tc>
          <w:tcPr>
            <w:tcW w:w="1980" w:type="dxa"/>
            <w:tcBorders>
              <w:top w:val="nil"/>
              <w:left w:val="nil"/>
              <w:bottom w:val="double" w:sz="6" w:space="0" w:color="auto"/>
              <w:right w:val="nil"/>
            </w:tcBorders>
            <w:shd w:val="clear" w:color="auto" w:fill="auto"/>
            <w:noWrap/>
            <w:vAlign w:val="center"/>
            <w:hideMark/>
          </w:tcPr>
          <w:p w14:paraId="181CE744" w14:textId="77777777" w:rsidR="00DC0662" w:rsidRPr="00F15667" w:rsidRDefault="00DC0662" w:rsidP="00115F4F">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139" w:type="dxa"/>
            <w:tcBorders>
              <w:top w:val="nil"/>
              <w:left w:val="nil"/>
              <w:bottom w:val="double" w:sz="6" w:space="0" w:color="auto"/>
              <w:right w:val="nil"/>
            </w:tcBorders>
            <w:shd w:val="clear" w:color="auto" w:fill="auto"/>
            <w:noWrap/>
            <w:vAlign w:val="center"/>
            <w:hideMark/>
          </w:tcPr>
          <w:p w14:paraId="27E0E044" w14:textId="4D2919F0" w:rsidR="00DC0662" w:rsidRPr="00F15667" w:rsidRDefault="00DC0662" w:rsidP="00115F4F">
            <w:pPr>
              <w:spacing w:line="240" w:lineRule="auto"/>
              <w:jc w:val="center"/>
              <w:rPr>
                <w:rFonts w:eastAsia="Times New Roman"/>
                <w:b/>
                <w:bCs/>
                <w:szCs w:val="24"/>
                <w:lang w:eastAsia="cs-CZ"/>
              </w:rPr>
            </w:pPr>
            <w:r w:rsidRPr="00F15667">
              <w:rPr>
                <w:rFonts w:eastAsia="Times New Roman"/>
                <w:b/>
                <w:bCs/>
                <w:szCs w:val="24"/>
                <w:lang w:eastAsia="cs-CZ"/>
              </w:rPr>
              <w:t>3</w:t>
            </w:r>
            <w:r w:rsidR="00340529" w:rsidRPr="00F15667">
              <w:rPr>
                <w:rFonts w:eastAsia="Times New Roman"/>
                <w:b/>
                <w:bCs/>
                <w:szCs w:val="24"/>
                <w:lang w:eastAsia="cs-CZ"/>
              </w:rPr>
              <w:t xml:space="preserve"> </w:t>
            </w:r>
            <w:r w:rsidRPr="00F15667">
              <w:rPr>
                <w:rFonts w:eastAsia="Times New Roman"/>
                <w:b/>
                <w:bCs/>
                <w:szCs w:val="24"/>
                <w:lang w:eastAsia="cs-CZ"/>
              </w:rPr>
              <w:t>694</w:t>
            </w:r>
          </w:p>
        </w:tc>
        <w:tc>
          <w:tcPr>
            <w:tcW w:w="997" w:type="dxa"/>
            <w:tcBorders>
              <w:top w:val="nil"/>
              <w:left w:val="nil"/>
              <w:bottom w:val="double" w:sz="6" w:space="0" w:color="auto"/>
              <w:right w:val="nil"/>
            </w:tcBorders>
            <w:shd w:val="clear" w:color="auto" w:fill="auto"/>
            <w:noWrap/>
            <w:vAlign w:val="center"/>
            <w:hideMark/>
          </w:tcPr>
          <w:p w14:paraId="79084BE5" w14:textId="003AA486" w:rsidR="00DC0662" w:rsidRPr="00F15667" w:rsidRDefault="00DC0662"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c>
          <w:tcPr>
            <w:tcW w:w="948" w:type="dxa"/>
            <w:tcBorders>
              <w:top w:val="nil"/>
              <w:left w:val="single" w:sz="4" w:space="0" w:color="auto"/>
              <w:bottom w:val="double" w:sz="6" w:space="0" w:color="auto"/>
              <w:right w:val="nil"/>
            </w:tcBorders>
            <w:shd w:val="clear" w:color="auto" w:fill="auto"/>
            <w:noWrap/>
            <w:vAlign w:val="center"/>
            <w:hideMark/>
          </w:tcPr>
          <w:p w14:paraId="4E547D10" w14:textId="18F0436A" w:rsidR="00DC0662" w:rsidRPr="00F15667" w:rsidRDefault="00DC0662" w:rsidP="00115F4F">
            <w:pPr>
              <w:spacing w:line="240" w:lineRule="auto"/>
              <w:jc w:val="center"/>
              <w:rPr>
                <w:rFonts w:eastAsia="Times New Roman"/>
                <w:b/>
                <w:bCs/>
                <w:szCs w:val="24"/>
                <w:lang w:eastAsia="cs-CZ"/>
              </w:rPr>
            </w:pPr>
            <w:r w:rsidRPr="00F15667">
              <w:rPr>
                <w:rFonts w:eastAsia="Times New Roman"/>
                <w:b/>
                <w:bCs/>
                <w:szCs w:val="24"/>
                <w:lang w:eastAsia="cs-CZ"/>
              </w:rPr>
              <w:t>4</w:t>
            </w:r>
            <w:r w:rsidR="00340529" w:rsidRPr="00F15667">
              <w:rPr>
                <w:rFonts w:eastAsia="Times New Roman"/>
                <w:b/>
                <w:bCs/>
                <w:szCs w:val="24"/>
                <w:lang w:eastAsia="cs-CZ"/>
              </w:rPr>
              <w:t xml:space="preserve"> </w:t>
            </w:r>
            <w:r w:rsidRPr="00F15667">
              <w:rPr>
                <w:rFonts w:eastAsia="Times New Roman"/>
                <w:b/>
                <w:bCs/>
                <w:szCs w:val="24"/>
                <w:lang w:eastAsia="cs-CZ"/>
              </w:rPr>
              <w:t>131</w:t>
            </w:r>
          </w:p>
        </w:tc>
        <w:tc>
          <w:tcPr>
            <w:tcW w:w="869" w:type="dxa"/>
            <w:tcBorders>
              <w:top w:val="nil"/>
              <w:left w:val="nil"/>
              <w:bottom w:val="double" w:sz="6" w:space="0" w:color="auto"/>
              <w:right w:val="single" w:sz="4" w:space="0" w:color="auto"/>
            </w:tcBorders>
            <w:shd w:val="clear" w:color="auto" w:fill="auto"/>
            <w:noWrap/>
            <w:vAlign w:val="center"/>
            <w:hideMark/>
          </w:tcPr>
          <w:p w14:paraId="1A4EA5CF" w14:textId="64C65D21" w:rsidR="00DC0662" w:rsidRPr="00F15667" w:rsidRDefault="00DC0662"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-7 %</w:t>
            </w:r>
          </w:p>
        </w:tc>
        <w:tc>
          <w:tcPr>
            <w:tcW w:w="948" w:type="dxa"/>
            <w:tcBorders>
              <w:top w:val="nil"/>
              <w:left w:val="nil"/>
              <w:bottom w:val="double" w:sz="6" w:space="0" w:color="auto"/>
              <w:right w:val="nil"/>
            </w:tcBorders>
            <w:shd w:val="clear" w:color="auto" w:fill="auto"/>
            <w:noWrap/>
            <w:vAlign w:val="center"/>
            <w:hideMark/>
          </w:tcPr>
          <w:p w14:paraId="563BA541" w14:textId="503194A0" w:rsidR="00DC0662" w:rsidRPr="00F15667" w:rsidRDefault="00DC0662" w:rsidP="00115F4F">
            <w:pPr>
              <w:spacing w:line="240" w:lineRule="auto"/>
              <w:jc w:val="center"/>
              <w:rPr>
                <w:rFonts w:eastAsia="Times New Roman"/>
                <w:b/>
                <w:bCs/>
                <w:szCs w:val="24"/>
                <w:lang w:eastAsia="cs-CZ"/>
              </w:rPr>
            </w:pPr>
            <w:r w:rsidRPr="00F15667">
              <w:rPr>
                <w:rFonts w:eastAsia="Times New Roman"/>
                <w:b/>
                <w:bCs/>
                <w:szCs w:val="24"/>
                <w:lang w:eastAsia="cs-CZ"/>
              </w:rPr>
              <w:t>3</w:t>
            </w:r>
            <w:r w:rsidR="00340529" w:rsidRPr="00F15667">
              <w:rPr>
                <w:rFonts w:eastAsia="Times New Roman"/>
                <w:b/>
                <w:bCs/>
                <w:szCs w:val="24"/>
                <w:lang w:eastAsia="cs-CZ"/>
              </w:rPr>
              <w:t xml:space="preserve"> </w:t>
            </w:r>
            <w:r w:rsidRPr="00F15667">
              <w:rPr>
                <w:rFonts w:eastAsia="Times New Roman"/>
                <w:b/>
                <w:bCs/>
                <w:szCs w:val="24"/>
                <w:lang w:eastAsia="cs-CZ"/>
              </w:rPr>
              <w:t>929</w:t>
            </w:r>
          </w:p>
        </w:tc>
        <w:tc>
          <w:tcPr>
            <w:tcW w:w="994" w:type="dxa"/>
            <w:tcBorders>
              <w:top w:val="nil"/>
              <w:left w:val="nil"/>
              <w:bottom w:val="double" w:sz="6" w:space="0" w:color="auto"/>
              <w:right w:val="single" w:sz="4" w:space="0" w:color="auto"/>
            </w:tcBorders>
            <w:shd w:val="clear" w:color="auto" w:fill="auto"/>
            <w:noWrap/>
            <w:vAlign w:val="center"/>
            <w:hideMark/>
          </w:tcPr>
          <w:p w14:paraId="493F8B26" w14:textId="28EF9A86" w:rsidR="00DC0662" w:rsidRPr="00F15667" w:rsidRDefault="00DC0662"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-10 %</w:t>
            </w:r>
          </w:p>
        </w:tc>
        <w:tc>
          <w:tcPr>
            <w:tcW w:w="1197" w:type="dxa"/>
            <w:tcBorders>
              <w:top w:val="nil"/>
              <w:left w:val="nil"/>
              <w:bottom w:val="double" w:sz="6" w:space="0" w:color="auto"/>
              <w:right w:val="nil"/>
            </w:tcBorders>
            <w:shd w:val="clear" w:color="auto" w:fill="auto"/>
            <w:noWrap/>
            <w:vAlign w:val="center"/>
            <w:hideMark/>
          </w:tcPr>
          <w:p w14:paraId="25CA1729" w14:textId="79CAF1C9" w:rsidR="00DC0662" w:rsidRPr="00F15667" w:rsidRDefault="00DC0662" w:rsidP="00115F4F">
            <w:pPr>
              <w:spacing w:line="240" w:lineRule="auto"/>
              <w:jc w:val="center"/>
              <w:rPr>
                <w:rFonts w:eastAsia="Times New Roman"/>
                <w:b/>
                <w:bCs/>
                <w:szCs w:val="24"/>
                <w:lang w:eastAsia="cs-CZ"/>
              </w:rPr>
            </w:pPr>
            <w:r w:rsidRPr="00F15667">
              <w:rPr>
                <w:rFonts w:eastAsia="Times New Roman"/>
                <w:b/>
                <w:bCs/>
                <w:szCs w:val="24"/>
                <w:lang w:eastAsia="cs-CZ"/>
              </w:rPr>
              <w:t>111,83</w:t>
            </w:r>
          </w:p>
        </w:tc>
      </w:tr>
      <w:tr w:rsidR="00F15667" w:rsidRPr="00F15667" w14:paraId="7C135789" w14:textId="77777777" w:rsidTr="00115F4F">
        <w:trPr>
          <w:trHeight w:val="330"/>
        </w:trPr>
        <w:tc>
          <w:tcPr>
            <w:tcW w:w="1980" w:type="dxa"/>
            <w:tcBorders>
              <w:top w:val="nil"/>
              <w:left w:val="nil"/>
              <w:bottom w:val="nil"/>
              <w:right w:val="nil"/>
            </w:tcBorders>
            <w:shd w:val="clear" w:color="auto" w:fill="auto"/>
            <w:noWrap/>
            <w:vAlign w:val="center"/>
            <w:hideMark/>
          </w:tcPr>
          <w:p w14:paraId="455CCD2A" w14:textId="77777777" w:rsidR="00DC0662" w:rsidRPr="00F15667" w:rsidRDefault="00DC0662" w:rsidP="00115F4F">
            <w:pPr>
              <w:spacing w:line="240" w:lineRule="auto"/>
              <w:jc w:val="center"/>
              <w:rPr>
                <w:rFonts w:eastAsia="Times New Roman"/>
                <w:b/>
                <w:bCs/>
                <w:szCs w:val="24"/>
                <w:lang w:eastAsia="cs-CZ"/>
              </w:rPr>
            </w:pPr>
          </w:p>
        </w:tc>
        <w:tc>
          <w:tcPr>
            <w:tcW w:w="1139" w:type="dxa"/>
            <w:tcBorders>
              <w:top w:val="nil"/>
              <w:left w:val="nil"/>
              <w:bottom w:val="nil"/>
              <w:right w:val="nil"/>
            </w:tcBorders>
            <w:shd w:val="clear" w:color="auto" w:fill="auto"/>
            <w:noWrap/>
            <w:vAlign w:val="center"/>
            <w:hideMark/>
          </w:tcPr>
          <w:p w14:paraId="1437AAB0" w14:textId="77777777" w:rsidR="00DC0662" w:rsidRPr="00F15667" w:rsidRDefault="00DC0662" w:rsidP="00115F4F">
            <w:pPr>
              <w:spacing w:line="240" w:lineRule="auto"/>
              <w:jc w:val="center"/>
              <w:rPr>
                <w:rFonts w:ascii="Times New Roman" w:eastAsia="Times New Roman" w:hAnsi="Times New Roman"/>
                <w:sz w:val="20"/>
                <w:szCs w:val="20"/>
                <w:lang w:eastAsia="cs-CZ"/>
              </w:rPr>
            </w:pPr>
          </w:p>
        </w:tc>
        <w:tc>
          <w:tcPr>
            <w:tcW w:w="997" w:type="dxa"/>
            <w:tcBorders>
              <w:top w:val="nil"/>
              <w:left w:val="nil"/>
              <w:bottom w:val="nil"/>
              <w:right w:val="nil"/>
            </w:tcBorders>
            <w:shd w:val="clear" w:color="auto" w:fill="auto"/>
            <w:noWrap/>
            <w:vAlign w:val="center"/>
            <w:hideMark/>
          </w:tcPr>
          <w:p w14:paraId="369BE107" w14:textId="77777777" w:rsidR="00DC0662" w:rsidRPr="00F15667" w:rsidRDefault="00DC0662" w:rsidP="00115F4F">
            <w:pPr>
              <w:spacing w:line="240" w:lineRule="auto"/>
              <w:jc w:val="center"/>
              <w:rPr>
                <w:rFonts w:ascii="Times New Roman" w:eastAsia="Times New Roman" w:hAnsi="Times New Roman"/>
                <w:sz w:val="20"/>
                <w:szCs w:val="20"/>
                <w:lang w:eastAsia="cs-CZ"/>
              </w:rPr>
            </w:pPr>
          </w:p>
        </w:tc>
        <w:tc>
          <w:tcPr>
            <w:tcW w:w="948" w:type="dxa"/>
            <w:tcBorders>
              <w:top w:val="nil"/>
              <w:left w:val="nil"/>
              <w:bottom w:val="nil"/>
              <w:right w:val="nil"/>
            </w:tcBorders>
            <w:shd w:val="clear" w:color="auto" w:fill="auto"/>
            <w:noWrap/>
            <w:vAlign w:val="center"/>
            <w:hideMark/>
          </w:tcPr>
          <w:p w14:paraId="1514A123" w14:textId="77777777" w:rsidR="00DC0662" w:rsidRPr="00F15667" w:rsidRDefault="00DC0662" w:rsidP="00115F4F">
            <w:pPr>
              <w:spacing w:line="240" w:lineRule="auto"/>
              <w:jc w:val="center"/>
              <w:rPr>
                <w:rFonts w:ascii="Times New Roman" w:eastAsia="Times New Roman" w:hAnsi="Times New Roman"/>
                <w:sz w:val="20"/>
                <w:szCs w:val="20"/>
                <w:lang w:eastAsia="cs-CZ"/>
              </w:rPr>
            </w:pPr>
          </w:p>
        </w:tc>
        <w:tc>
          <w:tcPr>
            <w:tcW w:w="869" w:type="dxa"/>
            <w:tcBorders>
              <w:top w:val="nil"/>
              <w:left w:val="nil"/>
              <w:bottom w:val="nil"/>
              <w:right w:val="nil"/>
            </w:tcBorders>
            <w:shd w:val="clear" w:color="auto" w:fill="auto"/>
            <w:noWrap/>
            <w:vAlign w:val="center"/>
            <w:hideMark/>
          </w:tcPr>
          <w:p w14:paraId="53767C27" w14:textId="77777777" w:rsidR="00DC0662" w:rsidRPr="00F15667" w:rsidRDefault="00DC0662" w:rsidP="00115F4F">
            <w:pPr>
              <w:spacing w:line="240" w:lineRule="auto"/>
              <w:jc w:val="center"/>
              <w:rPr>
                <w:rFonts w:ascii="Times New Roman" w:eastAsia="Times New Roman" w:hAnsi="Times New Roman"/>
                <w:sz w:val="20"/>
                <w:szCs w:val="20"/>
                <w:lang w:eastAsia="cs-CZ"/>
              </w:rPr>
            </w:pPr>
          </w:p>
        </w:tc>
        <w:tc>
          <w:tcPr>
            <w:tcW w:w="948" w:type="dxa"/>
            <w:tcBorders>
              <w:top w:val="nil"/>
              <w:left w:val="nil"/>
              <w:bottom w:val="nil"/>
              <w:right w:val="nil"/>
            </w:tcBorders>
            <w:shd w:val="clear" w:color="auto" w:fill="auto"/>
            <w:noWrap/>
            <w:vAlign w:val="center"/>
            <w:hideMark/>
          </w:tcPr>
          <w:p w14:paraId="0385C61A" w14:textId="77777777" w:rsidR="00DC0662" w:rsidRPr="00F15667" w:rsidRDefault="00DC0662" w:rsidP="00115F4F">
            <w:pPr>
              <w:spacing w:line="240" w:lineRule="auto"/>
              <w:jc w:val="center"/>
              <w:rPr>
                <w:rFonts w:ascii="Times New Roman" w:eastAsia="Times New Roman" w:hAnsi="Times New Roman"/>
                <w:sz w:val="20"/>
                <w:szCs w:val="20"/>
                <w:lang w:eastAsia="cs-CZ"/>
              </w:rPr>
            </w:pPr>
          </w:p>
        </w:tc>
        <w:tc>
          <w:tcPr>
            <w:tcW w:w="994" w:type="dxa"/>
            <w:tcBorders>
              <w:top w:val="nil"/>
              <w:left w:val="nil"/>
              <w:bottom w:val="nil"/>
              <w:right w:val="nil"/>
            </w:tcBorders>
            <w:shd w:val="clear" w:color="auto" w:fill="auto"/>
            <w:noWrap/>
            <w:vAlign w:val="center"/>
            <w:hideMark/>
          </w:tcPr>
          <w:p w14:paraId="3E0D966F" w14:textId="77777777" w:rsidR="00DC0662" w:rsidRPr="00F15667" w:rsidRDefault="00DC0662" w:rsidP="00115F4F">
            <w:pPr>
              <w:spacing w:line="240" w:lineRule="auto"/>
              <w:jc w:val="center"/>
              <w:rPr>
                <w:rFonts w:ascii="Times New Roman" w:eastAsia="Times New Roman" w:hAnsi="Times New Roman"/>
                <w:sz w:val="20"/>
                <w:szCs w:val="20"/>
                <w:lang w:eastAsia="cs-CZ"/>
              </w:rPr>
            </w:pPr>
          </w:p>
        </w:tc>
        <w:tc>
          <w:tcPr>
            <w:tcW w:w="1197" w:type="dxa"/>
            <w:tcBorders>
              <w:top w:val="nil"/>
              <w:left w:val="nil"/>
              <w:bottom w:val="nil"/>
              <w:right w:val="nil"/>
            </w:tcBorders>
            <w:shd w:val="clear" w:color="auto" w:fill="auto"/>
            <w:noWrap/>
            <w:vAlign w:val="center"/>
            <w:hideMark/>
          </w:tcPr>
          <w:p w14:paraId="2A50E2A3" w14:textId="77777777" w:rsidR="00DC0662" w:rsidRPr="00F15667" w:rsidRDefault="00DC0662" w:rsidP="00115F4F">
            <w:pPr>
              <w:spacing w:line="240" w:lineRule="auto"/>
              <w:jc w:val="center"/>
              <w:rPr>
                <w:rFonts w:ascii="Times New Roman" w:eastAsia="Times New Roman" w:hAnsi="Times New Roman"/>
                <w:sz w:val="20"/>
                <w:szCs w:val="20"/>
                <w:lang w:eastAsia="cs-CZ"/>
              </w:rPr>
            </w:pPr>
          </w:p>
        </w:tc>
      </w:tr>
    </w:tbl>
    <w:p w14:paraId="3EA428E7" w14:textId="5D260E96" w:rsidR="001A527D" w:rsidRPr="00F15667" w:rsidRDefault="001A527D" w:rsidP="001A527D">
      <w:pPr>
        <w:pStyle w:val="Nadpis3"/>
        <w:numPr>
          <w:ilvl w:val="2"/>
          <w:numId w:val="1"/>
        </w:numPr>
        <w:rPr>
          <w:color w:val="auto"/>
        </w:rPr>
      </w:pPr>
      <w:bookmarkStart w:id="1001" w:name="_Toc106092787"/>
      <w:bookmarkStart w:id="1002" w:name="_Toc144104400"/>
      <w:r w:rsidRPr="00F15667">
        <w:rPr>
          <w:color w:val="auto"/>
        </w:rPr>
        <w:t>Vyřizování věcí v přepočtu na soudce</w:t>
      </w:r>
      <w:bookmarkEnd w:id="1001"/>
      <w:bookmarkEnd w:id="1002"/>
    </w:p>
    <w:p w14:paraId="63C0637D" w14:textId="77777777" w:rsidR="00DC0662" w:rsidRPr="00F15667" w:rsidRDefault="00DC0662" w:rsidP="00DC0662">
      <w:pPr>
        <w:pStyle w:val="OdstavecASR"/>
      </w:pPr>
      <w:r w:rsidRPr="00F15667">
        <w:t>Přepočet na skutečný úvazek soudce je uveden níže.</w:t>
      </w:r>
    </w:p>
    <w:p w14:paraId="66B59191" w14:textId="585D8D59" w:rsidR="00DC0662" w:rsidRPr="00F15667" w:rsidRDefault="00DC0662" w:rsidP="00DC0662">
      <w:pPr>
        <w:pStyle w:val="Podnadpis"/>
        <w:numPr>
          <w:ilvl w:val="0"/>
          <w:numId w:val="0"/>
        </w:numPr>
        <w:rPr>
          <w:color w:val="auto"/>
        </w:rPr>
      </w:pPr>
      <w:bookmarkStart w:id="1003" w:name="_Toc75952382"/>
      <w:bookmarkStart w:id="1004" w:name="_Toc106106835"/>
      <w:bookmarkStart w:id="1005" w:name="_Toc109802158"/>
      <w:bookmarkStart w:id="1006" w:name="_Toc144104317"/>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78</w:t>
      </w:r>
      <w:r w:rsidRPr="00F15667">
        <w:rPr>
          <w:noProof/>
          <w:color w:val="auto"/>
        </w:rPr>
        <w:fldChar w:fldCharType="end"/>
      </w:r>
      <w:r w:rsidRPr="00F15667">
        <w:rPr>
          <w:color w:val="auto"/>
        </w:rPr>
        <w:t>: KS – vyřizování incidenčních sporů na skutečný úvazek dle soudů</w:t>
      </w:r>
      <w:bookmarkEnd w:id="1003"/>
      <w:bookmarkEnd w:id="1004"/>
      <w:bookmarkEnd w:id="1005"/>
      <w:bookmarkEnd w:id="1006"/>
    </w:p>
    <w:tbl>
      <w:tblPr>
        <w:tblW w:w="9075" w:type="dxa"/>
        <w:tblCellMar>
          <w:left w:w="70" w:type="dxa"/>
          <w:right w:w="70" w:type="dxa"/>
        </w:tblCellMar>
        <w:tblLook w:val="04A0" w:firstRow="1" w:lastRow="0" w:firstColumn="1" w:lastColumn="0" w:noHBand="0" w:noVBand="1"/>
      </w:tblPr>
      <w:tblGrid>
        <w:gridCol w:w="1843"/>
        <w:gridCol w:w="1180"/>
        <w:gridCol w:w="1195"/>
        <w:gridCol w:w="890"/>
        <w:gridCol w:w="1094"/>
        <w:gridCol w:w="888"/>
        <w:gridCol w:w="1097"/>
        <w:gridCol w:w="888"/>
      </w:tblGrid>
      <w:tr w:rsidR="00F15667" w:rsidRPr="00F15667" w14:paraId="172A2CC2" w14:textId="77777777" w:rsidTr="00115F4F">
        <w:trPr>
          <w:trHeight w:val="330"/>
        </w:trPr>
        <w:tc>
          <w:tcPr>
            <w:tcW w:w="1843" w:type="dxa"/>
            <w:vMerge w:val="restart"/>
            <w:tcBorders>
              <w:top w:val="double" w:sz="6" w:space="0" w:color="auto"/>
              <w:left w:val="nil"/>
              <w:bottom w:val="double" w:sz="6" w:space="0" w:color="000000"/>
              <w:right w:val="nil"/>
            </w:tcBorders>
            <w:shd w:val="clear" w:color="auto" w:fill="auto"/>
            <w:noWrap/>
            <w:vAlign w:val="center"/>
            <w:hideMark/>
          </w:tcPr>
          <w:p w14:paraId="14148348" w14:textId="1D1CFC74" w:rsidR="00332B4C" w:rsidRPr="00F15667" w:rsidRDefault="00115F4F" w:rsidP="00115F4F">
            <w:pPr>
              <w:spacing w:line="240" w:lineRule="auto"/>
              <w:jc w:val="center"/>
              <w:rPr>
                <w:rFonts w:eastAsia="Times New Roman"/>
                <w:b/>
                <w:bCs/>
                <w:szCs w:val="24"/>
                <w:lang w:eastAsia="cs-CZ"/>
              </w:rPr>
            </w:pPr>
            <w:r>
              <w:rPr>
                <w:rFonts w:eastAsia="Times New Roman"/>
                <w:b/>
                <w:bCs/>
                <w:szCs w:val="24"/>
                <w:lang w:eastAsia="cs-CZ"/>
              </w:rPr>
              <w:t>S</w:t>
            </w:r>
            <w:r w:rsidR="00332B4C" w:rsidRPr="00F15667">
              <w:rPr>
                <w:rFonts w:eastAsia="Times New Roman"/>
                <w:b/>
                <w:bCs/>
                <w:szCs w:val="24"/>
                <w:lang w:eastAsia="cs-CZ"/>
              </w:rPr>
              <w:t>oud</w:t>
            </w:r>
          </w:p>
        </w:tc>
        <w:tc>
          <w:tcPr>
            <w:tcW w:w="1180" w:type="dxa"/>
            <w:vMerge w:val="restart"/>
            <w:tcBorders>
              <w:top w:val="double" w:sz="6" w:space="0" w:color="auto"/>
              <w:left w:val="nil"/>
              <w:bottom w:val="double" w:sz="6" w:space="0" w:color="000000"/>
              <w:right w:val="nil"/>
            </w:tcBorders>
            <w:shd w:val="clear" w:color="auto" w:fill="auto"/>
            <w:vAlign w:val="center"/>
            <w:hideMark/>
          </w:tcPr>
          <w:p w14:paraId="71FD16F4" w14:textId="77777777" w:rsidR="00332B4C" w:rsidRPr="00F15667" w:rsidRDefault="00332B4C" w:rsidP="00115F4F">
            <w:pPr>
              <w:spacing w:line="240" w:lineRule="auto"/>
              <w:jc w:val="center"/>
              <w:rPr>
                <w:rFonts w:eastAsia="Times New Roman"/>
                <w:b/>
                <w:bCs/>
                <w:szCs w:val="24"/>
                <w:lang w:eastAsia="cs-CZ"/>
              </w:rPr>
            </w:pPr>
            <w:r w:rsidRPr="00F15667">
              <w:rPr>
                <w:rFonts w:eastAsia="Times New Roman"/>
                <w:b/>
                <w:bCs/>
                <w:szCs w:val="24"/>
                <w:lang w:eastAsia="cs-CZ"/>
              </w:rPr>
              <w:t>Počet úvazků</w:t>
            </w:r>
          </w:p>
        </w:tc>
        <w:tc>
          <w:tcPr>
            <w:tcW w:w="6052" w:type="dxa"/>
            <w:gridSpan w:val="6"/>
            <w:tcBorders>
              <w:top w:val="double" w:sz="6" w:space="0" w:color="auto"/>
              <w:left w:val="nil"/>
              <w:bottom w:val="nil"/>
              <w:right w:val="nil"/>
            </w:tcBorders>
            <w:shd w:val="clear" w:color="auto" w:fill="auto"/>
            <w:noWrap/>
            <w:vAlign w:val="center"/>
            <w:hideMark/>
          </w:tcPr>
          <w:p w14:paraId="15667884" w14:textId="68A90C9B" w:rsidR="00332B4C" w:rsidRPr="00F15667" w:rsidRDefault="0046332C" w:rsidP="00115F4F">
            <w:pPr>
              <w:spacing w:line="240" w:lineRule="auto"/>
              <w:jc w:val="center"/>
              <w:rPr>
                <w:rFonts w:eastAsia="Times New Roman"/>
                <w:b/>
                <w:bCs/>
                <w:szCs w:val="24"/>
                <w:lang w:eastAsia="cs-CZ"/>
              </w:rPr>
            </w:pPr>
            <w:r>
              <w:rPr>
                <w:rFonts w:eastAsia="Times New Roman"/>
                <w:b/>
                <w:bCs/>
                <w:szCs w:val="24"/>
                <w:lang w:eastAsia="cs-CZ"/>
              </w:rPr>
              <w:t>Počet věcí na úvazek</w:t>
            </w:r>
          </w:p>
        </w:tc>
      </w:tr>
      <w:tr w:rsidR="00F15667" w:rsidRPr="00F15667" w14:paraId="60440231" w14:textId="77777777" w:rsidTr="00115F4F">
        <w:trPr>
          <w:trHeight w:val="330"/>
        </w:trPr>
        <w:tc>
          <w:tcPr>
            <w:tcW w:w="1843" w:type="dxa"/>
            <w:vMerge/>
            <w:tcBorders>
              <w:top w:val="double" w:sz="6" w:space="0" w:color="auto"/>
              <w:left w:val="nil"/>
              <w:bottom w:val="double" w:sz="6" w:space="0" w:color="000000"/>
              <w:right w:val="nil"/>
            </w:tcBorders>
            <w:vAlign w:val="center"/>
            <w:hideMark/>
          </w:tcPr>
          <w:p w14:paraId="4803C8EC" w14:textId="77777777" w:rsidR="00332B4C" w:rsidRPr="00F15667" w:rsidRDefault="00332B4C" w:rsidP="00115F4F">
            <w:pPr>
              <w:spacing w:line="240" w:lineRule="auto"/>
              <w:jc w:val="center"/>
              <w:rPr>
                <w:rFonts w:eastAsia="Times New Roman"/>
                <w:b/>
                <w:bCs/>
                <w:szCs w:val="24"/>
                <w:lang w:eastAsia="cs-CZ"/>
              </w:rPr>
            </w:pPr>
          </w:p>
        </w:tc>
        <w:tc>
          <w:tcPr>
            <w:tcW w:w="1180" w:type="dxa"/>
            <w:vMerge/>
            <w:tcBorders>
              <w:top w:val="double" w:sz="6" w:space="0" w:color="auto"/>
              <w:left w:val="nil"/>
              <w:bottom w:val="double" w:sz="6" w:space="0" w:color="000000"/>
              <w:right w:val="nil"/>
            </w:tcBorders>
            <w:vAlign w:val="center"/>
            <w:hideMark/>
          </w:tcPr>
          <w:p w14:paraId="543FD349" w14:textId="77777777" w:rsidR="00332B4C" w:rsidRPr="00F15667" w:rsidRDefault="00332B4C" w:rsidP="00115F4F">
            <w:pPr>
              <w:spacing w:line="240" w:lineRule="auto"/>
              <w:jc w:val="center"/>
              <w:rPr>
                <w:rFonts w:eastAsia="Times New Roman"/>
                <w:b/>
                <w:bCs/>
                <w:szCs w:val="24"/>
                <w:lang w:eastAsia="cs-CZ"/>
              </w:rPr>
            </w:pPr>
          </w:p>
        </w:tc>
        <w:tc>
          <w:tcPr>
            <w:tcW w:w="2085" w:type="dxa"/>
            <w:gridSpan w:val="2"/>
            <w:tcBorders>
              <w:top w:val="nil"/>
              <w:left w:val="nil"/>
              <w:bottom w:val="double" w:sz="6" w:space="0" w:color="auto"/>
              <w:right w:val="nil"/>
            </w:tcBorders>
            <w:shd w:val="clear" w:color="auto" w:fill="auto"/>
            <w:noWrap/>
            <w:vAlign w:val="center"/>
            <w:hideMark/>
          </w:tcPr>
          <w:p w14:paraId="2F997149" w14:textId="77777777" w:rsidR="00332B4C" w:rsidRPr="00F15667" w:rsidRDefault="00332B4C" w:rsidP="00115F4F">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198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C9BC839" w14:textId="77777777" w:rsidR="00332B4C" w:rsidRPr="00F15667" w:rsidRDefault="00332B4C" w:rsidP="00115F4F">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985" w:type="dxa"/>
            <w:gridSpan w:val="2"/>
            <w:tcBorders>
              <w:top w:val="nil"/>
              <w:left w:val="nil"/>
              <w:bottom w:val="double" w:sz="6" w:space="0" w:color="auto"/>
              <w:right w:val="nil"/>
            </w:tcBorders>
            <w:shd w:val="clear" w:color="auto" w:fill="auto"/>
            <w:noWrap/>
            <w:vAlign w:val="center"/>
            <w:hideMark/>
          </w:tcPr>
          <w:p w14:paraId="6F5D1037" w14:textId="77777777" w:rsidR="00332B4C" w:rsidRPr="00F15667" w:rsidRDefault="00332B4C" w:rsidP="00115F4F">
            <w:pPr>
              <w:spacing w:line="240" w:lineRule="auto"/>
              <w:jc w:val="center"/>
              <w:rPr>
                <w:rFonts w:eastAsia="Times New Roman"/>
                <w:b/>
                <w:bCs/>
                <w:szCs w:val="24"/>
                <w:lang w:eastAsia="cs-CZ"/>
              </w:rPr>
            </w:pPr>
            <w:r w:rsidRPr="00F15667">
              <w:rPr>
                <w:rFonts w:eastAsia="Times New Roman"/>
                <w:b/>
                <w:bCs/>
                <w:szCs w:val="24"/>
                <w:lang w:eastAsia="cs-CZ"/>
              </w:rPr>
              <w:t>Nevyřízeno</w:t>
            </w:r>
          </w:p>
        </w:tc>
      </w:tr>
      <w:tr w:rsidR="00F15667" w:rsidRPr="00F15667" w14:paraId="7D07435B" w14:textId="77777777" w:rsidTr="00115F4F">
        <w:trPr>
          <w:trHeight w:val="330"/>
        </w:trPr>
        <w:tc>
          <w:tcPr>
            <w:tcW w:w="1843" w:type="dxa"/>
            <w:tcBorders>
              <w:top w:val="single" w:sz="4" w:space="0" w:color="auto"/>
              <w:left w:val="nil"/>
              <w:bottom w:val="single" w:sz="4" w:space="0" w:color="auto"/>
              <w:right w:val="nil"/>
            </w:tcBorders>
            <w:shd w:val="clear" w:color="auto" w:fill="auto"/>
            <w:noWrap/>
            <w:vAlign w:val="center"/>
            <w:hideMark/>
          </w:tcPr>
          <w:p w14:paraId="2C150784" w14:textId="77777777" w:rsidR="00332B4C" w:rsidRPr="00F15667" w:rsidRDefault="00332B4C" w:rsidP="00115F4F">
            <w:pPr>
              <w:spacing w:line="240" w:lineRule="auto"/>
              <w:jc w:val="left"/>
              <w:rPr>
                <w:rFonts w:eastAsia="Times New Roman"/>
                <w:szCs w:val="24"/>
                <w:lang w:eastAsia="cs-CZ"/>
              </w:rPr>
            </w:pPr>
            <w:r w:rsidRPr="00F15667">
              <w:rPr>
                <w:rFonts w:eastAsia="Times New Roman"/>
                <w:szCs w:val="24"/>
                <w:lang w:eastAsia="cs-CZ"/>
              </w:rPr>
              <w:t>MS Praha</w:t>
            </w:r>
          </w:p>
        </w:tc>
        <w:tc>
          <w:tcPr>
            <w:tcW w:w="1180" w:type="dxa"/>
            <w:tcBorders>
              <w:top w:val="single" w:sz="4" w:space="0" w:color="auto"/>
              <w:left w:val="nil"/>
              <w:bottom w:val="single" w:sz="4" w:space="0" w:color="auto"/>
              <w:right w:val="nil"/>
            </w:tcBorders>
            <w:shd w:val="clear" w:color="auto" w:fill="auto"/>
            <w:noWrap/>
            <w:vAlign w:val="center"/>
            <w:hideMark/>
          </w:tcPr>
          <w:p w14:paraId="3DCE1424" w14:textId="77777777"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7</w:t>
            </w:r>
          </w:p>
        </w:tc>
        <w:tc>
          <w:tcPr>
            <w:tcW w:w="1195" w:type="dxa"/>
            <w:tcBorders>
              <w:top w:val="single" w:sz="4" w:space="0" w:color="auto"/>
              <w:left w:val="nil"/>
              <w:bottom w:val="single" w:sz="4" w:space="0" w:color="auto"/>
              <w:right w:val="nil"/>
            </w:tcBorders>
            <w:shd w:val="clear" w:color="auto" w:fill="auto"/>
            <w:noWrap/>
            <w:vAlign w:val="center"/>
            <w:hideMark/>
          </w:tcPr>
          <w:p w14:paraId="25E783F8" w14:textId="08C616E8"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169,29</w:t>
            </w:r>
          </w:p>
        </w:tc>
        <w:tc>
          <w:tcPr>
            <w:tcW w:w="890" w:type="dxa"/>
            <w:tcBorders>
              <w:top w:val="single" w:sz="4" w:space="0" w:color="auto"/>
              <w:left w:val="nil"/>
              <w:bottom w:val="single" w:sz="4" w:space="0" w:color="auto"/>
              <w:right w:val="nil"/>
            </w:tcBorders>
            <w:shd w:val="clear" w:color="auto" w:fill="auto"/>
            <w:noWrap/>
            <w:vAlign w:val="center"/>
            <w:hideMark/>
          </w:tcPr>
          <w:p w14:paraId="3DBE813C" w14:textId="7C0DB120"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-43 %</w:t>
            </w:r>
          </w:p>
        </w:tc>
        <w:tc>
          <w:tcPr>
            <w:tcW w:w="1094" w:type="dxa"/>
            <w:tcBorders>
              <w:top w:val="single" w:sz="4" w:space="0" w:color="auto"/>
              <w:left w:val="single" w:sz="4" w:space="0" w:color="auto"/>
              <w:bottom w:val="single" w:sz="4" w:space="0" w:color="auto"/>
              <w:right w:val="nil"/>
            </w:tcBorders>
            <w:shd w:val="clear" w:color="auto" w:fill="auto"/>
            <w:noWrap/>
            <w:vAlign w:val="center"/>
            <w:hideMark/>
          </w:tcPr>
          <w:p w14:paraId="5070A0DB" w14:textId="1492113C"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151,71</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BD7C508" w14:textId="3451014D"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-54 %</w:t>
            </w:r>
          </w:p>
        </w:tc>
        <w:tc>
          <w:tcPr>
            <w:tcW w:w="1097" w:type="dxa"/>
            <w:tcBorders>
              <w:top w:val="single" w:sz="4" w:space="0" w:color="auto"/>
              <w:left w:val="nil"/>
              <w:bottom w:val="single" w:sz="4" w:space="0" w:color="auto"/>
              <w:right w:val="nil"/>
            </w:tcBorders>
            <w:shd w:val="clear" w:color="auto" w:fill="auto"/>
            <w:noWrap/>
            <w:vAlign w:val="center"/>
            <w:hideMark/>
          </w:tcPr>
          <w:p w14:paraId="6FAE84B7" w14:textId="590A579D"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202,14</w:t>
            </w:r>
          </w:p>
        </w:tc>
        <w:tc>
          <w:tcPr>
            <w:tcW w:w="888" w:type="dxa"/>
            <w:tcBorders>
              <w:top w:val="single" w:sz="4" w:space="0" w:color="auto"/>
              <w:left w:val="nil"/>
              <w:bottom w:val="single" w:sz="4" w:space="0" w:color="auto"/>
              <w:right w:val="nil"/>
            </w:tcBorders>
            <w:shd w:val="clear" w:color="auto" w:fill="auto"/>
            <w:noWrap/>
            <w:vAlign w:val="center"/>
            <w:hideMark/>
          </w:tcPr>
          <w:p w14:paraId="15266542" w14:textId="22ABB75F"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-53 %</w:t>
            </w:r>
          </w:p>
        </w:tc>
      </w:tr>
      <w:tr w:rsidR="00F15667" w:rsidRPr="00F15667" w14:paraId="53B108B9" w14:textId="77777777" w:rsidTr="00115F4F">
        <w:trPr>
          <w:trHeight w:val="315"/>
        </w:trPr>
        <w:tc>
          <w:tcPr>
            <w:tcW w:w="1843" w:type="dxa"/>
            <w:tcBorders>
              <w:top w:val="nil"/>
              <w:left w:val="nil"/>
              <w:bottom w:val="single" w:sz="4" w:space="0" w:color="auto"/>
              <w:right w:val="nil"/>
            </w:tcBorders>
            <w:shd w:val="clear" w:color="auto" w:fill="auto"/>
            <w:noWrap/>
            <w:vAlign w:val="center"/>
            <w:hideMark/>
          </w:tcPr>
          <w:p w14:paraId="1AAFE49C" w14:textId="77777777" w:rsidR="00332B4C" w:rsidRPr="00F15667" w:rsidRDefault="00332B4C" w:rsidP="00115F4F">
            <w:pPr>
              <w:spacing w:line="240" w:lineRule="auto"/>
              <w:jc w:val="left"/>
              <w:rPr>
                <w:rFonts w:eastAsia="Times New Roman"/>
                <w:szCs w:val="24"/>
                <w:lang w:eastAsia="cs-CZ"/>
              </w:rPr>
            </w:pPr>
            <w:r w:rsidRPr="00F15667">
              <w:rPr>
                <w:rFonts w:eastAsia="Times New Roman"/>
                <w:szCs w:val="24"/>
                <w:lang w:eastAsia="cs-CZ"/>
              </w:rPr>
              <w:t>KS Praha</w:t>
            </w:r>
          </w:p>
        </w:tc>
        <w:tc>
          <w:tcPr>
            <w:tcW w:w="1180" w:type="dxa"/>
            <w:tcBorders>
              <w:top w:val="nil"/>
              <w:left w:val="nil"/>
              <w:bottom w:val="single" w:sz="4" w:space="0" w:color="auto"/>
              <w:right w:val="nil"/>
            </w:tcBorders>
            <w:shd w:val="clear" w:color="auto" w:fill="auto"/>
            <w:noWrap/>
            <w:vAlign w:val="center"/>
            <w:hideMark/>
          </w:tcPr>
          <w:p w14:paraId="68E1F389" w14:textId="54D8B132"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2,6</w:t>
            </w:r>
          </w:p>
        </w:tc>
        <w:tc>
          <w:tcPr>
            <w:tcW w:w="1195" w:type="dxa"/>
            <w:tcBorders>
              <w:top w:val="nil"/>
              <w:left w:val="nil"/>
              <w:bottom w:val="single" w:sz="4" w:space="0" w:color="auto"/>
              <w:right w:val="nil"/>
            </w:tcBorders>
            <w:shd w:val="clear" w:color="auto" w:fill="auto"/>
            <w:noWrap/>
            <w:vAlign w:val="center"/>
            <w:hideMark/>
          </w:tcPr>
          <w:p w14:paraId="3F48B7D2" w14:textId="225BBA7B"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150,77</w:t>
            </w:r>
          </w:p>
        </w:tc>
        <w:tc>
          <w:tcPr>
            <w:tcW w:w="890" w:type="dxa"/>
            <w:tcBorders>
              <w:top w:val="nil"/>
              <w:left w:val="nil"/>
              <w:bottom w:val="single" w:sz="4" w:space="0" w:color="auto"/>
              <w:right w:val="nil"/>
            </w:tcBorders>
            <w:shd w:val="clear" w:color="auto" w:fill="auto"/>
            <w:noWrap/>
            <w:vAlign w:val="center"/>
            <w:hideMark/>
          </w:tcPr>
          <w:p w14:paraId="63C0C017" w14:textId="30A68D88"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1094" w:type="dxa"/>
            <w:tcBorders>
              <w:top w:val="nil"/>
              <w:left w:val="single" w:sz="4" w:space="0" w:color="auto"/>
              <w:bottom w:val="single" w:sz="4" w:space="0" w:color="auto"/>
              <w:right w:val="nil"/>
            </w:tcBorders>
            <w:shd w:val="clear" w:color="auto" w:fill="auto"/>
            <w:noWrap/>
            <w:vAlign w:val="center"/>
            <w:hideMark/>
          </w:tcPr>
          <w:p w14:paraId="74961329" w14:textId="0E97059E"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189,23</w:t>
            </w:r>
          </w:p>
        </w:tc>
        <w:tc>
          <w:tcPr>
            <w:tcW w:w="888" w:type="dxa"/>
            <w:tcBorders>
              <w:top w:val="nil"/>
              <w:left w:val="nil"/>
              <w:bottom w:val="single" w:sz="4" w:space="0" w:color="auto"/>
              <w:right w:val="single" w:sz="4" w:space="0" w:color="auto"/>
            </w:tcBorders>
            <w:shd w:val="clear" w:color="auto" w:fill="auto"/>
            <w:noWrap/>
            <w:vAlign w:val="center"/>
            <w:hideMark/>
          </w:tcPr>
          <w:p w14:paraId="3C69FFCF" w14:textId="009061F8"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1097" w:type="dxa"/>
            <w:tcBorders>
              <w:top w:val="nil"/>
              <w:left w:val="nil"/>
              <w:bottom w:val="single" w:sz="4" w:space="0" w:color="auto"/>
              <w:right w:val="nil"/>
            </w:tcBorders>
            <w:shd w:val="clear" w:color="auto" w:fill="auto"/>
            <w:noWrap/>
            <w:vAlign w:val="center"/>
            <w:hideMark/>
          </w:tcPr>
          <w:p w14:paraId="4987820A" w14:textId="0F478941"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111,54</w:t>
            </w:r>
          </w:p>
        </w:tc>
        <w:tc>
          <w:tcPr>
            <w:tcW w:w="888" w:type="dxa"/>
            <w:tcBorders>
              <w:top w:val="nil"/>
              <w:left w:val="nil"/>
              <w:bottom w:val="single" w:sz="4" w:space="0" w:color="auto"/>
              <w:right w:val="nil"/>
            </w:tcBorders>
            <w:shd w:val="clear" w:color="auto" w:fill="auto"/>
            <w:noWrap/>
            <w:vAlign w:val="center"/>
            <w:hideMark/>
          </w:tcPr>
          <w:p w14:paraId="6E948B4D" w14:textId="3E0B061D"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-26 %</w:t>
            </w:r>
          </w:p>
        </w:tc>
      </w:tr>
      <w:tr w:rsidR="00F15667" w:rsidRPr="00F15667" w14:paraId="3933F2CC" w14:textId="77777777" w:rsidTr="00115F4F">
        <w:trPr>
          <w:trHeight w:val="315"/>
        </w:trPr>
        <w:tc>
          <w:tcPr>
            <w:tcW w:w="1843" w:type="dxa"/>
            <w:tcBorders>
              <w:top w:val="nil"/>
              <w:left w:val="nil"/>
              <w:bottom w:val="single" w:sz="4" w:space="0" w:color="auto"/>
              <w:right w:val="nil"/>
            </w:tcBorders>
            <w:shd w:val="clear" w:color="auto" w:fill="auto"/>
            <w:noWrap/>
            <w:vAlign w:val="center"/>
            <w:hideMark/>
          </w:tcPr>
          <w:p w14:paraId="49A895DF" w14:textId="77777777" w:rsidR="00332B4C" w:rsidRPr="00F15667" w:rsidRDefault="00332B4C" w:rsidP="00115F4F">
            <w:pPr>
              <w:spacing w:line="240" w:lineRule="auto"/>
              <w:jc w:val="left"/>
              <w:rPr>
                <w:rFonts w:eastAsia="Times New Roman"/>
                <w:szCs w:val="24"/>
                <w:lang w:eastAsia="cs-CZ"/>
              </w:rPr>
            </w:pPr>
            <w:r w:rsidRPr="00F15667">
              <w:rPr>
                <w:rFonts w:eastAsia="Times New Roman"/>
                <w:szCs w:val="24"/>
                <w:lang w:eastAsia="cs-CZ"/>
              </w:rPr>
              <w:t>KS Č. Budějovice</w:t>
            </w:r>
          </w:p>
        </w:tc>
        <w:tc>
          <w:tcPr>
            <w:tcW w:w="1180" w:type="dxa"/>
            <w:tcBorders>
              <w:top w:val="nil"/>
              <w:left w:val="nil"/>
              <w:bottom w:val="single" w:sz="4" w:space="0" w:color="auto"/>
              <w:right w:val="nil"/>
            </w:tcBorders>
            <w:shd w:val="clear" w:color="auto" w:fill="auto"/>
            <w:noWrap/>
            <w:vAlign w:val="center"/>
            <w:hideMark/>
          </w:tcPr>
          <w:p w14:paraId="638A5EBB" w14:textId="4BEE31CE"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2,5</w:t>
            </w:r>
          </w:p>
        </w:tc>
        <w:tc>
          <w:tcPr>
            <w:tcW w:w="1195" w:type="dxa"/>
            <w:tcBorders>
              <w:top w:val="nil"/>
              <w:left w:val="nil"/>
              <w:bottom w:val="single" w:sz="4" w:space="0" w:color="auto"/>
              <w:right w:val="nil"/>
            </w:tcBorders>
            <w:shd w:val="clear" w:color="auto" w:fill="auto"/>
            <w:noWrap/>
            <w:vAlign w:val="center"/>
            <w:hideMark/>
          </w:tcPr>
          <w:p w14:paraId="4E611A27" w14:textId="7F14094F"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62,40</w:t>
            </w:r>
          </w:p>
        </w:tc>
        <w:tc>
          <w:tcPr>
            <w:tcW w:w="890" w:type="dxa"/>
            <w:tcBorders>
              <w:top w:val="nil"/>
              <w:left w:val="nil"/>
              <w:bottom w:val="single" w:sz="4" w:space="0" w:color="auto"/>
              <w:right w:val="nil"/>
            </w:tcBorders>
            <w:shd w:val="clear" w:color="auto" w:fill="auto"/>
            <w:noWrap/>
            <w:vAlign w:val="center"/>
            <w:hideMark/>
          </w:tcPr>
          <w:p w14:paraId="7E352B6C" w14:textId="47F66805"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94" w:type="dxa"/>
            <w:tcBorders>
              <w:top w:val="nil"/>
              <w:left w:val="single" w:sz="4" w:space="0" w:color="auto"/>
              <w:bottom w:val="single" w:sz="4" w:space="0" w:color="auto"/>
              <w:right w:val="nil"/>
            </w:tcBorders>
            <w:shd w:val="clear" w:color="auto" w:fill="auto"/>
            <w:noWrap/>
            <w:vAlign w:val="center"/>
            <w:hideMark/>
          </w:tcPr>
          <w:p w14:paraId="58CFC598" w14:textId="6A6209C9"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66,80</w:t>
            </w:r>
          </w:p>
        </w:tc>
        <w:tc>
          <w:tcPr>
            <w:tcW w:w="888" w:type="dxa"/>
            <w:tcBorders>
              <w:top w:val="nil"/>
              <w:left w:val="nil"/>
              <w:bottom w:val="single" w:sz="4" w:space="0" w:color="auto"/>
              <w:right w:val="single" w:sz="4" w:space="0" w:color="auto"/>
            </w:tcBorders>
            <w:shd w:val="clear" w:color="auto" w:fill="auto"/>
            <w:noWrap/>
            <w:vAlign w:val="center"/>
            <w:hideMark/>
          </w:tcPr>
          <w:p w14:paraId="35DC3FB2" w14:textId="530152D2"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-28 %</w:t>
            </w:r>
          </w:p>
        </w:tc>
        <w:tc>
          <w:tcPr>
            <w:tcW w:w="1097" w:type="dxa"/>
            <w:tcBorders>
              <w:top w:val="nil"/>
              <w:left w:val="nil"/>
              <w:bottom w:val="single" w:sz="4" w:space="0" w:color="auto"/>
              <w:right w:val="nil"/>
            </w:tcBorders>
            <w:shd w:val="clear" w:color="auto" w:fill="auto"/>
            <w:noWrap/>
            <w:vAlign w:val="center"/>
            <w:hideMark/>
          </w:tcPr>
          <w:p w14:paraId="5D846395" w14:textId="7B90B790"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32,00</w:t>
            </w:r>
          </w:p>
        </w:tc>
        <w:tc>
          <w:tcPr>
            <w:tcW w:w="888" w:type="dxa"/>
            <w:tcBorders>
              <w:top w:val="nil"/>
              <w:left w:val="nil"/>
              <w:bottom w:val="single" w:sz="4" w:space="0" w:color="auto"/>
              <w:right w:val="nil"/>
            </w:tcBorders>
            <w:shd w:val="clear" w:color="auto" w:fill="auto"/>
            <w:noWrap/>
            <w:vAlign w:val="center"/>
            <w:hideMark/>
          </w:tcPr>
          <w:p w14:paraId="3AED35C1" w14:textId="74D3154F"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-12 %</w:t>
            </w:r>
          </w:p>
        </w:tc>
      </w:tr>
      <w:tr w:rsidR="00F15667" w:rsidRPr="00F15667" w14:paraId="2A2CBDEF" w14:textId="77777777" w:rsidTr="00115F4F">
        <w:trPr>
          <w:trHeight w:val="315"/>
        </w:trPr>
        <w:tc>
          <w:tcPr>
            <w:tcW w:w="1843" w:type="dxa"/>
            <w:tcBorders>
              <w:top w:val="nil"/>
              <w:left w:val="nil"/>
              <w:bottom w:val="single" w:sz="4" w:space="0" w:color="auto"/>
              <w:right w:val="nil"/>
            </w:tcBorders>
            <w:shd w:val="clear" w:color="auto" w:fill="auto"/>
            <w:noWrap/>
            <w:vAlign w:val="center"/>
            <w:hideMark/>
          </w:tcPr>
          <w:p w14:paraId="18F6531B" w14:textId="77777777" w:rsidR="00332B4C" w:rsidRPr="00F15667" w:rsidRDefault="00332B4C" w:rsidP="00115F4F">
            <w:pPr>
              <w:spacing w:line="240" w:lineRule="auto"/>
              <w:jc w:val="left"/>
              <w:rPr>
                <w:rFonts w:eastAsia="Times New Roman"/>
                <w:szCs w:val="24"/>
                <w:lang w:eastAsia="cs-CZ"/>
              </w:rPr>
            </w:pPr>
            <w:r w:rsidRPr="00F15667">
              <w:rPr>
                <w:rFonts w:eastAsia="Times New Roman"/>
                <w:szCs w:val="24"/>
                <w:lang w:eastAsia="cs-CZ"/>
              </w:rPr>
              <w:t>KS Plzeň</w:t>
            </w:r>
          </w:p>
        </w:tc>
        <w:tc>
          <w:tcPr>
            <w:tcW w:w="1180" w:type="dxa"/>
            <w:tcBorders>
              <w:top w:val="nil"/>
              <w:left w:val="nil"/>
              <w:bottom w:val="single" w:sz="4" w:space="0" w:color="auto"/>
              <w:right w:val="nil"/>
            </w:tcBorders>
            <w:shd w:val="clear" w:color="auto" w:fill="auto"/>
            <w:noWrap/>
            <w:vAlign w:val="center"/>
            <w:hideMark/>
          </w:tcPr>
          <w:p w14:paraId="3CDEE1DD" w14:textId="7AB9CB6C"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2,1</w:t>
            </w:r>
          </w:p>
        </w:tc>
        <w:tc>
          <w:tcPr>
            <w:tcW w:w="1195" w:type="dxa"/>
            <w:tcBorders>
              <w:top w:val="nil"/>
              <w:left w:val="nil"/>
              <w:bottom w:val="single" w:sz="4" w:space="0" w:color="auto"/>
              <w:right w:val="nil"/>
            </w:tcBorders>
            <w:shd w:val="clear" w:color="auto" w:fill="auto"/>
            <w:noWrap/>
            <w:vAlign w:val="center"/>
            <w:hideMark/>
          </w:tcPr>
          <w:p w14:paraId="4D8BB7D2" w14:textId="445D1CDA"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90,95</w:t>
            </w:r>
          </w:p>
        </w:tc>
        <w:tc>
          <w:tcPr>
            <w:tcW w:w="890" w:type="dxa"/>
            <w:tcBorders>
              <w:top w:val="nil"/>
              <w:left w:val="nil"/>
              <w:bottom w:val="single" w:sz="4" w:space="0" w:color="auto"/>
              <w:right w:val="nil"/>
            </w:tcBorders>
            <w:shd w:val="clear" w:color="auto" w:fill="auto"/>
            <w:noWrap/>
            <w:vAlign w:val="center"/>
            <w:hideMark/>
          </w:tcPr>
          <w:p w14:paraId="0417D9A5" w14:textId="60E55B6D"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+67 %</w:t>
            </w:r>
          </w:p>
        </w:tc>
        <w:tc>
          <w:tcPr>
            <w:tcW w:w="1094" w:type="dxa"/>
            <w:tcBorders>
              <w:top w:val="nil"/>
              <w:left w:val="single" w:sz="4" w:space="0" w:color="auto"/>
              <w:bottom w:val="single" w:sz="4" w:space="0" w:color="auto"/>
              <w:right w:val="nil"/>
            </w:tcBorders>
            <w:shd w:val="clear" w:color="auto" w:fill="auto"/>
            <w:noWrap/>
            <w:vAlign w:val="center"/>
            <w:hideMark/>
          </w:tcPr>
          <w:p w14:paraId="22054711" w14:textId="0822BA37"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118,10</w:t>
            </w:r>
          </w:p>
        </w:tc>
        <w:tc>
          <w:tcPr>
            <w:tcW w:w="888" w:type="dxa"/>
            <w:tcBorders>
              <w:top w:val="nil"/>
              <w:left w:val="nil"/>
              <w:bottom w:val="single" w:sz="4" w:space="0" w:color="auto"/>
              <w:right w:val="single" w:sz="4" w:space="0" w:color="auto"/>
            </w:tcBorders>
            <w:shd w:val="clear" w:color="auto" w:fill="auto"/>
            <w:noWrap/>
            <w:vAlign w:val="center"/>
            <w:hideMark/>
          </w:tcPr>
          <w:p w14:paraId="3F840C86" w14:textId="59F15BCF"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+83 %</w:t>
            </w:r>
          </w:p>
        </w:tc>
        <w:tc>
          <w:tcPr>
            <w:tcW w:w="1097" w:type="dxa"/>
            <w:tcBorders>
              <w:top w:val="nil"/>
              <w:left w:val="nil"/>
              <w:bottom w:val="single" w:sz="4" w:space="0" w:color="auto"/>
              <w:right w:val="nil"/>
            </w:tcBorders>
            <w:shd w:val="clear" w:color="auto" w:fill="auto"/>
            <w:noWrap/>
            <w:vAlign w:val="center"/>
            <w:hideMark/>
          </w:tcPr>
          <w:p w14:paraId="47E1571B" w14:textId="5CB3B30B"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79,05</w:t>
            </w:r>
          </w:p>
        </w:tc>
        <w:tc>
          <w:tcPr>
            <w:tcW w:w="888" w:type="dxa"/>
            <w:tcBorders>
              <w:top w:val="nil"/>
              <w:left w:val="nil"/>
              <w:bottom w:val="single" w:sz="4" w:space="0" w:color="auto"/>
              <w:right w:val="nil"/>
            </w:tcBorders>
            <w:shd w:val="clear" w:color="auto" w:fill="auto"/>
            <w:noWrap/>
            <w:vAlign w:val="center"/>
            <w:hideMark/>
          </w:tcPr>
          <w:p w14:paraId="2AD78C43" w14:textId="1B5BEDAB"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+90 %</w:t>
            </w:r>
          </w:p>
        </w:tc>
      </w:tr>
      <w:tr w:rsidR="00F15667" w:rsidRPr="00F15667" w14:paraId="46CB84E0" w14:textId="77777777" w:rsidTr="00115F4F">
        <w:trPr>
          <w:trHeight w:val="315"/>
        </w:trPr>
        <w:tc>
          <w:tcPr>
            <w:tcW w:w="1843" w:type="dxa"/>
            <w:tcBorders>
              <w:top w:val="nil"/>
              <w:left w:val="nil"/>
              <w:bottom w:val="single" w:sz="4" w:space="0" w:color="auto"/>
              <w:right w:val="nil"/>
            </w:tcBorders>
            <w:shd w:val="clear" w:color="auto" w:fill="auto"/>
            <w:noWrap/>
            <w:vAlign w:val="center"/>
            <w:hideMark/>
          </w:tcPr>
          <w:p w14:paraId="117F3A44" w14:textId="77777777" w:rsidR="00332B4C" w:rsidRPr="00F15667" w:rsidRDefault="00332B4C" w:rsidP="00115F4F">
            <w:pPr>
              <w:spacing w:line="240" w:lineRule="auto"/>
              <w:jc w:val="left"/>
              <w:rPr>
                <w:rFonts w:eastAsia="Times New Roman"/>
                <w:szCs w:val="24"/>
                <w:lang w:eastAsia="cs-CZ"/>
              </w:rPr>
            </w:pPr>
            <w:r w:rsidRPr="00F15667">
              <w:rPr>
                <w:rFonts w:eastAsia="Times New Roman"/>
                <w:szCs w:val="24"/>
                <w:lang w:eastAsia="cs-CZ"/>
              </w:rPr>
              <w:t>KS Ústí n. Labem</w:t>
            </w:r>
          </w:p>
        </w:tc>
        <w:tc>
          <w:tcPr>
            <w:tcW w:w="1180" w:type="dxa"/>
            <w:tcBorders>
              <w:top w:val="nil"/>
              <w:left w:val="nil"/>
              <w:bottom w:val="single" w:sz="4" w:space="0" w:color="auto"/>
              <w:right w:val="nil"/>
            </w:tcBorders>
            <w:shd w:val="clear" w:color="auto" w:fill="auto"/>
            <w:noWrap/>
            <w:vAlign w:val="center"/>
            <w:hideMark/>
          </w:tcPr>
          <w:p w14:paraId="58EAFE45" w14:textId="174D3422"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3,5</w:t>
            </w:r>
          </w:p>
        </w:tc>
        <w:tc>
          <w:tcPr>
            <w:tcW w:w="1195" w:type="dxa"/>
            <w:tcBorders>
              <w:top w:val="nil"/>
              <w:left w:val="nil"/>
              <w:bottom w:val="single" w:sz="4" w:space="0" w:color="auto"/>
              <w:right w:val="nil"/>
            </w:tcBorders>
            <w:shd w:val="clear" w:color="auto" w:fill="auto"/>
            <w:noWrap/>
            <w:vAlign w:val="center"/>
            <w:hideMark/>
          </w:tcPr>
          <w:p w14:paraId="4A29866A" w14:textId="2D315965"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95,14</w:t>
            </w:r>
          </w:p>
        </w:tc>
        <w:tc>
          <w:tcPr>
            <w:tcW w:w="890" w:type="dxa"/>
            <w:tcBorders>
              <w:top w:val="nil"/>
              <w:left w:val="nil"/>
              <w:bottom w:val="single" w:sz="4" w:space="0" w:color="auto"/>
              <w:right w:val="nil"/>
            </w:tcBorders>
            <w:shd w:val="clear" w:color="auto" w:fill="auto"/>
            <w:noWrap/>
            <w:vAlign w:val="center"/>
            <w:hideMark/>
          </w:tcPr>
          <w:p w14:paraId="3616792F" w14:textId="30B967F4"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1094" w:type="dxa"/>
            <w:tcBorders>
              <w:top w:val="nil"/>
              <w:left w:val="single" w:sz="4" w:space="0" w:color="auto"/>
              <w:bottom w:val="single" w:sz="4" w:space="0" w:color="auto"/>
              <w:right w:val="nil"/>
            </w:tcBorders>
            <w:shd w:val="clear" w:color="auto" w:fill="auto"/>
            <w:noWrap/>
            <w:vAlign w:val="center"/>
            <w:hideMark/>
          </w:tcPr>
          <w:p w14:paraId="1733D066" w14:textId="6A02C449"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104,57</w:t>
            </w:r>
          </w:p>
        </w:tc>
        <w:tc>
          <w:tcPr>
            <w:tcW w:w="888" w:type="dxa"/>
            <w:tcBorders>
              <w:top w:val="nil"/>
              <w:left w:val="nil"/>
              <w:bottom w:val="single" w:sz="4" w:space="0" w:color="auto"/>
              <w:right w:val="single" w:sz="4" w:space="0" w:color="auto"/>
            </w:tcBorders>
            <w:shd w:val="clear" w:color="auto" w:fill="auto"/>
            <w:noWrap/>
            <w:vAlign w:val="center"/>
            <w:hideMark/>
          </w:tcPr>
          <w:p w14:paraId="39CEA81B" w14:textId="53D5C345"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-15 %</w:t>
            </w:r>
          </w:p>
        </w:tc>
        <w:tc>
          <w:tcPr>
            <w:tcW w:w="1097" w:type="dxa"/>
            <w:tcBorders>
              <w:top w:val="nil"/>
              <w:left w:val="nil"/>
              <w:bottom w:val="single" w:sz="4" w:space="0" w:color="auto"/>
              <w:right w:val="nil"/>
            </w:tcBorders>
            <w:shd w:val="clear" w:color="auto" w:fill="auto"/>
            <w:noWrap/>
            <w:vAlign w:val="center"/>
            <w:hideMark/>
          </w:tcPr>
          <w:p w14:paraId="4813DF7C" w14:textId="03BC5A7C"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104,00</w:t>
            </w:r>
          </w:p>
        </w:tc>
        <w:tc>
          <w:tcPr>
            <w:tcW w:w="888" w:type="dxa"/>
            <w:tcBorders>
              <w:top w:val="nil"/>
              <w:left w:val="nil"/>
              <w:bottom w:val="single" w:sz="4" w:space="0" w:color="auto"/>
              <w:right w:val="nil"/>
            </w:tcBorders>
            <w:shd w:val="clear" w:color="auto" w:fill="auto"/>
            <w:noWrap/>
            <w:vAlign w:val="center"/>
            <w:hideMark/>
          </w:tcPr>
          <w:p w14:paraId="3D71836B" w14:textId="4AB120C8"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+5 %</w:t>
            </w:r>
          </w:p>
        </w:tc>
      </w:tr>
      <w:tr w:rsidR="00F15667" w:rsidRPr="00F15667" w14:paraId="77FCD560" w14:textId="77777777" w:rsidTr="00115F4F">
        <w:trPr>
          <w:trHeight w:val="315"/>
        </w:trPr>
        <w:tc>
          <w:tcPr>
            <w:tcW w:w="1843" w:type="dxa"/>
            <w:tcBorders>
              <w:top w:val="nil"/>
              <w:left w:val="nil"/>
              <w:bottom w:val="single" w:sz="4" w:space="0" w:color="auto"/>
              <w:right w:val="nil"/>
            </w:tcBorders>
            <w:shd w:val="clear" w:color="auto" w:fill="auto"/>
            <w:noWrap/>
            <w:vAlign w:val="center"/>
            <w:hideMark/>
          </w:tcPr>
          <w:p w14:paraId="08B55986" w14:textId="77777777" w:rsidR="00332B4C" w:rsidRPr="00F15667" w:rsidRDefault="00332B4C" w:rsidP="00115F4F">
            <w:pPr>
              <w:spacing w:line="240" w:lineRule="auto"/>
              <w:jc w:val="left"/>
              <w:rPr>
                <w:rFonts w:eastAsia="Times New Roman"/>
                <w:szCs w:val="24"/>
                <w:lang w:eastAsia="cs-CZ"/>
              </w:rPr>
            </w:pPr>
            <w:r w:rsidRPr="00F15667">
              <w:rPr>
                <w:rFonts w:eastAsia="Times New Roman"/>
                <w:szCs w:val="24"/>
                <w:lang w:eastAsia="cs-CZ"/>
              </w:rPr>
              <w:t>KS Hr. Králové</w:t>
            </w:r>
          </w:p>
        </w:tc>
        <w:tc>
          <w:tcPr>
            <w:tcW w:w="1180" w:type="dxa"/>
            <w:tcBorders>
              <w:top w:val="nil"/>
              <w:left w:val="nil"/>
              <w:bottom w:val="single" w:sz="4" w:space="0" w:color="auto"/>
              <w:right w:val="nil"/>
            </w:tcBorders>
            <w:shd w:val="clear" w:color="auto" w:fill="auto"/>
            <w:noWrap/>
            <w:vAlign w:val="center"/>
            <w:hideMark/>
          </w:tcPr>
          <w:p w14:paraId="30381C7B" w14:textId="3F71221C"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2,9</w:t>
            </w:r>
          </w:p>
        </w:tc>
        <w:tc>
          <w:tcPr>
            <w:tcW w:w="1195" w:type="dxa"/>
            <w:tcBorders>
              <w:top w:val="nil"/>
              <w:left w:val="nil"/>
              <w:bottom w:val="single" w:sz="4" w:space="0" w:color="auto"/>
              <w:right w:val="nil"/>
            </w:tcBorders>
            <w:shd w:val="clear" w:color="auto" w:fill="auto"/>
            <w:noWrap/>
            <w:vAlign w:val="center"/>
            <w:hideMark/>
          </w:tcPr>
          <w:p w14:paraId="73A97A5D" w14:textId="292B72D6"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87,93</w:t>
            </w:r>
          </w:p>
        </w:tc>
        <w:tc>
          <w:tcPr>
            <w:tcW w:w="890" w:type="dxa"/>
            <w:tcBorders>
              <w:top w:val="nil"/>
              <w:left w:val="nil"/>
              <w:bottom w:val="single" w:sz="4" w:space="0" w:color="auto"/>
              <w:right w:val="nil"/>
            </w:tcBorders>
            <w:shd w:val="clear" w:color="auto" w:fill="auto"/>
            <w:noWrap/>
            <w:vAlign w:val="center"/>
            <w:hideMark/>
          </w:tcPr>
          <w:p w14:paraId="47C84044" w14:textId="08437605"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-16 %</w:t>
            </w:r>
          </w:p>
        </w:tc>
        <w:tc>
          <w:tcPr>
            <w:tcW w:w="1094" w:type="dxa"/>
            <w:tcBorders>
              <w:top w:val="nil"/>
              <w:left w:val="single" w:sz="4" w:space="0" w:color="auto"/>
              <w:bottom w:val="single" w:sz="4" w:space="0" w:color="auto"/>
              <w:right w:val="nil"/>
            </w:tcBorders>
            <w:shd w:val="clear" w:color="auto" w:fill="auto"/>
            <w:noWrap/>
            <w:vAlign w:val="center"/>
            <w:hideMark/>
          </w:tcPr>
          <w:p w14:paraId="68563B8E" w14:textId="17809F1E"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115,86</w:t>
            </w:r>
          </w:p>
        </w:tc>
        <w:tc>
          <w:tcPr>
            <w:tcW w:w="888" w:type="dxa"/>
            <w:tcBorders>
              <w:top w:val="nil"/>
              <w:left w:val="nil"/>
              <w:bottom w:val="single" w:sz="4" w:space="0" w:color="auto"/>
              <w:right w:val="single" w:sz="4" w:space="0" w:color="auto"/>
            </w:tcBorders>
            <w:shd w:val="clear" w:color="auto" w:fill="auto"/>
            <w:noWrap/>
            <w:vAlign w:val="center"/>
            <w:hideMark/>
          </w:tcPr>
          <w:p w14:paraId="4F37A208" w14:textId="1F135DBC"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1097" w:type="dxa"/>
            <w:tcBorders>
              <w:top w:val="nil"/>
              <w:left w:val="nil"/>
              <w:bottom w:val="single" w:sz="4" w:space="0" w:color="auto"/>
              <w:right w:val="nil"/>
            </w:tcBorders>
            <w:shd w:val="clear" w:color="auto" w:fill="auto"/>
            <w:noWrap/>
            <w:vAlign w:val="center"/>
            <w:hideMark/>
          </w:tcPr>
          <w:p w14:paraId="244FF8E1" w14:textId="09348066"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80,69</w:t>
            </w:r>
          </w:p>
        </w:tc>
        <w:tc>
          <w:tcPr>
            <w:tcW w:w="888" w:type="dxa"/>
            <w:tcBorders>
              <w:top w:val="nil"/>
              <w:left w:val="nil"/>
              <w:bottom w:val="single" w:sz="4" w:space="0" w:color="auto"/>
              <w:right w:val="nil"/>
            </w:tcBorders>
            <w:shd w:val="clear" w:color="auto" w:fill="auto"/>
            <w:noWrap/>
            <w:vAlign w:val="center"/>
            <w:hideMark/>
          </w:tcPr>
          <w:p w14:paraId="2B0B9FC3" w14:textId="44FFA673"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-15 %</w:t>
            </w:r>
          </w:p>
        </w:tc>
      </w:tr>
      <w:tr w:rsidR="00F15667" w:rsidRPr="00F15667" w14:paraId="114FB40C" w14:textId="77777777" w:rsidTr="00115F4F">
        <w:trPr>
          <w:trHeight w:val="315"/>
        </w:trPr>
        <w:tc>
          <w:tcPr>
            <w:tcW w:w="1843" w:type="dxa"/>
            <w:tcBorders>
              <w:top w:val="nil"/>
              <w:left w:val="nil"/>
              <w:bottom w:val="single" w:sz="4" w:space="0" w:color="auto"/>
              <w:right w:val="nil"/>
            </w:tcBorders>
            <w:shd w:val="clear" w:color="auto" w:fill="auto"/>
            <w:noWrap/>
            <w:vAlign w:val="center"/>
            <w:hideMark/>
          </w:tcPr>
          <w:p w14:paraId="3992C667" w14:textId="77777777" w:rsidR="00332B4C" w:rsidRPr="00F15667" w:rsidRDefault="00332B4C" w:rsidP="00115F4F">
            <w:pPr>
              <w:spacing w:line="240" w:lineRule="auto"/>
              <w:jc w:val="left"/>
              <w:rPr>
                <w:rFonts w:eastAsia="Times New Roman"/>
                <w:szCs w:val="24"/>
                <w:lang w:eastAsia="cs-CZ"/>
              </w:rPr>
            </w:pPr>
            <w:r w:rsidRPr="00F15667">
              <w:rPr>
                <w:rFonts w:eastAsia="Times New Roman"/>
                <w:szCs w:val="24"/>
                <w:lang w:eastAsia="cs-CZ"/>
              </w:rPr>
              <w:t>KS Brno</w:t>
            </w:r>
          </w:p>
        </w:tc>
        <w:tc>
          <w:tcPr>
            <w:tcW w:w="1180" w:type="dxa"/>
            <w:tcBorders>
              <w:top w:val="nil"/>
              <w:left w:val="nil"/>
              <w:bottom w:val="single" w:sz="4" w:space="0" w:color="auto"/>
              <w:right w:val="nil"/>
            </w:tcBorders>
            <w:shd w:val="clear" w:color="auto" w:fill="auto"/>
            <w:noWrap/>
            <w:vAlign w:val="center"/>
            <w:hideMark/>
          </w:tcPr>
          <w:p w14:paraId="4ED22114" w14:textId="77777777"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6</w:t>
            </w:r>
          </w:p>
        </w:tc>
        <w:tc>
          <w:tcPr>
            <w:tcW w:w="1195" w:type="dxa"/>
            <w:tcBorders>
              <w:top w:val="nil"/>
              <w:left w:val="nil"/>
              <w:bottom w:val="single" w:sz="4" w:space="0" w:color="auto"/>
              <w:right w:val="nil"/>
            </w:tcBorders>
            <w:shd w:val="clear" w:color="auto" w:fill="auto"/>
            <w:noWrap/>
            <w:vAlign w:val="center"/>
            <w:hideMark/>
          </w:tcPr>
          <w:p w14:paraId="6E4BD6ED" w14:textId="166F75F9"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103,50</w:t>
            </w:r>
          </w:p>
        </w:tc>
        <w:tc>
          <w:tcPr>
            <w:tcW w:w="890" w:type="dxa"/>
            <w:tcBorders>
              <w:top w:val="nil"/>
              <w:left w:val="nil"/>
              <w:bottom w:val="single" w:sz="4" w:space="0" w:color="auto"/>
              <w:right w:val="nil"/>
            </w:tcBorders>
            <w:shd w:val="clear" w:color="auto" w:fill="auto"/>
            <w:noWrap/>
            <w:vAlign w:val="center"/>
            <w:hideMark/>
          </w:tcPr>
          <w:p w14:paraId="6E813A0E" w14:textId="1EA1699D"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094" w:type="dxa"/>
            <w:tcBorders>
              <w:top w:val="nil"/>
              <w:left w:val="single" w:sz="4" w:space="0" w:color="auto"/>
              <w:bottom w:val="single" w:sz="4" w:space="0" w:color="auto"/>
              <w:right w:val="nil"/>
            </w:tcBorders>
            <w:shd w:val="clear" w:color="auto" w:fill="auto"/>
            <w:noWrap/>
            <w:vAlign w:val="center"/>
            <w:hideMark/>
          </w:tcPr>
          <w:p w14:paraId="6E9D23F1" w14:textId="1AB4765F"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125,83</w:t>
            </w:r>
          </w:p>
        </w:tc>
        <w:tc>
          <w:tcPr>
            <w:tcW w:w="888" w:type="dxa"/>
            <w:tcBorders>
              <w:top w:val="nil"/>
              <w:left w:val="nil"/>
              <w:bottom w:val="single" w:sz="4" w:space="0" w:color="auto"/>
              <w:right w:val="single" w:sz="4" w:space="0" w:color="auto"/>
            </w:tcBorders>
            <w:shd w:val="clear" w:color="auto" w:fill="auto"/>
            <w:noWrap/>
            <w:vAlign w:val="center"/>
            <w:hideMark/>
          </w:tcPr>
          <w:p w14:paraId="1D78D44E" w14:textId="315D6BBA"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+6 %</w:t>
            </w:r>
          </w:p>
        </w:tc>
        <w:tc>
          <w:tcPr>
            <w:tcW w:w="1097" w:type="dxa"/>
            <w:tcBorders>
              <w:top w:val="nil"/>
              <w:left w:val="nil"/>
              <w:bottom w:val="single" w:sz="4" w:space="0" w:color="auto"/>
              <w:right w:val="nil"/>
            </w:tcBorders>
            <w:shd w:val="clear" w:color="auto" w:fill="auto"/>
            <w:noWrap/>
            <w:vAlign w:val="center"/>
            <w:hideMark/>
          </w:tcPr>
          <w:p w14:paraId="3F7582A3" w14:textId="2F94DC79"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138,00</w:t>
            </w:r>
          </w:p>
        </w:tc>
        <w:tc>
          <w:tcPr>
            <w:tcW w:w="888" w:type="dxa"/>
            <w:tcBorders>
              <w:top w:val="nil"/>
              <w:left w:val="nil"/>
              <w:bottom w:val="single" w:sz="4" w:space="0" w:color="auto"/>
              <w:right w:val="nil"/>
            </w:tcBorders>
            <w:shd w:val="clear" w:color="auto" w:fill="auto"/>
            <w:noWrap/>
            <w:vAlign w:val="center"/>
            <w:hideMark/>
          </w:tcPr>
          <w:p w14:paraId="1A2179F0" w14:textId="67FA812E"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-14 %</w:t>
            </w:r>
          </w:p>
        </w:tc>
      </w:tr>
      <w:tr w:rsidR="00F15667" w:rsidRPr="00F15667" w14:paraId="5B512725" w14:textId="77777777" w:rsidTr="00115F4F">
        <w:trPr>
          <w:trHeight w:val="330"/>
        </w:trPr>
        <w:tc>
          <w:tcPr>
            <w:tcW w:w="1843" w:type="dxa"/>
            <w:tcBorders>
              <w:top w:val="nil"/>
              <w:left w:val="nil"/>
              <w:bottom w:val="double" w:sz="6" w:space="0" w:color="auto"/>
              <w:right w:val="nil"/>
            </w:tcBorders>
            <w:shd w:val="clear" w:color="auto" w:fill="auto"/>
            <w:noWrap/>
            <w:vAlign w:val="center"/>
            <w:hideMark/>
          </w:tcPr>
          <w:p w14:paraId="39BAEB41" w14:textId="77777777" w:rsidR="00332B4C" w:rsidRPr="00F15667" w:rsidRDefault="00332B4C" w:rsidP="00115F4F">
            <w:pPr>
              <w:spacing w:line="240" w:lineRule="auto"/>
              <w:jc w:val="left"/>
              <w:rPr>
                <w:rFonts w:eastAsia="Times New Roman"/>
                <w:szCs w:val="24"/>
                <w:lang w:eastAsia="cs-CZ"/>
              </w:rPr>
            </w:pPr>
            <w:r w:rsidRPr="00F15667">
              <w:rPr>
                <w:rFonts w:eastAsia="Times New Roman"/>
                <w:szCs w:val="24"/>
                <w:lang w:eastAsia="cs-CZ"/>
              </w:rPr>
              <w:t>KS Ostrava</w:t>
            </w:r>
          </w:p>
        </w:tc>
        <w:tc>
          <w:tcPr>
            <w:tcW w:w="1180" w:type="dxa"/>
            <w:tcBorders>
              <w:top w:val="nil"/>
              <w:left w:val="nil"/>
              <w:bottom w:val="double" w:sz="6" w:space="0" w:color="auto"/>
              <w:right w:val="nil"/>
            </w:tcBorders>
            <w:shd w:val="clear" w:color="auto" w:fill="auto"/>
            <w:noWrap/>
            <w:vAlign w:val="center"/>
            <w:hideMark/>
          </w:tcPr>
          <w:p w14:paraId="52DFED9C" w14:textId="7257CD2C"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10,5</w:t>
            </w:r>
          </w:p>
        </w:tc>
        <w:tc>
          <w:tcPr>
            <w:tcW w:w="1195" w:type="dxa"/>
            <w:tcBorders>
              <w:top w:val="nil"/>
              <w:left w:val="nil"/>
              <w:bottom w:val="double" w:sz="6" w:space="0" w:color="auto"/>
              <w:right w:val="nil"/>
            </w:tcBorders>
            <w:shd w:val="clear" w:color="auto" w:fill="auto"/>
            <w:noWrap/>
            <w:vAlign w:val="center"/>
            <w:hideMark/>
          </w:tcPr>
          <w:p w14:paraId="73AB6112" w14:textId="61A462E1"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53,43</w:t>
            </w:r>
          </w:p>
        </w:tc>
        <w:tc>
          <w:tcPr>
            <w:tcW w:w="890" w:type="dxa"/>
            <w:tcBorders>
              <w:top w:val="nil"/>
              <w:left w:val="nil"/>
              <w:bottom w:val="double" w:sz="6" w:space="0" w:color="auto"/>
              <w:right w:val="nil"/>
            </w:tcBorders>
            <w:shd w:val="clear" w:color="auto" w:fill="auto"/>
            <w:noWrap/>
            <w:vAlign w:val="center"/>
            <w:hideMark/>
          </w:tcPr>
          <w:p w14:paraId="10B7E2DB" w14:textId="103AADE9"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1094" w:type="dxa"/>
            <w:tcBorders>
              <w:top w:val="nil"/>
              <w:left w:val="single" w:sz="4" w:space="0" w:color="auto"/>
              <w:bottom w:val="double" w:sz="6" w:space="0" w:color="auto"/>
              <w:right w:val="nil"/>
            </w:tcBorders>
            <w:shd w:val="clear" w:color="auto" w:fill="auto"/>
            <w:noWrap/>
            <w:vAlign w:val="center"/>
            <w:hideMark/>
          </w:tcPr>
          <w:p w14:paraId="7986B403" w14:textId="0A99ABF3"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67,14</w:t>
            </w:r>
          </w:p>
        </w:tc>
        <w:tc>
          <w:tcPr>
            <w:tcW w:w="888" w:type="dxa"/>
            <w:tcBorders>
              <w:top w:val="nil"/>
              <w:left w:val="nil"/>
              <w:bottom w:val="double" w:sz="6" w:space="0" w:color="auto"/>
              <w:right w:val="single" w:sz="4" w:space="0" w:color="auto"/>
            </w:tcBorders>
            <w:shd w:val="clear" w:color="auto" w:fill="auto"/>
            <w:noWrap/>
            <w:vAlign w:val="center"/>
            <w:hideMark/>
          </w:tcPr>
          <w:p w14:paraId="3FB4C9BB" w14:textId="362E8236"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-4 %</w:t>
            </w:r>
          </w:p>
        </w:tc>
        <w:tc>
          <w:tcPr>
            <w:tcW w:w="1097" w:type="dxa"/>
            <w:tcBorders>
              <w:top w:val="nil"/>
              <w:left w:val="nil"/>
              <w:bottom w:val="double" w:sz="6" w:space="0" w:color="auto"/>
              <w:right w:val="nil"/>
            </w:tcBorders>
            <w:shd w:val="clear" w:color="auto" w:fill="auto"/>
            <w:noWrap/>
            <w:vAlign w:val="center"/>
            <w:hideMark/>
          </w:tcPr>
          <w:p w14:paraId="15ABE17B" w14:textId="1F13625C" w:rsidR="00332B4C" w:rsidRPr="00F15667" w:rsidRDefault="00332B4C" w:rsidP="00115F4F">
            <w:pPr>
              <w:spacing w:line="240" w:lineRule="auto"/>
              <w:jc w:val="center"/>
              <w:rPr>
                <w:rFonts w:eastAsia="Times New Roman"/>
                <w:szCs w:val="24"/>
                <w:lang w:eastAsia="cs-CZ"/>
              </w:rPr>
            </w:pPr>
            <w:r w:rsidRPr="00F15667">
              <w:rPr>
                <w:rFonts w:eastAsia="Times New Roman"/>
                <w:szCs w:val="24"/>
                <w:lang w:eastAsia="cs-CZ"/>
              </w:rPr>
              <w:t>52,57</w:t>
            </w:r>
          </w:p>
        </w:tc>
        <w:tc>
          <w:tcPr>
            <w:tcW w:w="888" w:type="dxa"/>
            <w:tcBorders>
              <w:top w:val="nil"/>
              <w:left w:val="nil"/>
              <w:bottom w:val="double" w:sz="6" w:space="0" w:color="auto"/>
              <w:right w:val="nil"/>
            </w:tcBorders>
            <w:shd w:val="clear" w:color="auto" w:fill="auto"/>
            <w:noWrap/>
            <w:vAlign w:val="center"/>
            <w:hideMark/>
          </w:tcPr>
          <w:p w14:paraId="7DF5D74A" w14:textId="31461ECB" w:rsidR="00332B4C" w:rsidRPr="00F15667" w:rsidRDefault="00332B4C" w:rsidP="00115F4F">
            <w:pPr>
              <w:spacing w:line="240" w:lineRule="auto"/>
              <w:jc w:val="center"/>
              <w:rPr>
                <w:rFonts w:eastAsia="Times New Roman"/>
                <w:sz w:val="20"/>
                <w:szCs w:val="20"/>
                <w:lang w:eastAsia="cs-CZ"/>
              </w:rPr>
            </w:pPr>
            <w:r w:rsidRPr="00F15667">
              <w:rPr>
                <w:rFonts w:eastAsia="Times New Roman"/>
                <w:sz w:val="20"/>
                <w:szCs w:val="20"/>
                <w:lang w:eastAsia="cs-CZ"/>
              </w:rPr>
              <w:t>-21 %</w:t>
            </w:r>
          </w:p>
        </w:tc>
      </w:tr>
      <w:tr w:rsidR="00F15667" w:rsidRPr="00F15667" w14:paraId="4D8320D2" w14:textId="77777777" w:rsidTr="00115F4F">
        <w:trPr>
          <w:trHeight w:val="345"/>
        </w:trPr>
        <w:tc>
          <w:tcPr>
            <w:tcW w:w="1843" w:type="dxa"/>
            <w:tcBorders>
              <w:top w:val="nil"/>
              <w:left w:val="nil"/>
              <w:bottom w:val="double" w:sz="6" w:space="0" w:color="auto"/>
              <w:right w:val="nil"/>
            </w:tcBorders>
            <w:shd w:val="clear" w:color="auto" w:fill="auto"/>
            <w:noWrap/>
            <w:vAlign w:val="center"/>
            <w:hideMark/>
          </w:tcPr>
          <w:p w14:paraId="53579A9F" w14:textId="77777777" w:rsidR="00332B4C" w:rsidRPr="00F15667" w:rsidRDefault="00332B4C" w:rsidP="00115F4F">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180" w:type="dxa"/>
            <w:tcBorders>
              <w:top w:val="nil"/>
              <w:left w:val="nil"/>
              <w:bottom w:val="double" w:sz="6" w:space="0" w:color="auto"/>
              <w:right w:val="nil"/>
            </w:tcBorders>
            <w:shd w:val="clear" w:color="auto" w:fill="auto"/>
            <w:noWrap/>
            <w:vAlign w:val="center"/>
            <w:hideMark/>
          </w:tcPr>
          <w:p w14:paraId="62D399FB" w14:textId="3812ACD8" w:rsidR="00332B4C" w:rsidRPr="00F15667" w:rsidRDefault="00332B4C" w:rsidP="00115F4F">
            <w:pPr>
              <w:spacing w:line="240" w:lineRule="auto"/>
              <w:jc w:val="center"/>
              <w:rPr>
                <w:rFonts w:eastAsia="Times New Roman"/>
                <w:b/>
                <w:bCs/>
                <w:szCs w:val="24"/>
                <w:lang w:eastAsia="cs-CZ"/>
              </w:rPr>
            </w:pPr>
            <w:r w:rsidRPr="00F15667">
              <w:rPr>
                <w:rFonts w:eastAsia="Times New Roman"/>
                <w:b/>
                <w:bCs/>
                <w:szCs w:val="24"/>
                <w:lang w:eastAsia="cs-CZ"/>
              </w:rPr>
              <w:t>37,1</w:t>
            </w:r>
          </w:p>
        </w:tc>
        <w:tc>
          <w:tcPr>
            <w:tcW w:w="1195" w:type="dxa"/>
            <w:tcBorders>
              <w:top w:val="nil"/>
              <w:left w:val="nil"/>
              <w:bottom w:val="double" w:sz="6" w:space="0" w:color="auto"/>
              <w:right w:val="nil"/>
            </w:tcBorders>
            <w:shd w:val="clear" w:color="auto" w:fill="auto"/>
            <w:noWrap/>
            <w:vAlign w:val="center"/>
            <w:hideMark/>
          </w:tcPr>
          <w:p w14:paraId="6AC71250" w14:textId="54E84775" w:rsidR="00332B4C" w:rsidRPr="00F15667" w:rsidRDefault="00332B4C" w:rsidP="00115F4F">
            <w:pPr>
              <w:spacing w:line="240" w:lineRule="auto"/>
              <w:jc w:val="center"/>
              <w:rPr>
                <w:rFonts w:eastAsia="Times New Roman"/>
                <w:b/>
                <w:bCs/>
                <w:szCs w:val="24"/>
                <w:lang w:eastAsia="cs-CZ"/>
              </w:rPr>
            </w:pPr>
            <w:r w:rsidRPr="00F15667">
              <w:rPr>
                <w:rFonts w:eastAsia="Times New Roman"/>
                <w:b/>
                <w:bCs/>
                <w:szCs w:val="24"/>
                <w:lang w:eastAsia="cs-CZ"/>
              </w:rPr>
              <w:t>99,57</w:t>
            </w:r>
          </w:p>
        </w:tc>
        <w:tc>
          <w:tcPr>
            <w:tcW w:w="890" w:type="dxa"/>
            <w:tcBorders>
              <w:top w:val="nil"/>
              <w:left w:val="nil"/>
              <w:bottom w:val="double" w:sz="6" w:space="0" w:color="auto"/>
              <w:right w:val="nil"/>
            </w:tcBorders>
            <w:shd w:val="clear" w:color="auto" w:fill="auto"/>
            <w:noWrap/>
            <w:vAlign w:val="center"/>
            <w:hideMark/>
          </w:tcPr>
          <w:p w14:paraId="721688FC" w14:textId="6A182F08" w:rsidR="00332B4C" w:rsidRPr="00F15667" w:rsidRDefault="00332B4C"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-2 %</w:t>
            </w:r>
          </w:p>
        </w:tc>
        <w:tc>
          <w:tcPr>
            <w:tcW w:w="1094" w:type="dxa"/>
            <w:tcBorders>
              <w:top w:val="nil"/>
              <w:left w:val="single" w:sz="4" w:space="0" w:color="auto"/>
              <w:bottom w:val="double" w:sz="6" w:space="0" w:color="auto"/>
              <w:right w:val="nil"/>
            </w:tcBorders>
            <w:shd w:val="clear" w:color="auto" w:fill="auto"/>
            <w:noWrap/>
            <w:vAlign w:val="center"/>
            <w:hideMark/>
          </w:tcPr>
          <w:p w14:paraId="65922A8C" w14:textId="16F060DA" w:rsidR="00332B4C" w:rsidRPr="00F15667" w:rsidRDefault="00332B4C" w:rsidP="00115F4F">
            <w:pPr>
              <w:spacing w:line="240" w:lineRule="auto"/>
              <w:jc w:val="center"/>
              <w:rPr>
                <w:rFonts w:eastAsia="Times New Roman"/>
                <w:b/>
                <w:bCs/>
                <w:szCs w:val="24"/>
                <w:lang w:eastAsia="cs-CZ"/>
              </w:rPr>
            </w:pPr>
            <w:r w:rsidRPr="00F15667">
              <w:rPr>
                <w:rFonts w:eastAsia="Times New Roman"/>
                <w:b/>
                <w:bCs/>
                <w:szCs w:val="24"/>
                <w:lang w:eastAsia="cs-CZ"/>
              </w:rPr>
              <w:t>111,35</w:t>
            </w:r>
          </w:p>
        </w:tc>
        <w:tc>
          <w:tcPr>
            <w:tcW w:w="888" w:type="dxa"/>
            <w:tcBorders>
              <w:top w:val="nil"/>
              <w:left w:val="nil"/>
              <w:bottom w:val="double" w:sz="6" w:space="0" w:color="auto"/>
              <w:right w:val="single" w:sz="4" w:space="0" w:color="auto"/>
            </w:tcBorders>
            <w:shd w:val="clear" w:color="auto" w:fill="auto"/>
            <w:noWrap/>
            <w:vAlign w:val="center"/>
            <w:hideMark/>
          </w:tcPr>
          <w:p w14:paraId="33773891" w14:textId="3CD12537" w:rsidR="00332B4C" w:rsidRPr="00F15667" w:rsidRDefault="00332B4C"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-6 %</w:t>
            </w:r>
          </w:p>
        </w:tc>
        <w:tc>
          <w:tcPr>
            <w:tcW w:w="1097" w:type="dxa"/>
            <w:tcBorders>
              <w:top w:val="nil"/>
              <w:left w:val="nil"/>
              <w:bottom w:val="double" w:sz="6" w:space="0" w:color="auto"/>
              <w:right w:val="nil"/>
            </w:tcBorders>
            <w:shd w:val="clear" w:color="auto" w:fill="auto"/>
            <w:noWrap/>
            <w:vAlign w:val="center"/>
            <w:hideMark/>
          </w:tcPr>
          <w:p w14:paraId="7FC1E83E" w14:textId="510B9454" w:rsidR="00332B4C" w:rsidRPr="00F15667" w:rsidRDefault="00332B4C" w:rsidP="00115F4F">
            <w:pPr>
              <w:spacing w:line="240" w:lineRule="auto"/>
              <w:jc w:val="center"/>
              <w:rPr>
                <w:rFonts w:eastAsia="Times New Roman"/>
                <w:b/>
                <w:bCs/>
                <w:szCs w:val="24"/>
                <w:lang w:eastAsia="cs-CZ"/>
              </w:rPr>
            </w:pPr>
            <w:r w:rsidRPr="00F15667">
              <w:rPr>
                <w:rFonts w:eastAsia="Times New Roman"/>
                <w:b/>
                <w:bCs/>
                <w:szCs w:val="24"/>
                <w:lang w:eastAsia="cs-CZ"/>
              </w:rPr>
              <w:t>105,90</w:t>
            </w:r>
          </w:p>
        </w:tc>
        <w:tc>
          <w:tcPr>
            <w:tcW w:w="888" w:type="dxa"/>
            <w:tcBorders>
              <w:top w:val="nil"/>
              <w:left w:val="nil"/>
              <w:bottom w:val="double" w:sz="6" w:space="0" w:color="auto"/>
              <w:right w:val="nil"/>
            </w:tcBorders>
            <w:shd w:val="clear" w:color="auto" w:fill="auto"/>
            <w:noWrap/>
            <w:vAlign w:val="center"/>
            <w:hideMark/>
          </w:tcPr>
          <w:p w14:paraId="4CF77CFF" w14:textId="3E8D8A9E" w:rsidR="00332B4C" w:rsidRPr="00F15667" w:rsidRDefault="00332B4C"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-10 %</w:t>
            </w:r>
          </w:p>
        </w:tc>
      </w:tr>
      <w:tr w:rsidR="00F15667" w:rsidRPr="00F15667" w14:paraId="3E95FFE5" w14:textId="77777777" w:rsidTr="00115F4F">
        <w:trPr>
          <w:trHeight w:val="330"/>
        </w:trPr>
        <w:tc>
          <w:tcPr>
            <w:tcW w:w="1843" w:type="dxa"/>
            <w:tcBorders>
              <w:top w:val="nil"/>
              <w:left w:val="nil"/>
              <w:bottom w:val="nil"/>
              <w:right w:val="nil"/>
            </w:tcBorders>
            <w:shd w:val="clear" w:color="auto" w:fill="auto"/>
            <w:noWrap/>
            <w:vAlign w:val="center"/>
            <w:hideMark/>
          </w:tcPr>
          <w:p w14:paraId="3A8EFE7E" w14:textId="77777777" w:rsidR="00332B4C" w:rsidRPr="00F15667" w:rsidRDefault="00332B4C" w:rsidP="00115F4F">
            <w:pPr>
              <w:spacing w:line="240" w:lineRule="auto"/>
              <w:jc w:val="center"/>
              <w:rPr>
                <w:rFonts w:eastAsia="Times New Roman"/>
                <w:b/>
                <w:bCs/>
                <w:sz w:val="20"/>
                <w:szCs w:val="20"/>
                <w:lang w:eastAsia="cs-CZ"/>
              </w:rPr>
            </w:pPr>
          </w:p>
        </w:tc>
        <w:tc>
          <w:tcPr>
            <w:tcW w:w="1180" w:type="dxa"/>
            <w:tcBorders>
              <w:top w:val="nil"/>
              <w:left w:val="nil"/>
              <w:bottom w:val="nil"/>
              <w:right w:val="nil"/>
            </w:tcBorders>
            <w:shd w:val="clear" w:color="auto" w:fill="auto"/>
            <w:noWrap/>
            <w:vAlign w:val="center"/>
            <w:hideMark/>
          </w:tcPr>
          <w:p w14:paraId="1AC5F853" w14:textId="77777777" w:rsidR="00332B4C" w:rsidRPr="00F15667" w:rsidRDefault="00332B4C" w:rsidP="00115F4F">
            <w:pPr>
              <w:spacing w:line="240" w:lineRule="auto"/>
              <w:jc w:val="center"/>
              <w:rPr>
                <w:rFonts w:ascii="Times New Roman" w:eastAsia="Times New Roman" w:hAnsi="Times New Roman"/>
                <w:sz w:val="20"/>
                <w:szCs w:val="20"/>
                <w:lang w:eastAsia="cs-CZ"/>
              </w:rPr>
            </w:pPr>
          </w:p>
        </w:tc>
        <w:tc>
          <w:tcPr>
            <w:tcW w:w="1195" w:type="dxa"/>
            <w:tcBorders>
              <w:top w:val="nil"/>
              <w:left w:val="nil"/>
              <w:bottom w:val="nil"/>
              <w:right w:val="nil"/>
            </w:tcBorders>
            <w:shd w:val="clear" w:color="auto" w:fill="auto"/>
            <w:noWrap/>
            <w:vAlign w:val="center"/>
            <w:hideMark/>
          </w:tcPr>
          <w:p w14:paraId="37D445BF" w14:textId="77777777" w:rsidR="00332B4C" w:rsidRPr="00F15667" w:rsidRDefault="00332B4C" w:rsidP="00115F4F">
            <w:pPr>
              <w:spacing w:line="240" w:lineRule="auto"/>
              <w:jc w:val="center"/>
              <w:rPr>
                <w:rFonts w:ascii="Times New Roman" w:eastAsia="Times New Roman" w:hAnsi="Times New Roman"/>
                <w:sz w:val="20"/>
                <w:szCs w:val="20"/>
                <w:lang w:eastAsia="cs-CZ"/>
              </w:rPr>
            </w:pPr>
          </w:p>
        </w:tc>
        <w:tc>
          <w:tcPr>
            <w:tcW w:w="890" w:type="dxa"/>
            <w:tcBorders>
              <w:top w:val="nil"/>
              <w:left w:val="nil"/>
              <w:bottom w:val="nil"/>
              <w:right w:val="nil"/>
            </w:tcBorders>
            <w:shd w:val="clear" w:color="auto" w:fill="auto"/>
            <w:noWrap/>
            <w:vAlign w:val="center"/>
            <w:hideMark/>
          </w:tcPr>
          <w:p w14:paraId="65846FB3" w14:textId="77777777" w:rsidR="00332B4C" w:rsidRPr="00F15667" w:rsidRDefault="00332B4C" w:rsidP="00115F4F">
            <w:pPr>
              <w:spacing w:line="240" w:lineRule="auto"/>
              <w:jc w:val="center"/>
              <w:rPr>
                <w:rFonts w:ascii="Times New Roman" w:eastAsia="Times New Roman" w:hAnsi="Times New Roman"/>
                <w:sz w:val="20"/>
                <w:szCs w:val="20"/>
                <w:lang w:eastAsia="cs-CZ"/>
              </w:rPr>
            </w:pPr>
          </w:p>
        </w:tc>
        <w:tc>
          <w:tcPr>
            <w:tcW w:w="1094" w:type="dxa"/>
            <w:tcBorders>
              <w:top w:val="nil"/>
              <w:left w:val="nil"/>
              <w:bottom w:val="nil"/>
              <w:right w:val="nil"/>
            </w:tcBorders>
            <w:shd w:val="clear" w:color="auto" w:fill="auto"/>
            <w:noWrap/>
            <w:vAlign w:val="center"/>
            <w:hideMark/>
          </w:tcPr>
          <w:p w14:paraId="24BE1287" w14:textId="77777777" w:rsidR="00332B4C" w:rsidRPr="00F15667" w:rsidRDefault="00332B4C" w:rsidP="00115F4F">
            <w:pPr>
              <w:spacing w:line="240" w:lineRule="auto"/>
              <w:jc w:val="center"/>
              <w:rPr>
                <w:rFonts w:ascii="Times New Roman" w:eastAsia="Times New Roman" w:hAnsi="Times New Roman"/>
                <w:sz w:val="20"/>
                <w:szCs w:val="20"/>
                <w:lang w:eastAsia="cs-CZ"/>
              </w:rPr>
            </w:pPr>
          </w:p>
        </w:tc>
        <w:tc>
          <w:tcPr>
            <w:tcW w:w="888" w:type="dxa"/>
            <w:tcBorders>
              <w:top w:val="nil"/>
              <w:left w:val="nil"/>
              <w:bottom w:val="nil"/>
              <w:right w:val="nil"/>
            </w:tcBorders>
            <w:shd w:val="clear" w:color="auto" w:fill="auto"/>
            <w:noWrap/>
            <w:vAlign w:val="center"/>
            <w:hideMark/>
          </w:tcPr>
          <w:p w14:paraId="2AD9791F" w14:textId="77777777" w:rsidR="00332B4C" w:rsidRPr="00F15667" w:rsidRDefault="00332B4C" w:rsidP="00115F4F">
            <w:pPr>
              <w:spacing w:line="240" w:lineRule="auto"/>
              <w:jc w:val="center"/>
              <w:rPr>
                <w:rFonts w:ascii="Times New Roman" w:eastAsia="Times New Roman" w:hAnsi="Times New Roman"/>
                <w:sz w:val="20"/>
                <w:szCs w:val="20"/>
                <w:lang w:eastAsia="cs-CZ"/>
              </w:rPr>
            </w:pPr>
          </w:p>
        </w:tc>
        <w:tc>
          <w:tcPr>
            <w:tcW w:w="1097" w:type="dxa"/>
            <w:tcBorders>
              <w:top w:val="nil"/>
              <w:left w:val="nil"/>
              <w:bottom w:val="nil"/>
              <w:right w:val="nil"/>
            </w:tcBorders>
            <w:shd w:val="clear" w:color="auto" w:fill="auto"/>
            <w:noWrap/>
            <w:vAlign w:val="center"/>
            <w:hideMark/>
          </w:tcPr>
          <w:p w14:paraId="740856F3" w14:textId="77777777" w:rsidR="00332B4C" w:rsidRPr="00F15667" w:rsidRDefault="00332B4C" w:rsidP="00115F4F">
            <w:pPr>
              <w:spacing w:line="240" w:lineRule="auto"/>
              <w:jc w:val="center"/>
              <w:rPr>
                <w:rFonts w:ascii="Times New Roman" w:eastAsia="Times New Roman" w:hAnsi="Times New Roman"/>
                <w:sz w:val="20"/>
                <w:szCs w:val="20"/>
                <w:lang w:eastAsia="cs-CZ"/>
              </w:rPr>
            </w:pPr>
          </w:p>
        </w:tc>
        <w:tc>
          <w:tcPr>
            <w:tcW w:w="888" w:type="dxa"/>
            <w:tcBorders>
              <w:top w:val="nil"/>
              <w:left w:val="nil"/>
              <w:bottom w:val="nil"/>
              <w:right w:val="nil"/>
            </w:tcBorders>
            <w:shd w:val="clear" w:color="auto" w:fill="auto"/>
            <w:noWrap/>
            <w:vAlign w:val="center"/>
            <w:hideMark/>
          </w:tcPr>
          <w:p w14:paraId="7EFCAD6C" w14:textId="77777777" w:rsidR="00332B4C" w:rsidRPr="00F15667" w:rsidRDefault="00332B4C" w:rsidP="00115F4F">
            <w:pPr>
              <w:spacing w:line="240" w:lineRule="auto"/>
              <w:jc w:val="center"/>
              <w:rPr>
                <w:rFonts w:ascii="Times New Roman" w:eastAsia="Times New Roman" w:hAnsi="Times New Roman"/>
                <w:sz w:val="20"/>
                <w:szCs w:val="20"/>
                <w:lang w:eastAsia="cs-CZ"/>
              </w:rPr>
            </w:pPr>
          </w:p>
        </w:tc>
      </w:tr>
    </w:tbl>
    <w:p w14:paraId="4D0803D8" w14:textId="77777777" w:rsidR="00332B4C" w:rsidRPr="00F15667" w:rsidRDefault="00332B4C" w:rsidP="00115F4F">
      <w:pPr>
        <w:pStyle w:val="OdstavecASR"/>
      </w:pPr>
      <w:r w:rsidRPr="00F15667">
        <w:t>Tato tabulka dobře dokumentuje skutečnost, že na snižování počtu nevyřízených věcí má v současné době vliv spíše vývoj věcí příchozích než tempo vyřizování věcí. Zdaleka nejvíce nevyřízených věcí na soudce vykazuje MS Praha. Tento soud má také vysoké délky řízení a data naznačují, že může mít problémy s vyřizováním incidenčních sporů. Následuje KS Brno, které také vykazuje vysoké délky řízení, a dále KS Praha.</w:t>
      </w:r>
    </w:p>
    <w:p w14:paraId="47884352" w14:textId="77777777" w:rsidR="00332B4C" w:rsidRPr="00F15667" w:rsidRDefault="00332B4C" w:rsidP="00115F4F">
      <w:pPr>
        <w:pStyle w:val="OdstavecASR"/>
      </w:pPr>
      <w:r w:rsidRPr="00F15667">
        <w:t>Malý počet příchozích a vyřízených věcí na soudce má KS Ostrava, což lze dobře vysvětlit. Tento soud řeší opravdu složité incidenční spory, z nichž jsou některé známy i ze sdělovacích prostředků.</w:t>
      </w:r>
    </w:p>
    <w:p w14:paraId="518B7010" w14:textId="590806CA" w:rsidR="00332B4C" w:rsidRPr="00F15667" w:rsidRDefault="00332B4C" w:rsidP="00115F4F">
      <w:pPr>
        <w:pStyle w:val="OdstavecASR"/>
      </w:pPr>
      <w:r w:rsidRPr="00F15667">
        <w:t>Obdobně malé počty nicméně vykazuje KS České Budějovice. Zde je ovšem třeba poznamenat, že počet soudců, kteří vyřizují incidenční spory, je relativně malý, a tedy i malé změny v počtu soudců ovlivní konečný přepočet.</w:t>
      </w:r>
    </w:p>
    <w:p w14:paraId="2C415854" w14:textId="0EE1BBDE" w:rsidR="00332B4C" w:rsidRPr="00F15667" w:rsidRDefault="00332B4C" w:rsidP="00115F4F">
      <w:pPr>
        <w:pStyle w:val="OdstavecASR"/>
      </w:pPr>
      <w:r w:rsidRPr="00F15667">
        <w:lastRenderedPageBreak/>
        <w:t>U MS v Praze došlo ke skokové</w:t>
      </w:r>
      <w:r w:rsidR="00065AFE" w:rsidRPr="00F15667">
        <w:t>mu</w:t>
      </w:r>
      <w:r w:rsidRPr="00F15667">
        <w:t xml:space="preserve"> zvýšení počtu soudců a u KS v Plzni naopak ke skokovému snížení v počtu soudců. To se logicky promítlo i ve velkých pohybech v přepočtu věcí na soudce.</w:t>
      </w:r>
    </w:p>
    <w:p w14:paraId="6D56F665" w14:textId="77777777" w:rsidR="00332B4C" w:rsidRPr="00F15667" w:rsidRDefault="00332B4C" w:rsidP="00115F4F">
      <w:pPr>
        <w:pStyle w:val="OdstavecASR"/>
      </w:pPr>
      <w:r w:rsidRPr="00F15667">
        <w:t>Nakonec je ještě třeba upozornit na srovnání s obchodní a civilní agendou. Počet příchozích a vyřízených věcí na soudce je u incidenčních sporů výrazně nižší, což opět ukazuje na složitost této agendy.</w:t>
      </w:r>
    </w:p>
    <w:p w14:paraId="6F25E058" w14:textId="6BB79B9E" w:rsidR="008430BD" w:rsidRPr="00F15667" w:rsidRDefault="008430BD" w:rsidP="008430BD">
      <w:pPr>
        <w:pStyle w:val="Nadpis3"/>
        <w:numPr>
          <w:ilvl w:val="2"/>
          <w:numId w:val="1"/>
        </w:numPr>
        <w:rPr>
          <w:color w:val="auto"/>
        </w:rPr>
      </w:pPr>
      <w:bookmarkStart w:id="1007" w:name="_Toc106092788"/>
      <w:bookmarkStart w:id="1008" w:name="_Toc144104401"/>
      <w:r w:rsidRPr="00F15667">
        <w:rPr>
          <w:color w:val="auto"/>
        </w:rPr>
        <w:t>Disposition time (dispoziční čas)</w:t>
      </w:r>
      <w:bookmarkEnd w:id="1007"/>
      <w:bookmarkEnd w:id="1008"/>
    </w:p>
    <w:p w14:paraId="7393E095" w14:textId="200D3B80" w:rsidR="003C0A7C" w:rsidRPr="00F15667" w:rsidRDefault="003C0A7C" w:rsidP="003C0A7C">
      <w:pPr>
        <w:pStyle w:val="OdstavecASR"/>
      </w:pPr>
      <w:r w:rsidRPr="00F15667">
        <w:t>Disposition time a jeho výše vyplývá z údajů v podkapitole 3.8.2. Díky rostoucímu počtu vyřízených věcí a v posledních 2 letech také díky úbytku nevyřízených věcí DT postupně klesal, a to především mezi roky 2017 a 2018. V roce 2020 došlo poprvé od roku 2015 k nárůstu v DT, což plyne především z nárůstu počtu vyřízených věcí. V letech 2021 a 2022 opět došlo k poklesu, což plyne z poklesu v počtu nevyřízených věcí.</w:t>
      </w:r>
    </w:p>
    <w:p w14:paraId="0B1BB190" w14:textId="7C4030D4" w:rsidR="003C0A7C" w:rsidRPr="00F15667" w:rsidRDefault="003C0A7C" w:rsidP="003C0A7C">
      <w:pPr>
        <w:pStyle w:val="OdstavecASR"/>
      </w:pPr>
      <w:r w:rsidRPr="00F15667">
        <w:t>Mezi jednotlivými soudy jsou pak velké rozdíly, což opět plyne z počtu vyřízených a nevyřízených věcí. Absolutně nejvyšší DT má KS Brno a MS Praha, nejnižší naopak KS České Budějovice. Nárůst DT je vidět u KS v Českých Budějovicích a KS v Ústí nad Labem, protože u nich počet vyřízených věcí klesl rychleji než počet věcí nevyřízených. U ostatních soudů je tomu naopak.</w:t>
      </w:r>
    </w:p>
    <w:p w14:paraId="4077977C" w14:textId="74F16086" w:rsidR="003C0A7C" w:rsidRPr="00F15667" w:rsidRDefault="003C0A7C" w:rsidP="003C0A7C">
      <w:pPr>
        <w:pStyle w:val="Podnadpis"/>
        <w:numPr>
          <w:ilvl w:val="0"/>
          <w:numId w:val="0"/>
        </w:numPr>
        <w:rPr>
          <w:color w:val="auto"/>
        </w:rPr>
      </w:pPr>
      <w:bookmarkStart w:id="1009" w:name="_Toc43841458"/>
      <w:bookmarkStart w:id="1010" w:name="_Toc75952261"/>
      <w:bookmarkStart w:id="1011" w:name="_Toc106106718"/>
      <w:bookmarkStart w:id="1012" w:name="_Toc109802042"/>
      <w:bookmarkStart w:id="1013" w:name="_Toc144104192"/>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80</w:t>
      </w:r>
      <w:r w:rsidR="009A10E2" w:rsidRPr="00F15667">
        <w:rPr>
          <w:color w:val="auto"/>
        </w:rPr>
        <w:fldChar w:fldCharType="end"/>
      </w:r>
      <w:r w:rsidRPr="00F15667">
        <w:rPr>
          <w:color w:val="auto"/>
        </w:rPr>
        <w:t>: KS – DT incidenčních sporů v letech 2011–20</w:t>
      </w:r>
      <w:bookmarkEnd w:id="1009"/>
      <w:r w:rsidRPr="00F15667">
        <w:rPr>
          <w:color w:val="auto"/>
        </w:rPr>
        <w:t>2</w:t>
      </w:r>
      <w:bookmarkEnd w:id="1010"/>
      <w:r w:rsidRPr="00F15667">
        <w:rPr>
          <w:color w:val="auto"/>
        </w:rPr>
        <w:t>1</w:t>
      </w:r>
      <w:bookmarkEnd w:id="1011"/>
      <w:bookmarkEnd w:id="1012"/>
      <w:bookmarkEnd w:id="1013"/>
    </w:p>
    <w:p w14:paraId="7DD9F64E" w14:textId="795E95A7" w:rsidR="003C0A7C" w:rsidRDefault="003C0A7C" w:rsidP="00115F4F">
      <w:pPr>
        <w:pStyle w:val="OdstavecASR"/>
      </w:pPr>
      <w:r w:rsidRPr="00F15667">
        <w:rPr>
          <w:noProof/>
          <w:lang w:eastAsia="cs-CZ"/>
        </w:rPr>
        <w:drawing>
          <wp:inline distT="0" distB="0" distL="0" distR="0" wp14:anchorId="665AC22A" wp14:editId="21F33ADC">
            <wp:extent cx="5029200" cy="3657600"/>
            <wp:effectExtent l="0" t="0" r="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CA030A3" w14:textId="7721E2AD" w:rsidR="00115F4F" w:rsidRDefault="00115F4F">
      <w:pPr>
        <w:spacing w:after="160" w:line="259" w:lineRule="auto"/>
        <w:jc w:val="left"/>
      </w:pPr>
      <w:r>
        <w:br w:type="page"/>
      </w:r>
    </w:p>
    <w:p w14:paraId="2203D109" w14:textId="75800530" w:rsidR="003C0A7C" w:rsidRPr="00F15667" w:rsidRDefault="003C0A7C" w:rsidP="003C0A7C">
      <w:pPr>
        <w:pStyle w:val="Podnadpis"/>
        <w:rPr>
          <w:color w:val="auto"/>
        </w:rPr>
      </w:pPr>
      <w:bookmarkStart w:id="1014" w:name="_Toc75952383"/>
      <w:bookmarkStart w:id="1015" w:name="_Toc106106836"/>
      <w:bookmarkStart w:id="1016" w:name="_Toc109802159"/>
      <w:bookmarkStart w:id="1017" w:name="_Toc144104318"/>
      <w:r w:rsidRPr="00F15667">
        <w:rPr>
          <w:color w:val="auto"/>
        </w:rPr>
        <w:lastRenderedPageBreak/>
        <w:t xml:space="preserve">Tabulka </w:t>
      </w:r>
      <w:r w:rsidRPr="00F15667">
        <w:rPr>
          <w:color w:val="auto"/>
        </w:rPr>
        <w:fldChar w:fldCharType="begin"/>
      </w:r>
      <w:r w:rsidRPr="00F15667">
        <w:rPr>
          <w:noProof/>
          <w:color w:val="auto"/>
        </w:rPr>
        <w:instrText xml:space="preserve"> SEQ Tabulka \* ARABIC </w:instrText>
      </w:r>
      <w:r w:rsidRPr="00F15667">
        <w:rPr>
          <w:color w:val="auto"/>
        </w:rPr>
        <w:fldChar w:fldCharType="separate"/>
      </w:r>
      <w:r w:rsidR="001E1A67">
        <w:rPr>
          <w:noProof/>
          <w:color w:val="auto"/>
        </w:rPr>
        <w:t>79</w:t>
      </w:r>
      <w:r w:rsidRPr="00F15667">
        <w:rPr>
          <w:color w:val="auto"/>
        </w:rPr>
        <w:fldChar w:fldCharType="end"/>
      </w:r>
      <w:r w:rsidRPr="00F15667">
        <w:rPr>
          <w:color w:val="auto"/>
        </w:rPr>
        <w:t>: KS – DT incidenčních sporů dle soudů</w:t>
      </w:r>
      <w:bookmarkEnd w:id="1014"/>
      <w:bookmarkEnd w:id="1015"/>
      <w:bookmarkEnd w:id="1016"/>
      <w:bookmarkEnd w:id="1017"/>
    </w:p>
    <w:tbl>
      <w:tblPr>
        <w:tblW w:w="5245" w:type="dxa"/>
        <w:tblCellMar>
          <w:left w:w="70" w:type="dxa"/>
          <w:right w:w="70" w:type="dxa"/>
        </w:tblCellMar>
        <w:tblLook w:val="04A0" w:firstRow="1" w:lastRow="0" w:firstColumn="1" w:lastColumn="0" w:noHBand="0" w:noVBand="1"/>
      </w:tblPr>
      <w:tblGrid>
        <w:gridCol w:w="2127"/>
        <w:gridCol w:w="1842"/>
        <w:gridCol w:w="1276"/>
      </w:tblGrid>
      <w:tr w:rsidR="00F15667" w:rsidRPr="00F15667" w14:paraId="6765C84E" w14:textId="77777777" w:rsidTr="00115F4F">
        <w:trPr>
          <w:trHeight w:val="345"/>
        </w:trPr>
        <w:tc>
          <w:tcPr>
            <w:tcW w:w="2127" w:type="dxa"/>
            <w:tcBorders>
              <w:top w:val="double" w:sz="6" w:space="0" w:color="auto"/>
              <w:left w:val="nil"/>
              <w:bottom w:val="double" w:sz="6" w:space="0" w:color="auto"/>
              <w:right w:val="nil"/>
            </w:tcBorders>
            <w:shd w:val="clear" w:color="auto" w:fill="auto"/>
            <w:noWrap/>
            <w:vAlign w:val="center"/>
            <w:hideMark/>
          </w:tcPr>
          <w:p w14:paraId="6419069C" w14:textId="77777777" w:rsidR="003C0A7C" w:rsidRPr="00F15667" w:rsidRDefault="003C0A7C" w:rsidP="00115F4F">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3118" w:type="dxa"/>
            <w:gridSpan w:val="2"/>
            <w:tcBorders>
              <w:top w:val="double" w:sz="6" w:space="0" w:color="auto"/>
              <w:left w:val="nil"/>
              <w:bottom w:val="double" w:sz="6" w:space="0" w:color="auto"/>
              <w:right w:val="nil"/>
            </w:tcBorders>
            <w:shd w:val="clear" w:color="auto" w:fill="auto"/>
            <w:noWrap/>
            <w:vAlign w:val="center"/>
            <w:hideMark/>
          </w:tcPr>
          <w:p w14:paraId="2F1F8609" w14:textId="77777777" w:rsidR="003C0A7C" w:rsidRPr="00F15667" w:rsidRDefault="003C0A7C" w:rsidP="00115F4F">
            <w:pPr>
              <w:spacing w:line="240" w:lineRule="auto"/>
              <w:jc w:val="center"/>
              <w:rPr>
                <w:rFonts w:eastAsia="Times New Roman"/>
                <w:b/>
                <w:bCs/>
                <w:szCs w:val="24"/>
                <w:lang w:eastAsia="cs-CZ"/>
              </w:rPr>
            </w:pPr>
            <w:r w:rsidRPr="00F15667">
              <w:rPr>
                <w:rFonts w:eastAsia="Times New Roman"/>
                <w:b/>
                <w:bCs/>
                <w:szCs w:val="24"/>
                <w:lang w:eastAsia="cs-CZ"/>
              </w:rPr>
              <w:t>Disposition time</w:t>
            </w:r>
          </w:p>
        </w:tc>
      </w:tr>
      <w:tr w:rsidR="00F15667" w:rsidRPr="00F15667" w14:paraId="479CE36B" w14:textId="77777777" w:rsidTr="00115F4F">
        <w:trPr>
          <w:trHeight w:val="330"/>
        </w:trPr>
        <w:tc>
          <w:tcPr>
            <w:tcW w:w="2127" w:type="dxa"/>
            <w:tcBorders>
              <w:top w:val="nil"/>
              <w:left w:val="nil"/>
              <w:bottom w:val="single" w:sz="4" w:space="0" w:color="auto"/>
              <w:right w:val="nil"/>
            </w:tcBorders>
            <w:shd w:val="clear" w:color="auto" w:fill="auto"/>
            <w:noWrap/>
            <w:vAlign w:val="center"/>
            <w:hideMark/>
          </w:tcPr>
          <w:p w14:paraId="46C24BA7" w14:textId="77777777" w:rsidR="003C0A7C" w:rsidRPr="00F15667" w:rsidRDefault="003C0A7C" w:rsidP="00115F4F">
            <w:pPr>
              <w:spacing w:line="240" w:lineRule="auto"/>
              <w:jc w:val="left"/>
              <w:rPr>
                <w:rFonts w:eastAsia="Times New Roman"/>
                <w:szCs w:val="24"/>
                <w:lang w:eastAsia="cs-CZ"/>
              </w:rPr>
            </w:pPr>
            <w:r w:rsidRPr="00F15667">
              <w:rPr>
                <w:rFonts w:eastAsia="Times New Roman"/>
                <w:szCs w:val="24"/>
                <w:lang w:eastAsia="cs-CZ"/>
              </w:rPr>
              <w:t>MS Praha</w:t>
            </w:r>
          </w:p>
        </w:tc>
        <w:tc>
          <w:tcPr>
            <w:tcW w:w="1842" w:type="dxa"/>
            <w:tcBorders>
              <w:top w:val="nil"/>
              <w:left w:val="nil"/>
              <w:bottom w:val="single" w:sz="4" w:space="0" w:color="auto"/>
              <w:right w:val="nil"/>
            </w:tcBorders>
            <w:shd w:val="clear" w:color="auto" w:fill="auto"/>
            <w:noWrap/>
            <w:vAlign w:val="center"/>
            <w:hideMark/>
          </w:tcPr>
          <w:p w14:paraId="26DD0E0D" w14:textId="77777777" w:rsidR="003C0A7C" w:rsidRPr="00F15667" w:rsidRDefault="003C0A7C" w:rsidP="00115F4F">
            <w:pPr>
              <w:spacing w:line="240" w:lineRule="auto"/>
              <w:jc w:val="center"/>
              <w:rPr>
                <w:rFonts w:eastAsia="Times New Roman"/>
                <w:szCs w:val="24"/>
                <w:lang w:eastAsia="cs-CZ"/>
              </w:rPr>
            </w:pPr>
            <w:r w:rsidRPr="00F15667">
              <w:rPr>
                <w:rFonts w:eastAsia="Times New Roman"/>
                <w:szCs w:val="24"/>
                <w:lang w:eastAsia="cs-CZ"/>
              </w:rPr>
              <w:t>486</w:t>
            </w:r>
          </w:p>
        </w:tc>
        <w:tc>
          <w:tcPr>
            <w:tcW w:w="1276" w:type="dxa"/>
            <w:tcBorders>
              <w:top w:val="nil"/>
              <w:left w:val="nil"/>
              <w:bottom w:val="single" w:sz="4" w:space="0" w:color="auto"/>
              <w:right w:val="nil"/>
            </w:tcBorders>
            <w:shd w:val="clear" w:color="auto" w:fill="auto"/>
            <w:noWrap/>
            <w:vAlign w:val="center"/>
            <w:hideMark/>
          </w:tcPr>
          <w:p w14:paraId="0970CE09" w14:textId="340B4BB4" w:rsidR="003C0A7C" w:rsidRPr="00F15667" w:rsidRDefault="003C0A7C" w:rsidP="00115F4F">
            <w:pPr>
              <w:spacing w:line="240" w:lineRule="auto"/>
              <w:jc w:val="center"/>
              <w:rPr>
                <w:rFonts w:eastAsia="Times New Roman"/>
                <w:sz w:val="20"/>
                <w:szCs w:val="20"/>
                <w:lang w:eastAsia="cs-CZ"/>
              </w:rPr>
            </w:pPr>
            <w:r w:rsidRPr="00F15667">
              <w:rPr>
                <w:rFonts w:eastAsia="Times New Roman"/>
                <w:sz w:val="20"/>
                <w:szCs w:val="20"/>
                <w:lang w:eastAsia="cs-CZ"/>
              </w:rPr>
              <w:t>+1 %</w:t>
            </w:r>
          </w:p>
        </w:tc>
      </w:tr>
      <w:tr w:rsidR="00F15667" w:rsidRPr="00F15667" w14:paraId="11ABD7F5" w14:textId="77777777" w:rsidTr="00115F4F">
        <w:trPr>
          <w:trHeight w:val="315"/>
        </w:trPr>
        <w:tc>
          <w:tcPr>
            <w:tcW w:w="2127" w:type="dxa"/>
            <w:tcBorders>
              <w:top w:val="nil"/>
              <w:left w:val="nil"/>
              <w:bottom w:val="single" w:sz="4" w:space="0" w:color="auto"/>
              <w:right w:val="nil"/>
            </w:tcBorders>
            <w:shd w:val="clear" w:color="auto" w:fill="auto"/>
            <w:noWrap/>
            <w:vAlign w:val="center"/>
            <w:hideMark/>
          </w:tcPr>
          <w:p w14:paraId="68CD69E4" w14:textId="77777777" w:rsidR="003C0A7C" w:rsidRPr="00F15667" w:rsidRDefault="003C0A7C" w:rsidP="00115F4F">
            <w:pPr>
              <w:spacing w:line="240" w:lineRule="auto"/>
              <w:jc w:val="left"/>
              <w:rPr>
                <w:rFonts w:eastAsia="Times New Roman"/>
                <w:szCs w:val="24"/>
                <w:lang w:eastAsia="cs-CZ"/>
              </w:rPr>
            </w:pPr>
            <w:r w:rsidRPr="00F15667">
              <w:rPr>
                <w:rFonts w:eastAsia="Times New Roman"/>
                <w:szCs w:val="24"/>
                <w:lang w:eastAsia="cs-CZ"/>
              </w:rPr>
              <w:t>KS Praha</w:t>
            </w:r>
          </w:p>
        </w:tc>
        <w:tc>
          <w:tcPr>
            <w:tcW w:w="1842" w:type="dxa"/>
            <w:tcBorders>
              <w:top w:val="nil"/>
              <w:left w:val="nil"/>
              <w:bottom w:val="single" w:sz="4" w:space="0" w:color="auto"/>
              <w:right w:val="nil"/>
            </w:tcBorders>
            <w:shd w:val="clear" w:color="auto" w:fill="auto"/>
            <w:noWrap/>
            <w:vAlign w:val="center"/>
            <w:hideMark/>
          </w:tcPr>
          <w:p w14:paraId="2B6450DB" w14:textId="77777777" w:rsidR="003C0A7C" w:rsidRPr="00F15667" w:rsidRDefault="003C0A7C" w:rsidP="00115F4F">
            <w:pPr>
              <w:spacing w:line="240" w:lineRule="auto"/>
              <w:jc w:val="center"/>
              <w:rPr>
                <w:rFonts w:eastAsia="Times New Roman"/>
                <w:szCs w:val="24"/>
                <w:lang w:eastAsia="cs-CZ"/>
              </w:rPr>
            </w:pPr>
            <w:r w:rsidRPr="00F15667">
              <w:rPr>
                <w:rFonts w:eastAsia="Times New Roman"/>
                <w:szCs w:val="24"/>
                <w:lang w:eastAsia="cs-CZ"/>
              </w:rPr>
              <w:t>215</w:t>
            </w:r>
          </w:p>
        </w:tc>
        <w:tc>
          <w:tcPr>
            <w:tcW w:w="1276" w:type="dxa"/>
            <w:tcBorders>
              <w:top w:val="nil"/>
              <w:left w:val="nil"/>
              <w:bottom w:val="single" w:sz="4" w:space="0" w:color="auto"/>
              <w:right w:val="nil"/>
            </w:tcBorders>
            <w:shd w:val="clear" w:color="auto" w:fill="auto"/>
            <w:noWrap/>
            <w:vAlign w:val="center"/>
            <w:hideMark/>
          </w:tcPr>
          <w:p w14:paraId="427EB328" w14:textId="30640605" w:rsidR="003C0A7C" w:rsidRPr="00F15667" w:rsidRDefault="003C0A7C" w:rsidP="00115F4F">
            <w:pPr>
              <w:spacing w:line="240" w:lineRule="auto"/>
              <w:jc w:val="center"/>
              <w:rPr>
                <w:rFonts w:eastAsia="Times New Roman"/>
                <w:sz w:val="20"/>
                <w:szCs w:val="20"/>
                <w:lang w:eastAsia="cs-CZ"/>
              </w:rPr>
            </w:pPr>
            <w:r w:rsidRPr="00F15667">
              <w:rPr>
                <w:rFonts w:eastAsia="Times New Roman"/>
                <w:sz w:val="20"/>
                <w:szCs w:val="20"/>
                <w:lang w:eastAsia="cs-CZ"/>
              </w:rPr>
              <w:t>-12 %</w:t>
            </w:r>
          </w:p>
        </w:tc>
      </w:tr>
      <w:tr w:rsidR="00F15667" w:rsidRPr="00F15667" w14:paraId="27B19ACD" w14:textId="77777777" w:rsidTr="00115F4F">
        <w:trPr>
          <w:trHeight w:val="315"/>
        </w:trPr>
        <w:tc>
          <w:tcPr>
            <w:tcW w:w="2127" w:type="dxa"/>
            <w:tcBorders>
              <w:top w:val="nil"/>
              <w:left w:val="nil"/>
              <w:bottom w:val="single" w:sz="4" w:space="0" w:color="auto"/>
              <w:right w:val="nil"/>
            </w:tcBorders>
            <w:shd w:val="clear" w:color="auto" w:fill="auto"/>
            <w:noWrap/>
            <w:vAlign w:val="center"/>
            <w:hideMark/>
          </w:tcPr>
          <w:p w14:paraId="08887DFE" w14:textId="77777777" w:rsidR="003C0A7C" w:rsidRPr="00F15667" w:rsidRDefault="003C0A7C" w:rsidP="00115F4F">
            <w:pPr>
              <w:spacing w:line="240" w:lineRule="auto"/>
              <w:jc w:val="left"/>
              <w:rPr>
                <w:rFonts w:eastAsia="Times New Roman"/>
                <w:szCs w:val="24"/>
                <w:lang w:eastAsia="cs-CZ"/>
              </w:rPr>
            </w:pPr>
            <w:r w:rsidRPr="00F15667">
              <w:rPr>
                <w:rFonts w:eastAsia="Times New Roman"/>
                <w:szCs w:val="24"/>
                <w:lang w:eastAsia="cs-CZ"/>
              </w:rPr>
              <w:t>KS Č. Budějovice</w:t>
            </w:r>
          </w:p>
        </w:tc>
        <w:tc>
          <w:tcPr>
            <w:tcW w:w="1842" w:type="dxa"/>
            <w:tcBorders>
              <w:top w:val="nil"/>
              <w:left w:val="nil"/>
              <w:bottom w:val="single" w:sz="4" w:space="0" w:color="auto"/>
              <w:right w:val="nil"/>
            </w:tcBorders>
            <w:shd w:val="clear" w:color="auto" w:fill="auto"/>
            <w:noWrap/>
            <w:vAlign w:val="center"/>
            <w:hideMark/>
          </w:tcPr>
          <w:p w14:paraId="77561E49" w14:textId="77777777" w:rsidR="003C0A7C" w:rsidRPr="00F15667" w:rsidRDefault="003C0A7C" w:rsidP="00115F4F">
            <w:pPr>
              <w:spacing w:line="240" w:lineRule="auto"/>
              <w:jc w:val="center"/>
              <w:rPr>
                <w:rFonts w:eastAsia="Times New Roman"/>
                <w:szCs w:val="24"/>
                <w:lang w:eastAsia="cs-CZ"/>
              </w:rPr>
            </w:pPr>
            <w:r w:rsidRPr="00F15667">
              <w:rPr>
                <w:rFonts w:eastAsia="Times New Roman"/>
                <w:szCs w:val="24"/>
                <w:lang w:eastAsia="cs-CZ"/>
              </w:rPr>
              <w:t>175</w:t>
            </w:r>
          </w:p>
        </w:tc>
        <w:tc>
          <w:tcPr>
            <w:tcW w:w="1276" w:type="dxa"/>
            <w:tcBorders>
              <w:top w:val="nil"/>
              <w:left w:val="nil"/>
              <w:bottom w:val="single" w:sz="4" w:space="0" w:color="auto"/>
              <w:right w:val="nil"/>
            </w:tcBorders>
            <w:shd w:val="clear" w:color="auto" w:fill="auto"/>
            <w:noWrap/>
            <w:vAlign w:val="center"/>
            <w:hideMark/>
          </w:tcPr>
          <w:p w14:paraId="3DD4CC62" w14:textId="0847A830" w:rsidR="003C0A7C" w:rsidRPr="00F15667" w:rsidRDefault="003C0A7C" w:rsidP="00115F4F">
            <w:pPr>
              <w:spacing w:line="240" w:lineRule="auto"/>
              <w:jc w:val="center"/>
              <w:rPr>
                <w:rFonts w:eastAsia="Times New Roman"/>
                <w:sz w:val="20"/>
                <w:szCs w:val="20"/>
                <w:lang w:eastAsia="cs-CZ"/>
              </w:rPr>
            </w:pPr>
            <w:r w:rsidRPr="00F15667">
              <w:rPr>
                <w:rFonts w:eastAsia="Times New Roman"/>
                <w:sz w:val="20"/>
                <w:szCs w:val="20"/>
                <w:lang w:eastAsia="cs-CZ"/>
              </w:rPr>
              <w:t>+22 %</w:t>
            </w:r>
          </w:p>
        </w:tc>
      </w:tr>
      <w:tr w:rsidR="00F15667" w:rsidRPr="00F15667" w14:paraId="5355608E" w14:textId="77777777" w:rsidTr="00115F4F">
        <w:trPr>
          <w:trHeight w:val="315"/>
        </w:trPr>
        <w:tc>
          <w:tcPr>
            <w:tcW w:w="2127" w:type="dxa"/>
            <w:tcBorders>
              <w:top w:val="nil"/>
              <w:left w:val="nil"/>
              <w:bottom w:val="single" w:sz="4" w:space="0" w:color="auto"/>
              <w:right w:val="nil"/>
            </w:tcBorders>
            <w:shd w:val="clear" w:color="auto" w:fill="auto"/>
            <w:noWrap/>
            <w:vAlign w:val="center"/>
            <w:hideMark/>
          </w:tcPr>
          <w:p w14:paraId="638C8416" w14:textId="77777777" w:rsidR="003C0A7C" w:rsidRPr="00F15667" w:rsidRDefault="003C0A7C" w:rsidP="00115F4F">
            <w:pPr>
              <w:spacing w:line="240" w:lineRule="auto"/>
              <w:jc w:val="left"/>
              <w:rPr>
                <w:rFonts w:eastAsia="Times New Roman"/>
                <w:szCs w:val="24"/>
                <w:lang w:eastAsia="cs-CZ"/>
              </w:rPr>
            </w:pPr>
            <w:r w:rsidRPr="00F15667">
              <w:rPr>
                <w:rFonts w:eastAsia="Times New Roman"/>
                <w:szCs w:val="24"/>
                <w:lang w:eastAsia="cs-CZ"/>
              </w:rPr>
              <w:t>KS Plzeň</w:t>
            </w:r>
          </w:p>
        </w:tc>
        <w:tc>
          <w:tcPr>
            <w:tcW w:w="1842" w:type="dxa"/>
            <w:tcBorders>
              <w:top w:val="nil"/>
              <w:left w:val="nil"/>
              <w:bottom w:val="single" w:sz="4" w:space="0" w:color="auto"/>
              <w:right w:val="nil"/>
            </w:tcBorders>
            <w:shd w:val="clear" w:color="auto" w:fill="auto"/>
            <w:noWrap/>
            <w:vAlign w:val="center"/>
            <w:hideMark/>
          </w:tcPr>
          <w:p w14:paraId="20B42320" w14:textId="77777777" w:rsidR="003C0A7C" w:rsidRPr="00F15667" w:rsidRDefault="003C0A7C" w:rsidP="00115F4F">
            <w:pPr>
              <w:spacing w:line="240" w:lineRule="auto"/>
              <w:jc w:val="center"/>
              <w:rPr>
                <w:rFonts w:eastAsia="Times New Roman"/>
                <w:szCs w:val="24"/>
                <w:lang w:eastAsia="cs-CZ"/>
              </w:rPr>
            </w:pPr>
            <w:r w:rsidRPr="00F15667">
              <w:rPr>
                <w:rFonts w:eastAsia="Times New Roman"/>
                <w:szCs w:val="24"/>
                <w:lang w:eastAsia="cs-CZ"/>
              </w:rPr>
              <w:t>244</w:t>
            </w:r>
          </w:p>
        </w:tc>
        <w:tc>
          <w:tcPr>
            <w:tcW w:w="1276" w:type="dxa"/>
            <w:tcBorders>
              <w:top w:val="nil"/>
              <w:left w:val="nil"/>
              <w:bottom w:val="single" w:sz="4" w:space="0" w:color="auto"/>
              <w:right w:val="nil"/>
            </w:tcBorders>
            <w:shd w:val="clear" w:color="auto" w:fill="auto"/>
            <w:noWrap/>
            <w:vAlign w:val="center"/>
            <w:hideMark/>
          </w:tcPr>
          <w:p w14:paraId="39B44204" w14:textId="400C0005" w:rsidR="003C0A7C" w:rsidRPr="00F15667" w:rsidRDefault="003C0A7C" w:rsidP="00115F4F">
            <w:pPr>
              <w:spacing w:line="240" w:lineRule="auto"/>
              <w:jc w:val="center"/>
              <w:rPr>
                <w:rFonts w:eastAsia="Times New Roman"/>
                <w:sz w:val="20"/>
                <w:szCs w:val="20"/>
                <w:lang w:eastAsia="cs-CZ"/>
              </w:rPr>
            </w:pPr>
            <w:r w:rsidRPr="00F15667">
              <w:rPr>
                <w:rFonts w:eastAsia="Times New Roman"/>
                <w:sz w:val="20"/>
                <w:szCs w:val="20"/>
                <w:lang w:eastAsia="cs-CZ"/>
              </w:rPr>
              <w:t>+4 %</w:t>
            </w:r>
          </w:p>
        </w:tc>
      </w:tr>
      <w:tr w:rsidR="00F15667" w:rsidRPr="00F15667" w14:paraId="781CB132" w14:textId="77777777" w:rsidTr="00115F4F">
        <w:trPr>
          <w:trHeight w:val="315"/>
        </w:trPr>
        <w:tc>
          <w:tcPr>
            <w:tcW w:w="2127" w:type="dxa"/>
            <w:tcBorders>
              <w:top w:val="nil"/>
              <w:left w:val="nil"/>
              <w:bottom w:val="single" w:sz="4" w:space="0" w:color="auto"/>
              <w:right w:val="nil"/>
            </w:tcBorders>
            <w:shd w:val="clear" w:color="auto" w:fill="auto"/>
            <w:noWrap/>
            <w:vAlign w:val="center"/>
            <w:hideMark/>
          </w:tcPr>
          <w:p w14:paraId="0D65FDE8" w14:textId="77777777" w:rsidR="003C0A7C" w:rsidRPr="00F15667" w:rsidRDefault="003C0A7C" w:rsidP="00115F4F">
            <w:pPr>
              <w:spacing w:line="240" w:lineRule="auto"/>
              <w:jc w:val="left"/>
              <w:rPr>
                <w:rFonts w:eastAsia="Times New Roman"/>
                <w:szCs w:val="24"/>
                <w:lang w:eastAsia="cs-CZ"/>
              </w:rPr>
            </w:pPr>
            <w:r w:rsidRPr="00F15667">
              <w:rPr>
                <w:rFonts w:eastAsia="Times New Roman"/>
                <w:szCs w:val="24"/>
                <w:lang w:eastAsia="cs-CZ"/>
              </w:rPr>
              <w:t>KS Ústí n. Labem</w:t>
            </w:r>
          </w:p>
        </w:tc>
        <w:tc>
          <w:tcPr>
            <w:tcW w:w="1842" w:type="dxa"/>
            <w:tcBorders>
              <w:top w:val="nil"/>
              <w:left w:val="nil"/>
              <w:bottom w:val="single" w:sz="4" w:space="0" w:color="auto"/>
              <w:right w:val="nil"/>
            </w:tcBorders>
            <w:shd w:val="clear" w:color="auto" w:fill="auto"/>
            <w:noWrap/>
            <w:vAlign w:val="center"/>
            <w:hideMark/>
          </w:tcPr>
          <w:p w14:paraId="1CCA6A5A" w14:textId="77777777" w:rsidR="003C0A7C" w:rsidRPr="00F15667" w:rsidRDefault="003C0A7C" w:rsidP="00115F4F">
            <w:pPr>
              <w:spacing w:line="240" w:lineRule="auto"/>
              <w:jc w:val="center"/>
              <w:rPr>
                <w:rFonts w:eastAsia="Times New Roman"/>
                <w:szCs w:val="24"/>
                <w:lang w:eastAsia="cs-CZ"/>
              </w:rPr>
            </w:pPr>
            <w:r w:rsidRPr="00F15667">
              <w:rPr>
                <w:rFonts w:eastAsia="Times New Roman"/>
                <w:szCs w:val="24"/>
                <w:lang w:eastAsia="cs-CZ"/>
              </w:rPr>
              <w:t>363</w:t>
            </w:r>
          </w:p>
        </w:tc>
        <w:tc>
          <w:tcPr>
            <w:tcW w:w="1276" w:type="dxa"/>
            <w:tcBorders>
              <w:top w:val="nil"/>
              <w:left w:val="nil"/>
              <w:bottom w:val="single" w:sz="4" w:space="0" w:color="auto"/>
              <w:right w:val="nil"/>
            </w:tcBorders>
            <w:shd w:val="clear" w:color="auto" w:fill="auto"/>
            <w:noWrap/>
            <w:vAlign w:val="center"/>
            <w:hideMark/>
          </w:tcPr>
          <w:p w14:paraId="1C5EB399" w14:textId="27699DB4" w:rsidR="003C0A7C" w:rsidRPr="00F15667" w:rsidRDefault="003C0A7C" w:rsidP="00115F4F">
            <w:pPr>
              <w:spacing w:line="240" w:lineRule="auto"/>
              <w:jc w:val="center"/>
              <w:rPr>
                <w:rFonts w:eastAsia="Times New Roman"/>
                <w:sz w:val="20"/>
                <w:szCs w:val="20"/>
                <w:lang w:eastAsia="cs-CZ"/>
              </w:rPr>
            </w:pPr>
            <w:r w:rsidRPr="00F15667">
              <w:rPr>
                <w:rFonts w:eastAsia="Times New Roman"/>
                <w:sz w:val="20"/>
                <w:szCs w:val="20"/>
                <w:lang w:eastAsia="cs-CZ"/>
              </w:rPr>
              <w:t>+23 %</w:t>
            </w:r>
          </w:p>
        </w:tc>
      </w:tr>
      <w:tr w:rsidR="00F15667" w:rsidRPr="00F15667" w14:paraId="51610ED5" w14:textId="77777777" w:rsidTr="00115F4F">
        <w:trPr>
          <w:trHeight w:val="315"/>
        </w:trPr>
        <w:tc>
          <w:tcPr>
            <w:tcW w:w="2127" w:type="dxa"/>
            <w:tcBorders>
              <w:top w:val="nil"/>
              <w:left w:val="nil"/>
              <w:bottom w:val="single" w:sz="4" w:space="0" w:color="auto"/>
              <w:right w:val="nil"/>
            </w:tcBorders>
            <w:shd w:val="clear" w:color="auto" w:fill="auto"/>
            <w:noWrap/>
            <w:vAlign w:val="center"/>
            <w:hideMark/>
          </w:tcPr>
          <w:p w14:paraId="7FC6C957" w14:textId="77777777" w:rsidR="003C0A7C" w:rsidRPr="00F15667" w:rsidRDefault="003C0A7C" w:rsidP="00115F4F">
            <w:pPr>
              <w:spacing w:line="240" w:lineRule="auto"/>
              <w:jc w:val="left"/>
              <w:rPr>
                <w:rFonts w:eastAsia="Times New Roman"/>
                <w:szCs w:val="24"/>
                <w:lang w:eastAsia="cs-CZ"/>
              </w:rPr>
            </w:pPr>
            <w:r w:rsidRPr="00F15667">
              <w:rPr>
                <w:rFonts w:eastAsia="Times New Roman"/>
                <w:szCs w:val="24"/>
                <w:lang w:eastAsia="cs-CZ"/>
              </w:rPr>
              <w:t>KS Hr. Králové</w:t>
            </w:r>
          </w:p>
        </w:tc>
        <w:tc>
          <w:tcPr>
            <w:tcW w:w="1842" w:type="dxa"/>
            <w:tcBorders>
              <w:top w:val="nil"/>
              <w:left w:val="nil"/>
              <w:bottom w:val="single" w:sz="4" w:space="0" w:color="auto"/>
              <w:right w:val="nil"/>
            </w:tcBorders>
            <w:shd w:val="clear" w:color="auto" w:fill="auto"/>
            <w:noWrap/>
            <w:vAlign w:val="center"/>
            <w:hideMark/>
          </w:tcPr>
          <w:p w14:paraId="08270A51" w14:textId="77777777" w:rsidR="003C0A7C" w:rsidRPr="00F15667" w:rsidRDefault="003C0A7C" w:rsidP="00115F4F">
            <w:pPr>
              <w:spacing w:line="240" w:lineRule="auto"/>
              <w:jc w:val="center"/>
              <w:rPr>
                <w:rFonts w:eastAsia="Times New Roman"/>
                <w:szCs w:val="24"/>
                <w:lang w:eastAsia="cs-CZ"/>
              </w:rPr>
            </w:pPr>
            <w:r w:rsidRPr="00F15667">
              <w:rPr>
                <w:rFonts w:eastAsia="Times New Roman"/>
                <w:szCs w:val="24"/>
                <w:lang w:eastAsia="cs-CZ"/>
              </w:rPr>
              <w:t>254</w:t>
            </w:r>
          </w:p>
        </w:tc>
        <w:tc>
          <w:tcPr>
            <w:tcW w:w="1276" w:type="dxa"/>
            <w:tcBorders>
              <w:top w:val="nil"/>
              <w:left w:val="nil"/>
              <w:bottom w:val="single" w:sz="4" w:space="0" w:color="auto"/>
              <w:right w:val="nil"/>
            </w:tcBorders>
            <w:shd w:val="clear" w:color="auto" w:fill="auto"/>
            <w:noWrap/>
            <w:vAlign w:val="center"/>
            <w:hideMark/>
          </w:tcPr>
          <w:p w14:paraId="5CC374B4" w14:textId="19D3CCB9" w:rsidR="003C0A7C" w:rsidRPr="00F15667" w:rsidRDefault="003C0A7C" w:rsidP="00115F4F">
            <w:pPr>
              <w:spacing w:line="240" w:lineRule="auto"/>
              <w:jc w:val="center"/>
              <w:rPr>
                <w:rFonts w:eastAsia="Times New Roman"/>
                <w:sz w:val="20"/>
                <w:szCs w:val="20"/>
                <w:lang w:eastAsia="cs-CZ"/>
              </w:rPr>
            </w:pPr>
            <w:r w:rsidRPr="00F15667">
              <w:rPr>
                <w:rFonts w:eastAsia="Times New Roman"/>
                <w:sz w:val="20"/>
                <w:szCs w:val="20"/>
                <w:lang w:eastAsia="cs-CZ"/>
              </w:rPr>
              <w:t>-22 %</w:t>
            </w:r>
          </w:p>
        </w:tc>
      </w:tr>
      <w:tr w:rsidR="00F15667" w:rsidRPr="00F15667" w14:paraId="48BFE419" w14:textId="77777777" w:rsidTr="00115F4F">
        <w:trPr>
          <w:trHeight w:val="315"/>
        </w:trPr>
        <w:tc>
          <w:tcPr>
            <w:tcW w:w="2127" w:type="dxa"/>
            <w:tcBorders>
              <w:top w:val="nil"/>
              <w:left w:val="nil"/>
              <w:bottom w:val="single" w:sz="4" w:space="0" w:color="auto"/>
              <w:right w:val="nil"/>
            </w:tcBorders>
            <w:shd w:val="clear" w:color="auto" w:fill="auto"/>
            <w:noWrap/>
            <w:vAlign w:val="center"/>
            <w:hideMark/>
          </w:tcPr>
          <w:p w14:paraId="1382DB5F" w14:textId="77777777" w:rsidR="003C0A7C" w:rsidRPr="00F15667" w:rsidRDefault="003C0A7C" w:rsidP="00115F4F">
            <w:pPr>
              <w:spacing w:line="240" w:lineRule="auto"/>
              <w:jc w:val="left"/>
              <w:rPr>
                <w:rFonts w:eastAsia="Times New Roman"/>
                <w:szCs w:val="24"/>
                <w:lang w:eastAsia="cs-CZ"/>
              </w:rPr>
            </w:pPr>
            <w:r w:rsidRPr="00F15667">
              <w:rPr>
                <w:rFonts w:eastAsia="Times New Roman"/>
                <w:szCs w:val="24"/>
                <w:lang w:eastAsia="cs-CZ"/>
              </w:rPr>
              <w:t>KS Brno</w:t>
            </w:r>
          </w:p>
        </w:tc>
        <w:tc>
          <w:tcPr>
            <w:tcW w:w="1842" w:type="dxa"/>
            <w:tcBorders>
              <w:top w:val="nil"/>
              <w:left w:val="nil"/>
              <w:bottom w:val="single" w:sz="4" w:space="0" w:color="auto"/>
              <w:right w:val="nil"/>
            </w:tcBorders>
            <w:shd w:val="clear" w:color="auto" w:fill="auto"/>
            <w:noWrap/>
            <w:vAlign w:val="center"/>
            <w:hideMark/>
          </w:tcPr>
          <w:p w14:paraId="1E2684C2" w14:textId="77777777" w:rsidR="003C0A7C" w:rsidRPr="00F15667" w:rsidRDefault="003C0A7C" w:rsidP="00115F4F">
            <w:pPr>
              <w:spacing w:line="240" w:lineRule="auto"/>
              <w:jc w:val="center"/>
              <w:rPr>
                <w:rFonts w:eastAsia="Times New Roman"/>
                <w:szCs w:val="24"/>
                <w:lang w:eastAsia="cs-CZ"/>
              </w:rPr>
            </w:pPr>
            <w:r w:rsidRPr="00F15667">
              <w:rPr>
                <w:rFonts w:eastAsia="Times New Roman"/>
                <w:szCs w:val="24"/>
                <w:lang w:eastAsia="cs-CZ"/>
              </w:rPr>
              <w:t>400</w:t>
            </w:r>
          </w:p>
        </w:tc>
        <w:tc>
          <w:tcPr>
            <w:tcW w:w="1276" w:type="dxa"/>
            <w:tcBorders>
              <w:top w:val="nil"/>
              <w:left w:val="nil"/>
              <w:bottom w:val="single" w:sz="4" w:space="0" w:color="auto"/>
              <w:right w:val="nil"/>
            </w:tcBorders>
            <w:shd w:val="clear" w:color="auto" w:fill="auto"/>
            <w:noWrap/>
            <w:vAlign w:val="center"/>
            <w:hideMark/>
          </w:tcPr>
          <w:p w14:paraId="46BFD7A0" w14:textId="6D618FE0" w:rsidR="003C0A7C" w:rsidRPr="00F15667" w:rsidRDefault="003C0A7C" w:rsidP="00115F4F">
            <w:pPr>
              <w:spacing w:line="240" w:lineRule="auto"/>
              <w:jc w:val="center"/>
              <w:rPr>
                <w:rFonts w:eastAsia="Times New Roman"/>
                <w:sz w:val="20"/>
                <w:szCs w:val="20"/>
                <w:lang w:eastAsia="cs-CZ"/>
              </w:rPr>
            </w:pPr>
            <w:r w:rsidRPr="00F15667">
              <w:rPr>
                <w:rFonts w:eastAsia="Times New Roman"/>
                <w:sz w:val="20"/>
                <w:szCs w:val="20"/>
                <w:lang w:eastAsia="cs-CZ"/>
              </w:rPr>
              <w:t>-19 %</w:t>
            </w:r>
          </w:p>
        </w:tc>
      </w:tr>
      <w:tr w:rsidR="00F15667" w:rsidRPr="00F15667" w14:paraId="7F71CAD8" w14:textId="77777777" w:rsidTr="00115F4F">
        <w:trPr>
          <w:trHeight w:val="330"/>
        </w:trPr>
        <w:tc>
          <w:tcPr>
            <w:tcW w:w="2127" w:type="dxa"/>
            <w:tcBorders>
              <w:top w:val="nil"/>
              <w:left w:val="nil"/>
              <w:bottom w:val="double" w:sz="6" w:space="0" w:color="auto"/>
              <w:right w:val="nil"/>
            </w:tcBorders>
            <w:shd w:val="clear" w:color="auto" w:fill="auto"/>
            <w:noWrap/>
            <w:vAlign w:val="center"/>
            <w:hideMark/>
          </w:tcPr>
          <w:p w14:paraId="049E7E29" w14:textId="77777777" w:rsidR="003C0A7C" w:rsidRPr="00F15667" w:rsidRDefault="003C0A7C" w:rsidP="00115F4F">
            <w:pPr>
              <w:spacing w:line="240" w:lineRule="auto"/>
              <w:jc w:val="left"/>
              <w:rPr>
                <w:rFonts w:eastAsia="Times New Roman"/>
                <w:szCs w:val="24"/>
                <w:lang w:eastAsia="cs-CZ"/>
              </w:rPr>
            </w:pPr>
            <w:r w:rsidRPr="00F15667">
              <w:rPr>
                <w:rFonts w:eastAsia="Times New Roman"/>
                <w:szCs w:val="24"/>
                <w:lang w:eastAsia="cs-CZ"/>
              </w:rPr>
              <w:t>KS Ostrava</w:t>
            </w:r>
          </w:p>
        </w:tc>
        <w:tc>
          <w:tcPr>
            <w:tcW w:w="1842" w:type="dxa"/>
            <w:tcBorders>
              <w:top w:val="nil"/>
              <w:left w:val="nil"/>
              <w:bottom w:val="double" w:sz="6" w:space="0" w:color="auto"/>
              <w:right w:val="nil"/>
            </w:tcBorders>
            <w:shd w:val="clear" w:color="auto" w:fill="auto"/>
            <w:noWrap/>
            <w:vAlign w:val="center"/>
            <w:hideMark/>
          </w:tcPr>
          <w:p w14:paraId="4F5A8DA9" w14:textId="77777777" w:rsidR="003C0A7C" w:rsidRPr="00F15667" w:rsidRDefault="003C0A7C" w:rsidP="00115F4F">
            <w:pPr>
              <w:spacing w:line="240" w:lineRule="auto"/>
              <w:jc w:val="center"/>
              <w:rPr>
                <w:rFonts w:eastAsia="Times New Roman"/>
                <w:szCs w:val="24"/>
                <w:lang w:eastAsia="cs-CZ"/>
              </w:rPr>
            </w:pPr>
            <w:r w:rsidRPr="00F15667">
              <w:rPr>
                <w:rFonts w:eastAsia="Times New Roman"/>
                <w:szCs w:val="24"/>
                <w:lang w:eastAsia="cs-CZ"/>
              </w:rPr>
              <w:t>286</w:t>
            </w:r>
          </w:p>
        </w:tc>
        <w:tc>
          <w:tcPr>
            <w:tcW w:w="1276" w:type="dxa"/>
            <w:tcBorders>
              <w:top w:val="nil"/>
              <w:left w:val="nil"/>
              <w:bottom w:val="double" w:sz="6" w:space="0" w:color="auto"/>
              <w:right w:val="nil"/>
            </w:tcBorders>
            <w:shd w:val="clear" w:color="auto" w:fill="auto"/>
            <w:noWrap/>
            <w:vAlign w:val="center"/>
            <w:hideMark/>
          </w:tcPr>
          <w:p w14:paraId="5FF97106" w14:textId="52D966D4" w:rsidR="003C0A7C" w:rsidRPr="00F15667" w:rsidRDefault="003C0A7C" w:rsidP="00115F4F">
            <w:pPr>
              <w:spacing w:line="240" w:lineRule="auto"/>
              <w:jc w:val="center"/>
              <w:rPr>
                <w:rFonts w:eastAsia="Times New Roman"/>
                <w:sz w:val="20"/>
                <w:szCs w:val="20"/>
                <w:lang w:eastAsia="cs-CZ"/>
              </w:rPr>
            </w:pPr>
            <w:r w:rsidRPr="00F15667">
              <w:rPr>
                <w:rFonts w:eastAsia="Times New Roman"/>
                <w:sz w:val="20"/>
                <w:szCs w:val="20"/>
                <w:lang w:eastAsia="cs-CZ"/>
              </w:rPr>
              <w:t>-18 %</w:t>
            </w:r>
          </w:p>
        </w:tc>
      </w:tr>
      <w:tr w:rsidR="00F15667" w:rsidRPr="00F15667" w14:paraId="3EE7B6F8" w14:textId="77777777" w:rsidTr="00115F4F">
        <w:trPr>
          <w:trHeight w:val="345"/>
        </w:trPr>
        <w:tc>
          <w:tcPr>
            <w:tcW w:w="2127" w:type="dxa"/>
            <w:tcBorders>
              <w:top w:val="nil"/>
              <w:left w:val="nil"/>
              <w:bottom w:val="double" w:sz="6" w:space="0" w:color="auto"/>
              <w:right w:val="nil"/>
            </w:tcBorders>
            <w:shd w:val="clear" w:color="auto" w:fill="auto"/>
            <w:noWrap/>
            <w:vAlign w:val="center"/>
            <w:hideMark/>
          </w:tcPr>
          <w:p w14:paraId="4B7FAE3D" w14:textId="77777777" w:rsidR="003C0A7C" w:rsidRPr="00F15667" w:rsidRDefault="003C0A7C" w:rsidP="00115F4F">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842" w:type="dxa"/>
            <w:tcBorders>
              <w:top w:val="nil"/>
              <w:left w:val="nil"/>
              <w:bottom w:val="double" w:sz="6" w:space="0" w:color="auto"/>
              <w:right w:val="nil"/>
            </w:tcBorders>
            <w:shd w:val="clear" w:color="auto" w:fill="auto"/>
            <w:noWrap/>
            <w:vAlign w:val="center"/>
            <w:hideMark/>
          </w:tcPr>
          <w:p w14:paraId="7C4C380B" w14:textId="77777777" w:rsidR="003C0A7C" w:rsidRPr="00F15667" w:rsidRDefault="003C0A7C" w:rsidP="00115F4F">
            <w:pPr>
              <w:spacing w:line="240" w:lineRule="auto"/>
              <w:jc w:val="center"/>
              <w:rPr>
                <w:rFonts w:eastAsia="Times New Roman"/>
                <w:b/>
                <w:bCs/>
                <w:szCs w:val="24"/>
                <w:lang w:eastAsia="cs-CZ"/>
              </w:rPr>
            </w:pPr>
            <w:r w:rsidRPr="00F15667">
              <w:rPr>
                <w:rFonts w:eastAsia="Times New Roman"/>
                <w:b/>
                <w:bCs/>
                <w:szCs w:val="24"/>
                <w:lang w:eastAsia="cs-CZ"/>
              </w:rPr>
              <w:t>347</w:t>
            </w:r>
          </w:p>
        </w:tc>
        <w:tc>
          <w:tcPr>
            <w:tcW w:w="1276" w:type="dxa"/>
            <w:tcBorders>
              <w:top w:val="nil"/>
              <w:left w:val="nil"/>
              <w:bottom w:val="double" w:sz="6" w:space="0" w:color="auto"/>
              <w:right w:val="nil"/>
            </w:tcBorders>
            <w:shd w:val="clear" w:color="auto" w:fill="auto"/>
            <w:noWrap/>
            <w:vAlign w:val="center"/>
            <w:hideMark/>
          </w:tcPr>
          <w:p w14:paraId="130EEEB1" w14:textId="794AC6ED" w:rsidR="003C0A7C" w:rsidRPr="00F15667" w:rsidRDefault="003C0A7C"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-3 %</w:t>
            </w:r>
          </w:p>
        </w:tc>
      </w:tr>
      <w:tr w:rsidR="00F15667" w:rsidRPr="00F15667" w14:paraId="33E4A496" w14:textId="77777777" w:rsidTr="00115F4F">
        <w:trPr>
          <w:trHeight w:val="330"/>
        </w:trPr>
        <w:tc>
          <w:tcPr>
            <w:tcW w:w="2127" w:type="dxa"/>
            <w:tcBorders>
              <w:top w:val="nil"/>
              <w:left w:val="nil"/>
              <w:bottom w:val="nil"/>
              <w:right w:val="nil"/>
            </w:tcBorders>
            <w:shd w:val="clear" w:color="auto" w:fill="auto"/>
            <w:noWrap/>
            <w:vAlign w:val="bottom"/>
            <w:hideMark/>
          </w:tcPr>
          <w:p w14:paraId="5A632A8C" w14:textId="77777777" w:rsidR="003C0A7C" w:rsidRPr="00F15667" w:rsidRDefault="003C0A7C" w:rsidP="003C0A7C">
            <w:pPr>
              <w:spacing w:line="240" w:lineRule="auto"/>
              <w:jc w:val="center"/>
              <w:rPr>
                <w:rFonts w:eastAsia="Times New Roman"/>
                <w:b/>
                <w:bCs/>
                <w:sz w:val="20"/>
                <w:szCs w:val="20"/>
                <w:lang w:eastAsia="cs-CZ"/>
              </w:rPr>
            </w:pPr>
          </w:p>
        </w:tc>
        <w:tc>
          <w:tcPr>
            <w:tcW w:w="1842" w:type="dxa"/>
            <w:tcBorders>
              <w:top w:val="nil"/>
              <w:left w:val="nil"/>
              <w:bottom w:val="nil"/>
              <w:right w:val="nil"/>
            </w:tcBorders>
            <w:shd w:val="clear" w:color="auto" w:fill="auto"/>
            <w:noWrap/>
            <w:vAlign w:val="bottom"/>
            <w:hideMark/>
          </w:tcPr>
          <w:p w14:paraId="296430A0" w14:textId="77777777" w:rsidR="003C0A7C" w:rsidRPr="00F15667" w:rsidRDefault="003C0A7C" w:rsidP="003C0A7C">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03AA35F5" w14:textId="77777777" w:rsidR="003C0A7C" w:rsidRPr="00F15667" w:rsidRDefault="003C0A7C" w:rsidP="003C0A7C">
            <w:pPr>
              <w:spacing w:line="240" w:lineRule="auto"/>
              <w:jc w:val="left"/>
              <w:rPr>
                <w:rFonts w:ascii="Times New Roman" w:eastAsia="Times New Roman" w:hAnsi="Times New Roman"/>
                <w:sz w:val="20"/>
                <w:szCs w:val="20"/>
                <w:lang w:eastAsia="cs-CZ"/>
              </w:rPr>
            </w:pPr>
          </w:p>
        </w:tc>
      </w:tr>
    </w:tbl>
    <w:p w14:paraId="75A4D59B" w14:textId="77777777" w:rsidR="007A1D2A" w:rsidRPr="00F15667" w:rsidRDefault="007A1D2A" w:rsidP="007A1D2A">
      <w:pPr>
        <w:pStyle w:val="OdstavecASR"/>
      </w:pPr>
      <w:r w:rsidRPr="00F15667">
        <w:t>Celkově je těžké učinit definitivní závěr o rejstříku ICm a o tom, jak tuto agendu jednotlivé soudy vyřizují, protože meziročně dochází k velkým změnám a rovněž náročnost jednotlivých případů se silně liší. Byla by tak potřebná podrobnější analýza, která ale přesahuje účel této zprávy. V krátkosti lze říct, že incidenční spory jsou složitou agendou a největší problémy s jejím vyřizováním zřejmě mají MS Praha a KS Brno. Dobře si naopak vede KS České Budějovice. Nicméně v posledních dvou letech byla míra vyřizování výrazně přes 100 %, což je samozřejmě pozitivní vývoj.</w:t>
      </w:r>
    </w:p>
    <w:p w14:paraId="60A936FB" w14:textId="5D6BEC9E" w:rsidR="008430BD" w:rsidRPr="00F15667" w:rsidRDefault="008430BD" w:rsidP="008430BD">
      <w:pPr>
        <w:pStyle w:val="Nadpis1"/>
        <w:pageBreakBefore/>
        <w:numPr>
          <w:ilvl w:val="0"/>
          <w:numId w:val="1"/>
        </w:numPr>
        <w:spacing w:after="120"/>
        <w:rPr>
          <w:noProof/>
          <w:lang w:eastAsia="cs-CZ"/>
        </w:rPr>
      </w:pPr>
      <w:bookmarkStart w:id="1018" w:name="_Toc515871277"/>
      <w:bookmarkStart w:id="1019" w:name="_Toc106092789"/>
      <w:bookmarkStart w:id="1020" w:name="_Toc144104402"/>
      <w:r w:rsidRPr="00F15667">
        <w:rPr>
          <w:noProof/>
          <w:lang w:eastAsia="cs-CZ"/>
        </w:rPr>
        <w:lastRenderedPageBreak/>
        <w:t>Vrchní soudy</w:t>
      </w:r>
      <w:bookmarkEnd w:id="1018"/>
      <w:bookmarkEnd w:id="1019"/>
      <w:bookmarkEnd w:id="1020"/>
    </w:p>
    <w:p w14:paraId="014E6AF4" w14:textId="77777777" w:rsidR="007A1D2A" w:rsidRPr="00F15667" w:rsidRDefault="007A1D2A" w:rsidP="007A1D2A">
      <w:pPr>
        <w:pStyle w:val="OdstavecASR"/>
      </w:pPr>
      <w:r w:rsidRPr="00F15667">
        <w:t>Tato část výroční zprávy obsahuje data týkající se vrchních soudů (VS) v Praze a v Olomouci. Pod VS v Praze spadají soudní kraje Praha, Západočeský, Středočeský, Východočeský, Severočeský a Jihočeský. Pod Vrchní soud v Olomouci spadají Severomoravský kraj a Jihomoravský kraj.</w:t>
      </w:r>
    </w:p>
    <w:p w14:paraId="3869C01F" w14:textId="732CC68D" w:rsidR="007A1D2A" w:rsidRPr="00F15667" w:rsidRDefault="007A1D2A" w:rsidP="007A1D2A">
      <w:pPr>
        <w:pStyle w:val="OdstavecASR"/>
      </w:pPr>
      <w:r w:rsidRPr="00F15667">
        <w:t>Vrchní soudy slouží jako odvolací soudy pro soudy krajské. Jejich hlavními agendami jsou odvolací civilní (občanskoprávní, obchodní) agenda, odvolací insolvenční agenda a odvolací trestní agenda.</w:t>
      </w:r>
    </w:p>
    <w:p w14:paraId="106156DF" w14:textId="386D0B26" w:rsidR="007A1D2A" w:rsidRPr="00F15667" w:rsidRDefault="007A1D2A" w:rsidP="00793483">
      <w:pPr>
        <w:pStyle w:val="OdstavecASR"/>
      </w:pPr>
      <w:r w:rsidRPr="00F15667">
        <w:t>Vrchní soudy také řeší několik zvláštních agend jako jsou návrhy na přikázání věci jinému soudu nebo návrhy na vyloučení soudců, kterými se však tato zpráva nezabývá. Struktura, obsah a zkoumané ukazatele jsou se dvěma výjimkami podobné jako v předchozích částech. Jednak chybí podkapitoly s dalšími statistickými ukazateli. Ty totiž vychází ze statistických listů a váží se především k prvoinstančnímu řízení. Druhým rozdílem je skutečnost, že sledujeme pouze dva soudy. Data proto zpravidla prezentujeme graficky v časových řadách pro oba soudy.</w:t>
      </w:r>
    </w:p>
    <w:p w14:paraId="6F186C41" w14:textId="64D7907B" w:rsidR="008430BD" w:rsidRPr="00F15667" w:rsidRDefault="008430BD" w:rsidP="008430BD">
      <w:pPr>
        <w:pStyle w:val="Nadpis2"/>
        <w:numPr>
          <w:ilvl w:val="1"/>
          <w:numId w:val="1"/>
        </w:numPr>
        <w:spacing w:before="120"/>
        <w:rPr>
          <w:color w:val="auto"/>
          <w:lang w:eastAsia="cs-CZ"/>
        </w:rPr>
      </w:pPr>
      <w:bookmarkStart w:id="1021" w:name="_Toc515871278"/>
      <w:bookmarkStart w:id="1022" w:name="_Toc106092790"/>
      <w:bookmarkStart w:id="1023" w:name="_Toc144104403"/>
      <w:r w:rsidRPr="00F15667">
        <w:rPr>
          <w:color w:val="auto"/>
          <w:lang w:eastAsia="cs-CZ"/>
        </w:rPr>
        <w:t>Personál</w:t>
      </w:r>
      <w:bookmarkEnd w:id="1021"/>
      <w:bookmarkEnd w:id="1022"/>
      <w:bookmarkEnd w:id="1023"/>
    </w:p>
    <w:p w14:paraId="5D5C373D" w14:textId="77777777" w:rsidR="00793483" w:rsidRPr="00F15667" w:rsidRDefault="00793483" w:rsidP="00793483">
      <w:pPr>
        <w:pStyle w:val="OdstavecASR"/>
      </w:pPr>
      <w:r w:rsidRPr="00F15667">
        <w:t>Úvodem musíme zdůraznit, že plánovaný počet soudců a zaměstnanců ve výkonu je u VS, NS a NSS určen jinak než u soudů okresních a krajských. U vrcholných soudů se plánovaný počet nevypočítává, ale určuje se na základě jednání mezi soudem a Ministerstvem spravedlnosti s přihlédnutím k nápadu, celkovému plánovanému počtu soudců v ČR a dalším faktorům.</w:t>
      </w:r>
    </w:p>
    <w:p w14:paraId="26DEAA43" w14:textId="4A517BA8" w:rsidR="008430BD" w:rsidRPr="00F15667" w:rsidRDefault="008430BD" w:rsidP="008430BD">
      <w:pPr>
        <w:pStyle w:val="Nadpis3"/>
        <w:numPr>
          <w:ilvl w:val="2"/>
          <w:numId w:val="1"/>
        </w:numPr>
        <w:rPr>
          <w:color w:val="auto"/>
          <w:lang w:eastAsia="cs-CZ"/>
        </w:rPr>
      </w:pPr>
      <w:bookmarkStart w:id="1024" w:name="_Toc515871279"/>
      <w:bookmarkStart w:id="1025" w:name="_Toc106092791"/>
      <w:bookmarkStart w:id="1026" w:name="_Toc144104404"/>
      <w:r w:rsidRPr="00F15667">
        <w:rPr>
          <w:color w:val="auto"/>
          <w:lang w:eastAsia="cs-CZ"/>
        </w:rPr>
        <w:t>Soudci</w:t>
      </w:r>
      <w:bookmarkEnd w:id="1024"/>
      <w:bookmarkEnd w:id="1025"/>
      <w:bookmarkEnd w:id="1026"/>
    </w:p>
    <w:p w14:paraId="3301C77B" w14:textId="250D5863" w:rsidR="00793483" w:rsidRPr="00F15667" w:rsidRDefault="00793483" w:rsidP="00793483">
      <w:pPr>
        <w:pStyle w:val="Podnadpis"/>
        <w:numPr>
          <w:ilvl w:val="0"/>
          <w:numId w:val="0"/>
        </w:numPr>
        <w:rPr>
          <w:color w:val="auto"/>
        </w:rPr>
      </w:pPr>
      <w:bookmarkStart w:id="1027" w:name="_Toc515871406"/>
      <w:bookmarkStart w:id="1028" w:name="_Toc11135137"/>
      <w:bookmarkStart w:id="1029" w:name="_Toc43841459"/>
      <w:bookmarkStart w:id="1030" w:name="_Toc75952262"/>
      <w:bookmarkStart w:id="1031" w:name="_Toc106106719"/>
      <w:bookmarkStart w:id="1032" w:name="_Toc109802043"/>
      <w:bookmarkStart w:id="1033" w:name="_Toc144104193"/>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81</w:t>
      </w:r>
      <w:r w:rsidR="009A10E2" w:rsidRPr="00F15667">
        <w:rPr>
          <w:color w:val="auto"/>
        </w:rPr>
        <w:fldChar w:fldCharType="end"/>
      </w:r>
      <w:r w:rsidRPr="00F15667">
        <w:rPr>
          <w:color w:val="auto"/>
        </w:rPr>
        <w:t>: VS – počet soudců v letech 2008–20</w:t>
      </w:r>
      <w:bookmarkEnd w:id="1027"/>
      <w:bookmarkEnd w:id="1028"/>
      <w:bookmarkEnd w:id="1029"/>
      <w:r w:rsidRPr="00F15667">
        <w:rPr>
          <w:color w:val="auto"/>
        </w:rPr>
        <w:t>2</w:t>
      </w:r>
      <w:bookmarkEnd w:id="1030"/>
      <w:r w:rsidRPr="00F15667">
        <w:rPr>
          <w:color w:val="auto"/>
        </w:rPr>
        <w:t>1</w:t>
      </w:r>
      <w:bookmarkEnd w:id="1031"/>
      <w:bookmarkEnd w:id="1032"/>
      <w:bookmarkEnd w:id="1033"/>
    </w:p>
    <w:p w14:paraId="6C763044" w14:textId="0B9796B8" w:rsidR="00793483" w:rsidRPr="00F15667" w:rsidRDefault="00793483" w:rsidP="00115F4F">
      <w:pPr>
        <w:pStyle w:val="OdstavecASR"/>
      </w:pPr>
      <w:r w:rsidRPr="00F15667">
        <w:rPr>
          <w:noProof/>
          <w:lang w:eastAsia="cs-CZ"/>
        </w:rPr>
        <w:drawing>
          <wp:inline distT="0" distB="0" distL="0" distR="0" wp14:anchorId="2163F6D5" wp14:editId="526A59DA">
            <wp:extent cx="5029200" cy="3657600"/>
            <wp:effectExtent l="0" t="0" r="0" b="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B0443EF" w14:textId="77777777" w:rsidR="00B42D0D" w:rsidRPr="00F15667" w:rsidRDefault="00B42D0D" w:rsidP="00B42D0D">
      <w:pPr>
        <w:pStyle w:val="OdstavecASR"/>
      </w:pPr>
      <w:r w:rsidRPr="00F15667">
        <w:t xml:space="preserve">I u vrchních soudů je počet soudců celkem stabilní, a to jak v Praze, tak v Olomouci. V časové řadě může zaujmout pouze pokles o pět soudců (soudkyň) u VS v Praze mezi 1. 1. 2015 a 1. 1. 2016. Je způsobený tím, že v roce 2015 dosáhlo pět soudců věku 70 let a z tohoto důvodu skončili ve </w:t>
      </w:r>
      <w:r w:rsidRPr="00F15667">
        <w:lastRenderedPageBreak/>
        <w:t>funkci. U VS, NS nebo NSS jsou takovéto výkyvy pravděpodobnější, protože soudci jsou v průměru starší než soudci krajských a okresních soudů.</w:t>
      </w:r>
    </w:p>
    <w:p w14:paraId="4DAF172B" w14:textId="77777777" w:rsidR="00B42D0D" w:rsidRPr="00F15667" w:rsidRDefault="00B42D0D" w:rsidP="00B42D0D">
      <w:pPr>
        <w:pStyle w:val="OdstavecASR"/>
      </w:pPr>
      <w:r w:rsidRPr="00F15667">
        <w:t>U VS v Olomouci počet soudců v posledních letech klesá proporčně na úseku civilním i trestním. To ovšem nepředstavuje problém, neboť rozdíl oproti ostatním rokům je minimální a soud nemá větší problémy s vyřizováním své agendy. K poklesu v počtu soudců došlo především na trestním úseku soudu.</w:t>
      </w:r>
    </w:p>
    <w:p w14:paraId="5118A350" w14:textId="77777777" w:rsidR="00B42D0D" w:rsidRPr="00F15667" w:rsidRDefault="00B42D0D" w:rsidP="00B42D0D">
      <w:pPr>
        <w:pStyle w:val="OdstavecASR"/>
      </w:pPr>
      <w:r w:rsidRPr="00F15667">
        <w:t>Dále vidíme, že VS v Praze je asi dvakrát větší než VS v Olomouci. Tento fakt opět vyplývá z nápadu, který je ovlivněn počtem a velikostí krajských soudů, které spadají pod daný vrchní soud.</w:t>
      </w:r>
    </w:p>
    <w:p w14:paraId="393E13F9" w14:textId="76A56CA6" w:rsidR="00B42D0D" w:rsidRPr="00F15667" w:rsidRDefault="00B42D0D" w:rsidP="00B42D0D">
      <w:pPr>
        <w:pStyle w:val="OdstavecASR"/>
      </w:pPr>
      <w:r w:rsidRPr="00F15667">
        <w:t xml:space="preserve">V roce 2019 došlo k mírnému poklesu plánovaného počtu soudců u obou soudů, což </w:t>
      </w:r>
      <w:r w:rsidR="003B0228" w:rsidRPr="00F15667">
        <w:t xml:space="preserve">bylo </w:t>
      </w:r>
      <w:r w:rsidRPr="00F15667">
        <w:t xml:space="preserve">vzhledem k rychlému poklesu nápadu v některých agendách (viz </w:t>
      </w:r>
      <w:r w:rsidR="003B0228" w:rsidRPr="00F15667">
        <w:t>dále v kapitole</w:t>
      </w:r>
      <w:r w:rsidRPr="00F15667">
        <w:t>) logické. V zásadě nulový reálný dopad této změny dokládá dlouhodobě nižší evidenční počet soudců oproti počtu plánovanému. V letech 2020 až 2022 k žádné výrazné změně nedošlo.</w:t>
      </w:r>
    </w:p>
    <w:p w14:paraId="64EAC38E" w14:textId="4280B5FE" w:rsidR="00B42D0D" w:rsidRPr="00F15667" w:rsidRDefault="00B42D0D" w:rsidP="00B42D0D">
      <w:pPr>
        <w:pStyle w:val="Podnadpis"/>
        <w:rPr>
          <w:color w:val="auto"/>
        </w:rPr>
      </w:pPr>
      <w:bookmarkStart w:id="1034" w:name="_Toc43841460"/>
      <w:bookmarkStart w:id="1035" w:name="_Toc75952263"/>
      <w:bookmarkStart w:id="1036" w:name="_Toc106106720"/>
      <w:bookmarkStart w:id="1037" w:name="_Toc109802044"/>
      <w:bookmarkStart w:id="1038" w:name="_Toc144104194"/>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82</w:t>
      </w:r>
      <w:r w:rsidR="009A10E2" w:rsidRPr="00F15667">
        <w:rPr>
          <w:color w:val="auto"/>
        </w:rPr>
        <w:fldChar w:fldCharType="end"/>
      </w:r>
      <w:r w:rsidRPr="00F15667">
        <w:rPr>
          <w:color w:val="auto"/>
        </w:rPr>
        <w:t>: VS – evidenční počet soudců dle soudních úseků v letech 2008–20</w:t>
      </w:r>
      <w:bookmarkEnd w:id="1034"/>
      <w:bookmarkEnd w:id="1035"/>
      <w:r w:rsidRPr="00F15667">
        <w:rPr>
          <w:color w:val="auto"/>
        </w:rPr>
        <w:t>2</w:t>
      </w:r>
      <w:bookmarkEnd w:id="1036"/>
      <w:bookmarkEnd w:id="1037"/>
      <w:r w:rsidRPr="00F15667">
        <w:rPr>
          <w:color w:val="auto"/>
        </w:rPr>
        <w:t>2</w:t>
      </w:r>
      <w:bookmarkEnd w:id="1038"/>
    </w:p>
    <w:p w14:paraId="67300E8A" w14:textId="590EE63C" w:rsidR="00B42D0D" w:rsidRPr="00F15667" w:rsidRDefault="00B42D0D" w:rsidP="00B42D0D">
      <w:pPr>
        <w:pStyle w:val="OdstavecASR"/>
      </w:pPr>
      <w:r w:rsidRPr="00F15667">
        <w:rPr>
          <w:noProof/>
          <w:lang w:eastAsia="cs-CZ"/>
        </w:rPr>
        <w:drawing>
          <wp:inline distT="0" distB="0" distL="0" distR="0" wp14:anchorId="41FB43D8" wp14:editId="368884E7">
            <wp:extent cx="5029200" cy="3657600"/>
            <wp:effectExtent l="0" t="0" r="0" b="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B66EAD4" w14:textId="756AE5C5" w:rsidR="00351EC5" w:rsidRPr="00F15667" w:rsidRDefault="00351EC5" w:rsidP="00351EC5">
      <w:pPr>
        <w:pStyle w:val="OdstavecASR"/>
      </w:pPr>
      <w:r w:rsidRPr="00F15667">
        <w:t>Graf ukazuje, že civilní a obchodní úsek je větší než úsek trestní, stejně jako tomu je u okresních a krajských soudů. Rozdíl je však tentokrát výrazně menší. Poměr velikostí úseků se v čase mírně měnil. V letech 2015 až 2017 se u VS v Praze zmenšil civilní úsek, načež se ustálil na počtu 50 soudců (soudkyň) v letech 2018 až 2020. V roce 2021 opět došlo k mírnému posílení trestního úseku na úkor úseku civilního. Vidíme tedy, že rozdíl mezi velikostmi úseků je u </w:t>
      </w:r>
      <w:r w:rsidR="000D5141" w:rsidRPr="00F15667">
        <w:t>VS v Praze poměrně malý – 7 soudců. Ale u VS v Olomouci je ještě výrazně menší. V roce 2022 ubyli dva soudci na civilním úseku a přibyli 2 soudci na úseku trestním. Rozdíl mezi úseky je tak již pouze jeden jediný soudce.</w:t>
      </w:r>
    </w:p>
    <w:p w14:paraId="5261D58B" w14:textId="1500B50C" w:rsidR="00A6606C" w:rsidRPr="00F15667" w:rsidRDefault="00A6606C" w:rsidP="00A6606C">
      <w:pPr>
        <w:pStyle w:val="OdstavecASR"/>
      </w:pPr>
      <w:r w:rsidRPr="00F15667">
        <w:t>Další graf zobrazuje složení soudců dle pohlaví a naznačuje, že výše zmíněný pokles počtu soudců u VS v Praze mezi roky 2015 a 2016 byl způsoben tím, že věku 70 let dovršily soudkyně. Pokles počtu soudkyň je tak velmi zřetelný</w:t>
      </w:r>
      <w:r w:rsidR="003B0228" w:rsidRPr="00F15667">
        <w:t>, protože k</w:t>
      </w:r>
      <w:r w:rsidRPr="00F15667">
        <w:t> soudu byli následně přiděleni muži.</w:t>
      </w:r>
    </w:p>
    <w:p w14:paraId="0E4A06CC" w14:textId="71DF72E1" w:rsidR="00A6606C" w:rsidRPr="00F15667" w:rsidRDefault="00A6606C" w:rsidP="00A6606C">
      <w:pPr>
        <w:pStyle w:val="OdstavecASR"/>
      </w:pPr>
      <w:r w:rsidRPr="00F15667">
        <w:lastRenderedPageBreak/>
        <w:t>V roce 2015 (tedy před výše popsaným odchodem soudkyň) byl podíl žen u VS v Praze i u VS</w:t>
      </w:r>
      <w:r w:rsidR="00115F4F">
        <w:t> v </w:t>
      </w:r>
      <w:r w:rsidRPr="00F15667">
        <w:t>Olomouci asi 47 %. V roce 2018 dosáhl tento podíl u VS v Praze přibližně 42 % a u VS</w:t>
      </w:r>
      <w:r w:rsidR="00115F4F">
        <w:t> </w:t>
      </w:r>
      <w:r w:rsidRPr="00F15667">
        <w:t>v Olomouci přibližně 49 %, tedy takřka polovinu. U VS v Praze se podíl od té doby v zásadě nezměnil. U VS v Olomouci podíl žen v posledních letech klesal a v roce 202</w:t>
      </w:r>
      <w:r w:rsidR="000A30B5" w:rsidRPr="00F15667">
        <w:t>2</w:t>
      </w:r>
      <w:r w:rsidRPr="00F15667">
        <w:t xml:space="preserve"> byl asi 38 %.</w:t>
      </w:r>
    </w:p>
    <w:p w14:paraId="48F376A8" w14:textId="31DB9277" w:rsidR="00A6606C" w:rsidRPr="00F15667" w:rsidRDefault="00A6606C" w:rsidP="00A6606C">
      <w:pPr>
        <w:pStyle w:val="OdstavecASR"/>
      </w:pPr>
      <w:r w:rsidRPr="00F15667">
        <w:t>Vzhledem k malému počtu osob ovlivní procentuální podíly už i změna o jednoho soudce nebo soudkyni. Na rozdíl od nižších článků soudní soustavy je tedy u vrchních soudů aktuálně více soudců než soudkyň</w:t>
      </w:r>
      <w:r w:rsidR="003B0228" w:rsidRPr="00F15667">
        <w:t xml:space="preserve">, </w:t>
      </w:r>
      <w:r w:rsidR="008B177E" w:rsidRPr="00F15667">
        <w:t>navíc</w:t>
      </w:r>
      <w:r w:rsidR="003B0228" w:rsidRPr="00F15667">
        <w:t xml:space="preserve"> </w:t>
      </w:r>
      <w:r w:rsidR="001677D6" w:rsidRPr="00F15667">
        <w:t xml:space="preserve">se jedná o </w:t>
      </w:r>
      <w:r w:rsidR="003B0228" w:rsidRPr="00F15667">
        <w:t xml:space="preserve">dlouhodobý klesající trend zastoupení žen u obou VS </w:t>
      </w:r>
      <w:r w:rsidR="008B177E" w:rsidRPr="00F15667">
        <w:t>přibližně</w:t>
      </w:r>
      <w:r w:rsidR="003B0228" w:rsidRPr="00F15667">
        <w:t xml:space="preserve"> od roku 20</w:t>
      </w:r>
      <w:r w:rsidR="008B177E" w:rsidRPr="00F15667">
        <w:t>14</w:t>
      </w:r>
      <w:r w:rsidRPr="00F15667">
        <w:t>.</w:t>
      </w:r>
    </w:p>
    <w:p w14:paraId="0534D54E" w14:textId="2DBFF21F" w:rsidR="005A22DE" w:rsidRPr="00F15667" w:rsidRDefault="005A22DE" w:rsidP="005A22DE">
      <w:pPr>
        <w:pStyle w:val="Podnadpis"/>
        <w:rPr>
          <w:color w:val="auto"/>
        </w:rPr>
      </w:pPr>
      <w:bookmarkStart w:id="1039" w:name="_Toc43841461"/>
      <w:bookmarkStart w:id="1040" w:name="_Toc75952264"/>
      <w:bookmarkStart w:id="1041" w:name="_Toc106106721"/>
      <w:bookmarkStart w:id="1042" w:name="_Toc109802045"/>
      <w:bookmarkStart w:id="1043" w:name="_Toc144104195"/>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83</w:t>
      </w:r>
      <w:r w:rsidR="009A10E2" w:rsidRPr="00F15667">
        <w:rPr>
          <w:color w:val="auto"/>
        </w:rPr>
        <w:fldChar w:fldCharType="end"/>
      </w:r>
      <w:r w:rsidRPr="00F15667">
        <w:rPr>
          <w:color w:val="auto"/>
        </w:rPr>
        <w:t>: VS – evidenční počet soudců dle pohlaví v letech 2008–20</w:t>
      </w:r>
      <w:bookmarkEnd w:id="1039"/>
      <w:r w:rsidRPr="00F15667">
        <w:rPr>
          <w:color w:val="auto"/>
        </w:rPr>
        <w:t>2</w:t>
      </w:r>
      <w:bookmarkEnd w:id="1040"/>
      <w:bookmarkEnd w:id="1041"/>
      <w:bookmarkEnd w:id="1042"/>
      <w:r w:rsidRPr="00F15667">
        <w:rPr>
          <w:color w:val="auto"/>
        </w:rPr>
        <w:t>2</w:t>
      </w:r>
      <w:bookmarkEnd w:id="1043"/>
    </w:p>
    <w:p w14:paraId="13E95793" w14:textId="7EA451F1" w:rsidR="005A22DE" w:rsidRPr="00F15667" w:rsidRDefault="005A22DE" w:rsidP="00B42D0D">
      <w:pPr>
        <w:pStyle w:val="OdstavecASR"/>
      </w:pPr>
      <w:r w:rsidRPr="00F15667">
        <w:rPr>
          <w:noProof/>
          <w:lang w:eastAsia="cs-CZ"/>
        </w:rPr>
        <w:drawing>
          <wp:inline distT="0" distB="0" distL="0" distR="0" wp14:anchorId="4045FB19" wp14:editId="4FAB6DE9">
            <wp:extent cx="5029200" cy="3657600"/>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82F9859" w14:textId="77777777" w:rsidR="000A30B5" w:rsidRPr="00F15667" w:rsidRDefault="000A30B5" w:rsidP="00115F4F">
      <w:pPr>
        <w:pStyle w:val="OdstavecASR"/>
      </w:pPr>
      <w:r w:rsidRPr="00F15667">
        <w:t>Další dva grafy zobrazují věkové složení soudců.</w:t>
      </w:r>
    </w:p>
    <w:p w14:paraId="58B2FDB3" w14:textId="04401A5E" w:rsidR="000A30B5" w:rsidRPr="00F15667" w:rsidRDefault="000A30B5" w:rsidP="000A30B5">
      <w:pPr>
        <w:pStyle w:val="Podnadpis"/>
        <w:rPr>
          <w:color w:val="auto"/>
        </w:rPr>
      </w:pPr>
      <w:bookmarkStart w:id="1044" w:name="_Toc515871409"/>
      <w:bookmarkStart w:id="1045" w:name="_Toc11135140"/>
      <w:bookmarkStart w:id="1046" w:name="_Toc43841462"/>
      <w:bookmarkStart w:id="1047" w:name="_Toc75952265"/>
      <w:bookmarkStart w:id="1048" w:name="_Toc106106722"/>
      <w:bookmarkStart w:id="1049" w:name="_Toc109802046"/>
      <w:bookmarkStart w:id="1050" w:name="_Toc144104196"/>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84</w:t>
      </w:r>
      <w:r w:rsidR="009A10E2" w:rsidRPr="00F15667">
        <w:rPr>
          <w:color w:val="auto"/>
        </w:rPr>
        <w:fldChar w:fldCharType="end"/>
      </w:r>
      <w:r w:rsidRPr="00F15667">
        <w:rPr>
          <w:color w:val="auto"/>
        </w:rPr>
        <w:t>: VS Praha – věkové složení soudců v letech 2008–20</w:t>
      </w:r>
      <w:bookmarkEnd w:id="1044"/>
      <w:bookmarkEnd w:id="1045"/>
      <w:bookmarkEnd w:id="1046"/>
      <w:r w:rsidRPr="00F15667">
        <w:rPr>
          <w:color w:val="auto"/>
        </w:rPr>
        <w:t>2</w:t>
      </w:r>
      <w:bookmarkEnd w:id="1047"/>
      <w:bookmarkEnd w:id="1048"/>
      <w:bookmarkEnd w:id="1049"/>
      <w:r w:rsidRPr="00F15667">
        <w:rPr>
          <w:color w:val="auto"/>
        </w:rPr>
        <w:t>2</w:t>
      </w:r>
      <w:bookmarkEnd w:id="1050"/>
    </w:p>
    <w:p w14:paraId="4AD64248" w14:textId="2A10DA23" w:rsidR="00B42D0D" w:rsidRPr="00F15667" w:rsidRDefault="000A30B5" w:rsidP="00115F4F">
      <w:pPr>
        <w:pStyle w:val="OdstavecASR"/>
      </w:pPr>
      <w:r w:rsidRPr="00F15667">
        <w:rPr>
          <w:noProof/>
          <w:lang w:eastAsia="cs-CZ"/>
        </w:rPr>
        <w:drawing>
          <wp:inline distT="0" distB="0" distL="0" distR="0" wp14:anchorId="7E745D72" wp14:editId="027B7D84">
            <wp:extent cx="5029200" cy="3657600"/>
            <wp:effectExtent l="0" t="0" r="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C2CF067" w14:textId="03694341" w:rsidR="000A30B5" w:rsidRPr="00F15667" w:rsidRDefault="000A30B5" w:rsidP="000A30B5">
      <w:pPr>
        <w:pStyle w:val="Podnadpis"/>
        <w:rPr>
          <w:color w:val="auto"/>
        </w:rPr>
      </w:pPr>
      <w:bookmarkStart w:id="1051" w:name="_Toc515871410"/>
      <w:bookmarkStart w:id="1052" w:name="_Toc11135141"/>
      <w:bookmarkStart w:id="1053" w:name="_Toc43841463"/>
      <w:bookmarkStart w:id="1054" w:name="_Toc75952266"/>
      <w:bookmarkStart w:id="1055" w:name="_Toc106106723"/>
      <w:bookmarkStart w:id="1056" w:name="_Toc109802047"/>
      <w:bookmarkStart w:id="1057" w:name="_Toc144104197"/>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85</w:t>
      </w:r>
      <w:r w:rsidR="009A10E2" w:rsidRPr="00F15667">
        <w:rPr>
          <w:color w:val="auto"/>
        </w:rPr>
        <w:fldChar w:fldCharType="end"/>
      </w:r>
      <w:r w:rsidRPr="00F15667">
        <w:rPr>
          <w:color w:val="auto"/>
        </w:rPr>
        <w:t>: VS Olomouc – věkové složení soudců v letech 2008–20</w:t>
      </w:r>
      <w:bookmarkEnd w:id="1051"/>
      <w:bookmarkEnd w:id="1052"/>
      <w:bookmarkEnd w:id="1053"/>
      <w:r w:rsidRPr="00F15667">
        <w:rPr>
          <w:color w:val="auto"/>
        </w:rPr>
        <w:t>2</w:t>
      </w:r>
      <w:bookmarkEnd w:id="1054"/>
      <w:r w:rsidRPr="00F15667">
        <w:rPr>
          <w:color w:val="auto"/>
        </w:rPr>
        <w:t>1</w:t>
      </w:r>
      <w:bookmarkEnd w:id="1055"/>
      <w:bookmarkEnd w:id="1056"/>
      <w:bookmarkEnd w:id="1057"/>
    </w:p>
    <w:p w14:paraId="23B8864E" w14:textId="7E7C18A4" w:rsidR="000A30B5" w:rsidRPr="00F15667" w:rsidRDefault="000A30B5" w:rsidP="00115F4F">
      <w:pPr>
        <w:pStyle w:val="OdstavecASR"/>
      </w:pPr>
      <w:r w:rsidRPr="00F15667">
        <w:rPr>
          <w:noProof/>
          <w:lang w:eastAsia="cs-CZ"/>
        </w:rPr>
        <w:drawing>
          <wp:inline distT="0" distB="0" distL="0" distR="0" wp14:anchorId="4CB03E8E" wp14:editId="2315C1C1">
            <wp:extent cx="5029200" cy="3657600"/>
            <wp:effectExtent l="0" t="0" r="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2C6BC1A" w14:textId="77777777" w:rsidR="000A30B5" w:rsidRPr="00F15667" w:rsidRDefault="000A30B5" w:rsidP="000A30B5">
      <w:pPr>
        <w:pStyle w:val="OdstavecASR"/>
        <w:keepNext/>
        <w:rPr>
          <w:lang w:eastAsia="cs-CZ"/>
        </w:rPr>
      </w:pPr>
      <w:r w:rsidRPr="00F15667">
        <w:rPr>
          <w:lang w:eastAsia="cs-CZ"/>
        </w:rPr>
        <w:t>Z grafů vyplývají následující závěry:</w:t>
      </w:r>
    </w:p>
    <w:p w14:paraId="2D2B037E" w14:textId="77777777" w:rsidR="000A30B5" w:rsidRPr="00F15667" w:rsidRDefault="000A30B5" w:rsidP="000A30B5">
      <w:pPr>
        <w:pStyle w:val="OdstavecASR"/>
        <w:numPr>
          <w:ilvl w:val="0"/>
          <w:numId w:val="15"/>
        </w:numPr>
      </w:pPr>
      <w:r w:rsidRPr="00F15667">
        <w:t xml:space="preserve">Soudci u vrchních soudů jsou v průměru starší než soudci u soudů krajských, a tedy i okresních. Stejně jako u rozdílu mezi OS a KS je důvodem tohoto rozdílu kariérní postup soudců. Od roku 2020 již u VS není žádný soudce pod 40 let. V roce 2019 byl jeden u VS </w:t>
      </w:r>
      <w:r w:rsidRPr="00F15667">
        <w:lastRenderedPageBreak/>
        <w:t>v Praze, zřejmě se ale posunul do vyšší věkové skupiny. U VS v Olomouci nebyl žádný soudce ve věkové skupině do 40 let již od roku 2014.</w:t>
      </w:r>
    </w:p>
    <w:p w14:paraId="6631CEA4" w14:textId="77777777" w:rsidR="000A30B5" w:rsidRPr="00F15667" w:rsidRDefault="000A30B5" w:rsidP="000A30B5">
      <w:pPr>
        <w:pStyle w:val="OdstavecASR"/>
        <w:numPr>
          <w:ilvl w:val="0"/>
          <w:numId w:val="15"/>
        </w:numPr>
      </w:pPr>
      <w:r w:rsidRPr="00F15667">
        <w:t>Z porovnání obou soudů vidíme, že u VS v Praze jsou větší věkové rozdíly mezi soudci než u VS v Olomouci. U VS v Olomouci je zdaleka nejpočetnější věková skupina mezi 51 a 60 lety. U VS v Praze je tato věková skupina sice také nejpočetnější, citelné zastoupení zde ale mají i věkové skupiny 41 až 50 let a 61 až 70 let.</w:t>
      </w:r>
    </w:p>
    <w:p w14:paraId="1FD14990" w14:textId="77777777" w:rsidR="000A30B5" w:rsidRPr="00F15667" w:rsidRDefault="000A30B5" w:rsidP="000A30B5">
      <w:pPr>
        <w:pStyle w:val="OdstavecASR"/>
        <w:numPr>
          <w:ilvl w:val="0"/>
          <w:numId w:val="15"/>
        </w:numPr>
      </w:pPr>
      <w:r w:rsidRPr="00F15667">
        <w:t>U VS v Praze došlo v letech 2008 až 2012 k nárůstu podílu soudců ve věku 61 až 70 let. Od té doby se věková struktura příliš nemění. Není zde tedy patrný efekt, který jsme viděli u OS a KS.</w:t>
      </w:r>
    </w:p>
    <w:p w14:paraId="3AFFE6F0" w14:textId="55A6B2E1" w:rsidR="000A30B5" w:rsidRPr="00F15667" w:rsidRDefault="000A30B5" w:rsidP="000A30B5">
      <w:pPr>
        <w:pStyle w:val="OdstavecASR"/>
        <w:numPr>
          <w:ilvl w:val="0"/>
          <w:numId w:val="15"/>
        </w:numPr>
      </w:pPr>
      <w:r w:rsidRPr="00F15667">
        <w:t xml:space="preserve">U VS v Olomouci je situace jiná. Na grafu je patrný velmi výrazný nárůst ve věku soudců. Zdůvodnění je prakticky stejné jako u okresních soudů. Ve sledovaném období </w:t>
      </w:r>
      <w:r w:rsidR="00D64073" w:rsidRPr="00F15667">
        <w:t xml:space="preserve">2008 až 2022 </w:t>
      </w:r>
      <w:r w:rsidRPr="00F15667">
        <w:t>se již celkový počet soudců příliš nemění. Po roce 2000 se počet soudců rychle zvyšoval, počet nově příchozích soudců k VS v Olomouci za rok byl tedy výrazně vyšší než v pozdějším období a nově příchozí soudci byli relativně mladí. Právě tato rozsáhlá generace soudců se ve sledovaném období postupně přesouvá do vyšší věkové skupiny. Průměrný věk příchozích soudců se stále zvyšoval, což opět plyne ze změny věkové struktury u nižších článků soudní soustavy. Teprve v roce 2018 přišli na soud mladší soudci ve věkové skupině 41 až 50 let</w:t>
      </w:r>
      <w:r w:rsidR="00063EED" w:rsidRPr="00F15667">
        <w:t xml:space="preserve"> a od té doby soudcovská populace</w:t>
      </w:r>
      <w:r w:rsidR="001677D6" w:rsidRPr="00F15667">
        <w:t xml:space="preserve"> VS Olomouc</w:t>
      </w:r>
      <w:r w:rsidR="00063EED" w:rsidRPr="00F15667">
        <w:t xml:space="preserve"> pomalu „mládne“.</w:t>
      </w:r>
    </w:p>
    <w:p w14:paraId="680034E0" w14:textId="25E33A49" w:rsidR="007879E7" w:rsidRPr="00F15667" w:rsidRDefault="008430BD" w:rsidP="008430BD">
      <w:pPr>
        <w:pStyle w:val="Nadpis3"/>
        <w:numPr>
          <w:ilvl w:val="2"/>
          <w:numId w:val="1"/>
        </w:numPr>
        <w:rPr>
          <w:color w:val="auto"/>
          <w:lang w:eastAsia="cs-CZ"/>
        </w:rPr>
      </w:pPr>
      <w:bookmarkStart w:id="1058" w:name="_Toc515871280"/>
      <w:bookmarkStart w:id="1059" w:name="_Toc106092792"/>
      <w:bookmarkStart w:id="1060" w:name="_Toc144104405"/>
      <w:r w:rsidRPr="00F15667">
        <w:rPr>
          <w:color w:val="auto"/>
          <w:lang w:eastAsia="cs-CZ"/>
        </w:rPr>
        <w:t>Zaměstnanci ve výkonu</w:t>
      </w:r>
      <w:bookmarkEnd w:id="1058"/>
      <w:bookmarkEnd w:id="1059"/>
      <w:bookmarkEnd w:id="1060"/>
    </w:p>
    <w:p w14:paraId="7E1DF449" w14:textId="5716C2A7" w:rsidR="00063EED" w:rsidRPr="00F15667" w:rsidRDefault="00063EED" w:rsidP="00063EED">
      <w:pPr>
        <w:pStyle w:val="Podnadpis"/>
        <w:numPr>
          <w:ilvl w:val="0"/>
          <w:numId w:val="0"/>
        </w:numPr>
        <w:rPr>
          <w:color w:val="auto"/>
        </w:rPr>
      </w:pPr>
      <w:bookmarkStart w:id="1061" w:name="_Toc515871502"/>
      <w:bookmarkStart w:id="1062" w:name="_Toc11133268"/>
      <w:bookmarkStart w:id="1063" w:name="_Toc43931250"/>
      <w:bookmarkStart w:id="1064" w:name="_Toc75952384"/>
      <w:bookmarkStart w:id="1065" w:name="_Toc106106837"/>
      <w:bookmarkStart w:id="1066" w:name="_Toc109802160"/>
      <w:bookmarkStart w:id="1067" w:name="_Toc144104319"/>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80</w:t>
      </w:r>
      <w:r w:rsidRPr="00F15667">
        <w:rPr>
          <w:color w:val="auto"/>
        </w:rPr>
        <w:fldChar w:fldCharType="end"/>
      </w:r>
      <w:r w:rsidRPr="00F15667">
        <w:rPr>
          <w:color w:val="auto"/>
        </w:rPr>
        <w:t>: VS – počet zaměstnanců ve výkonu dle soudů</w:t>
      </w:r>
      <w:bookmarkEnd w:id="1061"/>
      <w:bookmarkEnd w:id="1062"/>
      <w:bookmarkEnd w:id="1063"/>
      <w:bookmarkEnd w:id="1064"/>
      <w:bookmarkEnd w:id="1065"/>
      <w:bookmarkEnd w:id="1066"/>
      <w:bookmarkEnd w:id="1067"/>
    </w:p>
    <w:tbl>
      <w:tblPr>
        <w:tblW w:w="7859" w:type="dxa"/>
        <w:tblLayout w:type="fixed"/>
        <w:tblCellMar>
          <w:left w:w="70" w:type="dxa"/>
          <w:right w:w="70" w:type="dxa"/>
        </w:tblCellMar>
        <w:tblLook w:val="04A0" w:firstRow="1" w:lastRow="0" w:firstColumn="1" w:lastColumn="0" w:noHBand="0" w:noVBand="1"/>
      </w:tblPr>
      <w:tblGrid>
        <w:gridCol w:w="2080"/>
        <w:gridCol w:w="716"/>
        <w:gridCol w:w="717"/>
        <w:gridCol w:w="716"/>
        <w:gridCol w:w="717"/>
        <w:gridCol w:w="716"/>
        <w:gridCol w:w="717"/>
        <w:gridCol w:w="1480"/>
      </w:tblGrid>
      <w:tr w:rsidR="00F15667" w:rsidRPr="00F15667" w14:paraId="2F242C14" w14:textId="77777777" w:rsidTr="00115F4F">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B1F8C3E" w14:textId="3613703B"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Soud</w:t>
            </w:r>
          </w:p>
        </w:tc>
        <w:tc>
          <w:tcPr>
            <w:tcW w:w="5779" w:type="dxa"/>
            <w:gridSpan w:val="7"/>
            <w:tcBorders>
              <w:top w:val="double" w:sz="6" w:space="0" w:color="auto"/>
              <w:left w:val="nil"/>
              <w:bottom w:val="nil"/>
              <w:right w:val="nil"/>
            </w:tcBorders>
            <w:shd w:val="clear" w:color="auto" w:fill="auto"/>
            <w:noWrap/>
            <w:vAlign w:val="center"/>
            <w:hideMark/>
          </w:tcPr>
          <w:p w14:paraId="5453D521"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Počet osob</w:t>
            </w:r>
          </w:p>
        </w:tc>
      </w:tr>
      <w:tr w:rsidR="00F15667" w:rsidRPr="00F15667" w14:paraId="06EC1B71" w14:textId="77777777" w:rsidTr="00115F4F">
        <w:trPr>
          <w:trHeight w:val="330"/>
        </w:trPr>
        <w:tc>
          <w:tcPr>
            <w:tcW w:w="2080" w:type="dxa"/>
            <w:vMerge/>
            <w:tcBorders>
              <w:top w:val="double" w:sz="6" w:space="0" w:color="auto"/>
              <w:left w:val="nil"/>
              <w:bottom w:val="double" w:sz="6" w:space="0" w:color="000000"/>
              <w:right w:val="nil"/>
            </w:tcBorders>
            <w:vAlign w:val="center"/>
            <w:hideMark/>
          </w:tcPr>
          <w:p w14:paraId="19BBD3FC" w14:textId="77777777" w:rsidR="00063EED" w:rsidRPr="00F15667" w:rsidRDefault="00063EED" w:rsidP="00115F4F">
            <w:pPr>
              <w:spacing w:line="240" w:lineRule="auto"/>
              <w:jc w:val="center"/>
              <w:rPr>
                <w:rFonts w:eastAsia="Times New Roman"/>
                <w:b/>
                <w:bCs/>
                <w:szCs w:val="24"/>
                <w:lang w:eastAsia="cs-CZ"/>
              </w:rPr>
            </w:pPr>
          </w:p>
        </w:tc>
        <w:tc>
          <w:tcPr>
            <w:tcW w:w="716" w:type="dxa"/>
            <w:tcBorders>
              <w:top w:val="nil"/>
              <w:left w:val="nil"/>
              <w:bottom w:val="double" w:sz="6" w:space="0" w:color="auto"/>
              <w:right w:val="nil"/>
            </w:tcBorders>
            <w:shd w:val="clear" w:color="auto" w:fill="auto"/>
            <w:noWrap/>
            <w:vAlign w:val="center"/>
            <w:hideMark/>
          </w:tcPr>
          <w:p w14:paraId="55C0206B"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VSÚ</w:t>
            </w:r>
          </w:p>
        </w:tc>
        <w:tc>
          <w:tcPr>
            <w:tcW w:w="717" w:type="dxa"/>
            <w:tcBorders>
              <w:top w:val="nil"/>
              <w:left w:val="nil"/>
              <w:bottom w:val="double" w:sz="6" w:space="0" w:color="auto"/>
              <w:right w:val="nil"/>
            </w:tcBorders>
            <w:shd w:val="clear" w:color="auto" w:fill="auto"/>
            <w:noWrap/>
            <w:vAlign w:val="center"/>
            <w:hideMark/>
          </w:tcPr>
          <w:p w14:paraId="46A899B7"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ST</w:t>
            </w:r>
          </w:p>
        </w:tc>
        <w:tc>
          <w:tcPr>
            <w:tcW w:w="716" w:type="dxa"/>
            <w:tcBorders>
              <w:top w:val="nil"/>
              <w:left w:val="nil"/>
              <w:bottom w:val="double" w:sz="6" w:space="0" w:color="auto"/>
              <w:right w:val="nil"/>
            </w:tcBorders>
            <w:shd w:val="clear" w:color="auto" w:fill="auto"/>
            <w:noWrap/>
            <w:vAlign w:val="center"/>
            <w:hideMark/>
          </w:tcPr>
          <w:p w14:paraId="4D1DCA16"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A</w:t>
            </w:r>
          </w:p>
        </w:tc>
        <w:tc>
          <w:tcPr>
            <w:tcW w:w="717" w:type="dxa"/>
            <w:tcBorders>
              <w:top w:val="nil"/>
              <w:left w:val="nil"/>
              <w:bottom w:val="double" w:sz="6" w:space="0" w:color="auto"/>
              <w:right w:val="nil"/>
            </w:tcBorders>
            <w:shd w:val="clear" w:color="auto" w:fill="auto"/>
            <w:noWrap/>
            <w:vAlign w:val="center"/>
            <w:hideMark/>
          </w:tcPr>
          <w:p w14:paraId="0ADE8836"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VK</w:t>
            </w:r>
          </w:p>
        </w:tc>
        <w:tc>
          <w:tcPr>
            <w:tcW w:w="716" w:type="dxa"/>
            <w:tcBorders>
              <w:top w:val="nil"/>
              <w:left w:val="nil"/>
              <w:bottom w:val="double" w:sz="6" w:space="0" w:color="auto"/>
              <w:right w:val="nil"/>
            </w:tcBorders>
            <w:shd w:val="clear" w:color="auto" w:fill="auto"/>
            <w:noWrap/>
            <w:vAlign w:val="center"/>
            <w:hideMark/>
          </w:tcPr>
          <w:p w14:paraId="161C2768"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PÚ</w:t>
            </w:r>
          </w:p>
        </w:tc>
        <w:tc>
          <w:tcPr>
            <w:tcW w:w="717" w:type="dxa"/>
            <w:tcBorders>
              <w:top w:val="nil"/>
              <w:left w:val="nil"/>
              <w:bottom w:val="double" w:sz="6" w:space="0" w:color="auto"/>
              <w:right w:val="nil"/>
            </w:tcBorders>
            <w:shd w:val="clear" w:color="auto" w:fill="auto"/>
            <w:noWrap/>
            <w:vAlign w:val="center"/>
            <w:hideMark/>
          </w:tcPr>
          <w:p w14:paraId="51208591"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Z</w:t>
            </w:r>
          </w:p>
        </w:tc>
        <w:tc>
          <w:tcPr>
            <w:tcW w:w="1480" w:type="dxa"/>
            <w:tcBorders>
              <w:top w:val="nil"/>
              <w:left w:val="nil"/>
              <w:bottom w:val="double" w:sz="6" w:space="0" w:color="auto"/>
              <w:right w:val="nil"/>
            </w:tcBorders>
            <w:shd w:val="clear" w:color="auto" w:fill="auto"/>
            <w:noWrap/>
            <w:vAlign w:val="center"/>
            <w:hideMark/>
          </w:tcPr>
          <w:p w14:paraId="67B0DBC6"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Celkem</w:t>
            </w:r>
          </w:p>
        </w:tc>
      </w:tr>
      <w:tr w:rsidR="00F15667" w:rsidRPr="00F15667" w14:paraId="64E75AF5" w14:textId="77777777" w:rsidTr="00115F4F">
        <w:trPr>
          <w:trHeight w:val="330"/>
        </w:trPr>
        <w:tc>
          <w:tcPr>
            <w:tcW w:w="2080" w:type="dxa"/>
            <w:tcBorders>
              <w:top w:val="single" w:sz="4" w:space="0" w:color="auto"/>
              <w:left w:val="nil"/>
              <w:bottom w:val="single" w:sz="4" w:space="0" w:color="auto"/>
              <w:right w:val="nil"/>
            </w:tcBorders>
            <w:shd w:val="clear" w:color="auto" w:fill="auto"/>
            <w:noWrap/>
            <w:vAlign w:val="center"/>
            <w:hideMark/>
          </w:tcPr>
          <w:p w14:paraId="2AE56FBB" w14:textId="77777777" w:rsidR="00063EED" w:rsidRPr="00F15667" w:rsidRDefault="00063EED" w:rsidP="00115F4F">
            <w:pPr>
              <w:spacing w:line="240" w:lineRule="auto"/>
              <w:jc w:val="left"/>
              <w:rPr>
                <w:rFonts w:eastAsia="Times New Roman"/>
                <w:szCs w:val="24"/>
                <w:lang w:eastAsia="cs-CZ"/>
              </w:rPr>
            </w:pPr>
            <w:r w:rsidRPr="00F15667">
              <w:rPr>
                <w:rFonts w:eastAsia="Times New Roman"/>
                <w:szCs w:val="24"/>
                <w:lang w:eastAsia="cs-CZ"/>
              </w:rPr>
              <w:t>VS Praha</w:t>
            </w:r>
          </w:p>
        </w:tc>
        <w:tc>
          <w:tcPr>
            <w:tcW w:w="716" w:type="dxa"/>
            <w:tcBorders>
              <w:top w:val="single" w:sz="4" w:space="0" w:color="auto"/>
              <w:left w:val="nil"/>
              <w:bottom w:val="single" w:sz="4" w:space="0" w:color="auto"/>
              <w:right w:val="nil"/>
            </w:tcBorders>
            <w:shd w:val="clear" w:color="auto" w:fill="auto"/>
            <w:noWrap/>
            <w:vAlign w:val="center"/>
            <w:hideMark/>
          </w:tcPr>
          <w:p w14:paraId="3EFC1CD2"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4</w:t>
            </w:r>
          </w:p>
        </w:tc>
        <w:tc>
          <w:tcPr>
            <w:tcW w:w="717" w:type="dxa"/>
            <w:tcBorders>
              <w:top w:val="single" w:sz="4" w:space="0" w:color="auto"/>
              <w:left w:val="nil"/>
              <w:bottom w:val="single" w:sz="4" w:space="0" w:color="auto"/>
              <w:right w:val="nil"/>
            </w:tcBorders>
            <w:shd w:val="clear" w:color="auto" w:fill="auto"/>
            <w:noWrap/>
            <w:vAlign w:val="center"/>
            <w:hideMark/>
          </w:tcPr>
          <w:p w14:paraId="68EA6D7E"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4</w:t>
            </w:r>
          </w:p>
        </w:tc>
        <w:tc>
          <w:tcPr>
            <w:tcW w:w="716" w:type="dxa"/>
            <w:tcBorders>
              <w:top w:val="single" w:sz="4" w:space="0" w:color="auto"/>
              <w:left w:val="nil"/>
              <w:bottom w:val="single" w:sz="4" w:space="0" w:color="auto"/>
              <w:right w:val="nil"/>
            </w:tcBorders>
            <w:shd w:val="clear" w:color="auto" w:fill="auto"/>
            <w:noWrap/>
            <w:vAlign w:val="center"/>
            <w:hideMark/>
          </w:tcPr>
          <w:p w14:paraId="04776660"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40</w:t>
            </w:r>
          </w:p>
        </w:tc>
        <w:tc>
          <w:tcPr>
            <w:tcW w:w="717" w:type="dxa"/>
            <w:tcBorders>
              <w:top w:val="single" w:sz="4" w:space="0" w:color="auto"/>
              <w:left w:val="nil"/>
              <w:bottom w:val="single" w:sz="4" w:space="0" w:color="auto"/>
              <w:right w:val="nil"/>
            </w:tcBorders>
            <w:shd w:val="clear" w:color="auto" w:fill="auto"/>
            <w:noWrap/>
            <w:vAlign w:val="center"/>
            <w:hideMark/>
          </w:tcPr>
          <w:p w14:paraId="739F1E0E"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20</w:t>
            </w:r>
          </w:p>
        </w:tc>
        <w:tc>
          <w:tcPr>
            <w:tcW w:w="716" w:type="dxa"/>
            <w:tcBorders>
              <w:top w:val="single" w:sz="4" w:space="0" w:color="auto"/>
              <w:left w:val="nil"/>
              <w:bottom w:val="single" w:sz="4" w:space="0" w:color="auto"/>
              <w:right w:val="nil"/>
            </w:tcBorders>
            <w:shd w:val="clear" w:color="auto" w:fill="auto"/>
            <w:noWrap/>
            <w:vAlign w:val="center"/>
            <w:hideMark/>
          </w:tcPr>
          <w:p w14:paraId="3A50ED3B"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14</w:t>
            </w:r>
          </w:p>
        </w:tc>
        <w:tc>
          <w:tcPr>
            <w:tcW w:w="717" w:type="dxa"/>
            <w:tcBorders>
              <w:top w:val="single" w:sz="4" w:space="0" w:color="auto"/>
              <w:left w:val="nil"/>
              <w:bottom w:val="single" w:sz="4" w:space="0" w:color="auto"/>
              <w:right w:val="nil"/>
            </w:tcBorders>
            <w:shd w:val="clear" w:color="auto" w:fill="auto"/>
            <w:noWrap/>
            <w:vAlign w:val="center"/>
            <w:hideMark/>
          </w:tcPr>
          <w:p w14:paraId="4DA9CADF"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17</w:t>
            </w:r>
          </w:p>
        </w:tc>
        <w:tc>
          <w:tcPr>
            <w:tcW w:w="1480" w:type="dxa"/>
            <w:tcBorders>
              <w:top w:val="single" w:sz="4" w:space="0" w:color="auto"/>
              <w:left w:val="nil"/>
              <w:bottom w:val="single" w:sz="4" w:space="0" w:color="auto"/>
              <w:right w:val="nil"/>
            </w:tcBorders>
            <w:shd w:val="clear" w:color="auto" w:fill="auto"/>
            <w:noWrap/>
            <w:vAlign w:val="center"/>
            <w:hideMark/>
          </w:tcPr>
          <w:p w14:paraId="05D8B012"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99</w:t>
            </w:r>
          </w:p>
        </w:tc>
      </w:tr>
      <w:tr w:rsidR="00F15667" w:rsidRPr="00F15667" w14:paraId="2FE993A7" w14:textId="77777777" w:rsidTr="00115F4F">
        <w:trPr>
          <w:trHeight w:val="330"/>
        </w:trPr>
        <w:tc>
          <w:tcPr>
            <w:tcW w:w="2080" w:type="dxa"/>
            <w:tcBorders>
              <w:top w:val="nil"/>
              <w:left w:val="nil"/>
              <w:bottom w:val="nil"/>
              <w:right w:val="nil"/>
            </w:tcBorders>
            <w:shd w:val="clear" w:color="auto" w:fill="auto"/>
            <w:noWrap/>
            <w:vAlign w:val="center"/>
            <w:hideMark/>
          </w:tcPr>
          <w:p w14:paraId="1A996098" w14:textId="77777777" w:rsidR="00063EED" w:rsidRPr="00F15667" w:rsidRDefault="00063EED" w:rsidP="00115F4F">
            <w:pPr>
              <w:spacing w:line="240" w:lineRule="auto"/>
              <w:jc w:val="left"/>
              <w:rPr>
                <w:rFonts w:eastAsia="Times New Roman"/>
                <w:szCs w:val="24"/>
                <w:lang w:eastAsia="cs-CZ"/>
              </w:rPr>
            </w:pPr>
            <w:r w:rsidRPr="00F15667">
              <w:rPr>
                <w:rFonts w:eastAsia="Times New Roman"/>
                <w:szCs w:val="24"/>
                <w:lang w:eastAsia="cs-CZ"/>
              </w:rPr>
              <w:t>VS Olomouc</w:t>
            </w:r>
          </w:p>
        </w:tc>
        <w:tc>
          <w:tcPr>
            <w:tcW w:w="716" w:type="dxa"/>
            <w:tcBorders>
              <w:top w:val="nil"/>
              <w:left w:val="nil"/>
              <w:bottom w:val="nil"/>
              <w:right w:val="nil"/>
            </w:tcBorders>
            <w:shd w:val="clear" w:color="auto" w:fill="auto"/>
            <w:noWrap/>
            <w:vAlign w:val="center"/>
            <w:hideMark/>
          </w:tcPr>
          <w:p w14:paraId="091B56CD" w14:textId="38558042" w:rsidR="00063EED" w:rsidRPr="00F15667" w:rsidRDefault="00220335" w:rsidP="00115F4F">
            <w:pPr>
              <w:spacing w:line="240" w:lineRule="auto"/>
              <w:jc w:val="center"/>
              <w:rPr>
                <w:rFonts w:eastAsia="Times New Roman"/>
                <w:szCs w:val="24"/>
                <w:lang w:eastAsia="cs-CZ"/>
              </w:rPr>
            </w:pPr>
            <w:r>
              <w:rPr>
                <w:rFonts w:eastAsia="Times New Roman"/>
                <w:szCs w:val="24"/>
                <w:lang w:eastAsia="cs-CZ"/>
              </w:rPr>
              <w:t>1</w:t>
            </w:r>
          </w:p>
        </w:tc>
        <w:tc>
          <w:tcPr>
            <w:tcW w:w="717" w:type="dxa"/>
            <w:tcBorders>
              <w:top w:val="nil"/>
              <w:left w:val="nil"/>
              <w:bottom w:val="nil"/>
              <w:right w:val="nil"/>
            </w:tcBorders>
            <w:shd w:val="clear" w:color="auto" w:fill="auto"/>
            <w:noWrap/>
            <w:vAlign w:val="center"/>
            <w:hideMark/>
          </w:tcPr>
          <w:p w14:paraId="78DDB70F"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0</w:t>
            </w:r>
          </w:p>
        </w:tc>
        <w:tc>
          <w:tcPr>
            <w:tcW w:w="716" w:type="dxa"/>
            <w:tcBorders>
              <w:top w:val="nil"/>
              <w:left w:val="nil"/>
              <w:bottom w:val="nil"/>
              <w:right w:val="nil"/>
            </w:tcBorders>
            <w:shd w:val="clear" w:color="auto" w:fill="auto"/>
            <w:noWrap/>
            <w:vAlign w:val="center"/>
            <w:hideMark/>
          </w:tcPr>
          <w:p w14:paraId="6CC4AA51" w14:textId="432637AC" w:rsidR="00063EED" w:rsidRPr="00F15667" w:rsidRDefault="00220335" w:rsidP="00115F4F">
            <w:pPr>
              <w:spacing w:line="240" w:lineRule="auto"/>
              <w:jc w:val="center"/>
              <w:rPr>
                <w:rFonts w:eastAsia="Times New Roman"/>
                <w:szCs w:val="24"/>
                <w:lang w:eastAsia="cs-CZ"/>
              </w:rPr>
            </w:pPr>
            <w:r>
              <w:rPr>
                <w:rFonts w:eastAsia="Times New Roman"/>
                <w:szCs w:val="24"/>
                <w:lang w:eastAsia="cs-CZ"/>
              </w:rPr>
              <w:t>13</w:t>
            </w:r>
          </w:p>
        </w:tc>
        <w:tc>
          <w:tcPr>
            <w:tcW w:w="717" w:type="dxa"/>
            <w:tcBorders>
              <w:top w:val="nil"/>
              <w:left w:val="nil"/>
              <w:bottom w:val="nil"/>
              <w:right w:val="nil"/>
            </w:tcBorders>
            <w:shd w:val="clear" w:color="auto" w:fill="auto"/>
            <w:noWrap/>
            <w:vAlign w:val="center"/>
            <w:hideMark/>
          </w:tcPr>
          <w:p w14:paraId="4FC6C69B"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7</w:t>
            </w:r>
          </w:p>
        </w:tc>
        <w:tc>
          <w:tcPr>
            <w:tcW w:w="716" w:type="dxa"/>
            <w:tcBorders>
              <w:top w:val="nil"/>
              <w:left w:val="nil"/>
              <w:bottom w:val="nil"/>
              <w:right w:val="nil"/>
            </w:tcBorders>
            <w:shd w:val="clear" w:color="auto" w:fill="auto"/>
            <w:noWrap/>
            <w:vAlign w:val="center"/>
            <w:hideMark/>
          </w:tcPr>
          <w:p w14:paraId="17BE18C7"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6</w:t>
            </w:r>
          </w:p>
        </w:tc>
        <w:tc>
          <w:tcPr>
            <w:tcW w:w="717" w:type="dxa"/>
            <w:tcBorders>
              <w:top w:val="nil"/>
              <w:left w:val="nil"/>
              <w:bottom w:val="nil"/>
              <w:right w:val="nil"/>
            </w:tcBorders>
            <w:shd w:val="clear" w:color="auto" w:fill="auto"/>
            <w:noWrap/>
            <w:vAlign w:val="center"/>
            <w:hideMark/>
          </w:tcPr>
          <w:p w14:paraId="72C9566B" w14:textId="77777777" w:rsidR="00063EED" w:rsidRPr="00F15667" w:rsidRDefault="00063EED" w:rsidP="00115F4F">
            <w:pPr>
              <w:spacing w:line="240" w:lineRule="auto"/>
              <w:jc w:val="center"/>
              <w:rPr>
                <w:rFonts w:eastAsia="Times New Roman"/>
                <w:szCs w:val="24"/>
                <w:lang w:eastAsia="cs-CZ"/>
              </w:rPr>
            </w:pPr>
            <w:r w:rsidRPr="00F15667">
              <w:rPr>
                <w:rFonts w:eastAsia="Times New Roman"/>
                <w:szCs w:val="24"/>
                <w:lang w:eastAsia="cs-CZ"/>
              </w:rPr>
              <w:t>7</w:t>
            </w:r>
          </w:p>
        </w:tc>
        <w:tc>
          <w:tcPr>
            <w:tcW w:w="1480" w:type="dxa"/>
            <w:tcBorders>
              <w:top w:val="nil"/>
              <w:left w:val="nil"/>
              <w:bottom w:val="single" w:sz="4" w:space="0" w:color="auto"/>
              <w:right w:val="nil"/>
            </w:tcBorders>
            <w:shd w:val="clear" w:color="auto" w:fill="auto"/>
            <w:noWrap/>
            <w:vAlign w:val="center"/>
            <w:hideMark/>
          </w:tcPr>
          <w:p w14:paraId="310535B1"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34</w:t>
            </w:r>
          </w:p>
        </w:tc>
      </w:tr>
      <w:tr w:rsidR="00F15667" w:rsidRPr="00F15667" w14:paraId="6680750C" w14:textId="77777777" w:rsidTr="00115F4F">
        <w:trPr>
          <w:trHeight w:val="345"/>
        </w:trPr>
        <w:tc>
          <w:tcPr>
            <w:tcW w:w="2080" w:type="dxa"/>
            <w:tcBorders>
              <w:top w:val="double" w:sz="6" w:space="0" w:color="auto"/>
              <w:left w:val="nil"/>
              <w:bottom w:val="double" w:sz="6" w:space="0" w:color="auto"/>
              <w:right w:val="nil"/>
            </w:tcBorders>
            <w:shd w:val="clear" w:color="auto" w:fill="auto"/>
            <w:noWrap/>
            <w:vAlign w:val="center"/>
            <w:hideMark/>
          </w:tcPr>
          <w:p w14:paraId="2ED24B08" w14:textId="77777777" w:rsidR="00063EED" w:rsidRPr="00F15667" w:rsidRDefault="00063EED" w:rsidP="00115F4F">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716" w:type="dxa"/>
            <w:tcBorders>
              <w:top w:val="double" w:sz="6" w:space="0" w:color="auto"/>
              <w:left w:val="nil"/>
              <w:bottom w:val="double" w:sz="6" w:space="0" w:color="auto"/>
              <w:right w:val="nil"/>
            </w:tcBorders>
            <w:shd w:val="clear" w:color="auto" w:fill="auto"/>
            <w:noWrap/>
            <w:vAlign w:val="center"/>
            <w:hideMark/>
          </w:tcPr>
          <w:p w14:paraId="549531D2"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6</w:t>
            </w:r>
          </w:p>
        </w:tc>
        <w:tc>
          <w:tcPr>
            <w:tcW w:w="717" w:type="dxa"/>
            <w:tcBorders>
              <w:top w:val="double" w:sz="6" w:space="0" w:color="auto"/>
              <w:left w:val="nil"/>
              <w:bottom w:val="double" w:sz="6" w:space="0" w:color="auto"/>
              <w:right w:val="nil"/>
            </w:tcBorders>
            <w:shd w:val="clear" w:color="auto" w:fill="auto"/>
            <w:noWrap/>
            <w:vAlign w:val="center"/>
            <w:hideMark/>
          </w:tcPr>
          <w:p w14:paraId="7AA51CCD"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4</w:t>
            </w:r>
          </w:p>
        </w:tc>
        <w:tc>
          <w:tcPr>
            <w:tcW w:w="716" w:type="dxa"/>
            <w:tcBorders>
              <w:top w:val="double" w:sz="6" w:space="0" w:color="auto"/>
              <w:left w:val="nil"/>
              <w:bottom w:val="double" w:sz="6" w:space="0" w:color="auto"/>
              <w:right w:val="nil"/>
            </w:tcBorders>
            <w:shd w:val="clear" w:color="auto" w:fill="auto"/>
            <w:noWrap/>
            <w:vAlign w:val="center"/>
            <w:hideMark/>
          </w:tcPr>
          <w:p w14:paraId="2B4EEAAC"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52</w:t>
            </w:r>
          </w:p>
        </w:tc>
        <w:tc>
          <w:tcPr>
            <w:tcW w:w="717" w:type="dxa"/>
            <w:tcBorders>
              <w:top w:val="double" w:sz="6" w:space="0" w:color="auto"/>
              <w:left w:val="nil"/>
              <w:bottom w:val="double" w:sz="6" w:space="0" w:color="auto"/>
              <w:right w:val="nil"/>
            </w:tcBorders>
            <w:shd w:val="clear" w:color="auto" w:fill="auto"/>
            <w:noWrap/>
            <w:vAlign w:val="center"/>
            <w:hideMark/>
          </w:tcPr>
          <w:p w14:paraId="0D8D8840"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27</w:t>
            </w:r>
          </w:p>
        </w:tc>
        <w:tc>
          <w:tcPr>
            <w:tcW w:w="716" w:type="dxa"/>
            <w:tcBorders>
              <w:top w:val="double" w:sz="6" w:space="0" w:color="auto"/>
              <w:left w:val="nil"/>
              <w:bottom w:val="double" w:sz="6" w:space="0" w:color="auto"/>
              <w:right w:val="nil"/>
            </w:tcBorders>
            <w:shd w:val="clear" w:color="auto" w:fill="auto"/>
            <w:noWrap/>
            <w:vAlign w:val="center"/>
            <w:hideMark/>
          </w:tcPr>
          <w:p w14:paraId="09B0C8D5"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20</w:t>
            </w:r>
          </w:p>
        </w:tc>
        <w:tc>
          <w:tcPr>
            <w:tcW w:w="717" w:type="dxa"/>
            <w:tcBorders>
              <w:top w:val="double" w:sz="6" w:space="0" w:color="auto"/>
              <w:left w:val="nil"/>
              <w:bottom w:val="double" w:sz="6" w:space="0" w:color="auto"/>
              <w:right w:val="nil"/>
            </w:tcBorders>
            <w:shd w:val="clear" w:color="auto" w:fill="auto"/>
            <w:noWrap/>
            <w:vAlign w:val="center"/>
            <w:hideMark/>
          </w:tcPr>
          <w:p w14:paraId="5E155517"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24</w:t>
            </w:r>
          </w:p>
        </w:tc>
        <w:tc>
          <w:tcPr>
            <w:tcW w:w="1480" w:type="dxa"/>
            <w:tcBorders>
              <w:top w:val="double" w:sz="6" w:space="0" w:color="auto"/>
              <w:left w:val="nil"/>
              <w:bottom w:val="double" w:sz="6" w:space="0" w:color="auto"/>
              <w:right w:val="nil"/>
            </w:tcBorders>
            <w:shd w:val="clear" w:color="auto" w:fill="auto"/>
            <w:noWrap/>
            <w:vAlign w:val="center"/>
            <w:hideMark/>
          </w:tcPr>
          <w:p w14:paraId="736E38A8" w14:textId="77777777" w:rsidR="00063EED" w:rsidRPr="00F15667" w:rsidRDefault="00063EED" w:rsidP="00115F4F">
            <w:pPr>
              <w:spacing w:line="240" w:lineRule="auto"/>
              <w:jc w:val="center"/>
              <w:rPr>
                <w:rFonts w:eastAsia="Times New Roman"/>
                <w:b/>
                <w:bCs/>
                <w:szCs w:val="24"/>
                <w:lang w:eastAsia="cs-CZ"/>
              </w:rPr>
            </w:pPr>
            <w:r w:rsidRPr="00F15667">
              <w:rPr>
                <w:rFonts w:eastAsia="Times New Roman"/>
                <w:b/>
                <w:bCs/>
                <w:szCs w:val="24"/>
                <w:lang w:eastAsia="cs-CZ"/>
              </w:rPr>
              <w:t>133</w:t>
            </w:r>
          </w:p>
        </w:tc>
      </w:tr>
      <w:tr w:rsidR="00F15667" w:rsidRPr="00F15667" w14:paraId="63776214" w14:textId="77777777" w:rsidTr="00115F4F">
        <w:trPr>
          <w:trHeight w:val="330"/>
        </w:trPr>
        <w:tc>
          <w:tcPr>
            <w:tcW w:w="2080" w:type="dxa"/>
            <w:tcBorders>
              <w:top w:val="nil"/>
              <w:left w:val="nil"/>
              <w:bottom w:val="nil"/>
              <w:right w:val="nil"/>
            </w:tcBorders>
            <w:shd w:val="clear" w:color="auto" w:fill="auto"/>
            <w:noWrap/>
            <w:vAlign w:val="center"/>
            <w:hideMark/>
          </w:tcPr>
          <w:p w14:paraId="69173C7A" w14:textId="77777777" w:rsidR="00063EED" w:rsidRPr="00F15667" w:rsidRDefault="00063EED" w:rsidP="00115F4F">
            <w:pPr>
              <w:spacing w:line="240" w:lineRule="auto"/>
              <w:jc w:val="center"/>
              <w:rPr>
                <w:rFonts w:eastAsia="Times New Roman"/>
                <w:b/>
                <w:bCs/>
                <w:szCs w:val="24"/>
                <w:lang w:eastAsia="cs-CZ"/>
              </w:rPr>
            </w:pPr>
          </w:p>
        </w:tc>
        <w:tc>
          <w:tcPr>
            <w:tcW w:w="716" w:type="dxa"/>
            <w:tcBorders>
              <w:top w:val="nil"/>
              <w:left w:val="nil"/>
              <w:bottom w:val="nil"/>
              <w:right w:val="nil"/>
            </w:tcBorders>
            <w:shd w:val="clear" w:color="auto" w:fill="auto"/>
            <w:noWrap/>
            <w:vAlign w:val="center"/>
            <w:hideMark/>
          </w:tcPr>
          <w:p w14:paraId="3B77FC79" w14:textId="77777777" w:rsidR="00063EED" w:rsidRPr="00F15667" w:rsidRDefault="00063EED" w:rsidP="00115F4F">
            <w:pPr>
              <w:spacing w:line="240" w:lineRule="auto"/>
              <w:jc w:val="center"/>
              <w:rPr>
                <w:rFonts w:ascii="Times New Roman" w:eastAsia="Times New Roman" w:hAnsi="Times New Roman"/>
                <w:sz w:val="20"/>
                <w:szCs w:val="20"/>
                <w:lang w:eastAsia="cs-CZ"/>
              </w:rPr>
            </w:pPr>
          </w:p>
        </w:tc>
        <w:tc>
          <w:tcPr>
            <w:tcW w:w="717" w:type="dxa"/>
            <w:tcBorders>
              <w:top w:val="nil"/>
              <w:left w:val="nil"/>
              <w:bottom w:val="nil"/>
              <w:right w:val="nil"/>
            </w:tcBorders>
            <w:shd w:val="clear" w:color="auto" w:fill="auto"/>
            <w:noWrap/>
            <w:vAlign w:val="center"/>
            <w:hideMark/>
          </w:tcPr>
          <w:p w14:paraId="051D73DE" w14:textId="77777777" w:rsidR="00063EED" w:rsidRPr="00F15667" w:rsidRDefault="00063EED" w:rsidP="00115F4F">
            <w:pPr>
              <w:spacing w:line="240" w:lineRule="auto"/>
              <w:jc w:val="center"/>
              <w:rPr>
                <w:rFonts w:ascii="Times New Roman" w:eastAsia="Times New Roman" w:hAnsi="Times New Roman"/>
                <w:sz w:val="20"/>
                <w:szCs w:val="20"/>
                <w:lang w:eastAsia="cs-CZ"/>
              </w:rPr>
            </w:pPr>
          </w:p>
        </w:tc>
        <w:tc>
          <w:tcPr>
            <w:tcW w:w="716" w:type="dxa"/>
            <w:tcBorders>
              <w:top w:val="nil"/>
              <w:left w:val="nil"/>
              <w:bottom w:val="nil"/>
              <w:right w:val="nil"/>
            </w:tcBorders>
            <w:shd w:val="clear" w:color="auto" w:fill="auto"/>
            <w:noWrap/>
            <w:vAlign w:val="center"/>
            <w:hideMark/>
          </w:tcPr>
          <w:p w14:paraId="55F2D12E" w14:textId="77777777" w:rsidR="00063EED" w:rsidRPr="00F15667" w:rsidRDefault="00063EED" w:rsidP="00115F4F">
            <w:pPr>
              <w:spacing w:line="240" w:lineRule="auto"/>
              <w:jc w:val="center"/>
              <w:rPr>
                <w:rFonts w:ascii="Times New Roman" w:eastAsia="Times New Roman" w:hAnsi="Times New Roman"/>
                <w:sz w:val="20"/>
                <w:szCs w:val="20"/>
                <w:lang w:eastAsia="cs-CZ"/>
              </w:rPr>
            </w:pPr>
          </w:p>
        </w:tc>
        <w:tc>
          <w:tcPr>
            <w:tcW w:w="717" w:type="dxa"/>
            <w:tcBorders>
              <w:top w:val="nil"/>
              <w:left w:val="nil"/>
              <w:bottom w:val="nil"/>
              <w:right w:val="nil"/>
            </w:tcBorders>
            <w:shd w:val="clear" w:color="auto" w:fill="auto"/>
            <w:noWrap/>
            <w:vAlign w:val="center"/>
            <w:hideMark/>
          </w:tcPr>
          <w:p w14:paraId="5F4FC121" w14:textId="77777777" w:rsidR="00063EED" w:rsidRPr="00F15667" w:rsidRDefault="00063EED" w:rsidP="00115F4F">
            <w:pPr>
              <w:spacing w:line="240" w:lineRule="auto"/>
              <w:jc w:val="center"/>
              <w:rPr>
                <w:rFonts w:ascii="Times New Roman" w:eastAsia="Times New Roman" w:hAnsi="Times New Roman"/>
                <w:sz w:val="20"/>
                <w:szCs w:val="20"/>
                <w:lang w:eastAsia="cs-CZ"/>
              </w:rPr>
            </w:pPr>
          </w:p>
        </w:tc>
        <w:tc>
          <w:tcPr>
            <w:tcW w:w="716" w:type="dxa"/>
            <w:tcBorders>
              <w:top w:val="nil"/>
              <w:left w:val="nil"/>
              <w:bottom w:val="nil"/>
              <w:right w:val="nil"/>
            </w:tcBorders>
            <w:shd w:val="clear" w:color="auto" w:fill="auto"/>
            <w:noWrap/>
            <w:vAlign w:val="center"/>
            <w:hideMark/>
          </w:tcPr>
          <w:p w14:paraId="11B0ECA7" w14:textId="77777777" w:rsidR="00063EED" w:rsidRPr="00F15667" w:rsidRDefault="00063EED" w:rsidP="00115F4F">
            <w:pPr>
              <w:spacing w:line="240" w:lineRule="auto"/>
              <w:jc w:val="center"/>
              <w:rPr>
                <w:rFonts w:ascii="Times New Roman" w:eastAsia="Times New Roman" w:hAnsi="Times New Roman"/>
                <w:sz w:val="20"/>
                <w:szCs w:val="20"/>
                <w:lang w:eastAsia="cs-CZ"/>
              </w:rPr>
            </w:pPr>
          </w:p>
        </w:tc>
        <w:tc>
          <w:tcPr>
            <w:tcW w:w="717" w:type="dxa"/>
            <w:tcBorders>
              <w:top w:val="nil"/>
              <w:left w:val="nil"/>
              <w:bottom w:val="nil"/>
              <w:right w:val="nil"/>
            </w:tcBorders>
            <w:shd w:val="clear" w:color="auto" w:fill="auto"/>
            <w:noWrap/>
            <w:vAlign w:val="center"/>
            <w:hideMark/>
          </w:tcPr>
          <w:p w14:paraId="4B737817" w14:textId="77777777" w:rsidR="00063EED" w:rsidRPr="00F15667" w:rsidRDefault="00063EED" w:rsidP="00115F4F">
            <w:pPr>
              <w:spacing w:line="240" w:lineRule="auto"/>
              <w:jc w:val="center"/>
              <w:rPr>
                <w:rFonts w:ascii="Times New Roman" w:eastAsia="Times New Roman" w:hAnsi="Times New Roman"/>
                <w:sz w:val="20"/>
                <w:szCs w:val="20"/>
                <w:lang w:eastAsia="cs-CZ"/>
              </w:rPr>
            </w:pPr>
          </w:p>
        </w:tc>
        <w:tc>
          <w:tcPr>
            <w:tcW w:w="1480" w:type="dxa"/>
            <w:tcBorders>
              <w:top w:val="nil"/>
              <w:left w:val="nil"/>
              <w:bottom w:val="nil"/>
              <w:right w:val="nil"/>
            </w:tcBorders>
            <w:shd w:val="clear" w:color="auto" w:fill="auto"/>
            <w:noWrap/>
            <w:vAlign w:val="center"/>
            <w:hideMark/>
          </w:tcPr>
          <w:p w14:paraId="27D2F7C1" w14:textId="77777777" w:rsidR="00063EED" w:rsidRPr="00F15667" w:rsidRDefault="00063EED" w:rsidP="00115F4F">
            <w:pPr>
              <w:spacing w:line="240" w:lineRule="auto"/>
              <w:jc w:val="center"/>
              <w:rPr>
                <w:rFonts w:ascii="Times New Roman" w:eastAsia="Times New Roman" w:hAnsi="Times New Roman"/>
                <w:sz w:val="20"/>
                <w:szCs w:val="20"/>
                <w:lang w:eastAsia="cs-CZ"/>
              </w:rPr>
            </w:pPr>
          </w:p>
        </w:tc>
      </w:tr>
    </w:tbl>
    <w:p w14:paraId="6E2CFF09" w14:textId="560BB64E" w:rsidR="008D7769" w:rsidRPr="00F15667" w:rsidRDefault="00A449A5" w:rsidP="00A449A5">
      <w:pPr>
        <w:pStyle w:val="OdstavecASR"/>
      </w:pPr>
      <w:r w:rsidRPr="00F15667">
        <w:t>U vrchních soudů je počet zaměstnanců ve výkonu v poměru k počtu soudců nižší než u krajských soudů, a tedy i nižší než u soudů okresních. To souvisí se složitostí vyřizované agendy a s tím, že vrchní soudy rozhodují pouze v tříčlenných senátech. Ve srovnání s předchozím rokem došlo jen k malým změnám.</w:t>
      </w:r>
      <w:r w:rsidR="00D64073" w:rsidRPr="00F15667">
        <w:t xml:space="preserve"> </w:t>
      </w:r>
    </w:p>
    <w:p w14:paraId="44C148CB" w14:textId="77777777" w:rsidR="008D7769" w:rsidRPr="00F15667" w:rsidRDefault="008D7769">
      <w:pPr>
        <w:spacing w:after="160" w:line="259" w:lineRule="auto"/>
        <w:jc w:val="left"/>
      </w:pPr>
      <w:r w:rsidRPr="00F15667">
        <w:br w:type="page"/>
      </w:r>
    </w:p>
    <w:p w14:paraId="27F9D7BB" w14:textId="77777777" w:rsidR="008D7769" w:rsidRPr="00F15667" w:rsidRDefault="008D7769" w:rsidP="008D7769">
      <w:pPr>
        <w:pStyle w:val="Nadpis2"/>
        <w:numPr>
          <w:ilvl w:val="1"/>
          <w:numId w:val="1"/>
        </w:numPr>
        <w:spacing w:before="120"/>
        <w:rPr>
          <w:color w:val="auto"/>
        </w:rPr>
      </w:pPr>
      <w:bookmarkStart w:id="1068" w:name="_Toc109801404"/>
      <w:bookmarkStart w:id="1069" w:name="_Toc144104406"/>
      <w:r w:rsidRPr="00F15667">
        <w:rPr>
          <w:color w:val="auto"/>
        </w:rPr>
        <w:lastRenderedPageBreak/>
        <w:t>Civilní a obchodní odvolací agenda</w:t>
      </w:r>
      <w:bookmarkEnd w:id="1068"/>
      <w:bookmarkEnd w:id="1069"/>
    </w:p>
    <w:p w14:paraId="36D5E9FD" w14:textId="77777777" w:rsidR="008D7769" w:rsidRPr="00F15667" w:rsidRDefault="008D7769" w:rsidP="008D7769">
      <w:pPr>
        <w:pStyle w:val="OdstavecASR"/>
      </w:pPr>
      <w:r w:rsidRPr="00F15667">
        <w:t>Jak již bylo uvedeno, vrchní soudy nevyřizují prvostupňovou civilní a obchodní agendu. Zabývají se agendou odvolací, což jsou rejstříky Co a Cmo. Ve způsobu vedení statistik nedošlo k žádným výrazným změnám.</w:t>
      </w:r>
    </w:p>
    <w:p w14:paraId="3914F3F6" w14:textId="626F30FE" w:rsidR="00F55D6B" w:rsidRPr="00F15667" w:rsidRDefault="00F55D6B" w:rsidP="00F55D6B">
      <w:pPr>
        <w:pStyle w:val="Nadpis3"/>
        <w:numPr>
          <w:ilvl w:val="2"/>
          <w:numId w:val="1"/>
        </w:numPr>
        <w:rPr>
          <w:color w:val="auto"/>
          <w:lang w:eastAsia="cs-CZ"/>
        </w:rPr>
      </w:pPr>
      <w:bookmarkStart w:id="1070" w:name="_Toc75952128"/>
      <w:bookmarkStart w:id="1071" w:name="_Toc106092794"/>
      <w:bookmarkStart w:id="1072" w:name="_Toc144104407"/>
      <w:r w:rsidRPr="00F15667">
        <w:rPr>
          <w:color w:val="auto"/>
          <w:lang w:eastAsia="cs-CZ"/>
        </w:rPr>
        <w:t>Délka řízení</w:t>
      </w:r>
      <w:bookmarkEnd w:id="1070"/>
      <w:bookmarkEnd w:id="1071"/>
      <w:bookmarkEnd w:id="1072"/>
    </w:p>
    <w:p w14:paraId="3C02F0F5" w14:textId="77777777" w:rsidR="00931CD2" w:rsidRPr="00F15667" w:rsidRDefault="00931CD2" w:rsidP="00931CD2">
      <w:pPr>
        <w:pStyle w:val="OdstavecASR"/>
      </w:pPr>
      <w:r w:rsidRPr="00F15667">
        <w:t>Délku řízení uvádíme v kalendářních dnech ode dne nápadu u odvolacího soudu do dne vyřízení věci odvolacím soudem. Data použitá pro výpočet délky řízení jsou očištěna stejným způsobem jako u prvostupňového řízení u krajských soudů.</w:t>
      </w:r>
    </w:p>
    <w:p w14:paraId="57E2B321" w14:textId="5D074006" w:rsidR="00931CD2" w:rsidRPr="00F15667" w:rsidRDefault="00931CD2" w:rsidP="00931CD2">
      <w:pPr>
        <w:pStyle w:val="Podnadpis"/>
        <w:numPr>
          <w:ilvl w:val="0"/>
          <w:numId w:val="0"/>
        </w:numPr>
        <w:rPr>
          <w:color w:val="auto"/>
        </w:rPr>
      </w:pPr>
      <w:bookmarkStart w:id="1073" w:name="_Toc515871411"/>
      <w:bookmarkStart w:id="1074" w:name="_Toc11135142"/>
      <w:bookmarkStart w:id="1075" w:name="_Toc43841464"/>
      <w:bookmarkStart w:id="1076" w:name="_Toc75952267"/>
      <w:bookmarkStart w:id="1077" w:name="_Toc106106724"/>
      <w:bookmarkStart w:id="1078" w:name="_Toc109802048"/>
      <w:bookmarkStart w:id="1079" w:name="_Toc144104198"/>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86</w:t>
      </w:r>
      <w:r w:rsidR="009A10E2" w:rsidRPr="00F15667">
        <w:rPr>
          <w:color w:val="auto"/>
        </w:rPr>
        <w:fldChar w:fldCharType="end"/>
      </w:r>
      <w:r w:rsidRPr="00F15667">
        <w:rPr>
          <w:color w:val="auto"/>
        </w:rPr>
        <w:t>: VS – délka civilního odvolacího řízení u VS v letech 2010–20</w:t>
      </w:r>
      <w:bookmarkEnd w:id="1073"/>
      <w:bookmarkEnd w:id="1074"/>
      <w:bookmarkEnd w:id="1075"/>
      <w:r w:rsidRPr="00F15667">
        <w:rPr>
          <w:color w:val="auto"/>
        </w:rPr>
        <w:t>2</w:t>
      </w:r>
      <w:bookmarkEnd w:id="1076"/>
      <w:bookmarkEnd w:id="1077"/>
      <w:bookmarkEnd w:id="1078"/>
      <w:r w:rsidRPr="00F15667">
        <w:rPr>
          <w:color w:val="auto"/>
        </w:rPr>
        <w:t>2</w:t>
      </w:r>
      <w:bookmarkEnd w:id="1079"/>
    </w:p>
    <w:p w14:paraId="19A5F06B" w14:textId="3337F602" w:rsidR="00931CD2" w:rsidRPr="00F15667" w:rsidRDefault="00931CD2" w:rsidP="00115F4F">
      <w:pPr>
        <w:pStyle w:val="OdstavecASR"/>
      </w:pPr>
      <w:r w:rsidRPr="00F15667">
        <w:rPr>
          <w:noProof/>
          <w:lang w:eastAsia="cs-CZ"/>
        </w:rPr>
        <w:drawing>
          <wp:inline distT="0" distB="0" distL="0" distR="0" wp14:anchorId="4E6B709B" wp14:editId="3ACD65BB">
            <wp:extent cx="5029200" cy="3657600"/>
            <wp:effectExtent l="0" t="0" r="0" b="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76EEC71" w14:textId="65A8085E" w:rsidR="00931CD2" w:rsidRPr="00F15667" w:rsidRDefault="00931CD2" w:rsidP="00931CD2">
      <w:pPr>
        <w:pStyle w:val="OdstavecASR"/>
      </w:pPr>
      <w:r w:rsidRPr="00F15667">
        <w:t xml:space="preserve">Graf také ukazuje zajímavý jev, kdy medián a 90. percentil u VS v Olomouci jsou celkem stabilní, zatímco průměr kolísá. Tento jev se v extrémní podobě projevil v letech 2021 a 2022, kdy výkyv průměru byl tak velký, že průměr je na úrovni percentilu 90. Tento ze statistického hlediska zajímavý stav je samozřejmě dán přítomností extrémních hodnot. V těchto letech se totiž do statistik promítlo </w:t>
      </w:r>
      <w:r w:rsidR="00815291" w:rsidRPr="00F15667">
        <w:t xml:space="preserve">ukončení </w:t>
      </w:r>
      <w:r w:rsidRPr="00F15667">
        <w:t>několik</w:t>
      </w:r>
      <w:r w:rsidR="00815291" w:rsidRPr="00F15667">
        <w:t>a</w:t>
      </w:r>
      <w:r w:rsidRPr="00F15667">
        <w:t xml:space="preserve"> skutečně extrémně dlouhých řízení, která byla dlouho přerušena z důvodu konkurzu.</w:t>
      </w:r>
    </w:p>
    <w:p w14:paraId="7CF65AE3" w14:textId="3B83A85B" w:rsidR="00931CD2" w:rsidRPr="00F15667" w:rsidRDefault="00931CD2" w:rsidP="00931CD2">
      <w:pPr>
        <w:pStyle w:val="OdstavecASR"/>
      </w:pPr>
      <w:r w:rsidRPr="00F15667">
        <w:t>V histogramu níže srovnáváme délky řízení. Opět vidíme zcela jasný rozdíl mezi oběma soudy. Graf například ukazuje, že podíl věcí vyřízených do 75 dnů je u VS v Olomouci více než dvojnásobný ve srovnání s VS v Praze.</w:t>
      </w:r>
      <w:r w:rsidR="00B83272" w:rsidRPr="00F15667">
        <w:t xml:space="preserve"> VS v Olomouci ve srovnání s rokem 2021 také významně snížil podíl věcí ukončených v intervalu 100 až 125 dní a přiblížil se VS v Praze.</w:t>
      </w:r>
    </w:p>
    <w:p w14:paraId="1209BD30" w14:textId="20247727" w:rsidR="00931CD2" w:rsidRPr="00F15667" w:rsidRDefault="00931CD2" w:rsidP="00931CD2">
      <w:pPr>
        <w:pStyle w:val="Podnadpis"/>
        <w:rPr>
          <w:color w:val="auto"/>
        </w:rPr>
      </w:pPr>
      <w:bookmarkStart w:id="1080" w:name="_Toc515871412"/>
      <w:bookmarkStart w:id="1081" w:name="_Toc11135143"/>
      <w:bookmarkStart w:id="1082" w:name="_Toc43841465"/>
      <w:bookmarkStart w:id="1083" w:name="_Toc75952268"/>
      <w:bookmarkStart w:id="1084" w:name="_Toc106106725"/>
      <w:bookmarkStart w:id="1085" w:name="_Toc109802049"/>
      <w:bookmarkStart w:id="1086" w:name="_Toc144104199"/>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87</w:t>
      </w:r>
      <w:r w:rsidR="009A10E2" w:rsidRPr="00F15667">
        <w:rPr>
          <w:color w:val="auto"/>
        </w:rPr>
        <w:fldChar w:fldCharType="end"/>
      </w:r>
      <w:r w:rsidRPr="00F15667">
        <w:rPr>
          <w:color w:val="auto"/>
        </w:rPr>
        <w:t>: VS – distribuce délek civilního odvolacího řízení</w:t>
      </w:r>
      <w:bookmarkEnd w:id="1080"/>
      <w:bookmarkEnd w:id="1081"/>
      <w:bookmarkEnd w:id="1082"/>
      <w:bookmarkEnd w:id="1083"/>
      <w:bookmarkEnd w:id="1084"/>
      <w:bookmarkEnd w:id="1085"/>
      <w:bookmarkEnd w:id="1086"/>
    </w:p>
    <w:p w14:paraId="04E58385" w14:textId="3780E262" w:rsidR="00931CD2" w:rsidRPr="00F15667" w:rsidRDefault="00931CD2" w:rsidP="00115F4F">
      <w:pPr>
        <w:pStyle w:val="OdstavecASR"/>
      </w:pPr>
      <w:r w:rsidRPr="00F15667">
        <w:rPr>
          <w:noProof/>
          <w:lang w:eastAsia="cs-CZ"/>
        </w:rPr>
        <w:drawing>
          <wp:inline distT="0" distB="0" distL="0" distR="0" wp14:anchorId="79623DAD" wp14:editId="0D7AB510">
            <wp:extent cx="5029200" cy="3657600"/>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837C433" w14:textId="5D6B24F1" w:rsidR="008430BD" w:rsidRPr="00F15667" w:rsidRDefault="008430BD" w:rsidP="008430BD">
      <w:pPr>
        <w:pStyle w:val="Nadpis3"/>
        <w:numPr>
          <w:ilvl w:val="2"/>
          <w:numId w:val="1"/>
        </w:numPr>
        <w:rPr>
          <w:color w:val="auto"/>
          <w:lang w:eastAsia="cs-CZ"/>
        </w:rPr>
      </w:pPr>
      <w:bookmarkStart w:id="1087" w:name="_Toc515871283"/>
      <w:bookmarkStart w:id="1088" w:name="_Toc106092795"/>
      <w:bookmarkStart w:id="1089" w:name="_Toc144104408"/>
      <w:r w:rsidRPr="00F15667">
        <w:rPr>
          <w:color w:val="auto"/>
          <w:lang w:eastAsia="cs-CZ"/>
        </w:rPr>
        <w:t>Vyřizování věcí</w:t>
      </w:r>
      <w:bookmarkEnd w:id="1087"/>
      <w:bookmarkEnd w:id="1088"/>
      <w:bookmarkEnd w:id="1089"/>
    </w:p>
    <w:p w14:paraId="13649D69" w14:textId="021A43A3" w:rsidR="00931CD2" w:rsidRPr="00F15667" w:rsidRDefault="00931CD2" w:rsidP="00931CD2">
      <w:pPr>
        <w:pStyle w:val="Podnadpis"/>
        <w:numPr>
          <w:ilvl w:val="0"/>
          <w:numId w:val="0"/>
        </w:numPr>
        <w:rPr>
          <w:color w:val="auto"/>
        </w:rPr>
      </w:pPr>
      <w:bookmarkStart w:id="1090" w:name="_Ref511821018"/>
      <w:bookmarkStart w:id="1091" w:name="_Toc515871413"/>
      <w:bookmarkStart w:id="1092" w:name="_Toc11135144"/>
      <w:bookmarkStart w:id="1093" w:name="_Toc43841466"/>
      <w:bookmarkStart w:id="1094" w:name="_Toc75952269"/>
      <w:bookmarkStart w:id="1095" w:name="_Toc106106726"/>
      <w:bookmarkStart w:id="1096" w:name="_Toc109802050"/>
      <w:bookmarkStart w:id="1097" w:name="_Toc144104200"/>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88</w:t>
      </w:r>
      <w:r w:rsidR="009A10E2" w:rsidRPr="00F15667">
        <w:rPr>
          <w:color w:val="auto"/>
        </w:rPr>
        <w:fldChar w:fldCharType="end"/>
      </w:r>
      <w:bookmarkEnd w:id="1090"/>
      <w:r w:rsidRPr="00F15667">
        <w:rPr>
          <w:color w:val="auto"/>
        </w:rPr>
        <w:t>: VS – vyřizování odvolacích civilních věcí v letech 2008–20</w:t>
      </w:r>
      <w:bookmarkEnd w:id="1091"/>
      <w:bookmarkEnd w:id="1092"/>
      <w:bookmarkEnd w:id="1093"/>
      <w:r w:rsidRPr="00F15667">
        <w:rPr>
          <w:color w:val="auto"/>
        </w:rPr>
        <w:t>2</w:t>
      </w:r>
      <w:bookmarkEnd w:id="1094"/>
      <w:bookmarkEnd w:id="1095"/>
      <w:bookmarkEnd w:id="1096"/>
      <w:r w:rsidRPr="00F15667">
        <w:rPr>
          <w:color w:val="auto"/>
        </w:rPr>
        <w:t>2</w:t>
      </w:r>
      <w:bookmarkEnd w:id="1097"/>
    </w:p>
    <w:p w14:paraId="049A6EF6" w14:textId="7D626560" w:rsidR="00931CD2" w:rsidRPr="00F15667" w:rsidRDefault="00931CD2" w:rsidP="00115F4F">
      <w:pPr>
        <w:pStyle w:val="OdstavecASR"/>
      </w:pPr>
      <w:r w:rsidRPr="00F15667">
        <w:rPr>
          <w:noProof/>
          <w:lang w:eastAsia="cs-CZ"/>
        </w:rPr>
        <w:drawing>
          <wp:inline distT="0" distB="0" distL="0" distR="0" wp14:anchorId="17704890" wp14:editId="221AE8D1">
            <wp:extent cx="5029200" cy="3657600"/>
            <wp:effectExtent l="0" t="0" r="0" b="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113A905" w14:textId="2099E096" w:rsidR="00931CD2" w:rsidRPr="00F15667" w:rsidRDefault="00931CD2" w:rsidP="00931CD2">
      <w:pPr>
        <w:pStyle w:val="OdstavecASR"/>
      </w:pPr>
      <w:r w:rsidRPr="00F15667">
        <w:t xml:space="preserve">Na první pohled zaujme jasný pokles nápadu u obou soudů </w:t>
      </w:r>
      <w:r w:rsidR="00B83272" w:rsidRPr="00F15667">
        <w:t>a strmý pokles nevyřízených věcí u VS v Praze trvající již 10 let</w:t>
      </w:r>
      <w:r w:rsidRPr="00F15667">
        <w:t xml:space="preserve">, který je nepochybně způsoben přesunem prvostupňové obchodní agendy z krajských soudů na soudy okresní. Od roku 2012 do roku 2020 klesl počet příchozích věcí u obou </w:t>
      </w:r>
      <w:r w:rsidRPr="00F15667">
        <w:lastRenderedPageBreak/>
        <w:t xml:space="preserve">soudů více než o polovinu – u VS v Praze o 58 %, u VS v Olomouci dokonce o 68 %. V roce 2021 pokles u VS v Praze zpomalil, ale stále trval. U VS v Olomouci počet příchozích věcí víceméně stagnoval. V roce 2022 se počet příchozích věcí </w:t>
      </w:r>
      <w:r w:rsidR="00877079" w:rsidRPr="00F15667">
        <w:t xml:space="preserve">u obou vrchních soudů </w:t>
      </w:r>
      <w:r w:rsidRPr="00F15667">
        <w:t>víceméně stabilizoval</w:t>
      </w:r>
      <w:r w:rsidR="00877079" w:rsidRPr="00F15667">
        <w:t>, přičemž počty nevyřízených věcí dále klesaly, u VS v Praze více než u VS v Olomouci, kde zřejmě již došlo ke stabilizaci počtu nevyřízených věcí na úrovni, kterou nelze již významně snižovat</w:t>
      </w:r>
      <w:r w:rsidRPr="00F15667">
        <w:t>.</w:t>
      </w:r>
    </w:p>
    <w:p w14:paraId="7411CE1D" w14:textId="6212B3A9" w:rsidR="008430BD" w:rsidRPr="00F15667" w:rsidRDefault="008430BD" w:rsidP="008430BD">
      <w:pPr>
        <w:pStyle w:val="Nadpis3"/>
        <w:numPr>
          <w:ilvl w:val="2"/>
          <w:numId w:val="1"/>
        </w:numPr>
        <w:rPr>
          <w:color w:val="auto"/>
          <w:lang w:eastAsia="cs-CZ"/>
        </w:rPr>
      </w:pPr>
      <w:bookmarkStart w:id="1098" w:name="_Toc515871284"/>
      <w:bookmarkStart w:id="1099" w:name="_Toc106092796"/>
      <w:bookmarkStart w:id="1100" w:name="_Toc144104409"/>
      <w:r w:rsidRPr="00F15667">
        <w:rPr>
          <w:color w:val="auto"/>
          <w:lang w:eastAsia="cs-CZ"/>
        </w:rPr>
        <w:t>Vyřizování v přepočtu na soudce</w:t>
      </w:r>
      <w:bookmarkEnd w:id="1098"/>
      <w:bookmarkEnd w:id="1099"/>
      <w:bookmarkEnd w:id="1100"/>
    </w:p>
    <w:p w14:paraId="00605D7D" w14:textId="55F12E48" w:rsidR="00931CD2" w:rsidRPr="00F15667" w:rsidRDefault="00931CD2" w:rsidP="00931CD2">
      <w:pPr>
        <w:pStyle w:val="OdstavecASR"/>
      </w:pPr>
      <w:r w:rsidRPr="00F15667">
        <w:t xml:space="preserve">Tabulka níže naznačuje, že soudci u VS v Praze jsou zatíženější než soudci u VS v Olomouci. Z vyššího nápadu na soudce logicky plyne více vyřízených věcí na soudce. Je třeba zdůraznit, že se jedná pouze o velmi přibližné srovnání. Na civilním úseku vrchních soudů se vyřizuje i jiná agenda než pouze rejstříky Co a Cmo. Záleží také na zapojení dalších soudních zaměstnanců ve výkonu i na poměru počtu věcí v rejstříku Co k počtu věcí v rejstříku Cmo. Počet nevyřízených věcí na jednoho soudce je ale u VS v Praze zcela bezpochyby vyšší než u soudu v Olomouci, což plyne především z dřívějších let. Rozdíl je opravdu velký – u VS v Praze připadá na soudce asi čtyřnásobek nevyřízených věcí oproti VS v Olomouci. V předchozích letech to ale bylo výrazně více. Počet nevyřízených věcí na soudce u VS v Praze totiž </w:t>
      </w:r>
      <w:r w:rsidR="000C23B6" w:rsidRPr="00F15667">
        <w:t xml:space="preserve">postupně </w:t>
      </w:r>
      <w:r w:rsidRPr="00F15667">
        <w:t>výrazně klesl, což plyne z poklesu celkového počtu nevyřízených věcí, který (alespoň částečně) zase plyne z poklesu v počtu příchozích věcí.</w:t>
      </w:r>
    </w:p>
    <w:p w14:paraId="0BEF2D67" w14:textId="45E46D4A" w:rsidR="00931CD2" w:rsidRPr="00F15667" w:rsidRDefault="00931CD2" w:rsidP="00931CD2">
      <w:pPr>
        <w:pStyle w:val="Podnadpis"/>
        <w:numPr>
          <w:ilvl w:val="0"/>
          <w:numId w:val="0"/>
        </w:numPr>
        <w:rPr>
          <w:color w:val="auto"/>
        </w:rPr>
      </w:pPr>
      <w:bookmarkStart w:id="1101" w:name="_Toc106106838"/>
      <w:bookmarkStart w:id="1102" w:name="_Toc109802161"/>
      <w:bookmarkStart w:id="1103" w:name="_Toc144104320"/>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81</w:t>
      </w:r>
      <w:r w:rsidRPr="00F15667">
        <w:rPr>
          <w:color w:val="auto"/>
        </w:rPr>
        <w:fldChar w:fldCharType="end"/>
      </w:r>
      <w:r w:rsidRPr="00F15667">
        <w:rPr>
          <w:color w:val="auto"/>
        </w:rPr>
        <w:t xml:space="preserve">: VS – vyřizování odvolacích civilních věcí na </w:t>
      </w:r>
      <w:r w:rsidR="00B32B1C">
        <w:rPr>
          <w:color w:val="auto"/>
        </w:rPr>
        <w:t xml:space="preserve">evidenčního </w:t>
      </w:r>
      <w:r w:rsidRPr="00F15667">
        <w:rPr>
          <w:color w:val="auto"/>
        </w:rPr>
        <w:t>soudce</w:t>
      </w:r>
      <w:bookmarkEnd w:id="1101"/>
      <w:bookmarkEnd w:id="1102"/>
      <w:bookmarkEnd w:id="1103"/>
    </w:p>
    <w:tbl>
      <w:tblPr>
        <w:tblW w:w="8010" w:type="dxa"/>
        <w:tblCellMar>
          <w:left w:w="70" w:type="dxa"/>
          <w:right w:w="70" w:type="dxa"/>
        </w:tblCellMar>
        <w:tblLook w:val="04A0" w:firstRow="1" w:lastRow="0" w:firstColumn="1" w:lastColumn="0" w:noHBand="0" w:noVBand="1"/>
      </w:tblPr>
      <w:tblGrid>
        <w:gridCol w:w="2020"/>
        <w:gridCol w:w="1099"/>
        <w:gridCol w:w="879"/>
        <w:gridCol w:w="1105"/>
        <w:gridCol w:w="922"/>
        <w:gridCol w:w="1063"/>
        <w:gridCol w:w="922"/>
      </w:tblGrid>
      <w:tr w:rsidR="00F15667" w:rsidRPr="00F15667" w14:paraId="1ACC3CF2" w14:textId="77777777" w:rsidTr="00115F4F">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531B321C" w14:textId="59DDDF18" w:rsidR="004B240D" w:rsidRPr="00F15667" w:rsidRDefault="00115F4F" w:rsidP="00115F4F">
            <w:pPr>
              <w:spacing w:line="240" w:lineRule="auto"/>
              <w:jc w:val="center"/>
              <w:rPr>
                <w:rFonts w:eastAsia="Times New Roman"/>
                <w:b/>
                <w:bCs/>
                <w:szCs w:val="24"/>
                <w:lang w:eastAsia="cs-CZ"/>
              </w:rPr>
            </w:pPr>
            <w:r>
              <w:rPr>
                <w:rFonts w:eastAsia="Times New Roman"/>
                <w:b/>
                <w:bCs/>
                <w:szCs w:val="24"/>
                <w:lang w:eastAsia="cs-CZ"/>
              </w:rPr>
              <w:t>S</w:t>
            </w:r>
            <w:r w:rsidR="004B240D" w:rsidRPr="00F15667">
              <w:rPr>
                <w:rFonts w:eastAsia="Times New Roman"/>
                <w:b/>
                <w:bCs/>
                <w:szCs w:val="24"/>
                <w:lang w:eastAsia="cs-CZ"/>
              </w:rPr>
              <w:t>oud</w:t>
            </w:r>
          </w:p>
        </w:tc>
        <w:tc>
          <w:tcPr>
            <w:tcW w:w="5988" w:type="dxa"/>
            <w:gridSpan w:val="6"/>
            <w:tcBorders>
              <w:top w:val="double" w:sz="6" w:space="0" w:color="auto"/>
              <w:left w:val="nil"/>
              <w:bottom w:val="nil"/>
              <w:right w:val="nil"/>
            </w:tcBorders>
            <w:shd w:val="clear" w:color="auto" w:fill="auto"/>
            <w:noWrap/>
            <w:vAlign w:val="center"/>
            <w:hideMark/>
          </w:tcPr>
          <w:p w14:paraId="555E3962" w14:textId="404267FE" w:rsidR="004B240D" w:rsidRPr="00F15667" w:rsidRDefault="004B240D" w:rsidP="00115F4F">
            <w:pPr>
              <w:spacing w:line="240" w:lineRule="auto"/>
              <w:jc w:val="center"/>
              <w:rPr>
                <w:rFonts w:eastAsia="Times New Roman"/>
                <w:b/>
                <w:bCs/>
                <w:szCs w:val="24"/>
                <w:lang w:eastAsia="cs-CZ"/>
              </w:rPr>
            </w:pPr>
            <w:r w:rsidRPr="00F15667">
              <w:rPr>
                <w:rFonts w:eastAsia="Times New Roman"/>
                <w:b/>
                <w:bCs/>
                <w:szCs w:val="24"/>
                <w:lang w:eastAsia="cs-CZ"/>
              </w:rPr>
              <w:t xml:space="preserve">Počet věcí na </w:t>
            </w:r>
            <w:r w:rsidR="00B32B1C">
              <w:rPr>
                <w:rFonts w:eastAsia="Times New Roman"/>
                <w:b/>
                <w:bCs/>
                <w:szCs w:val="24"/>
                <w:lang w:eastAsia="cs-CZ"/>
              </w:rPr>
              <w:t>soudce</w:t>
            </w:r>
          </w:p>
        </w:tc>
      </w:tr>
      <w:tr w:rsidR="00F15667" w:rsidRPr="00F15667" w14:paraId="241D8591" w14:textId="77777777" w:rsidTr="00115F4F">
        <w:trPr>
          <w:trHeight w:val="330"/>
        </w:trPr>
        <w:tc>
          <w:tcPr>
            <w:tcW w:w="2020" w:type="dxa"/>
            <w:vMerge/>
            <w:tcBorders>
              <w:top w:val="double" w:sz="6" w:space="0" w:color="auto"/>
              <w:left w:val="nil"/>
              <w:bottom w:val="double" w:sz="6" w:space="0" w:color="000000"/>
              <w:right w:val="nil"/>
            </w:tcBorders>
            <w:vAlign w:val="center"/>
            <w:hideMark/>
          </w:tcPr>
          <w:p w14:paraId="284AC950" w14:textId="77777777" w:rsidR="004B240D" w:rsidRPr="00F15667" w:rsidRDefault="004B240D" w:rsidP="00115F4F">
            <w:pPr>
              <w:spacing w:line="240" w:lineRule="auto"/>
              <w:jc w:val="center"/>
              <w:rPr>
                <w:rFonts w:eastAsia="Times New Roman"/>
                <w:b/>
                <w:bCs/>
                <w:szCs w:val="24"/>
                <w:lang w:eastAsia="cs-CZ"/>
              </w:rPr>
            </w:pPr>
          </w:p>
        </w:tc>
        <w:tc>
          <w:tcPr>
            <w:tcW w:w="1978" w:type="dxa"/>
            <w:gridSpan w:val="2"/>
            <w:tcBorders>
              <w:top w:val="nil"/>
              <w:left w:val="nil"/>
              <w:bottom w:val="double" w:sz="6" w:space="0" w:color="auto"/>
              <w:right w:val="nil"/>
            </w:tcBorders>
            <w:shd w:val="clear" w:color="auto" w:fill="auto"/>
            <w:noWrap/>
            <w:vAlign w:val="center"/>
            <w:hideMark/>
          </w:tcPr>
          <w:p w14:paraId="5819BAC8" w14:textId="77777777" w:rsidR="004B240D" w:rsidRPr="00F15667" w:rsidRDefault="004B240D" w:rsidP="00115F4F">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202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E1F77C0" w14:textId="77777777" w:rsidR="004B240D" w:rsidRPr="00F15667" w:rsidRDefault="004B240D" w:rsidP="00115F4F">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1983" w:type="dxa"/>
            <w:gridSpan w:val="2"/>
            <w:tcBorders>
              <w:top w:val="nil"/>
              <w:left w:val="nil"/>
              <w:bottom w:val="double" w:sz="6" w:space="0" w:color="auto"/>
              <w:right w:val="nil"/>
            </w:tcBorders>
            <w:shd w:val="clear" w:color="auto" w:fill="auto"/>
            <w:noWrap/>
            <w:vAlign w:val="center"/>
            <w:hideMark/>
          </w:tcPr>
          <w:p w14:paraId="4841EC92" w14:textId="77777777" w:rsidR="004B240D" w:rsidRPr="00F15667" w:rsidRDefault="004B240D" w:rsidP="00115F4F">
            <w:pPr>
              <w:spacing w:line="240" w:lineRule="auto"/>
              <w:jc w:val="center"/>
              <w:rPr>
                <w:rFonts w:eastAsia="Times New Roman"/>
                <w:b/>
                <w:bCs/>
                <w:szCs w:val="24"/>
                <w:lang w:eastAsia="cs-CZ"/>
              </w:rPr>
            </w:pPr>
            <w:r w:rsidRPr="00F15667">
              <w:rPr>
                <w:rFonts w:eastAsia="Times New Roman"/>
                <w:b/>
                <w:bCs/>
                <w:szCs w:val="24"/>
                <w:lang w:eastAsia="cs-CZ"/>
              </w:rPr>
              <w:t>Nevyřízeno</w:t>
            </w:r>
          </w:p>
        </w:tc>
      </w:tr>
      <w:tr w:rsidR="00F15667" w:rsidRPr="00F15667" w14:paraId="17C6243D" w14:textId="77777777" w:rsidTr="00115F4F">
        <w:trPr>
          <w:trHeight w:val="330"/>
        </w:trPr>
        <w:tc>
          <w:tcPr>
            <w:tcW w:w="2020" w:type="dxa"/>
            <w:tcBorders>
              <w:top w:val="single" w:sz="4" w:space="0" w:color="auto"/>
              <w:left w:val="nil"/>
              <w:bottom w:val="single" w:sz="4" w:space="0" w:color="auto"/>
              <w:right w:val="nil"/>
            </w:tcBorders>
            <w:shd w:val="clear" w:color="auto" w:fill="auto"/>
            <w:noWrap/>
            <w:vAlign w:val="center"/>
            <w:hideMark/>
          </w:tcPr>
          <w:p w14:paraId="1B99CE11" w14:textId="77777777" w:rsidR="004B240D" w:rsidRPr="00F15667" w:rsidRDefault="004B240D" w:rsidP="00115F4F">
            <w:pPr>
              <w:spacing w:line="240" w:lineRule="auto"/>
              <w:jc w:val="left"/>
              <w:rPr>
                <w:rFonts w:eastAsia="Times New Roman"/>
                <w:szCs w:val="24"/>
                <w:lang w:eastAsia="cs-CZ"/>
              </w:rPr>
            </w:pPr>
            <w:r w:rsidRPr="00F15667">
              <w:rPr>
                <w:rFonts w:eastAsia="Times New Roman"/>
                <w:szCs w:val="24"/>
                <w:lang w:eastAsia="cs-CZ"/>
              </w:rPr>
              <w:t>VS Praha</w:t>
            </w:r>
          </w:p>
        </w:tc>
        <w:tc>
          <w:tcPr>
            <w:tcW w:w="1099" w:type="dxa"/>
            <w:tcBorders>
              <w:top w:val="single" w:sz="4" w:space="0" w:color="auto"/>
              <w:left w:val="nil"/>
              <w:bottom w:val="single" w:sz="4" w:space="0" w:color="auto"/>
              <w:right w:val="nil"/>
            </w:tcBorders>
            <w:shd w:val="clear" w:color="auto" w:fill="auto"/>
            <w:noWrap/>
            <w:vAlign w:val="center"/>
            <w:hideMark/>
          </w:tcPr>
          <w:p w14:paraId="7683131A" w14:textId="3A781F8A" w:rsidR="004B240D" w:rsidRPr="00F15667" w:rsidRDefault="004B240D" w:rsidP="00115F4F">
            <w:pPr>
              <w:spacing w:line="240" w:lineRule="auto"/>
              <w:jc w:val="center"/>
              <w:rPr>
                <w:rFonts w:eastAsia="Times New Roman"/>
                <w:szCs w:val="24"/>
                <w:lang w:eastAsia="cs-CZ"/>
              </w:rPr>
            </w:pPr>
            <w:r w:rsidRPr="00F15667">
              <w:rPr>
                <w:rFonts w:eastAsia="Times New Roman"/>
                <w:szCs w:val="24"/>
                <w:lang w:eastAsia="cs-CZ"/>
              </w:rPr>
              <w:t>60</w:t>
            </w:r>
            <w:r w:rsidR="000C23B6" w:rsidRPr="00F15667">
              <w:rPr>
                <w:rFonts w:eastAsia="Times New Roman"/>
                <w:szCs w:val="24"/>
                <w:lang w:eastAsia="cs-CZ"/>
              </w:rPr>
              <w:t>,</w:t>
            </w:r>
            <w:r w:rsidRPr="00F15667">
              <w:rPr>
                <w:rFonts w:eastAsia="Times New Roman"/>
                <w:szCs w:val="24"/>
                <w:lang w:eastAsia="cs-CZ"/>
              </w:rPr>
              <w:t>33</w:t>
            </w:r>
          </w:p>
        </w:tc>
        <w:tc>
          <w:tcPr>
            <w:tcW w:w="879" w:type="dxa"/>
            <w:tcBorders>
              <w:top w:val="single" w:sz="4" w:space="0" w:color="auto"/>
              <w:left w:val="nil"/>
              <w:bottom w:val="single" w:sz="4" w:space="0" w:color="auto"/>
              <w:right w:val="nil"/>
            </w:tcBorders>
            <w:shd w:val="clear" w:color="auto" w:fill="auto"/>
            <w:noWrap/>
            <w:vAlign w:val="center"/>
            <w:hideMark/>
          </w:tcPr>
          <w:p w14:paraId="1D80BDBD" w14:textId="2FC4854B" w:rsidR="004B240D" w:rsidRPr="00F15667" w:rsidRDefault="004B240D" w:rsidP="00115F4F">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105" w:type="dxa"/>
            <w:tcBorders>
              <w:top w:val="single" w:sz="4" w:space="0" w:color="auto"/>
              <w:left w:val="single" w:sz="4" w:space="0" w:color="auto"/>
              <w:bottom w:val="single" w:sz="4" w:space="0" w:color="auto"/>
              <w:right w:val="nil"/>
            </w:tcBorders>
            <w:shd w:val="clear" w:color="auto" w:fill="auto"/>
            <w:noWrap/>
            <w:vAlign w:val="center"/>
            <w:hideMark/>
          </w:tcPr>
          <w:p w14:paraId="6EFBC7B6" w14:textId="24EBCEAE" w:rsidR="004B240D" w:rsidRPr="00F15667" w:rsidRDefault="004B240D" w:rsidP="00115F4F">
            <w:pPr>
              <w:spacing w:line="240" w:lineRule="auto"/>
              <w:jc w:val="center"/>
              <w:rPr>
                <w:rFonts w:eastAsia="Times New Roman"/>
                <w:szCs w:val="24"/>
                <w:lang w:eastAsia="cs-CZ"/>
              </w:rPr>
            </w:pPr>
            <w:r w:rsidRPr="00F15667">
              <w:rPr>
                <w:rFonts w:eastAsia="Times New Roman"/>
                <w:szCs w:val="24"/>
                <w:lang w:eastAsia="cs-CZ"/>
              </w:rPr>
              <w:t>62</w:t>
            </w:r>
            <w:r w:rsidR="000C23B6" w:rsidRPr="00F15667">
              <w:rPr>
                <w:rFonts w:eastAsia="Times New Roman"/>
                <w:szCs w:val="24"/>
                <w:lang w:eastAsia="cs-CZ"/>
              </w:rPr>
              <w:t>,</w:t>
            </w:r>
            <w:r w:rsidRPr="00F15667">
              <w:rPr>
                <w:rFonts w:eastAsia="Times New Roman"/>
                <w:szCs w:val="24"/>
                <w:lang w:eastAsia="cs-CZ"/>
              </w:rPr>
              <w:t>90</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4C2978F8" w14:textId="213A6577" w:rsidR="004B240D" w:rsidRPr="00F15667" w:rsidRDefault="004B240D" w:rsidP="00115F4F">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063" w:type="dxa"/>
            <w:tcBorders>
              <w:top w:val="single" w:sz="4" w:space="0" w:color="auto"/>
              <w:left w:val="nil"/>
              <w:bottom w:val="single" w:sz="4" w:space="0" w:color="auto"/>
              <w:right w:val="nil"/>
            </w:tcBorders>
            <w:shd w:val="clear" w:color="auto" w:fill="auto"/>
            <w:noWrap/>
            <w:vAlign w:val="center"/>
            <w:hideMark/>
          </w:tcPr>
          <w:p w14:paraId="6E1292A4" w14:textId="01C1A7C2" w:rsidR="004B240D" w:rsidRPr="00F15667" w:rsidRDefault="004B240D" w:rsidP="00115F4F">
            <w:pPr>
              <w:spacing w:line="240" w:lineRule="auto"/>
              <w:jc w:val="center"/>
              <w:rPr>
                <w:rFonts w:eastAsia="Times New Roman"/>
                <w:szCs w:val="24"/>
                <w:lang w:eastAsia="cs-CZ"/>
              </w:rPr>
            </w:pPr>
            <w:r w:rsidRPr="00F15667">
              <w:rPr>
                <w:rFonts w:eastAsia="Times New Roman"/>
                <w:szCs w:val="24"/>
                <w:lang w:eastAsia="cs-CZ"/>
              </w:rPr>
              <w:t>21</w:t>
            </w:r>
            <w:r w:rsidR="000C23B6" w:rsidRPr="00F15667">
              <w:rPr>
                <w:rFonts w:eastAsia="Times New Roman"/>
                <w:szCs w:val="24"/>
                <w:lang w:eastAsia="cs-CZ"/>
              </w:rPr>
              <w:t>,</w:t>
            </w:r>
            <w:r w:rsidRPr="00F15667">
              <w:rPr>
                <w:rFonts w:eastAsia="Times New Roman"/>
                <w:szCs w:val="24"/>
                <w:lang w:eastAsia="cs-CZ"/>
              </w:rPr>
              <w:t>67</w:t>
            </w:r>
          </w:p>
        </w:tc>
        <w:tc>
          <w:tcPr>
            <w:tcW w:w="922" w:type="dxa"/>
            <w:tcBorders>
              <w:top w:val="single" w:sz="4" w:space="0" w:color="auto"/>
              <w:left w:val="nil"/>
              <w:bottom w:val="single" w:sz="4" w:space="0" w:color="auto"/>
              <w:right w:val="nil"/>
            </w:tcBorders>
            <w:shd w:val="clear" w:color="auto" w:fill="auto"/>
            <w:noWrap/>
            <w:vAlign w:val="center"/>
            <w:hideMark/>
          </w:tcPr>
          <w:p w14:paraId="59908188" w14:textId="58534A30" w:rsidR="004B240D" w:rsidRPr="00F15667" w:rsidRDefault="004B240D" w:rsidP="00115F4F">
            <w:pPr>
              <w:spacing w:line="240" w:lineRule="auto"/>
              <w:jc w:val="center"/>
              <w:rPr>
                <w:rFonts w:eastAsia="Times New Roman"/>
                <w:sz w:val="20"/>
                <w:szCs w:val="20"/>
                <w:lang w:eastAsia="cs-CZ"/>
              </w:rPr>
            </w:pPr>
            <w:r w:rsidRPr="00F15667">
              <w:rPr>
                <w:rFonts w:eastAsia="Times New Roman"/>
                <w:sz w:val="20"/>
                <w:szCs w:val="20"/>
                <w:lang w:eastAsia="cs-CZ"/>
              </w:rPr>
              <w:t>-12 %</w:t>
            </w:r>
          </w:p>
        </w:tc>
      </w:tr>
      <w:tr w:rsidR="00F15667" w:rsidRPr="00F15667" w14:paraId="2B989F7B" w14:textId="77777777" w:rsidTr="00115F4F">
        <w:trPr>
          <w:trHeight w:val="330"/>
        </w:trPr>
        <w:tc>
          <w:tcPr>
            <w:tcW w:w="2020" w:type="dxa"/>
            <w:tcBorders>
              <w:top w:val="nil"/>
              <w:left w:val="nil"/>
              <w:bottom w:val="nil"/>
              <w:right w:val="nil"/>
            </w:tcBorders>
            <w:shd w:val="clear" w:color="auto" w:fill="auto"/>
            <w:noWrap/>
            <w:vAlign w:val="center"/>
            <w:hideMark/>
          </w:tcPr>
          <w:p w14:paraId="2768E5DE" w14:textId="77777777" w:rsidR="004B240D" w:rsidRPr="00F15667" w:rsidRDefault="004B240D" w:rsidP="00115F4F">
            <w:pPr>
              <w:spacing w:line="240" w:lineRule="auto"/>
              <w:jc w:val="left"/>
              <w:rPr>
                <w:rFonts w:eastAsia="Times New Roman"/>
                <w:szCs w:val="24"/>
                <w:lang w:eastAsia="cs-CZ"/>
              </w:rPr>
            </w:pPr>
            <w:r w:rsidRPr="00F15667">
              <w:rPr>
                <w:rFonts w:eastAsia="Times New Roman"/>
                <w:szCs w:val="24"/>
                <w:lang w:eastAsia="cs-CZ"/>
              </w:rPr>
              <w:t>VS Olomouc</w:t>
            </w:r>
          </w:p>
        </w:tc>
        <w:tc>
          <w:tcPr>
            <w:tcW w:w="1099" w:type="dxa"/>
            <w:tcBorders>
              <w:top w:val="nil"/>
              <w:left w:val="nil"/>
              <w:bottom w:val="nil"/>
              <w:right w:val="nil"/>
            </w:tcBorders>
            <w:shd w:val="clear" w:color="auto" w:fill="auto"/>
            <w:noWrap/>
            <w:vAlign w:val="center"/>
            <w:hideMark/>
          </w:tcPr>
          <w:p w14:paraId="7E4747D7" w14:textId="1DFEBD4F" w:rsidR="004B240D" w:rsidRPr="00F15667" w:rsidRDefault="004B240D" w:rsidP="00115F4F">
            <w:pPr>
              <w:spacing w:line="240" w:lineRule="auto"/>
              <w:jc w:val="center"/>
              <w:rPr>
                <w:rFonts w:eastAsia="Times New Roman"/>
                <w:szCs w:val="24"/>
                <w:lang w:eastAsia="cs-CZ"/>
              </w:rPr>
            </w:pPr>
            <w:r w:rsidRPr="00F15667">
              <w:rPr>
                <w:rFonts w:eastAsia="Times New Roman"/>
                <w:szCs w:val="24"/>
                <w:lang w:eastAsia="cs-CZ"/>
              </w:rPr>
              <w:t>42</w:t>
            </w:r>
            <w:r w:rsidR="000C23B6" w:rsidRPr="00F15667">
              <w:rPr>
                <w:rFonts w:eastAsia="Times New Roman"/>
                <w:szCs w:val="24"/>
                <w:lang w:eastAsia="cs-CZ"/>
              </w:rPr>
              <w:t>,</w:t>
            </w:r>
            <w:r w:rsidRPr="00F15667">
              <w:rPr>
                <w:rFonts w:eastAsia="Times New Roman"/>
                <w:szCs w:val="24"/>
                <w:lang w:eastAsia="cs-CZ"/>
              </w:rPr>
              <w:t>55</w:t>
            </w:r>
          </w:p>
        </w:tc>
        <w:tc>
          <w:tcPr>
            <w:tcW w:w="879" w:type="dxa"/>
            <w:tcBorders>
              <w:top w:val="nil"/>
              <w:left w:val="nil"/>
              <w:bottom w:val="nil"/>
              <w:right w:val="nil"/>
            </w:tcBorders>
            <w:shd w:val="clear" w:color="auto" w:fill="auto"/>
            <w:noWrap/>
            <w:vAlign w:val="center"/>
            <w:hideMark/>
          </w:tcPr>
          <w:p w14:paraId="0F9C0D47" w14:textId="0E5209FA" w:rsidR="004B240D" w:rsidRPr="00F15667" w:rsidRDefault="004B240D" w:rsidP="00115F4F">
            <w:pPr>
              <w:spacing w:line="240" w:lineRule="auto"/>
              <w:jc w:val="center"/>
              <w:rPr>
                <w:rFonts w:eastAsia="Times New Roman"/>
                <w:sz w:val="20"/>
                <w:szCs w:val="20"/>
                <w:lang w:eastAsia="cs-CZ"/>
              </w:rPr>
            </w:pPr>
            <w:r w:rsidRPr="00F15667">
              <w:rPr>
                <w:rFonts w:eastAsia="Times New Roman"/>
                <w:sz w:val="20"/>
                <w:szCs w:val="20"/>
                <w:lang w:eastAsia="cs-CZ"/>
              </w:rPr>
              <w:t>+2 %</w:t>
            </w:r>
          </w:p>
        </w:tc>
        <w:tc>
          <w:tcPr>
            <w:tcW w:w="1105" w:type="dxa"/>
            <w:tcBorders>
              <w:top w:val="nil"/>
              <w:left w:val="single" w:sz="4" w:space="0" w:color="auto"/>
              <w:bottom w:val="nil"/>
              <w:right w:val="nil"/>
            </w:tcBorders>
            <w:shd w:val="clear" w:color="auto" w:fill="auto"/>
            <w:noWrap/>
            <w:vAlign w:val="center"/>
            <w:hideMark/>
          </w:tcPr>
          <w:p w14:paraId="70B60E2B" w14:textId="3D26E76E" w:rsidR="004B240D" w:rsidRPr="00F15667" w:rsidRDefault="004B240D" w:rsidP="00115F4F">
            <w:pPr>
              <w:spacing w:line="240" w:lineRule="auto"/>
              <w:jc w:val="center"/>
              <w:rPr>
                <w:rFonts w:eastAsia="Times New Roman"/>
                <w:szCs w:val="24"/>
                <w:lang w:eastAsia="cs-CZ"/>
              </w:rPr>
            </w:pPr>
            <w:r w:rsidRPr="00F15667">
              <w:rPr>
                <w:rFonts w:eastAsia="Times New Roman"/>
                <w:szCs w:val="24"/>
                <w:lang w:eastAsia="cs-CZ"/>
              </w:rPr>
              <w:t>44</w:t>
            </w:r>
            <w:r w:rsidR="000C23B6" w:rsidRPr="00F15667">
              <w:rPr>
                <w:rFonts w:eastAsia="Times New Roman"/>
                <w:szCs w:val="24"/>
                <w:lang w:eastAsia="cs-CZ"/>
              </w:rPr>
              <w:t>,</w:t>
            </w:r>
            <w:r w:rsidRPr="00F15667">
              <w:rPr>
                <w:rFonts w:eastAsia="Times New Roman"/>
                <w:szCs w:val="24"/>
                <w:lang w:eastAsia="cs-CZ"/>
              </w:rPr>
              <w:t>25</w:t>
            </w:r>
          </w:p>
        </w:tc>
        <w:tc>
          <w:tcPr>
            <w:tcW w:w="922" w:type="dxa"/>
            <w:tcBorders>
              <w:top w:val="nil"/>
              <w:left w:val="nil"/>
              <w:bottom w:val="nil"/>
              <w:right w:val="single" w:sz="4" w:space="0" w:color="auto"/>
            </w:tcBorders>
            <w:shd w:val="clear" w:color="auto" w:fill="auto"/>
            <w:noWrap/>
            <w:vAlign w:val="center"/>
            <w:hideMark/>
          </w:tcPr>
          <w:p w14:paraId="134A7C5D" w14:textId="7C557CEE" w:rsidR="004B240D" w:rsidRPr="00F15667" w:rsidRDefault="004B240D" w:rsidP="00115F4F">
            <w:pPr>
              <w:spacing w:line="240" w:lineRule="auto"/>
              <w:jc w:val="center"/>
              <w:rPr>
                <w:rFonts w:eastAsia="Times New Roman"/>
                <w:sz w:val="20"/>
                <w:szCs w:val="20"/>
                <w:lang w:eastAsia="cs-CZ"/>
              </w:rPr>
            </w:pPr>
            <w:r w:rsidRPr="00F15667">
              <w:rPr>
                <w:rFonts w:eastAsia="Times New Roman"/>
                <w:sz w:val="20"/>
                <w:szCs w:val="20"/>
                <w:lang w:eastAsia="cs-CZ"/>
              </w:rPr>
              <w:t>+8 %</w:t>
            </w:r>
          </w:p>
        </w:tc>
        <w:tc>
          <w:tcPr>
            <w:tcW w:w="1063" w:type="dxa"/>
            <w:tcBorders>
              <w:top w:val="nil"/>
              <w:left w:val="nil"/>
              <w:bottom w:val="nil"/>
              <w:right w:val="nil"/>
            </w:tcBorders>
            <w:shd w:val="clear" w:color="auto" w:fill="auto"/>
            <w:noWrap/>
            <w:vAlign w:val="center"/>
            <w:hideMark/>
          </w:tcPr>
          <w:p w14:paraId="2B91AF43" w14:textId="6168AE18" w:rsidR="004B240D" w:rsidRPr="00F15667" w:rsidRDefault="004B240D" w:rsidP="00115F4F">
            <w:pPr>
              <w:spacing w:line="240" w:lineRule="auto"/>
              <w:jc w:val="center"/>
              <w:rPr>
                <w:rFonts w:eastAsia="Times New Roman"/>
                <w:szCs w:val="24"/>
                <w:lang w:eastAsia="cs-CZ"/>
              </w:rPr>
            </w:pPr>
            <w:r w:rsidRPr="00F15667">
              <w:rPr>
                <w:rFonts w:eastAsia="Times New Roman"/>
                <w:szCs w:val="24"/>
                <w:lang w:eastAsia="cs-CZ"/>
              </w:rPr>
              <w:t>5</w:t>
            </w:r>
            <w:r w:rsidR="000C23B6" w:rsidRPr="00F15667">
              <w:rPr>
                <w:rFonts w:eastAsia="Times New Roman"/>
                <w:szCs w:val="24"/>
                <w:lang w:eastAsia="cs-CZ"/>
              </w:rPr>
              <w:t>,</w:t>
            </w:r>
            <w:r w:rsidRPr="00F15667">
              <w:rPr>
                <w:rFonts w:eastAsia="Times New Roman"/>
                <w:szCs w:val="24"/>
                <w:lang w:eastAsia="cs-CZ"/>
              </w:rPr>
              <w:t>35</w:t>
            </w:r>
          </w:p>
        </w:tc>
        <w:tc>
          <w:tcPr>
            <w:tcW w:w="922" w:type="dxa"/>
            <w:tcBorders>
              <w:top w:val="nil"/>
              <w:left w:val="nil"/>
              <w:bottom w:val="nil"/>
              <w:right w:val="nil"/>
            </w:tcBorders>
            <w:shd w:val="clear" w:color="auto" w:fill="auto"/>
            <w:noWrap/>
            <w:vAlign w:val="center"/>
            <w:hideMark/>
          </w:tcPr>
          <w:p w14:paraId="0EFD6F04" w14:textId="76A6B0BE" w:rsidR="004B240D" w:rsidRPr="00F15667" w:rsidRDefault="004B240D" w:rsidP="00115F4F">
            <w:pPr>
              <w:spacing w:line="240" w:lineRule="auto"/>
              <w:jc w:val="center"/>
              <w:rPr>
                <w:rFonts w:eastAsia="Times New Roman"/>
                <w:sz w:val="20"/>
                <w:szCs w:val="20"/>
                <w:lang w:eastAsia="cs-CZ"/>
              </w:rPr>
            </w:pPr>
            <w:r w:rsidRPr="00F15667">
              <w:rPr>
                <w:rFonts w:eastAsia="Times New Roman"/>
                <w:sz w:val="20"/>
                <w:szCs w:val="20"/>
                <w:lang w:eastAsia="cs-CZ"/>
              </w:rPr>
              <w:t>-18 %</w:t>
            </w:r>
          </w:p>
        </w:tc>
      </w:tr>
      <w:tr w:rsidR="00F15667" w:rsidRPr="00F15667" w14:paraId="7988C650" w14:textId="77777777" w:rsidTr="00115F4F">
        <w:trPr>
          <w:trHeight w:val="345"/>
        </w:trPr>
        <w:tc>
          <w:tcPr>
            <w:tcW w:w="2020" w:type="dxa"/>
            <w:tcBorders>
              <w:top w:val="double" w:sz="6" w:space="0" w:color="auto"/>
              <w:left w:val="nil"/>
              <w:bottom w:val="double" w:sz="6" w:space="0" w:color="auto"/>
              <w:right w:val="nil"/>
            </w:tcBorders>
            <w:shd w:val="clear" w:color="auto" w:fill="auto"/>
            <w:noWrap/>
            <w:vAlign w:val="center"/>
            <w:hideMark/>
          </w:tcPr>
          <w:p w14:paraId="192AFFE9" w14:textId="77777777" w:rsidR="004B240D" w:rsidRPr="00F15667" w:rsidRDefault="004B240D" w:rsidP="00115F4F">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99" w:type="dxa"/>
            <w:tcBorders>
              <w:top w:val="double" w:sz="6" w:space="0" w:color="auto"/>
              <w:left w:val="nil"/>
              <w:bottom w:val="double" w:sz="6" w:space="0" w:color="auto"/>
              <w:right w:val="nil"/>
            </w:tcBorders>
            <w:shd w:val="clear" w:color="auto" w:fill="auto"/>
            <w:noWrap/>
            <w:vAlign w:val="center"/>
            <w:hideMark/>
          </w:tcPr>
          <w:p w14:paraId="21A85966" w14:textId="7B938F3B" w:rsidR="004B240D" w:rsidRPr="00F15667" w:rsidRDefault="004B240D" w:rsidP="00115F4F">
            <w:pPr>
              <w:spacing w:line="240" w:lineRule="auto"/>
              <w:jc w:val="center"/>
              <w:rPr>
                <w:rFonts w:eastAsia="Times New Roman"/>
                <w:b/>
                <w:bCs/>
                <w:szCs w:val="24"/>
                <w:lang w:eastAsia="cs-CZ"/>
              </w:rPr>
            </w:pPr>
            <w:r w:rsidRPr="00F15667">
              <w:rPr>
                <w:rFonts w:eastAsia="Times New Roman"/>
                <w:b/>
                <w:bCs/>
                <w:szCs w:val="24"/>
                <w:lang w:eastAsia="cs-CZ"/>
              </w:rPr>
              <w:t>55</w:t>
            </w:r>
            <w:r w:rsidR="000C23B6" w:rsidRPr="00F15667">
              <w:rPr>
                <w:rFonts w:eastAsia="Times New Roman"/>
                <w:b/>
                <w:bCs/>
                <w:szCs w:val="24"/>
                <w:lang w:eastAsia="cs-CZ"/>
              </w:rPr>
              <w:t>,</w:t>
            </w:r>
            <w:r w:rsidRPr="00F15667">
              <w:rPr>
                <w:rFonts w:eastAsia="Times New Roman"/>
                <w:b/>
                <w:bCs/>
                <w:szCs w:val="24"/>
                <w:lang w:eastAsia="cs-CZ"/>
              </w:rPr>
              <w:t>10</w:t>
            </w:r>
          </w:p>
        </w:tc>
        <w:tc>
          <w:tcPr>
            <w:tcW w:w="879" w:type="dxa"/>
            <w:tcBorders>
              <w:top w:val="double" w:sz="6" w:space="0" w:color="auto"/>
              <w:left w:val="nil"/>
              <w:bottom w:val="double" w:sz="6" w:space="0" w:color="auto"/>
              <w:right w:val="nil"/>
            </w:tcBorders>
            <w:shd w:val="clear" w:color="auto" w:fill="auto"/>
            <w:noWrap/>
            <w:vAlign w:val="center"/>
            <w:hideMark/>
          </w:tcPr>
          <w:p w14:paraId="527A6A08" w14:textId="73D753A5" w:rsidR="004B240D" w:rsidRPr="00F15667" w:rsidRDefault="004B240D"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-0 %</w:t>
            </w:r>
          </w:p>
        </w:tc>
        <w:tc>
          <w:tcPr>
            <w:tcW w:w="1105" w:type="dxa"/>
            <w:tcBorders>
              <w:top w:val="double" w:sz="6" w:space="0" w:color="auto"/>
              <w:left w:val="single" w:sz="4" w:space="0" w:color="auto"/>
              <w:bottom w:val="double" w:sz="6" w:space="0" w:color="auto"/>
              <w:right w:val="nil"/>
            </w:tcBorders>
            <w:shd w:val="clear" w:color="auto" w:fill="auto"/>
            <w:noWrap/>
            <w:vAlign w:val="center"/>
            <w:hideMark/>
          </w:tcPr>
          <w:p w14:paraId="3D4295CA" w14:textId="594CD6DF" w:rsidR="004B240D" w:rsidRPr="00F15667" w:rsidRDefault="004B240D" w:rsidP="00115F4F">
            <w:pPr>
              <w:spacing w:line="240" w:lineRule="auto"/>
              <w:jc w:val="center"/>
              <w:rPr>
                <w:rFonts w:eastAsia="Times New Roman"/>
                <w:b/>
                <w:bCs/>
                <w:szCs w:val="24"/>
                <w:lang w:eastAsia="cs-CZ"/>
              </w:rPr>
            </w:pPr>
            <w:r w:rsidRPr="00F15667">
              <w:rPr>
                <w:rFonts w:eastAsia="Times New Roman"/>
                <w:b/>
                <w:bCs/>
                <w:szCs w:val="24"/>
                <w:lang w:eastAsia="cs-CZ"/>
              </w:rPr>
              <w:t>57</w:t>
            </w:r>
            <w:r w:rsidR="000C23B6" w:rsidRPr="00F15667">
              <w:rPr>
                <w:rFonts w:eastAsia="Times New Roman"/>
                <w:b/>
                <w:bCs/>
                <w:szCs w:val="24"/>
                <w:lang w:eastAsia="cs-CZ"/>
              </w:rPr>
              <w:t>,</w:t>
            </w:r>
            <w:r w:rsidRPr="00F15667">
              <w:rPr>
                <w:rFonts w:eastAsia="Times New Roman"/>
                <w:b/>
                <w:bCs/>
                <w:szCs w:val="24"/>
                <w:lang w:eastAsia="cs-CZ"/>
              </w:rPr>
              <w:t>41</w:t>
            </w:r>
          </w:p>
        </w:tc>
        <w:tc>
          <w:tcPr>
            <w:tcW w:w="922" w:type="dxa"/>
            <w:tcBorders>
              <w:top w:val="double" w:sz="6" w:space="0" w:color="auto"/>
              <w:left w:val="nil"/>
              <w:bottom w:val="double" w:sz="6" w:space="0" w:color="auto"/>
              <w:right w:val="single" w:sz="4" w:space="0" w:color="auto"/>
            </w:tcBorders>
            <w:shd w:val="clear" w:color="auto" w:fill="auto"/>
            <w:noWrap/>
            <w:vAlign w:val="center"/>
            <w:hideMark/>
          </w:tcPr>
          <w:p w14:paraId="3E793AE7" w14:textId="26B0CD11" w:rsidR="004B240D" w:rsidRPr="00F15667" w:rsidRDefault="004B240D"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-5 %</w:t>
            </w:r>
          </w:p>
        </w:tc>
        <w:tc>
          <w:tcPr>
            <w:tcW w:w="1063" w:type="dxa"/>
            <w:tcBorders>
              <w:top w:val="double" w:sz="6" w:space="0" w:color="auto"/>
              <w:left w:val="nil"/>
              <w:bottom w:val="double" w:sz="6" w:space="0" w:color="auto"/>
              <w:right w:val="nil"/>
            </w:tcBorders>
            <w:shd w:val="clear" w:color="auto" w:fill="auto"/>
            <w:noWrap/>
            <w:vAlign w:val="center"/>
            <w:hideMark/>
          </w:tcPr>
          <w:p w14:paraId="4BD58590" w14:textId="5EF2627D" w:rsidR="004B240D" w:rsidRPr="00F15667" w:rsidRDefault="004B240D" w:rsidP="00115F4F">
            <w:pPr>
              <w:spacing w:line="240" w:lineRule="auto"/>
              <w:jc w:val="center"/>
              <w:rPr>
                <w:rFonts w:eastAsia="Times New Roman"/>
                <w:b/>
                <w:bCs/>
                <w:szCs w:val="24"/>
                <w:lang w:eastAsia="cs-CZ"/>
              </w:rPr>
            </w:pPr>
            <w:r w:rsidRPr="00F15667">
              <w:rPr>
                <w:rFonts w:eastAsia="Times New Roman"/>
                <w:b/>
                <w:bCs/>
                <w:szCs w:val="24"/>
                <w:lang w:eastAsia="cs-CZ"/>
              </w:rPr>
              <w:t>16</w:t>
            </w:r>
            <w:r w:rsidR="000C23B6" w:rsidRPr="00F15667">
              <w:rPr>
                <w:rFonts w:eastAsia="Times New Roman"/>
                <w:b/>
                <w:bCs/>
                <w:szCs w:val="24"/>
                <w:lang w:eastAsia="cs-CZ"/>
              </w:rPr>
              <w:t>,</w:t>
            </w:r>
            <w:r w:rsidRPr="00F15667">
              <w:rPr>
                <w:rFonts w:eastAsia="Times New Roman"/>
                <w:b/>
                <w:bCs/>
                <w:szCs w:val="24"/>
                <w:lang w:eastAsia="cs-CZ"/>
              </w:rPr>
              <w:t>87</w:t>
            </w:r>
          </w:p>
        </w:tc>
        <w:tc>
          <w:tcPr>
            <w:tcW w:w="922" w:type="dxa"/>
            <w:tcBorders>
              <w:top w:val="double" w:sz="6" w:space="0" w:color="auto"/>
              <w:left w:val="nil"/>
              <w:bottom w:val="double" w:sz="6" w:space="0" w:color="auto"/>
              <w:right w:val="nil"/>
            </w:tcBorders>
            <w:shd w:val="clear" w:color="auto" w:fill="auto"/>
            <w:noWrap/>
            <w:vAlign w:val="center"/>
            <w:hideMark/>
          </w:tcPr>
          <w:p w14:paraId="5971B064" w14:textId="67B7BCD8" w:rsidR="004B240D" w:rsidRPr="00F15667" w:rsidRDefault="004B240D"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-10 %</w:t>
            </w:r>
          </w:p>
        </w:tc>
      </w:tr>
      <w:tr w:rsidR="00F15667" w:rsidRPr="00F15667" w14:paraId="123CC945" w14:textId="77777777" w:rsidTr="00115F4F">
        <w:trPr>
          <w:trHeight w:val="330"/>
        </w:trPr>
        <w:tc>
          <w:tcPr>
            <w:tcW w:w="2020" w:type="dxa"/>
            <w:tcBorders>
              <w:top w:val="nil"/>
              <w:left w:val="nil"/>
              <w:bottom w:val="nil"/>
              <w:right w:val="nil"/>
            </w:tcBorders>
            <w:shd w:val="clear" w:color="auto" w:fill="auto"/>
            <w:noWrap/>
            <w:vAlign w:val="center"/>
            <w:hideMark/>
          </w:tcPr>
          <w:p w14:paraId="0F2CF10A" w14:textId="77777777" w:rsidR="004B240D" w:rsidRPr="00F15667" w:rsidRDefault="004B240D" w:rsidP="00115F4F">
            <w:pPr>
              <w:spacing w:line="240" w:lineRule="auto"/>
              <w:jc w:val="center"/>
              <w:rPr>
                <w:rFonts w:eastAsia="Times New Roman"/>
                <w:b/>
                <w:bCs/>
                <w:sz w:val="20"/>
                <w:szCs w:val="20"/>
                <w:lang w:eastAsia="cs-CZ"/>
              </w:rPr>
            </w:pPr>
          </w:p>
        </w:tc>
        <w:tc>
          <w:tcPr>
            <w:tcW w:w="1099" w:type="dxa"/>
            <w:tcBorders>
              <w:top w:val="nil"/>
              <w:left w:val="nil"/>
              <w:bottom w:val="nil"/>
              <w:right w:val="nil"/>
            </w:tcBorders>
            <w:shd w:val="clear" w:color="auto" w:fill="auto"/>
            <w:noWrap/>
            <w:vAlign w:val="center"/>
            <w:hideMark/>
          </w:tcPr>
          <w:p w14:paraId="4A27B76B" w14:textId="77777777" w:rsidR="004B240D" w:rsidRPr="00F15667" w:rsidRDefault="004B240D" w:rsidP="00115F4F">
            <w:pPr>
              <w:spacing w:line="240" w:lineRule="auto"/>
              <w:jc w:val="center"/>
              <w:rPr>
                <w:rFonts w:ascii="Times New Roman" w:eastAsia="Times New Roman" w:hAnsi="Times New Roman"/>
                <w:sz w:val="20"/>
                <w:szCs w:val="20"/>
                <w:lang w:eastAsia="cs-CZ"/>
              </w:rPr>
            </w:pPr>
          </w:p>
        </w:tc>
        <w:tc>
          <w:tcPr>
            <w:tcW w:w="879" w:type="dxa"/>
            <w:tcBorders>
              <w:top w:val="nil"/>
              <w:left w:val="nil"/>
              <w:bottom w:val="nil"/>
              <w:right w:val="nil"/>
            </w:tcBorders>
            <w:shd w:val="clear" w:color="auto" w:fill="auto"/>
            <w:noWrap/>
            <w:vAlign w:val="center"/>
            <w:hideMark/>
          </w:tcPr>
          <w:p w14:paraId="70B452D8" w14:textId="77777777" w:rsidR="004B240D" w:rsidRPr="00F15667" w:rsidRDefault="004B240D" w:rsidP="00115F4F">
            <w:pPr>
              <w:spacing w:line="240" w:lineRule="auto"/>
              <w:jc w:val="center"/>
              <w:rPr>
                <w:rFonts w:ascii="Times New Roman" w:eastAsia="Times New Roman" w:hAnsi="Times New Roman"/>
                <w:sz w:val="20"/>
                <w:szCs w:val="20"/>
                <w:lang w:eastAsia="cs-CZ"/>
              </w:rPr>
            </w:pPr>
          </w:p>
        </w:tc>
        <w:tc>
          <w:tcPr>
            <w:tcW w:w="1105" w:type="dxa"/>
            <w:tcBorders>
              <w:top w:val="nil"/>
              <w:left w:val="nil"/>
              <w:bottom w:val="nil"/>
              <w:right w:val="nil"/>
            </w:tcBorders>
            <w:shd w:val="clear" w:color="auto" w:fill="auto"/>
            <w:noWrap/>
            <w:vAlign w:val="center"/>
            <w:hideMark/>
          </w:tcPr>
          <w:p w14:paraId="50DB138A" w14:textId="77777777" w:rsidR="004B240D" w:rsidRPr="00F15667" w:rsidRDefault="004B240D" w:rsidP="00115F4F">
            <w:pPr>
              <w:spacing w:line="240" w:lineRule="auto"/>
              <w:jc w:val="center"/>
              <w:rPr>
                <w:rFonts w:ascii="Times New Roman" w:eastAsia="Times New Roman" w:hAnsi="Times New Roman"/>
                <w:sz w:val="20"/>
                <w:szCs w:val="20"/>
                <w:lang w:eastAsia="cs-CZ"/>
              </w:rPr>
            </w:pPr>
          </w:p>
        </w:tc>
        <w:tc>
          <w:tcPr>
            <w:tcW w:w="922" w:type="dxa"/>
            <w:tcBorders>
              <w:top w:val="nil"/>
              <w:left w:val="nil"/>
              <w:bottom w:val="nil"/>
              <w:right w:val="nil"/>
            </w:tcBorders>
            <w:shd w:val="clear" w:color="auto" w:fill="auto"/>
            <w:noWrap/>
            <w:vAlign w:val="center"/>
            <w:hideMark/>
          </w:tcPr>
          <w:p w14:paraId="7F8984B3" w14:textId="77777777" w:rsidR="004B240D" w:rsidRPr="00F15667" w:rsidRDefault="004B240D" w:rsidP="00115F4F">
            <w:pPr>
              <w:spacing w:line="240" w:lineRule="auto"/>
              <w:jc w:val="center"/>
              <w:rPr>
                <w:rFonts w:ascii="Times New Roman" w:eastAsia="Times New Roman" w:hAnsi="Times New Roman"/>
                <w:sz w:val="20"/>
                <w:szCs w:val="20"/>
                <w:lang w:eastAsia="cs-CZ"/>
              </w:rPr>
            </w:pPr>
          </w:p>
        </w:tc>
        <w:tc>
          <w:tcPr>
            <w:tcW w:w="1063" w:type="dxa"/>
            <w:tcBorders>
              <w:top w:val="nil"/>
              <w:left w:val="nil"/>
              <w:bottom w:val="nil"/>
              <w:right w:val="nil"/>
            </w:tcBorders>
            <w:shd w:val="clear" w:color="auto" w:fill="auto"/>
            <w:noWrap/>
            <w:vAlign w:val="center"/>
            <w:hideMark/>
          </w:tcPr>
          <w:p w14:paraId="59B4B2A0" w14:textId="77777777" w:rsidR="004B240D" w:rsidRPr="00F15667" w:rsidRDefault="004B240D" w:rsidP="00115F4F">
            <w:pPr>
              <w:spacing w:line="240" w:lineRule="auto"/>
              <w:jc w:val="center"/>
              <w:rPr>
                <w:rFonts w:ascii="Times New Roman" w:eastAsia="Times New Roman" w:hAnsi="Times New Roman"/>
                <w:sz w:val="20"/>
                <w:szCs w:val="20"/>
                <w:lang w:eastAsia="cs-CZ"/>
              </w:rPr>
            </w:pPr>
          </w:p>
        </w:tc>
        <w:tc>
          <w:tcPr>
            <w:tcW w:w="922" w:type="dxa"/>
            <w:tcBorders>
              <w:top w:val="nil"/>
              <w:left w:val="nil"/>
              <w:bottom w:val="nil"/>
              <w:right w:val="nil"/>
            </w:tcBorders>
            <w:shd w:val="clear" w:color="auto" w:fill="auto"/>
            <w:noWrap/>
            <w:vAlign w:val="center"/>
            <w:hideMark/>
          </w:tcPr>
          <w:p w14:paraId="043577AD" w14:textId="77777777" w:rsidR="004B240D" w:rsidRPr="00F15667" w:rsidRDefault="004B240D" w:rsidP="00115F4F">
            <w:pPr>
              <w:spacing w:line="240" w:lineRule="auto"/>
              <w:jc w:val="center"/>
              <w:rPr>
                <w:rFonts w:ascii="Times New Roman" w:eastAsia="Times New Roman" w:hAnsi="Times New Roman"/>
                <w:sz w:val="20"/>
                <w:szCs w:val="20"/>
                <w:lang w:eastAsia="cs-CZ"/>
              </w:rPr>
            </w:pPr>
          </w:p>
        </w:tc>
      </w:tr>
    </w:tbl>
    <w:p w14:paraId="0B9B8692" w14:textId="6A442A7D" w:rsidR="00E336B6" w:rsidRPr="00F15667" w:rsidRDefault="008430BD" w:rsidP="008430BD">
      <w:pPr>
        <w:pStyle w:val="Nadpis3"/>
        <w:numPr>
          <w:ilvl w:val="2"/>
          <w:numId w:val="1"/>
        </w:numPr>
        <w:rPr>
          <w:color w:val="auto"/>
          <w:lang w:eastAsia="cs-CZ"/>
        </w:rPr>
      </w:pPr>
      <w:bookmarkStart w:id="1104" w:name="_Toc515871285"/>
      <w:bookmarkStart w:id="1105" w:name="_Toc106092797"/>
      <w:bookmarkStart w:id="1106" w:name="_Toc144104410"/>
      <w:r w:rsidRPr="00F15667">
        <w:rPr>
          <w:color w:val="auto"/>
          <w:lang w:eastAsia="cs-CZ"/>
        </w:rPr>
        <w:t>Disposition time</w:t>
      </w:r>
      <w:bookmarkEnd w:id="1104"/>
      <w:r w:rsidRPr="00F15667">
        <w:rPr>
          <w:color w:val="auto"/>
          <w:lang w:eastAsia="cs-CZ"/>
        </w:rPr>
        <w:t xml:space="preserve"> (dispoziční čas)</w:t>
      </w:r>
      <w:bookmarkEnd w:id="1105"/>
      <w:bookmarkEnd w:id="1106"/>
    </w:p>
    <w:p w14:paraId="004AA6BD" w14:textId="77777777" w:rsidR="000C23B6" w:rsidRPr="00F15667" w:rsidRDefault="000C23B6" w:rsidP="000C23B6">
      <w:pPr>
        <w:pStyle w:val="OdstavecASR"/>
      </w:pPr>
      <w:r w:rsidRPr="00F15667">
        <w:t>Disposition time a jeho vývoj vyplývá z výše uvedených faktů a ukazatelů. Vrchní soud v Olomouci vykazuje výrazně nižší DT než Vrchní soud v Praze. DT Vrchního soudu v Olomouci v roce 2010 výrazně klesl díky poklesu v počtu nevyřízených věcí. Naopak DT u VS Praha v letech 2011 až 2013 narostl díky vyššímu počtu nevyřízených věcí. DT u obou soudů v následujících letech stagnoval, protože podobným tempem klesal počet vyřízených i nevyřízených věcí. V roce 2017 (a v roce 2016 u VS v Olomouci) DT stoupl, protože počet vyřízených věcí klesal rychleji než počet nevyřízených věcí. V roce 2018 DT klesl především u VS v Praze, a to díky poklesu v počtu nevyřízených věcí. V roce 2019 se rozdíl mezi soudy opět výrazně zvětšil, a to hlavně díky poklesu DT u VS v Olomouci. Ten klesl díky výše zmíněnému signifikantnímu poklesu v počtu nevyřízených věcí. V roce 2020 DT mírně klesl u VS v Praze a mírně stoupl u VS v Olomouci, což plyne z vývoje vyřízených a nevyřízených věcí. Nejednalo se však o výrazné změny.</w:t>
      </w:r>
    </w:p>
    <w:p w14:paraId="58D55DF6" w14:textId="7E7FD794" w:rsidR="000C23B6" w:rsidRPr="00F15667" w:rsidRDefault="000C23B6" w:rsidP="000C23B6">
      <w:pPr>
        <w:pStyle w:val="OdstavecASR"/>
      </w:pPr>
      <w:r w:rsidRPr="00F15667">
        <w:t>DT u VS v Olomouci v roce 2021 narostl, což plyne hlavně z růstu v počtu věcí nevyřízených. Počet nevyřízených věcí byl (a stále je) velmi malý, proto se i marginální nárůst – v tomto případě o 20 věcí – může citelně projevit v DT. Naopak, DT u VS v Praze výrazně klesl, což opět plyne ze změny v počtu nevyřízených věcí – tentokrát jde o výrazný pokles.</w:t>
      </w:r>
    </w:p>
    <w:p w14:paraId="097E3BEF" w14:textId="1555325E" w:rsidR="000C23B6" w:rsidRPr="00F15667" w:rsidRDefault="000C23B6" w:rsidP="000C23B6">
      <w:pPr>
        <w:pStyle w:val="OdstavecASR"/>
      </w:pPr>
      <w:r w:rsidRPr="00F15667">
        <w:lastRenderedPageBreak/>
        <w:t>V roce 2022 DT klesl u obou soudů – u VS v Praze mírně, u VS v Olomouci výrazněji. Jak ale bylo zmíněno, DT zde má sklony k větším výchylkám.</w:t>
      </w:r>
    </w:p>
    <w:p w14:paraId="3FAEA3E8" w14:textId="068CA2AE" w:rsidR="000C23B6" w:rsidRPr="00F15667" w:rsidRDefault="000C23B6" w:rsidP="000C23B6">
      <w:pPr>
        <w:pStyle w:val="Podnadpis"/>
        <w:numPr>
          <w:ilvl w:val="0"/>
          <w:numId w:val="0"/>
        </w:numPr>
        <w:rPr>
          <w:color w:val="auto"/>
        </w:rPr>
      </w:pPr>
      <w:bookmarkStart w:id="1107" w:name="_Toc515871414"/>
      <w:bookmarkStart w:id="1108" w:name="_Toc11135145"/>
      <w:bookmarkStart w:id="1109" w:name="_Toc43841467"/>
      <w:bookmarkStart w:id="1110" w:name="_Toc75952270"/>
      <w:bookmarkStart w:id="1111" w:name="_Toc106106727"/>
      <w:bookmarkStart w:id="1112" w:name="_Toc109802051"/>
      <w:bookmarkStart w:id="1113" w:name="_Toc144104201"/>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89</w:t>
      </w:r>
      <w:r w:rsidR="009A10E2" w:rsidRPr="00F15667">
        <w:rPr>
          <w:color w:val="auto"/>
        </w:rPr>
        <w:fldChar w:fldCharType="end"/>
      </w:r>
      <w:r w:rsidRPr="00F15667">
        <w:rPr>
          <w:color w:val="auto"/>
        </w:rPr>
        <w:t>: VS – DT civilního odvolacího řízení v letech 2008–20</w:t>
      </w:r>
      <w:bookmarkEnd w:id="1107"/>
      <w:bookmarkEnd w:id="1108"/>
      <w:bookmarkEnd w:id="1109"/>
      <w:r w:rsidRPr="00F15667">
        <w:rPr>
          <w:color w:val="auto"/>
        </w:rPr>
        <w:t>2</w:t>
      </w:r>
      <w:bookmarkEnd w:id="1110"/>
      <w:bookmarkEnd w:id="1111"/>
      <w:bookmarkEnd w:id="1112"/>
      <w:r w:rsidRPr="00F15667">
        <w:rPr>
          <w:color w:val="auto"/>
        </w:rPr>
        <w:t>2</w:t>
      </w:r>
      <w:bookmarkEnd w:id="1113"/>
    </w:p>
    <w:p w14:paraId="541EE3FC" w14:textId="0E99B20A" w:rsidR="002922A8" w:rsidRPr="00F15667" w:rsidRDefault="000C23B6" w:rsidP="00115F4F">
      <w:pPr>
        <w:pStyle w:val="OdstavecASR"/>
      </w:pPr>
      <w:r w:rsidRPr="00F15667">
        <w:rPr>
          <w:noProof/>
          <w:lang w:eastAsia="cs-CZ"/>
        </w:rPr>
        <w:drawing>
          <wp:inline distT="0" distB="0" distL="0" distR="0" wp14:anchorId="75919FE4" wp14:editId="54D458EC">
            <wp:extent cx="5029200" cy="3657600"/>
            <wp:effectExtent l="0" t="0" r="0" b="0"/>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49F7F40" w14:textId="1D86631C" w:rsidR="00352538" w:rsidRPr="00F15667" w:rsidRDefault="00352538" w:rsidP="000C23B6">
      <w:pPr>
        <w:rPr>
          <w:lang w:eastAsia="cs-CZ"/>
        </w:rPr>
      </w:pPr>
      <w:r w:rsidRPr="00F15667">
        <w:rPr>
          <w:lang w:eastAsia="cs-CZ"/>
        </w:rPr>
        <w:t xml:space="preserve">Na konci této kapitoly rychlá připomínka, jak tento ukazatel správně interpretovat pro rok 2022 – VS v Praze </w:t>
      </w:r>
      <w:r w:rsidR="00CC34B4" w:rsidRPr="00F15667">
        <w:rPr>
          <w:lang w:eastAsia="cs-CZ"/>
        </w:rPr>
        <w:t>by</w:t>
      </w:r>
      <w:r w:rsidRPr="00F15667">
        <w:rPr>
          <w:lang w:eastAsia="cs-CZ"/>
        </w:rPr>
        <w:t xml:space="preserve"> potřebova</w:t>
      </w:r>
      <w:r w:rsidR="00CC34B4" w:rsidRPr="00F15667">
        <w:rPr>
          <w:lang w:eastAsia="cs-CZ"/>
        </w:rPr>
        <w:t>l</w:t>
      </w:r>
      <w:r w:rsidRPr="00F15667">
        <w:rPr>
          <w:lang w:eastAsia="cs-CZ"/>
        </w:rPr>
        <w:t xml:space="preserve"> 126 kalendářních dnů, kdy </w:t>
      </w:r>
      <w:r w:rsidR="00CC34B4" w:rsidRPr="00F15667">
        <w:rPr>
          <w:lang w:eastAsia="cs-CZ"/>
        </w:rPr>
        <w:t>by nepracoval</w:t>
      </w:r>
      <w:r w:rsidRPr="00F15667">
        <w:rPr>
          <w:lang w:eastAsia="cs-CZ"/>
        </w:rPr>
        <w:t xml:space="preserve"> na ničem jiném než ukončení dosud nevyřízených věcí, zatímco VS v Olomouci by tímto strávil pouze 44 kalendářních dnů v</w:t>
      </w:r>
      <w:r w:rsidR="00CC34B4" w:rsidRPr="00F15667">
        <w:rPr>
          <w:lang w:eastAsia="cs-CZ"/>
        </w:rPr>
        <w:t> </w:t>
      </w:r>
      <w:r w:rsidRPr="00F15667">
        <w:rPr>
          <w:lang w:eastAsia="cs-CZ"/>
        </w:rPr>
        <w:t>roce</w:t>
      </w:r>
      <w:r w:rsidR="00CC34B4" w:rsidRPr="00F15667">
        <w:rPr>
          <w:lang w:eastAsia="cs-CZ"/>
        </w:rPr>
        <w:t xml:space="preserve">, aby se počet nevyřízených věcí dostal na nulu, což samozřejmě není reálně dosažitelné. Nicméně je disposition time dobrý nástroj pro vzájemné srovnávání, který kombinuje efektivitu práce s množstvím nedodělků. </w:t>
      </w:r>
      <w:r w:rsidR="000D4220" w:rsidRPr="00F15667">
        <w:rPr>
          <w:lang w:eastAsia="cs-CZ"/>
        </w:rPr>
        <w:t>Drobné upozornění</w:t>
      </w:r>
      <w:r w:rsidR="00CC34B4" w:rsidRPr="00F15667">
        <w:rPr>
          <w:lang w:eastAsia="cs-CZ"/>
        </w:rPr>
        <w:t xml:space="preserve">: 126 kalendářních dnů je 25,2 pracovních týdnů, tedy půlrok práce bez jakýchkoliv svátků. </w:t>
      </w:r>
    </w:p>
    <w:p w14:paraId="6167298A" w14:textId="77777777" w:rsidR="002922A8" w:rsidRPr="00F15667" w:rsidRDefault="002922A8">
      <w:pPr>
        <w:spacing w:after="160" w:line="259" w:lineRule="auto"/>
        <w:jc w:val="left"/>
        <w:rPr>
          <w:lang w:eastAsia="cs-CZ"/>
        </w:rPr>
      </w:pPr>
      <w:r w:rsidRPr="00F15667">
        <w:rPr>
          <w:lang w:eastAsia="cs-CZ"/>
        </w:rPr>
        <w:br w:type="page"/>
      </w:r>
    </w:p>
    <w:p w14:paraId="2EBE805F" w14:textId="4080E53F" w:rsidR="008430BD" w:rsidRPr="00F15667" w:rsidRDefault="008430BD" w:rsidP="008430BD">
      <w:pPr>
        <w:pStyle w:val="Nadpis2"/>
        <w:numPr>
          <w:ilvl w:val="1"/>
          <w:numId w:val="1"/>
        </w:numPr>
        <w:spacing w:before="120"/>
        <w:rPr>
          <w:color w:val="auto"/>
          <w:lang w:eastAsia="cs-CZ"/>
        </w:rPr>
      </w:pPr>
      <w:bookmarkStart w:id="1114" w:name="_Toc515871286"/>
      <w:bookmarkStart w:id="1115" w:name="_Toc106092798"/>
      <w:bookmarkStart w:id="1116" w:name="_Toc144104411"/>
      <w:r w:rsidRPr="00F15667">
        <w:rPr>
          <w:color w:val="auto"/>
          <w:lang w:eastAsia="cs-CZ"/>
        </w:rPr>
        <w:lastRenderedPageBreak/>
        <w:t>Trestní odvolací agenda</w:t>
      </w:r>
      <w:bookmarkEnd w:id="1114"/>
      <w:bookmarkEnd w:id="1115"/>
      <w:bookmarkEnd w:id="1116"/>
    </w:p>
    <w:p w14:paraId="2BE76865" w14:textId="07F47880" w:rsidR="002922A8" w:rsidRPr="00F15667" w:rsidRDefault="002922A8" w:rsidP="002922A8">
      <w:pPr>
        <w:pStyle w:val="OdstavecASR"/>
      </w:pPr>
      <w:r w:rsidRPr="00F15667">
        <w:t>Vrchní soud vyřizuje věci, v nichž bylo podáno odvolání proti rozhodnutí prvostupňového krajského soudu. Jedná se o rejstříky označené jako To a Tmo.</w:t>
      </w:r>
    </w:p>
    <w:p w14:paraId="4F03267E" w14:textId="4435ED20" w:rsidR="008430BD" w:rsidRPr="00F15667" w:rsidRDefault="008430BD" w:rsidP="008430BD">
      <w:pPr>
        <w:pStyle w:val="Nadpis3"/>
        <w:numPr>
          <w:ilvl w:val="2"/>
          <w:numId w:val="1"/>
        </w:numPr>
        <w:rPr>
          <w:color w:val="auto"/>
          <w:lang w:eastAsia="cs-CZ"/>
        </w:rPr>
      </w:pPr>
      <w:bookmarkStart w:id="1117" w:name="_Toc515871287"/>
      <w:bookmarkStart w:id="1118" w:name="_Toc106092799"/>
      <w:bookmarkStart w:id="1119" w:name="_Toc144104412"/>
      <w:r w:rsidRPr="00F15667">
        <w:rPr>
          <w:color w:val="auto"/>
          <w:lang w:eastAsia="cs-CZ"/>
        </w:rPr>
        <w:t>Délka řízení</w:t>
      </w:r>
      <w:bookmarkEnd w:id="1117"/>
      <w:bookmarkEnd w:id="1118"/>
      <w:bookmarkEnd w:id="1119"/>
    </w:p>
    <w:p w14:paraId="55C58DA8" w14:textId="6734ACB1" w:rsidR="002922A8" w:rsidRPr="00F15667" w:rsidRDefault="002922A8" w:rsidP="002922A8">
      <w:pPr>
        <w:pStyle w:val="OdstavecASR"/>
      </w:pPr>
      <w:r w:rsidRPr="00F15667">
        <w:t xml:space="preserve">Délka řízení je tentokrát uváděna ode dne nápadu do dne právní moci, protože dnem konečného vyřízení odvolacím soudem se věc stane pravomocnou. V grafu níže vidíme, že délky řízení v trestní agendě jsou mezi soudy mnohem vyrovnanější než v agendě civilní, ne-li přímo vyrovnané. Do roku 2013 vykazoval VS v Olomouci vyšší průměrnou délku řízení. V roce 2014 </w:t>
      </w:r>
      <w:r w:rsidR="00FE5EAF" w:rsidRPr="00F15667">
        <w:t xml:space="preserve">průměrná </w:t>
      </w:r>
      <w:r w:rsidRPr="00F15667">
        <w:t>délka řízení u VS v</w:t>
      </w:r>
      <w:r w:rsidR="00FE5EAF" w:rsidRPr="00F15667">
        <w:t> </w:t>
      </w:r>
      <w:r w:rsidRPr="00F15667">
        <w:t>Praze</w:t>
      </w:r>
      <w:r w:rsidR="00FE5EAF" w:rsidRPr="00F15667">
        <w:t xml:space="preserve"> narostla</w:t>
      </w:r>
      <w:r w:rsidRPr="00F15667">
        <w:t>, takže se situace obrátila. V roce 2018 opět vykázal větší mediánovou délku VS v Olomouci. Medián je ale u obou soudů stále velmi podobný. Pozornost může upoutat kolísání devadesátého percentilu především u VS v Olomouci. To je dáno malým počtem pozorování. V roce 2017 tak došlo k náhlému a obrovskému nárůstu devadesátého percentilu, značnému růstu průměru a mírnému zvýšení mediánu. U obou soudů totiž v tomto roce skončilo několik rozsáhlých a dlouhotrvající kauz. To pak ovlivnilo především devadesátý percentil, v menší míře i průměr a medián. Růst délek řízení ale u VS v Olomouci pokračoval v roce 2018. V roce 2019 došlo k nezanedbatelnému poklesu v délkách řízení u obou soudů. Velmi výrazně klesl především percentil 90 u VS v Olomouci. Po roce 2019 délky řízení u VS v Praze spíše stagnují a u VS v Olomouci spíše rostou, jsou tedy nyní vyšší než u VS v Praze. V roce 2022 toto tvrzení tedy platí o mediánu, průměr a percentil 90 byly velmi podobné.</w:t>
      </w:r>
      <w:r w:rsidR="002F6351" w:rsidRPr="00F15667">
        <w:t> </w:t>
      </w:r>
    </w:p>
    <w:p w14:paraId="16D84DA9" w14:textId="73CB763C" w:rsidR="002922A8" w:rsidRPr="00F15667" w:rsidRDefault="002922A8" w:rsidP="002922A8">
      <w:r w:rsidRPr="00F15667">
        <w:t>Zbývá dodat, že složení agendy u VS je logicky velmi podobné složení prvostupňové agendy u krajských soudů.</w:t>
      </w:r>
    </w:p>
    <w:p w14:paraId="3E27CEB3" w14:textId="4B17A262" w:rsidR="002922A8" w:rsidRPr="00F15667" w:rsidRDefault="002922A8" w:rsidP="002922A8">
      <w:pPr>
        <w:pStyle w:val="Podnadpis"/>
        <w:numPr>
          <w:ilvl w:val="0"/>
          <w:numId w:val="0"/>
        </w:numPr>
        <w:rPr>
          <w:color w:val="auto"/>
        </w:rPr>
      </w:pPr>
      <w:bookmarkStart w:id="1120" w:name="_Toc515871415"/>
      <w:bookmarkStart w:id="1121" w:name="_Toc11135146"/>
      <w:bookmarkStart w:id="1122" w:name="_Toc43841468"/>
      <w:bookmarkStart w:id="1123" w:name="_Toc75952271"/>
      <w:bookmarkStart w:id="1124" w:name="_Toc106106728"/>
      <w:bookmarkStart w:id="1125" w:name="_Toc109802052"/>
      <w:bookmarkStart w:id="1126" w:name="_Toc144104202"/>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90</w:t>
      </w:r>
      <w:r w:rsidR="009A10E2" w:rsidRPr="00F15667">
        <w:rPr>
          <w:color w:val="auto"/>
        </w:rPr>
        <w:fldChar w:fldCharType="end"/>
      </w:r>
      <w:r w:rsidRPr="00F15667">
        <w:rPr>
          <w:color w:val="auto"/>
        </w:rPr>
        <w:t>: VS – délka trestního odvolacího řízení v letech 2010–</w:t>
      </w:r>
      <w:bookmarkEnd w:id="1120"/>
      <w:r w:rsidRPr="00F15667">
        <w:rPr>
          <w:color w:val="auto"/>
        </w:rPr>
        <w:t>20</w:t>
      </w:r>
      <w:bookmarkEnd w:id="1121"/>
      <w:bookmarkEnd w:id="1122"/>
      <w:r w:rsidRPr="00F15667">
        <w:rPr>
          <w:color w:val="auto"/>
        </w:rPr>
        <w:t>2</w:t>
      </w:r>
      <w:bookmarkEnd w:id="1123"/>
      <w:bookmarkEnd w:id="1124"/>
      <w:bookmarkEnd w:id="1125"/>
      <w:r w:rsidRPr="00F15667">
        <w:rPr>
          <w:color w:val="auto"/>
        </w:rPr>
        <w:t>2</w:t>
      </w:r>
      <w:bookmarkEnd w:id="1126"/>
    </w:p>
    <w:p w14:paraId="168B670D" w14:textId="099EF19B" w:rsidR="00120348" w:rsidRPr="00F15667" w:rsidRDefault="002922A8" w:rsidP="00115F4F">
      <w:pPr>
        <w:pStyle w:val="OdstavecASR"/>
      </w:pPr>
      <w:r w:rsidRPr="00F15667">
        <w:rPr>
          <w:noProof/>
          <w:lang w:eastAsia="cs-CZ"/>
        </w:rPr>
        <w:drawing>
          <wp:inline distT="0" distB="0" distL="0" distR="0" wp14:anchorId="168BCD8E" wp14:editId="7642A1AF">
            <wp:extent cx="5032800" cy="3661200"/>
            <wp:effectExtent l="0" t="0" r="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032800" cy="3661200"/>
                    </a:xfrm>
                    <a:prstGeom prst="rect">
                      <a:avLst/>
                    </a:prstGeom>
                    <a:noFill/>
                    <a:ln>
                      <a:noFill/>
                    </a:ln>
                  </pic:spPr>
                </pic:pic>
              </a:graphicData>
            </a:graphic>
          </wp:inline>
        </w:drawing>
      </w:r>
    </w:p>
    <w:p w14:paraId="656ECDBF" w14:textId="781B9130" w:rsidR="002922A8" w:rsidRPr="00F15667" w:rsidRDefault="002922A8" w:rsidP="002922A8">
      <w:pPr>
        <w:pStyle w:val="Podnadpis"/>
        <w:rPr>
          <w:color w:val="auto"/>
        </w:rPr>
      </w:pPr>
      <w:bookmarkStart w:id="1127" w:name="_Toc515871416"/>
      <w:bookmarkStart w:id="1128" w:name="_Toc11135147"/>
      <w:bookmarkStart w:id="1129" w:name="_Toc43841469"/>
      <w:bookmarkStart w:id="1130" w:name="_Toc75952272"/>
      <w:bookmarkStart w:id="1131" w:name="_Toc106106729"/>
      <w:bookmarkStart w:id="1132" w:name="_Toc109802053"/>
      <w:bookmarkStart w:id="1133" w:name="_Toc144104203"/>
      <w:r w:rsidRPr="00F15667">
        <w:rPr>
          <w:color w:val="auto"/>
        </w:rPr>
        <w:lastRenderedPageBreak/>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91</w:t>
      </w:r>
      <w:r w:rsidR="009A10E2" w:rsidRPr="00F15667">
        <w:rPr>
          <w:color w:val="auto"/>
        </w:rPr>
        <w:fldChar w:fldCharType="end"/>
      </w:r>
      <w:r w:rsidRPr="00F15667">
        <w:rPr>
          <w:color w:val="auto"/>
        </w:rPr>
        <w:t>: VS – distribuce délek trestního odvolacího řízení</w:t>
      </w:r>
      <w:bookmarkEnd w:id="1127"/>
      <w:bookmarkEnd w:id="1128"/>
      <w:bookmarkEnd w:id="1129"/>
      <w:bookmarkEnd w:id="1130"/>
      <w:bookmarkEnd w:id="1131"/>
      <w:bookmarkEnd w:id="1132"/>
      <w:bookmarkEnd w:id="1133"/>
    </w:p>
    <w:p w14:paraId="3A89F7C4" w14:textId="703F8CF6" w:rsidR="002922A8" w:rsidRPr="00F15667" w:rsidRDefault="002922A8" w:rsidP="00115F4F">
      <w:pPr>
        <w:pStyle w:val="OdstavecASR"/>
      </w:pPr>
      <w:r w:rsidRPr="00F15667">
        <w:rPr>
          <w:noProof/>
          <w:lang w:eastAsia="cs-CZ"/>
        </w:rPr>
        <w:drawing>
          <wp:inline distT="0" distB="0" distL="0" distR="0" wp14:anchorId="70E1C21C" wp14:editId="7D1A2D0F">
            <wp:extent cx="5029200" cy="3657600"/>
            <wp:effectExtent l="0" t="0" r="0" b="0"/>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5AE0B6" w14:textId="21E5E760" w:rsidR="009460EC" w:rsidRPr="00F15667" w:rsidRDefault="002922A8" w:rsidP="00340529">
      <w:pPr>
        <w:pStyle w:val="OdstavecASR"/>
        <w:rPr>
          <w:lang w:eastAsia="cs-CZ"/>
        </w:rPr>
      </w:pPr>
      <w:r w:rsidRPr="00F15667">
        <w:rPr>
          <w:lang w:eastAsia="cs-CZ"/>
        </w:rPr>
        <w:t xml:space="preserve">Malý počet pozorování se projevuje i v histogramu. Distribuce délek řízení se obvykle liší mezi soudy i mezi jednotlivými roky u stejného soudu; při vyšším počtu pozorování by zřejmě byla podobnější. Vzhledem k počtu pozorování jsou výkyvy běžné, přesto je však rozhodně pozitivní, že počet věcí s délkou řízení nad 400 dnů je minimální. Je třeba poznamenat, že tento rok je distribuce délek řízení velmi podobná u obou soudů. VS v Praze má ale více extrémních hodnot přes 400 dnů </w:t>
      </w:r>
      <w:r w:rsidR="00F9230A" w:rsidRPr="00F15667">
        <w:rPr>
          <w:lang w:eastAsia="cs-CZ"/>
        </w:rPr>
        <w:t>způsobený</w:t>
      </w:r>
      <w:r w:rsidR="00BA5762" w:rsidRPr="00F15667">
        <w:rPr>
          <w:lang w:eastAsia="cs-CZ"/>
        </w:rPr>
        <w:t>ch</w:t>
      </w:r>
      <w:r w:rsidR="00F9230A" w:rsidRPr="00F15667">
        <w:rPr>
          <w:lang w:eastAsia="cs-CZ"/>
        </w:rPr>
        <w:t xml:space="preserve"> ukončováním dlouhotrvajících věcí </w:t>
      </w:r>
      <w:r w:rsidRPr="00F15667">
        <w:rPr>
          <w:lang w:eastAsia="cs-CZ"/>
        </w:rPr>
        <w:t>(a proto má také nižší medián při stejném průměru).</w:t>
      </w:r>
      <w:r w:rsidR="00E208FE" w:rsidRPr="00F15667">
        <w:rPr>
          <w:lang w:eastAsia="cs-CZ"/>
        </w:rPr>
        <w:t xml:space="preserve"> U VS v Olomouci lze v</w:t>
      </w:r>
      <w:r w:rsidR="00B62655" w:rsidRPr="00F15667">
        <w:rPr>
          <w:lang w:eastAsia="cs-CZ"/>
        </w:rPr>
        <w:t> </w:t>
      </w:r>
      <w:r w:rsidR="00E208FE" w:rsidRPr="00F15667">
        <w:rPr>
          <w:lang w:eastAsia="cs-CZ"/>
        </w:rPr>
        <w:t>čase pozorovat postupné zvyšování podílu věcí od 150 až 160 dní výše</w:t>
      </w:r>
      <w:r w:rsidR="00275043" w:rsidRPr="00F15667">
        <w:rPr>
          <w:lang w:eastAsia="cs-CZ"/>
        </w:rPr>
        <w:t xml:space="preserve"> (dochází k ukončování těchto věcí)</w:t>
      </w:r>
      <w:r w:rsidR="00E208FE" w:rsidRPr="00F15667">
        <w:rPr>
          <w:lang w:eastAsia="cs-CZ"/>
        </w:rPr>
        <w:t xml:space="preserve">, proto </w:t>
      </w:r>
      <w:r w:rsidR="00F9230A" w:rsidRPr="00F15667">
        <w:rPr>
          <w:lang w:eastAsia="cs-CZ"/>
        </w:rPr>
        <w:t>zde od roku 2020</w:t>
      </w:r>
      <w:r w:rsidR="00E208FE" w:rsidRPr="00F15667">
        <w:rPr>
          <w:lang w:eastAsia="cs-CZ"/>
        </w:rPr>
        <w:t xml:space="preserve"> roste průměr i</w:t>
      </w:r>
      <w:r w:rsidR="00B62655" w:rsidRPr="00F15667">
        <w:rPr>
          <w:lang w:eastAsia="cs-CZ"/>
        </w:rPr>
        <w:t> </w:t>
      </w:r>
      <w:r w:rsidR="00E208FE" w:rsidRPr="00F15667">
        <w:rPr>
          <w:lang w:eastAsia="cs-CZ"/>
        </w:rPr>
        <w:t>medián.</w:t>
      </w:r>
    </w:p>
    <w:p w14:paraId="166754EC" w14:textId="1AEEC56A" w:rsidR="008430BD" w:rsidRPr="00F15667" w:rsidRDefault="008430BD" w:rsidP="008430BD">
      <w:pPr>
        <w:pStyle w:val="Nadpis3"/>
        <w:numPr>
          <w:ilvl w:val="2"/>
          <w:numId w:val="1"/>
        </w:numPr>
        <w:rPr>
          <w:color w:val="auto"/>
          <w:lang w:eastAsia="cs-CZ"/>
        </w:rPr>
      </w:pPr>
      <w:bookmarkStart w:id="1134" w:name="_Toc515871288"/>
      <w:bookmarkStart w:id="1135" w:name="_Toc106092800"/>
      <w:bookmarkStart w:id="1136" w:name="_Toc144104413"/>
      <w:r w:rsidRPr="00F15667">
        <w:rPr>
          <w:color w:val="auto"/>
          <w:lang w:eastAsia="cs-CZ"/>
        </w:rPr>
        <w:t>Vyřizování věcí</w:t>
      </w:r>
      <w:bookmarkEnd w:id="1134"/>
      <w:bookmarkEnd w:id="1135"/>
      <w:bookmarkEnd w:id="1136"/>
    </w:p>
    <w:p w14:paraId="1AC1C18A" w14:textId="7DECC54E" w:rsidR="0055794E" w:rsidRPr="00F15667" w:rsidRDefault="0055794E" w:rsidP="0055794E">
      <w:pPr>
        <w:pStyle w:val="OdstavecASR"/>
      </w:pPr>
      <w:r w:rsidRPr="00F15667">
        <w:t xml:space="preserve">Počet věcí opět ilustruje rozdíl ve velikosti soudů. V nápadu je vidět jisté kolísání, ale od roku 2010 se v zásadě nezměnil, což souvisí s tím, že v nápadu prvostupňové agendy u krajských soudů také nedošlo k žádné výraznější změně. V roce 2016 došlo k nárůstu v počtu nevyřízených věcí především u VS v Olomouci. Ačkoliv počet nevyřízených věcí vzrostl asi o 50 %, v absolutních číslech rozdíl činí pouze několik desítek věcí a celkový počet nevyřízených věcí je velmi malý. Jak je již uvedeno výše, počet nevyřízených věcí v roce 2018 klesl u obou soudů, u VS v Praze i přes nárůst v počtu věcí příchozích. V roce 2019 došlo k velkému poklesu v počtu příchozích věcí u VS v Praze. </w:t>
      </w:r>
      <w:r w:rsidR="00910752" w:rsidRPr="00F15667">
        <w:t xml:space="preserve">V letech </w:t>
      </w:r>
      <w:r w:rsidR="00BA5762" w:rsidRPr="00F15667">
        <w:t>2019–2021</w:t>
      </w:r>
      <w:r w:rsidRPr="00F15667">
        <w:t xml:space="preserve"> byly počty příchozích, vyřízených i nevyřízených věcí u VS</w:t>
      </w:r>
      <w:r w:rsidR="00FB2C4D">
        <w:t> </w:t>
      </w:r>
      <w:r w:rsidRPr="00F15667">
        <w:t>v Praze v zásadě neměnné a registr</w:t>
      </w:r>
      <w:r w:rsidR="00C642F5" w:rsidRPr="00F15667">
        <w:t>ovali jsme</w:t>
      </w:r>
      <w:r w:rsidRPr="00F15667">
        <w:t xml:space="preserve"> pouze drobné výkyvy.</w:t>
      </w:r>
      <w:r w:rsidR="00C642F5" w:rsidRPr="00F15667">
        <w:t xml:space="preserve"> V roce 2022 ale došlo k většímu poklesu. Je otázka, čím byl pokles způsoben; mohl například plyn</w:t>
      </w:r>
      <w:r w:rsidR="00D64073" w:rsidRPr="00F15667">
        <w:t>o</w:t>
      </w:r>
      <w:r w:rsidR="00C642F5" w:rsidRPr="00F15667">
        <w:t>ut z poklesu v počtu věcí u krajských soudů o rok dříve.</w:t>
      </w:r>
      <w:r w:rsidR="00910752" w:rsidRPr="00F15667">
        <w:t xml:space="preserve"> I přes pokles v počtu příchozích věcí datovaný již od roku 2018 ale nedošlo k poklesu v počtu nevyřízených věcí. To lze přisoudit tomu, že počet nevyřízených věcí je již tak malý a některé případy prostě není možné urychlit.</w:t>
      </w:r>
    </w:p>
    <w:p w14:paraId="162A9551" w14:textId="77777777" w:rsidR="0055794E" w:rsidRPr="00F15667" w:rsidRDefault="0055794E" w:rsidP="0055794E">
      <w:pPr>
        <w:pStyle w:val="OdstavecASR"/>
      </w:pPr>
      <w:r w:rsidRPr="00F15667">
        <w:lastRenderedPageBreak/>
        <w:t>U VS v Olomouci počet příchozích, vyřízených i nevyřízených věcí v posledních letech kolísá a nelze v něm najít žádný trend. Počet nevyřízených věcí v letošním roce značně poklesl, což se projeví i v DT. Pokles plyne ze stejného důvodu jako obdobný nárůst v předchozím roce – dne 21. 10. 2020 byla VS Olomouci předložena trestní věc s 34 stížnostmi, které byly vrchním soudem rozhodnuty v měsíci únoru 2021. Tato věc tedy způsobila nárůst v počtu nevyřízených věcí v roce 2020 a pokles v roce 2021.</w:t>
      </w:r>
    </w:p>
    <w:p w14:paraId="2466763B" w14:textId="3C8F7AE5" w:rsidR="0055794E" w:rsidRPr="00F15667" w:rsidRDefault="0055794E" w:rsidP="0055794E">
      <w:pPr>
        <w:pStyle w:val="Podnadpis"/>
        <w:numPr>
          <w:ilvl w:val="0"/>
          <w:numId w:val="0"/>
        </w:numPr>
        <w:rPr>
          <w:color w:val="auto"/>
        </w:rPr>
      </w:pPr>
      <w:bookmarkStart w:id="1137" w:name="_Toc515871417"/>
      <w:bookmarkStart w:id="1138" w:name="_Toc11135148"/>
      <w:bookmarkStart w:id="1139" w:name="_Toc43841470"/>
      <w:bookmarkStart w:id="1140" w:name="_Toc75952273"/>
      <w:bookmarkStart w:id="1141" w:name="_Toc106106730"/>
      <w:bookmarkStart w:id="1142" w:name="_Toc109802054"/>
      <w:bookmarkStart w:id="1143" w:name="_Toc144104204"/>
      <w:r w:rsidRPr="00F15667">
        <w:rPr>
          <w:color w:val="auto"/>
        </w:rPr>
        <w:t xml:space="preserve">Graf </w:t>
      </w:r>
      <w:r w:rsidR="009A10E2" w:rsidRPr="00F15667">
        <w:rPr>
          <w:color w:val="auto"/>
        </w:rPr>
        <w:fldChar w:fldCharType="begin"/>
      </w:r>
      <w:r w:rsidR="009A10E2" w:rsidRPr="00F15667">
        <w:rPr>
          <w:color w:val="auto"/>
        </w:rPr>
        <w:instrText xml:space="preserve"> SEQ Graf \* ARABIC </w:instrText>
      </w:r>
      <w:r w:rsidR="009A10E2" w:rsidRPr="00F15667">
        <w:rPr>
          <w:color w:val="auto"/>
        </w:rPr>
        <w:fldChar w:fldCharType="separate"/>
      </w:r>
      <w:r w:rsidR="001E1A67">
        <w:rPr>
          <w:noProof/>
          <w:color w:val="auto"/>
        </w:rPr>
        <w:t>92</w:t>
      </w:r>
      <w:r w:rsidR="009A10E2" w:rsidRPr="00F15667">
        <w:rPr>
          <w:color w:val="auto"/>
        </w:rPr>
        <w:fldChar w:fldCharType="end"/>
      </w:r>
      <w:r w:rsidRPr="00F15667">
        <w:rPr>
          <w:color w:val="auto"/>
        </w:rPr>
        <w:t>: VS – vyřizování odvolacích trestních věcí v letech 2008–</w:t>
      </w:r>
      <w:bookmarkEnd w:id="1137"/>
      <w:bookmarkEnd w:id="1138"/>
      <w:bookmarkEnd w:id="1139"/>
      <w:bookmarkEnd w:id="1140"/>
      <w:bookmarkEnd w:id="1141"/>
      <w:bookmarkEnd w:id="1142"/>
      <w:r w:rsidR="001A71F2" w:rsidRPr="00F15667">
        <w:rPr>
          <w:color w:val="auto"/>
        </w:rPr>
        <w:t>2022</w:t>
      </w:r>
      <w:bookmarkEnd w:id="1143"/>
    </w:p>
    <w:p w14:paraId="551827F5" w14:textId="5704F632" w:rsidR="0055794E" w:rsidRPr="00F15667" w:rsidRDefault="0055794E" w:rsidP="00115F4F">
      <w:pPr>
        <w:pStyle w:val="OdstavecASR"/>
      </w:pPr>
      <w:r w:rsidRPr="00F15667">
        <w:rPr>
          <w:noProof/>
          <w:lang w:eastAsia="cs-CZ"/>
        </w:rPr>
        <w:drawing>
          <wp:inline distT="0" distB="0" distL="0" distR="0" wp14:anchorId="73618E56" wp14:editId="290C46CD">
            <wp:extent cx="5029200" cy="3657600"/>
            <wp:effectExtent l="0" t="0" r="0" b="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437125F" w14:textId="69C4D0D3" w:rsidR="008430BD" w:rsidRPr="00F15667" w:rsidRDefault="008430BD" w:rsidP="008430BD">
      <w:pPr>
        <w:pStyle w:val="Nadpis3"/>
        <w:numPr>
          <w:ilvl w:val="2"/>
          <w:numId w:val="1"/>
        </w:numPr>
        <w:rPr>
          <w:color w:val="auto"/>
          <w:lang w:eastAsia="cs-CZ"/>
        </w:rPr>
      </w:pPr>
      <w:bookmarkStart w:id="1144" w:name="_Toc515871289"/>
      <w:bookmarkStart w:id="1145" w:name="_Toc43903101"/>
      <w:bookmarkStart w:id="1146" w:name="_Toc106092801"/>
      <w:bookmarkStart w:id="1147" w:name="_Toc144104414"/>
      <w:r w:rsidRPr="00F15667">
        <w:rPr>
          <w:color w:val="auto"/>
          <w:lang w:eastAsia="cs-CZ"/>
        </w:rPr>
        <w:t>Vyřizování věcí v přepočtu na soudce</w:t>
      </w:r>
      <w:bookmarkEnd w:id="1144"/>
      <w:bookmarkEnd w:id="1145"/>
      <w:bookmarkEnd w:id="1146"/>
      <w:bookmarkEnd w:id="1147"/>
    </w:p>
    <w:p w14:paraId="214AAC1D" w14:textId="0C8FEEE1" w:rsidR="00C642F5" w:rsidRPr="00F15667" w:rsidRDefault="00C642F5" w:rsidP="00C642F5">
      <w:pPr>
        <w:pStyle w:val="OdstavecASR"/>
        <w:rPr>
          <w:lang w:eastAsia="cs-CZ"/>
        </w:rPr>
      </w:pPr>
      <w:r w:rsidRPr="00F15667">
        <w:rPr>
          <w:lang w:eastAsia="cs-CZ"/>
        </w:rPr>
        <w:t>Počet příchozích, vyřízených i nevyřízených věcí na soudce vždy byl u obou soudů velmi podobný. To koresponduje s tvrzením založeným na délkách řízení – oba soudy si ve vyřizování trestní odvolací agendy z dlouhodobého hlediska vedou obdobně.</w:t>
      </w:r>
      <w:r w:rsidR="00B5164A" w:rsidRPr="00F15667">
        <w:rPr>
          <w:lang w:eastAsia="cs-CZ"/>
        </w:rPr>
        <w:t xml:space="preserve"> VS v Praze </w:t>
      </w:r>
      <w:r w:rsidR="00275043" w:rsidRPr="00F15667">
        <w:rPr>
          <w:lang w:eastAsia="cs-CZ"/>
        </w:rPr>
        <w:t xml:space="preserve">přitom </w:t>
      </w:r>
      <w:r w:rsidR="00B5164A" w:rsidRPr="00F15667">
        <w:rPr>
          <w:lang w:eastAsia="cs-CZ"/>
        </w:rPr>
        <w:t>vykazuje méně nevyřízených věcí</w:t>
      </w:r>
      <w:r w:rsidR="00AC2ECE" w:rsidRPr="00F15667">
        <w:rPr>
          <w:lang w:eastAsia="cs-CZ"/>
        </w:rPr>
        <w:t xml:space="preserve"> na soudce</w:t>
      </w:r>
      <w:r w:rsidR="00275043" w:rsidRPr="00F15667">
        <w:rPr>
          <w:lang w:eastAsia="cs-CZ"/>
        </w:rPr>
        <w:t xml:space="preserve">, a to s dlouhodobě klesajícím trendem. VS v Olomouci již osciluje </w:t>
      </w:r>
      <w:r w:rsidR="007F6814" w:rsidRPr="00F15667">
        <w:rPr>
          <w:lang w:eastAsia="cs-CZ"/>
        </w:rPr>
        <w:t xml:space="preserve">tento ukazatel </w:t>
      </w:r>
      <w:r w:rsidR="00275043" w:rsidRPr="00F15667">
        <w:rPr>
          <w:lang w:eastAsia="cs-CZ"/>
        </w:rPr>
        <w:t>kolem ustálené hodnoty.</w:t>
      </w:r>
    </w:p>
    <w:p w14:paraId="42EBC458" w14:textId="0518ACBC" w:rsidR="00C642F5" w:rsidRPr="00F15667" w:rsidRDefault="00C642F5" w:rsidP="00C642F5">
      <w:pPr>
        <w:pStyle w:val="Podnadpis"/>
        <w:rPr>
          <w:color w:val="auto"/>
        </w:rPr>
      </w:pPr>
      <w:bookmarkStart w:id="1148" w:name="_Toc515871504"/>
      <w:bookmarkStart w:id="1149" w:name="_Toc11133270"/>
      <w:bookmarkStart w:id="1150" w:name="_Toc43931252"/>
      <w:bookmarkStart w:id="1151" w:name="_Toc75952386"/>
      <w:bookmarkStart w:id="1152" w:name="_Toc106106839"/>
      <w:bookmarkStart w:id="1153" w:name="_Toc109802162"/>
      <w:bookmarkStart w:id="1154" w:name="_Toc144104321"/>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82</w:t>
      </w:r>
      <w:r w:rsidRPr="00F15667">
        <w:rPr>
          <w:noProof/>
          <w:color w:val="auto"/>
        </w:rPr>
        <w:fldChar w:fldCharType="end"/>
      </w:r>
      <w:r w:rsidRPr="00F15667">
        <w:rPr>
          <w:color w:val="auto"/>
        </w:rPr>
        <w:t xml:space="preserve">: VS – vyřizování odvolacích trestních věcí na </w:t>
      </w:r>
      <w:r w:rsidR="00B32B1C">
        <w:rPr>
          <w:color w:val="auto"/>
        </w:rPr>
        <w:t xml:space="preserve">evidenčního </w:t>
      </w:r>
      <w:r w:rsidRPr="00F15667">
        <w:rPr>
          <w:color w:val="auto"/>
        </w:rPr>
        <w:t>soudce</w:t>
      </w:r>
      <w:bookmarkEnd w:id="1148"/>
      <w:bookmarkEnd w:id="1149"/>
      <w:bookmarkEnd w:id="1150"/>
      <w:bookmarkEnd w:id="1151"/>
      <w:bookmarkEnd w:id="1152"/>
      <w:bookmarkEnd w:id="1153"/>
      <w:bookmarkEnd w:id="1154"/>
    </w:p>
    <w:tbl>
      <w:tblPr>
        <w:tblW w:w="8182" w:type="dxa"/>
        <w:tblCellMar>
          <w:left w:w="70" w:type="dxa"/>
          <w:right w:w="70" w:type="dxa"/>
        </w:tblCellMar>
        <w:tblLook w:val="04A0" w:firstRow="1" w:lastRow="0" w:firstColumn="1" w:lastColumn="0" w:noHBand="0" w:noVBand="1"/>
      </w:tblPr>
      <w:tblGrid>
        <w:gridCol w:w="2020"/>
        <w:gridCol w:w="1099"/>
        <w:gridCol w:w="940"/>
        <w:gridCol w:w="7"/>
        <w:gridCol w:w="1104"/>
        <w:gridCol w:w="940"/>
        <w:gridCol w:w="7"/>
        <w:gridCol w:w="1118"/>
        <w:gridCol w:w="940"/>
        <w:gridCol w:w="7"/>
      </w:tblGrid>
      <w:tr w:rsidR="00F15667" w:rsidRPr="00F15667" w14:paraId="514BDA95" w14:textId="77777777" w:rsidTr="00115F4F">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2DF5D60B" w14:textId="2D42FEC3" w:rsidR="009A10E2" w:rsidRPr="00F15667" w:rsidRDefault="00115F4F" w:rsidP="00115F4F">
            <w:pPr>
              <w:spacing w:line="240" w:lineRule="auto"/>
              <w:jc w:val="center"/>
              <w:rPr>
                <w:rFonts w:eastAsia="Times New Roman"/>
                <w:b/>
                <w:bCs/>
                <w:szCs w:val="24"/>
                <w:lang w:eastAsia="cs-CZ"/>
              </w:rPr>
            </w:pPr>
            <w:r>
              <w:rPr>
                <w:rFonts w:eastAsia="Times New Roman"/>
                <w:b/>
                <w:bCs/>
                <w:szCs w:val="24"/>
                <w:lang w:eastAsia="cs-CZ"/>
              </w:rPr>
              <w:t>S</w:t>
            </w:r>
            <w:r w:rsidR="009A10E2" w:rsidRPr="00F15667">
              <w:rPr>
                <w:rFonts w:eastAsia="Times New Roman"/>
                <w:b/>
                <w:bCs/>
                <w:szCs w:val="24"/>
                <w:lang w:eastAsia="cs-CZ"/>
              </w:rPr>
              <w:t>oud</w:t>
            </w:r>
          </w:p>
        </w:tc>
        <w:tc>
          <w:tcPr>
            <w:tcW w:w="6162" w:type="dxa"/>
            <w:gridSpan w:val="9"/>
            <w:tcBorders>
              <w:top w:val="double" w:sz="6" w:space="0" w:color="auto"/>
              <w:left w:val="nil"/>
              <w:bottom w:val="nil"/>
              <w:right w:val="nil"/>
            </w:tcBorders>
            <w:shd w:val="clear" w:color="auto" w:fill="auto"/>
            <w:noWrap/>
            <w:vAlign w:val="center"/>
            <w:hideMark/>
          </w:tcPr>
          <w:p w14:paraId="4B212316" w14:textId="10BC9EC0" w:rsidR="009A10E2" w:rsidRPr="00F15667" w:rsidRDefault="009A10E2" w:rsidP="00115F4F">
            <w:pPr>
              <w:spacing w:line="240" w:lineRule="auto"/>
              <w:jc w:val="center"/>
              <w:rPr>
                <w:rFonts w:eastAsia="Times New Roman"/>
                <w:b/>
                <w:bCs/>
                <w:szCs w:val="24"/>
                <w:lang w:eastAsia="cs-CZ"/>
              </w:rPr>
            </w:pPr>
            <w:r w:rsidRPr="00F15667">
              <w:rPr>
                <w:rFonts w:eastAsia="Times New Roman"/>
                <w:b/>
                <w:bCs/>
                <w:szCs w:val="24"/>
                <w:lang w:eastAsia="cs-CZ"/>
              </w:rPr>
              <w:t>Počet věcí</w:t>
            </w:r>
            <w:r w:rsidR="0046332C">
              <w:rPr>
                <w:rFonts w:eastAsia="Times New Roman"/>
                <w:b/>
                <w:bCs/>
                <w:szCs w:val="24"/>
                <w:lang w:eastAsia="cs-CZ"/>
              </w:rPr>
              <w:t xml:space="preserve"> </w:t>
            </w:r>
            <w:r w:rsidR="00B32B1C">
              <w:rPr>
                <w:rFonts w:eastAsia="Times New Roman"/>
                <w:b/>
                <w:bCs/>
                <w:szCs w:val="24"/>
                <w:lang w:eastAsia="cs-CZ"/>
              </w:rPr>
              <w:t>soudce</w:t>
            </w:r>
          </w:p>
        </w:tc>
      </w:tr>
      <w:tr w:rsidR="00F15667" w:rsidRPr="00F15667" w14:paraId="088DFB02" w14:textId="77777777" w:rsidTr="00115F4F">
        <w:trPr>
          <w:trHeight w:val="330"/>
        </w:trPr>
        <w:tc>
          <w:tcPr>
            <w:tcW w:w="2020" w:type="dxa"/>
            <w:vMerge/>
            <w:tcBorders>
              <w:top w:val="double" w:sz="6" w:space="0" w:color="auto"/>
              <w:left w:val="nil"/>
              <w:bottom w:val="double" w:sz="6" w:space="0" w:color="000000"/>
              <w:right w:val="nil"/>
            </w:tcBorders>
            <w:vAlign w:val="center"/>
            <w:hideMark/>
          </w:tcPr>
          <w:p w14:paraId="660D6CEE" w14:textId="77777777" w:rsidR="009A10E2" w:rsidRPr="00F15667" w:rsidRDefault="009A10E2" w:rsidP="00115F4F">
            <w:pPr>
              <w:spacing w:line="240" w:lineRule="auto"/>
              <w:jc w:val="center"/>
              <w:rPr>
                <w:rFonts w:eastAsia="Times New Roman"/>
                <w:b/>
                <w:bCs/>
                <w:szCs w:val="24"/>
                <w:lang w:eastAsia="cs-CZ"/>
              </w:rPr>
            </w:pPr>
          </w:p>
        </w:tc>
        <w:tc>
          <w:tcPr>
            <w:tcW w:w="2046" w:type="dxa"/>
            <w:gridSpan w:val="3"/>
            <w:tcBorders>
              <w:top w:val="nil"/>
              <w:left w:val="nil"/>
              <w:bottom w:val="double" w:sz="6" w:space="0" w:color="auto"/>
              <w:right w:val="nil"/>
            </w:tcBorders>
            <w:shd w:val="clear" w:color="auto" w:fill="auto"/>
            <w:noWrap/>
            <w:vAlign w:val="center"/>
            <w:hideMark/>
          </w:tcPr>
          <w:p w14:paraId="2C18C865" w14:textId="77777777" w:rsidR="009A10E2" w:rsidRPr="00F15667" w:rsidRDefault="009A10E2" w:rsidP="00115F4F">
            <w:pPr>
              <w:spacing w:line="240" w:lineRule="auto"/>
              <w:jc w:val="center"/>
              <w:rPr>
                <w:rFonts w:eastAsia="Times New Roman"/>
                <w:b/>
                <w:bCs/>
                <w:szCs w:val="24"/>
                <w:lang w:eastAsia="cs-CZ"/>
              </w:rPr>
            </w:pPr>
            <w:r w:rsidRPr="00F15667">
              <w:rPr>
                <w:rFonts w:eastAsia="Times New Roman"/>
                <w:b/>
                <w:bCs/>
                <w:szCs w:val="24"/>
                <w:lang w:eastAsia="cs-CZ"/>
              </w:rPr>
              <w:t>Nápad + obživa</w:t>
            </w:r>
          </w:p>
        </w:tc>
        <w:tc>
          <w:tcPr>
            <w:tcW w:w="2051"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4DCC8DAD" w14:textId="77777777" w:rsidR="009A10E2" w:rsidRPr="00F15667" w:rsidRDefault="009A10E2" w:rsidP="00115F4F">
            <w:pPr>
              <w:spacing w:line="240" w:lineRule="auto"/>
              <w:jc w:val="center"/>
              <w:rPr>
                <w:rFonts w:eastAsia="Times New Roman"/>
                <w:b/>
                <w:bCs/>
                <w:szCs w:val="24"/>
                <w:lang w:eastAsia="cs-CZ"/>
              </w:rPr>
            </w:pPr>
            <w:r w:rsidRPr="00F15667">
              <w:rPr>
                <w:rFonts w:eastAsia="Times New Roman"/>
                <w:b/>
                <w:bCs/>
                <w:szCs w:val="24"/>
                <w:lang w:eastAsia="cs-CZ"/>
              </w:rPr>
              <w:t>Vyřízeno</w:t>
            </w:r>
          </w:p>
        </w:tc>
        <w:tc>
          <w:tcPr>
            <w:tcW w:w="2065" w:type="dxa"/>
            <w:gridSpan w:val="3"/>
            <w:tcBorders>
              <w:top w:val="nil"/>
              <w:left w:val="nil"/>
              <w:bottom w:val="double" w:sz="6" w:space="0" w:color="auto"/>
              <w:right w:val="nil"/>
            </w:tcBorders>
            <w:shd w:val="clear" w:color="auto" w:fill="auto"/>
            <w:noWrap/>
            <w:vAlign w:val="center"/>
            <w:hideMark/>
          </w:tcPr>
          <w:p w14:paraId="3B640E86" w14:textId="77777777" w:rsidR="009A10E2" w:rsidRPr="00F15667" w:rsidRDefault="009A10E2" w:rsidP="00115F4F">
            <w:pPr>
              <w:spacing w:line="240" w:lineRule="auto"/>
              <w:jc w:val="center"/>
              <w:rPr>
                <w:rFonts w:eastAsia="Times New Roman"/>
                <w:b/>
                <w:bCs/>
                <w:szCs w:val="24"/>
                <w:lang w:eastAsia="cs-CZ"/>
              </w:rPr>
            </w:pPr>
            <w:r w:rsidRPr="00F15667">
              <w:rPr>
                <w:rFonts w:eastAsia="Times New Roman"/>
                <w:b/>
                <w:bCs/>
                <w:szCs w:val="24"/>
                <w:lang w:eastAsia="cs-CZ"/>
              </w:rPr>
              <w:t>Nevyřízeno</w:t>
            </w:r>
          </w:p>
        </w:tc>
      </w:tr>
      <w:tr w:rsidR="00F15667" w:rsidRPr="00F15667" w14:paraId="3A52DF3F" w14:textId="77777777" w:rsidTr="00115F4F">
        <w:trPr>
          <w:gridAfter w:val="1"/>
          <w:wAfter w:w="7" w:type="dxa"/>
          <w:trHeight w:val="330"/>
        </w:trPr>
        <w:tc>
          <w:tcPr>
            <w:tcW w:w="2020" w:type="dxa"/>
            <w:tcBorders>
              <w:top w:val="single" w:sz="4" w:space="0" w:color="auto"/>
              <w:left w:val="nil"/>
              <w:bottom w:val="single" w:sz="4" w:space="0" w:color="auto"/>
              <w:right w:val="nil"/>
            </w:tcBorders>
            <w:shd w:val="clear" w:color="auto" w:fill="auto"/>
            <w:noWrap/>
            <w:vAlign w:val="center"/>
            <w:hideMark/>
          </w:tcPr>
          <w:p w14:paraId="49E3246A" w14:textId="77777777" w:rsidR="009A10E2" w:rsidRPr="00F15667" w:rsidRDefault="009A10E2" w:rsidP="00115F4F">
            <w:pPr>
              <w:spacing w:line="240" w:lineRule="auto"/>
              <w:jc w:val="left"/>
              <w:rPr>
                <w:rFonts w:eastAsia="Times New Roman"/>
                <w:szCs w:val="24"/>
                <w:lang w:eastAsia="cs-CZ"/>
              </w:rPr>
            </w:pPr>
            <w:r w:rsidRPr="00F15667">
              <w:rPr>
                <w:rFonts w:eastAsia="Times New Roman"/>
                <w:szCs w:val="24"/>
                <w:lang w:eastAsia="cs-CZ"/>
              </w:rPr>
              <w:t>VS Praha</w:t>
            </w:r>
          </w:p>
        </w:tc>
        <w:tc>
          <w:tcPr>
            <w:tcW w:w="1099" w:type="dxa"/>
            <w:tcBorders>
              <w:top w:val="single" w:sz="4" w:space="0" w:color="auto"/>
              <w:left w:val="nil"/>
              <w:bottom w:val="single" w:sz="4" w:space="0" w:color="auto"/>
              <w:right w:val="nil"/>
            </w:tcBorders>
            <w:shd w:val="clear" w:color="auto" w:fill="auto"/>
            <w:noWrap/>
            <w:vAlign w:val="center"/>
            <w:hideMark/>
          </w:tcPr>
          <w:p w14:paraId="29F8C230" w14:textId="088AE4B3" w:rsidR="009A10E2" w:rsidRPr="00F15667" w:rsidRDefault="009A10E2" w:rsidP="00115F4F">
            <w:pPr>
              <w:spacing w:line="240" w:lineRule="auto"/>
              <w:jc w:val="center"/>
              <w:rPr>
                <w:rFonts w:eastAsia="Times New Roman"/>
                <w:szCs w:val="24"/>
                <w:lang w:eastAsia="cs-CZ"/>
              </w:rPr>
            </w:pPr>
            <w:r w:rsidRPr="00F15667">
              <w:rPr>
                <w:rFonts w:eastAsia="Times New Roman"/>
                <w:szCs w:val="24"/>
                <w:lang w:eastAsia="cs-CZ"/>
              </w:rPr>
              <w:t>29,24</w:t>
            </w:r>
          </w:p>
        </w:tc>
        <w:tc>
          <w:tcPr>
            <w:tcW w:w="940" w:type="dxa"/>
            <w:tcBorders>
              <w:top w:val="single" w:sz="4" w:space="0" w:color="auto"/>
              <w:left w:val="nil"/>
              <w:bottom w:val="single" w:sz="4" w:space="0" w:color="auto"/>
              <w:right w:val="nil"/>
            </w:tcBorders>
            <w:shd w:val="clear" w:color="auto" w:fill="auto"/>
            <w:noWrap/>
            <w:vAlign w:val="center"/>
            <w:hideMark/>
          </w:tcPr>
          <w:p w14:paraId="473E7072" w14:textId="7E344232" w:rsidR="009A10E2" w:rsidRPr="00F15667" w:rsidRDefault="009A10E2" w:rsidP="00115F4F">
            <w:pPr>
              <w:spacing w:line="240" w:lineRule="auto"/>
              <w:jc w:val="center"/>
              <w:rPr>
                <w:rFonts w:eastAsia="Times New Roman"/>
                <w:sz w:val="20"/>
                <w:szCs w:val="20"/>
                <w:lang w:eastAsia="cs-CZ"/>
              </w:rPr>
            </w:pPr>
            <w:r w:rsidRPr="00F15667">
              <w:rPr>
                <w:rFonts w:eastAsia="Times New Roman"/>
                <w:sz w:val="20"/>
                <w:szCs w:val="20"/>
                <w:lang w:eastAsia="cs-CZ"/>
              </w:rPr>
              <w:t>-11 %</w:t>
            </w:r>
          </w:p>
        </w:tc>
        <w:tc>
          <w:tcPr>
            <w:tcW w:w="1111" w:type="dxa"/>
            <w:gridSpan w:val="2"/>
            <w:tcBorders>
              <w:top w:val="single" w:sz="4" w:space="0" w:color="auto"/>
              <w:left w:val="single" w:sz="4" w:space="0" w:color="auto"/>
              <w:bottom w:val="single" w:sz="4" w:space="0" w:color="auto"/>
              <w:right w:val="nil"/>
            </w:tcBorders>
            <w:shd w:val="clear" w:color="auto" w:fill="auto"/>
            <w:noWrap/>
            <w:vAlign w:val="center"/>
            <w:hideMark/>
          </w:tcPr>
          <w:p w14:paraId="416CAA6B" w14:textId="32E04B9B" w:rsidR="009A10E2" w:rsidRPr="00F15667" w:rsidRDefault="009A10E2" w:rsidP="00115F4F">
            <w:pPr>
              <w:spacing w:line="240" w:lineRule="auto"/>
              <w:jc w:val="center"/>
              <w:rPr>
                <w:rFonts w:eastAsia="Times New Roman"/>
                <w:szCs w:val="24"/>
                <w:lang w:eastAsia="cs-CZ"/>
              </w:rPr>
            </w:pPr>
            <w:r w:rsidRPr="00F15667">
              <w:rPr>
                <w:rFonts w:eastAsia="Times New Roman"/>
                <w:szCs w:val="24"/>
                <w:lang w:eastAsia="cs-CZ"/>
              </w:rPr>
              <w:t>29,83</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00D29F05" w14:textId="35DC83AE" w:rsidR="009A10E2" w:rsidRPr="00F15667" w:rsidRDefault="009A10E2" w:rsidP="00115F4F">
            <w:pPr>
              <w:spacing w:line="240" w:lineRule="auto"/>
              <w:jc w:val="center"/>
              <w:rPr>
                <w:rFonts w:eastAsia="Times New Roman"/>
                <w:sz w:val="20"/>
                <w:szCs w:val="20"/>
                <w:lang w:eastAsia="cs-CZ"/>
              </w:rPr>
            </w:pPr>
            <w:r w:rsidRPr="00F15667">
              <w:rPr>
                <w:rFonts w:eastAsia="Times New Roman"/>
                <w:sz w:val="20"/>
                <w:szCs w:val="20"/>
                <w:lang w:eastAsia="cs-CZ"/>
              </w:rPr>
              <w:t>-9 %</w:t>
            </w:r>
          </w:p>
        </w:tc>
        <w:tc>
          <w:tcPr>
            <w:tcW w:w="1125" w:type="dxa"/>
            <w:gridSpan w:val="2"/>
            <w:tcBorders>
              <w:top w:val="single" w:sz="4" w:space="0" w:color="auto"/>
              <w:left w:val="nil"/>
              <w:bottom w:val="single" w:sz="4" w:space="0" w:color="auto"/>
              <w:right w:val="nil"/>
            </w:tcBorders>
            <w:shd w:val="clear" w:color="auto" w:fill="auto"/>
            <w:noWrap/>
            <w:vAlign w:val="center"/>
            <w:hideMark/>
          </w:tcPr>
          <w:p w14:paraId="2B2B359F" w14:textId="4C4A1C65" w:rsidR="009A10E2" w:rsidRPr="00F15667" w:rsidRDefault="009A10E2" w:rsidP="00115F4F">
            <w:pPr>
              <w:spacing w:line="240" w:lineRule="auto"/>
              <w:jc w:val="center"/>
              <w:rPr>
                <w:rFonts w:eastAsia="Times New Roman"/>
                <w:szCs w:val="24"/>
                <w:lang w:eastAsia="cs-CZ"/>
              </w:rPr>
            </w:pPr>
            <w:r w:rsidRPr="00F15667">
              <w:rPr>
                <w:rFonts w:eastAsia="Times New Roman"/>
                <w:szCs w:val="24"/>
                <w:lang w:eastAsia="cs-CZ"/>
              </w:rPr>
              <w:t>3,95</w:t>
            </w:r>
          </w:p>
        </w:tc>
        <w:tc>
          <w:tcPr>
            <w:tcW w:w="940" w:type="dxa"/>
            <w:tcBorders>
              <w:top w:val="single" w:sz="4" w:space="0" w:color="auto"/>
              <w:left w:val="nil"/>
              <w:bottom w:val="single" w:sz="4" w:space="0" w:color="auto"/>
              <w:right w:val="nil"/>
            </w:tcBorders>
            <w:shd w:val="clear" w:color="auto" w:fill="auto"/>
            <w:noWrap/>
            <w:vAlign w:val="center"/>
            <w:hideMark/>
          </w:tcPr>
          <w:p w14:paraId="33B4CE16" w14:textId="67B48C71" w:rsidR="009A10E2" w:rsidRPr="00F15667" w:rsidRDefault="009A10E2" w:rsidP="00115F4F">
            <w:pPr>
              <w:spacing w:line="240" w:lineRule="auto"/>
              <w:jc w:val="center"/>
              <w:rPr>
                <w:rFonts w:eastAsia="Times New Roman"/>
                <w:sz w:val="20"/>
                <w:szCs w:val="20"/>
                <w:lang w:eastAsia="cs-CZ"/>
              </w:rPr>
            </w:pPr>
            <w:r w:rsidRPr="00F15667">
              <w:rPr>
                <w:rFonts w:eastAsia="Times New Roman"/>
                <w:sz w:val="20"/>
                <w:szCs w:val="20"/>
                <w:lang w:eastAsia="cs-CZ"/>
              </w:rPr>
              <w:t>-12 %</w:t>
            </w:r>
          </w:p>
        </w:tc>
      </w:tr>
      <w:tr w:rsidR="00F15667" w:rsidRPr="00F15667" w14:paraId="67DDC9A9" w14:textId="77777777" w:rsidTr="00115F4F">
        <w:trPr>
          <w:gridAfter w:val="1"/>
          <w:wAfter w:w="7" w:type="dxa"/>
          <w:trHeight w:val="330"/>
        </w:trPr>
        <w:tc>
          <w:tcPr>
            <w:tcW w:w="2020" w:type="dxa"/>
            <w:tcBorders>
              <w:top w:val="nil"/>
              <w:left w:val="nil"/>
              <w:bottom w:val="nil"/>
              <w:right w:val="nil"/>
            </w:tcBorders>
            <w:shd w:val="clear" w:color="auto" w:fill="auto"/>
            <w:noWrap/>
            <w:vAlign w:val="center"/>
            <w:hideMark/>
          </w:tcPr>
          <w:p w14:paraId="184B4D64" w14:textId="77777777" w:rsidR="009A10E2" w:rsidRPr="00F15667" w:rsidRDefault="009A10E2" w:rsidP="00115F4F">
            <w:pPr>
              <w:spacing w:line="240" w:lineRule="auto"/>
              <w:jc w:val="left"/>
              <w:rPr>
                <w:rFonts w:eastAsia="Times New Roman"/>
                <w:szCs w:val="24"/>
                <w:lang w:eastAsia="cs-CZ"/>
              </w:rPr>
            </w:pPr>
            <w:r w:rsidRPr="00F15667">
              <w:rPr>
                <w:rFonts w:eastAsia="Times New Roman"/>
                <w:szCs w:val="24"/>
                <w:lang w:eastAsia="cs-CZ"/>
              </w:rPr>
              <w:t>VS Olomouc</w:t>
            </w:r>
          </w:p>
        </w:tc>
        <w:tc>
          <w:tcPr>
            <w:tcW w:w="1099" w:type="dxa"/>
            <w:tcBorders>
              <w:top w:val="nil"/>
              <w:left w:val="nil"/>
              <w:bottom w:val="nil"/>
              <w:right w:val="nil"/>
            </w:tcBorders>
            <w:shd w:val="clear" w:color="auto" w:fill="auto"/>
            <w:noWrap/>
            <w:vAlign w:val="center"/>
            <w:hideMark/>
          </w:tcPr>
          <w:p w14:paraId="1BE4BADD" w14:textId="1F2A9D14" w:rsidR="009A10E2" w:rsidRPr="00F15667" w:rsidRDefault="009A10E2" w:rsidP="00115F4F">
            <w:pPr>
              <w:spacing w:line="240" w:lineRule="auto"/>
              <w:jc w:val="center"/>
              <w:rPr>
                <w:rFonts w:eastAsia="Times New Roman"/>
                <w:szCs w:val="24"/>
                <w:lang w:eastAsia="cs-CZ"/>
              </w:rPr>
            </w:pPr>
            <w:r w:rsidRPr="00F15667">
              <w:rPr>
                <w:rFonts w:eastAsia="Times New Roman"/>
                <w:szCs w:val="24"/>
                <w:lang w:eastAsia="cs-CZ"/>
              </w:rPr>
              <w:t>30,63</w:t>
            </w:r>
          </w:p>
        </w:tc>
        <w:tc>
          <w:tcPr>
            <w:tcW w:w="940" w:type="dxa"/>
            <w:tcBorders>
              <w:top w:val="nil"/>
              <w:left w:val="nil"/>
              <w:bottom w:val="nil"/>
              <w:right w:val="nil"/>
            </w:tcBorders>
            <w:shd w:val="clear" w:color="auto" w:fill="auto"/>
            <w:noWrap/>
            <w:vAlign w:val="center"/>
            <w:hideMark/>
          </w:tcPr>
          <w:p w14:paraId="30E17957" w14:textId="147CA9EA" w:rsidR="009A10E2" w:rsidRPr="00F15667" w:rsidRDefault="009A10E2" w:rsidP="00115F4F">
            <w:pPr>
              <w:spacing w:line="240" w:lineRule="auto"/>
              <w:jc w:val="center"/>
              <w:rPr>
                <w:rFonts w:eastAsia="Times New Roman"/>
                <w:sz w:val="20"/>
                <w:szCs w:val="20"/>
                <w:lang w:eastAsia="cs-CZ"/>
              </w:rPr>
            </w:pPr>
            <w:r w:rsidRPr="00F15667">
              <w:rPr>
                <w:rFonts w:eastAsia="Times New Roman"/>
                <w:sz w:val="20"/>
                <w:szCs w:val="20"/>
                <w:lang w:eastAsia="cs-CZ"/>
              </w:rPr>
              <w:t>-10 %</w:t>
            </w:r>
          </w:p>
        </w:tc>
        <w:tc>
          <w:tcPr>
            <w:tcW w:w="1111" w:type="dxa"/>
            <w:gridSpan w:val="2"/>
            <w:tcBorders>
              <w:top w:val="nil"/>
              <w:left w:val="single" w:sz="4" w:space="0" w:color="auto"/>
              <w:bottom w:val="nil"/>
              <w:right w:val="nil"/>
            </w:tcBorders>
            <w:shd w:val="clear" w:color="auto" w:fill="auto"/>
            <w:noWrap/>
            <w:vAlign w:val="center"/>
            <w:hideMark/>
          </w:tcPr>
          <w:p w14:paraId="54F8DC44" w14:textId="5608F54C" w:rsidR="009A10E2" w:rsidRPr="00F15667" w:rsidRDefault="009A10E2" w:rsidP="00115F4F">
            <w:pPr>
              <w:spacing w:line="240" w:lineRule="auto"/>
              <w:jc w:val="center"/>
              <w:rPr>
                <w:rFonts w:eastAsia="Times New Roman"/>
                <w:szCs w:val="24"/>
                <w:lang w:eastAsia="cs-CZ"/>
              </w:rPr>
            </w:pPr>
            <w:r w:rsidRPr="00F15667">
              <w:rPr>
                <w:rFonts w:eastAsia="Times New Roman"/>
                <w:szCs w:val="24"/>
                <w:lang w:eastAsia="cs-CZ"/>
              </w:rPr>
              <w:t>30,00</w:t>
            </w:r>
          </w:p>
        </w:tc>
        <w:tc>
          <w:tcPr>
            <w:tcW w:w="940" w:type="dxa"/>
            <w:tcBorders>
              <w:top w:val="nil"/>
              <w:left w:val="nil"/>
              <w:bottom w:val="nil"/>
              <w:right w:val="single" w:sz="4" w:space="0" w:color="auto"/>
            </w:tcBorders>
            <w:shd w:val="clear" w:color="auto" w:fill="auto"/>
            <w:noWrap/>
            <w:vAlign w:val="center"/>
            <w:hideMark/>
          </w:tcPr>
          <w:p w14:paraId="6A26F87D" w14:textId="0D8F27D7" w:rsidR="009A10E2" w:rsidRPr="00F15667" w:rsidRDefault="009A10E2" w:rsidP="00115F4F">
            <w:pPr>
              <w:spacing w:line="240" w:lineRule="auto"/>
              <w:jc w:val="center"/>
              <w:rPr>
                <w:rFonts w:eastAsia="Times New Roman"/>
                <w:sz w:val="20"/>
                <w:szCs w:val="20"/>
                <w:lang w:eastAsia="cs-CZ"/>
              </w:rPr>
            </w:pPr>
            <w:r w:rsidRPr="00F15667">
              <w:rPr>
                <w:rFonts w:eastAsia="Times New Roman"/>
                <w:sz w:val="20"/>
                <w:szCs w:val="20"/>
                <w:lang w:eastAsia="cs-CZ"/>
              </w:rPr>
              <w:t>-19 %</w:t>
            </w:r>
          </w:p>
        </w:tc>
        <w:tc>
          <w:tcPr>
            <w:tcW w:w="1125" w:type="dxa"/>
            <w:gridSpan w:val="2"/>
            <w:tcBorders>
              <w:top w:val="nil"/>
              <w:left w:val="nil"/>
              <w:bottom w:val="nil"/>
              <w:right w:val="nil"/>
            </w:tcBorders>
            <w:shd w:val="clear" w:color="auto" w:fill="auto"/>
            <w:noWrap/>
            <w:vAlign w:val="center"/>
            <w:hideMark/>
          </w:tcPr>
          <w:p w14:paraId="7417C0CD" w14:textId="02D1FD36" w:rsidR="009A10E2" w:rsidRPr="00F15667" w:rsidRDefault="009A10E2" w:rsidP="00115F4F">
            <w:pPr>
              <w:spacing w:line="240" w:lineRule="auto"/>
              <w:jc w:val="center"/>
              <w:rPr>
                <w:rFonts w:eastAsia="Times New Roman"/>
                <w:szCs w:val="24"/>
                <w:lang w:eastAsia="cs-CZ"/>
              </w:rPr>
            </w:pPr>
            <w:r w:rsidRPr="00F15667">
              <w:rPr>
                <w:rFonts w:eastAsia="Times New Roman"/>
                <w:szCs w:val="24"/>
                <w:lang w:eastAsia="cs-CZ"/>
              </w:rPr>
              <w:t>5,42</w:t>
            </w:r>
          </w:p>
        </w:tc>
        <w:tc>
          <w:tcPr>
            <w:tcW w:w="940" w:type="dxa"/>
            <w:tcBorders>
              <w:top w:val="nil"/>
              <w:left w:val="nil"/>
              <w:bottom w:val="nil"/>
              <w:right w:val="nil"/>
            </w:tcBorders>
            <w:shd w:val="clear" w:color="auto" w:fill="auto"/>
            <w:noWrap/>
            <w:vAlign w:val="center"/>
            <w:hideMark/>
          </w:tcPr>
          <w:p w14:paraId="4E4C802B" w14:textId="47F80E90" w:rsidR="009A10E2" w:rsidRPr="00F15667" w:rsidRDefault="009A10E2" w:rsidP="00115F4F">
            <w:pPr>
              <w:spacing w:line="240" w:lineRule="auto"/>
              <w:jc w:val="center"/>
              <w:rPr>
                <w:rFonts w:eastAsia="Times New Roman"/>
                <w:sz w:val="20"/>
                <w:szCs w:val="20"/>
                <w:lang w:eastAsia="cs-CZ"/>
              </w:rPr>
            </w:pPr>
            <w:r w:rsidRPr="00F15667">
              <w:rPr>
                <w:rFonts w:eastAsia="Times New Roman"/>
                <w:sz w:val="20"/>
                <w:szCs w:val="20"/>
                <w:lang w:eastAsia="cs-CZ"/>
              </w:rPr>
              <w:t>+0 %</w:t>
            </w:r>
          </w:p>
        </w:tc>
      </w:tr>
      <w:tr w:rsidR="00F15667" w:rsidRPr="00F15667" w14:paraId="2183BE7D" w14:textId="77777777" w:rsidTr="00115F4F">
        <w:trPr>
          <w:gridAfter w:val="1"/>
          <w:wAfter w:w="7" w:type="dxa"/>
          <w:trHeight w:val="345"/>
        </w:trPr>
        <w:tc>
          <w:tcPr>
            <w:tcW w:w="2020" w:type="dxa"/>
            <w:tcBorders>
              <w:top w:val="double" w:sz="6" w:space="0" w:color="auto"/>
              <w:left w:val="nil"/>
              <w:bottom w:val="double" w:sz="6" w:space="0" w:color="auto"/>
              <w:right w:val="nil"/>
            </w:tcBorders>
            <w:shd w:val="clear" w:color="auto" w:fill="auto"/>
            <w:noWrap/>
            <w:vAlign w:val="center"/>
            <w:hideMark/>
          </w:tcPr>
          <w:p w14:paraId="428E42A5" w14:textId="77777777" w:rsidR="009A10E2" w:rsidRPr="00F15667" w:rsidRDefault="009A10E2" w:rsidP="00115F4F">
            <w:pPr>
              <w:spacing w:line="240" w:lineRule="auto"/>
              <w:jc w:val="left"/>
              <w:rPr>
                <w:rFonts w:eastAsia="Times New Roman"/>
                <w:b/>
                <w:bCs/>
                <w:szCs w:val="24"/>
                <w:lang w:eastAsia="cs-CZ"/>
              </w:rPr>
            </w:pPr>
            <w:r w:rsidRPr="00F15667">
              <w:rPr>
                <w:rFonts w:eastAsia="Times New Roman"/>
                <w:b/>
                <w:bCs/>
                <w:szCs w:val="24"/>
                <w:lang w:eastAsia="cs-CZ"/>
              </w:rPr>
              <w:t>Celkem ČR</w:t>
            </w:r>
          </w:p>
        </w:tc>
        <w:tc>
          <w:tcPr>
            <w:tcW w:w="1099" w:type="dxa"/>
            <w:tcBorders>
              <w:top w:val="double" w:sz="6" w:space="0" w:color="auto"/>
              <w:left w:val="nil"/>
              <w:bottom w:val="double" w:sz="6" w:space="0" w:color="auto"/>
              <w:right w:val="nil"/>
            </w:tcBorders>
            <w:shd w:val="clear" w:color="auto" w:fill="auto"/>
            <w:noWrap/>
            <w:vAlign w:val="center"/>
            <w:hideMark/>
          </w:tcPr>
          <w:p w14:paraId="669F7D25" w14:textId="069A2EBA" w:rsidR="009A10E2" w:rsidRPr="00F15667" w:rsidRDefault="009A10E2" w:rsidP="00115F4F">
            <w:pPr>
              <w:spacing w:line="240" w:lineRule="auto"/>
              <w:jc w:val="center"/>
              <w:rPr>
                <w:rFonts w:eastAsia="Times New Roman"/>
                <w:b/>
                <w:bCs/>
                <w:szCs w:val="24"/>
                <w:lang w:eastAsia="cs-CZ"/>
              </w:rPr>
            </w:pPr>
            <w:r w:rsidRPr="00F15667">
              <w:rPr>
                <w:rFonts w:eastAsia="Times New Roman"/>
                <w:b/>
                <w:bCs/>
                <w:szCs w:val="24"/>
                <w:lang w:eastAsia="cs-CZ"/>
              </w:rPr>
              <w:t>29,68</w:t>
            </w:r>
          </w:p>
        </w:tc>
        <w:tc>
          <w:tcPr>
            <w:tcW w:w="940" w:type="dxa"/>
            <w:tcBorders>
              <w:top w:val="double" w:sz="6" w:space="0" w:color="auto"/>
              <w:left w:val="nil"/>
              <w:bottom w:val="double" w:sz="6" w:space="0" w:color="auto"/>
              <w:right w:val="nil"/>
            </w:tcBorders>
            <w:shd w:val="clear" w:color="auto" w:fill="auto"/>
            <w:noWrap/>
            <w:vAlign w:val="center"/>
            <w:hideMark/>
          </w:tcPr>
          <w:p w14:paraId="0F90E00B" w14:textId="125391A4" w:rsidR="009A10E2" w:rsidRPr="00F15667" w:rsidRDefault="009A10E2"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-10 %</w:t>
            </w:r>
          </w:p>
        </w:tc>
        <w:tc>
          <w:tcPr>
            <w:tcW w:w="1111" w:type="dxa"/>
            <w:gridSpan w:val="2"/>
            <w:tcBorders>
              <w:top w:val="double" w:sz="6" w:space="0" w:color="auto"/>
              <w:left w:val="single" w:sz="4" w:space="0" w:color="auto"/>
              <w:bottom w:val="double" w:sz="6" w:space="0" w:color="auto"/>
              <w:right w:val="nil"/>
            </w:tcBorders>
            <w:shd w:val="clear" w:color="auto" w:fill="auto"/>
            <w:noWrap/>
            <w:vAlign w:val="center"/>
            <w:hideMark/>
          </w:tcPr>
          <w:p w14:paraId="43EFB32E" w14:textId="562EA5AC" w:rsidR="009A10E2" w:rsidRPr="00F15667" w:rsidRDefault="009A10E2" w:rsidP="00115F4F">
            <w:pPr>
              <w:spacing w:line="240" w:lineRule="auto"/>
              <w:jc w:val="center"/>
              <w:rPr>
                <w:rFonts w:eastAsia="Times New Roman"/>
                <w:b/>
                <w:bCs/>
                <w:szCs w:val="24"/>
                <w:lang w:eastAsia="cs-CZ"/>
              </w:rPr>
            </w:pPr>
            <w:r w:rsidRPr="00F15667">
              <w:rPr>
                <w:rFonts w:eastAsia="Times New Roman"/>
                <w:b/>
                <w:bCs/>
                <w:szCs w:val="24"/>
                <w:lang w:eastAsia="cs-CZ"/>
              </w:rPr>
              <w:t>29,88</w:t>
            </w:r>
          </w:p>
        </w:tc>
        <w:tc>
          <w:tcPr>
            <w:tcW w:w="940" w:type="dxa"/>
            <w:tcBorders>
              <w:top w:val="double" w:sz="6" w:space="0" w:color="auto"/>
              <w:left w:val="nil"/>
              <w:bottom w:val="double" w:sz="6" w:space="0" w:color="auto"/>
              <w:right w:val="single" w:sz="4" w:space="0" w:color="auto"/>
            </w:tcBorders>
            <w:shd w:val="clear" w:color="auto" w:fill="auto"/>
            <w:noWrap/>
            <w:vAlign w:val="center"/>
            <w:hideMark/>
          </w:tcPr>
          <w:p w14:paraId="5DB9B37E" w14:textId="2B070690" w:rsidR="009A10E2" w:rsidRPr="00F15667" w:rsidRDefault="009A10E2"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-12 %</w:t>
            </w:r>
          </w:p>
        </w:tc>
        <w:tc>
          <w:tcPr>
            <w:tcW w:w="1125" w:type="dxa"/>
            <w:gridSpan w:val="2"/>
            <w:tcBorders>
              <w:top w:val="double" w:sz="6" w:space="0" w:color="auto"/>
              <w:left w:val="nil"/>
              <w:bottom w:val="double" w:sz="6" w:space="0" w:color="auto"/>
              <w:right w:val="nil"/>
            </w:tcBorders>
            <w:shd w:val="clear" w:color="auto" w:fill="auto"/>
            <w:noWrap/>
            <w:vAlign w:val="center"/>
            <w:hideMark/>
          </w:tcPr>
          <w:p w14:paraId="3827C310" w14:textId="6CCA26DC" w:rsidR="009A10E2" w:rsidRPr="00F15667" w:rsidRDefault="009A10E2" w:rsidP="00115F4F">
            <w:pPr>
              <w:spacing w:line="240" w:lineRule="auto"/>
              <w:jc w:val="center"/>
              <w:rPr>
                <w:rFonts w:eastAsia="Times New Roman"/>
                <w:b/>
                <w:bCs/>
                <w:szCs w:val="24"/>
                <w:lang w:eastAsia="cs-CZ"/>
              </w:rPr>
            </w:pPr>
            <w:r w:rsidRPr="00F15667">
              <w:rPr>
                <w:rFonts w:eastAsia="Times New Roman"/>
                <w:b/>
                <w:bCs/>
                <w:szCs w:val="24"/>
                <w:lang w:eastAsia="cs-CZ"/>
              </w:rPr>
              <w:t>4,42</w:t>
            </w:r>
          </w:p>
        </w:tc>
        <w:tc>
          <w:tcPr>
            <w:tcW w:w="940" w:type="dxa"/>
            <w:tcBorders>
              <w:top w:val="double" w:sz="6" w:space="0" w:color="auto"/>
              <w:left w:val="nil"/>
              <w:bottom w:val="double" w:sz="6" w:space="0" w:color="auto"/>
              <w:right w:val="nil"/>
            </w:tcBorders>
            <w:shd w:val="clear" w:color="auto" w:fill="auto"/>
            <w:noWrap/>
            <w:vAlign w:val="center"/>
            <w:hideMark/>
          </w:tcPr>
          <w:p w14:paraId="687311EE" w14:textId="47938ED0" w:rsidR="009A10E2" w:rsidRPr="00F15667" w:rsidRDefault="009A10E2" w:rsidP="00115F4F">
            <w:pPr>
              <w:spacing w:line="240" w:lineRule="auto"/>
              <w:jc w:val="center"/>
              <w:rPr>
                <w:rFonts w:eastAsia="Times New Roman"/>
                <w:b/>
                <w:bCs/>
                <w:sz w:val="20"/>
                <w:szCs w:val="20"/>
                <w:lang w:eastAsia="cs-CZ"/>
              </w:rPr>
            </w:pPr>
            <w:r w:rsidRPr="00F15667">
              <w:rPr>
                <w:rFonts w:eastAsia="Times New Roman"/>
                <w:b/>
                <w:bCs/>
                <w:sz w:val="20"/>
                <w:szCs w:val="20"/>
                <w:lang w:eastAsia="cs-CZ"/>
              </w:rPr>
              <w:t>-7 %</w:t>
            </w:r>
          </w:p>
        </w:tc>
      </w:tr>
      <w:tr w:rsidR="00F15667" w:rsidRPr="00F15667" w14:paraId="561C1A23" w14:textId="77777777" w:rsidTr="00115F4F">
        <w:trPr>
          <w:gridAfter w:val="1"/>
          <w:wAfter w:w="7" w:type="dxa"/>
          <w:trHeight w:val="330"/>
        </w:trPr>
        <w:tc>
          <w:tcPr>
            <w:tcW w:w="2020" w:type="dxa"/>
            <w:tcBorders>
              <w:top w:val="nil"/>
              <w:left w:val="nil"/>
              <w:bottom w:val="nil"/>
              <w:right w:val="nil"/>
            </w:tcBorders>
            <w:shd w:val="clear" w:color="auto" w:fill="auto"/>
            <w:noWrap/>
            <w:vAlign w:val="center"/>
            <w:hideMark/>
          </w:tcPr>
          <w:p w14:paraId="562F91E2" w14:textId="77777777" w:rsidR="009A10E2" w:rsidRPr="00F15667" w:rsidRDefault="009A10E2" w:rsidP="00115F4F">
            <w:pPr>
              <w:spacing w:line="240" w:lineRule="auto"/>
              <w:jc w:val="center"/>
              <w:rPr>
                <w:rFonts w:eastAsia="Times New Roman"/>
                <w:b/>
                <w:bCs/>
                <w:sz w:val="20"/>
                <w:szCs w:val="20"/>
                <w:lang w:eastAsia="cs-CZ"/>
              </w:rPr>
            </w:pPr>
          </w:p>
        </w:tc>
        <w:tc>
          <w:tcPr>
            <w:tcW w:w="1099" w:type="dxa"/>
            <w:tcBorders>
              <w:top w:val="nil"/>
              <w:left w:val="nil"/>
              <w:bottom w:val="nil"/>
              <w:right w:val="nil"/>
            </w:tcBorders>
            <w:shd w:val="clear" w:color="auto" w:fill="auto"/>
            <w:noWrap/>
            <w:vAlign w:val="center"/>
            <w:hideMark/>
          </w:tcPr>
          <w:p w14:paraId="79FC6816" w14:textId="77777777" w:rsidR="009A10E2" w:rsidRPr="00F15667" w:rsidRDefault="009A10E2" w:rsidP="00115F4F">
            <w:pPr>
              <w:spacing w:line="240" w:lineRule="auto"/>
              <w:jc w:val="center"/>
              <w:rPr>
                <w:rFonts w:ascii="Times New Roman" w:eastAsia="Times New Roman" w:hAnsi="Times New Roman"/>
                <w:sz w:val="20"/>
                <w:szCs w:val="20"/>
                <w:lang w:eastAsia="cs-CZ"/>
              </w:rPr>
            </w:pPr>
          </w:p>
        </w:tc>
        <w:tc>
          <w:tcPr>
            <w:tcW w:w="940" w:type="dxa"/>
            <w:tcBorders>
              <w:top w:val="nil"/>
              <w:left w:val="nil"/>
              <w:bottom w:val="nil"/>
              <w:right w:val="nil"/>
            </w:tcBorders>
            <w:shd w:val="clear" w:color="auto" w:fill="auto"/>
            <w:noWrap/>
            <w:vAlign w:val="center"/>
            <w:hideMark/>
          </w:tcPr>
          <w:p w14:paraId="6331FDCA" w14:textId="77777777" w:rsidR="009A10E2" w:rsidRPr="00F15667" w:rsidRDefault="009A10E2" w:rsidP="00115F4F">
            <w:pPr>
              <w:spacing w:line="240" w:lineRule="auto"/>
              <w:jc w:val="center"/>
              <w:rPr>
                <w:rFonts w:ascii="Times New Roman" w:eastAsia="Times New Roman" w:hAnsi="Times New Roman"/>
                <w:sz w:val="20"/>
                <w:szCs w:val="20"/>
                <w:lang w:eastAsia="cs-CZ"/>
              </w:rPr>
            </w:pPr>
          </w:p>
        </w:tc>
        <w:tc>
          <w:tcPr>
            <w:tcW w:w="1111" w:type="dxa"/>
            <w:gridSpan w:val="2"/>
            <w:tcBorders>
              <w:top w:val="nil"/>
              <w:left w:val="nil"/>
              <w:bottom w:val="nil"/>
              <w:right w:val="nil"/>
            </w:tcBorders>
            <w:shd w:val="clear" w:color="auto" w:fill="auto"/>
            <w:noWrap/>
            <w:vAlign w:val="center"/>
            <w:hideMark/>
          </w:tcPr>
          <w:p w14:paraId="0FE21A82" w14:textId="77777777" w:rsidR="009A10E2" w:rsidRPr="00F15667" w:rsidRDefault="009A10E2" w:rsidP="00115F4F">
            <w:pPr>
              <w:spacing w:line="240" w:lineRule="auto"/>
              <w:jc w:val="center"/>
              <w:rPr>
                <w:rFonts w:ascii="Times New Roman" w:eastAsia="Times New Roman" w:hAnsi="Times New Roman"/>
                <w:sz w:val="20"/>
                <w:szCs w:val="20"/>
                <w:lang w:eastAsia="cs-CZ"/>
              </w:rPr>
            </w:pPr>
          </w:p>
        </w:tc>
        <w:tc>
          <w:tcPr>
            <w:tcW w:w="940" w:type="dxa"/>
            <w:tcBorders>
              <w:top w:val="nil"/>
              <w:left w:val="nil"/>
              <w:bottom w:val="nil"/>
              <w:right w:val="nil"/>
            </w:tcBorders>
            <w:shd w:val="clear" w:color="auto" w:fill="auto"/>
            <w:noWrap/>
            <w:vAlign w:val="center"/>
            <w:hideMark/>
          </w:tcPr>
          <w:p w14:paraId="701FA4D2" w14:textId="77777777" w:rsidR="009A10E2" w:rsidRPr="00F15667" w:rsidRDefault="009A10E2" w:rsidP="00115F4F">
            <w:pPr>
              <w:spacing w:line="240" w:lineRule="auto"/>
              <w:jc w:val="center"/>
              <w:rPr>
                <w:rFonts w:ascii="Times New Roman" w:eastAsia="Times New Roman" w:hAnsi="Times New Roman"/>
                <w:sz w:val="20"/>
                <w:szCs w:val="20"/>
                <w:lang w:eastAsia="cs-CZ"/>
              </w:rPr>
            </w:pPr>
          </w:p>
        </w:tc>
        <w:tc>
          <w:tcPr>
            <w:tcW w:w="1125" w:type="dxa"/>
            <w:gridSpan w:val="2"/>
            <w:tcBorders>
              <w:top w:val="nil"/>
              <w:left w:val="nil"/>
              <w:bottom w:val="nil"/>
              <w:right w:val="nil"/>
            </w:tcBorders>
            <w:shd w:val="clear" w:color="auto" w:fill="auto"/>
            <w:noWrap/>
            <w:vAlign w:val="center"/>
            <w:hideMark/>
          </w:tcPr>
          <w:p w14:paraId="090303F4" w14:textId="77777777" w:rsidR="009A10E2" w:rsidRPr="00F15667" w:rsidRDefault="009A10E2" w:rsidP="00115F4F">
            <w:pPr>
              <w:spacing w:line="240" w:lineRule="auto"/>
              <w:jc w:val="center"/>
              <w:rPr>
                <w:rFonts w:ascii="Times New Roman" w:eastAsia="Times New Roman" w:hAnsi="Times New Roman"/>
                <w:sz w:val="20"/>
                <w:szCs w:val="20"/>
                <w:lang w:eastAsia="cs-CZ"/>
              </w:rPr>
            </w:pPr>
          </w:p>
        </w:tc>
        <w:tc>
          <w:tcPr>
            <w:tcW w:w="940" w:type="dxa"/>
            <w:tcBorders>
              <w:top w:val="nil"/>
              <w:left w:val="nil"/>
              <w:bottom w:val="nil"/>
              <w:right w:val="nil"/>
            </w:tcBorders>
            <w:shd w:val="clear" w:color="auto" w:fill="auto"/>
            <w:noWrap/>
            <w:vAlign w:val="center"/>
            <w:hideMark/>
          </w:tcPr>
          <w:p w14:paraId="53BB5E43" w14:textId="77777777" w:rsidR="009A10E2" w:rsidRPr="00F15667" w:rsidRDefault="009A10E2" w:rsidP="00115F4F">
            <w:pPr>
              <w:spacing w:line="240" w:lineRule="auto"/>
              <w:jc w:val="center"/>
              <w:rPr>
                <w:rFonts w:ascii="Times New Roman" w:eastAsia="Times New Roman" w:hAnsi="Times New Roman"/>
                <w:sz w:val="20"/>
                <w:szCs w:val="20"/>
                <w:lang w:eastAsia="cs-CZ"/>
              </w:rPr>
            </w:pPr>
          </w:p>
        </w:tc>
      </w:tr>
    </w:tbl>
    <w:p w14:paraId="4C9F7AE9" w14:textId="6225A367" w:rsidR="00B5164A" w:rsidRPr="00F15667" w:rsidRDefault="00B5164A" w:rsidP="00B5164A">
      <w:pPr>
        <w:pStyle w:val="Nadpis3"/>
        <w:numPr>
          <w:ilvl w:val="2"/>
          <w:numId w:val="1"/>
        </w:numPr>
        <w:rPr>
          <w:color w:val="auto"/>
          <w:lang w:eastAsia="cs-CZ"/>
        </w:rPr>
      </w:pPr>
      <w:bookmarkStart w:id="1155" w:name="_Toc144104415"/>
      <w:r w:rsidRPr="00F15667">
        <w:rPr>
          <w:color w:val="auto"/>
          <w:lang w:eastAsia="cs-CZ"/>
        </w:rPr>
        <w:lastRenderedPageBreak/>
        <w:t>Disposition time</w:t>
      </w:r>
      <w:bookmarkEnd w:id="1155"/>
    </w:p>
    <w:p w14:paraId="5B78877D" w14:textId="77777777" w:rsidR="00B5164A" w:rsidRPr="00F15667" w:rsidRDefault="00B5164A" w:rsidP="00115F4F">
      <w:pPr>
        <w:pStyle w:val="OdstavecASR"/>
      </w:pPr>
      <w:bookmarkStart w:id="1156" w:name="_Toc515871290"/>
      <w:r w:rsidRPr="00F15667">
        <w:rPr>
          <w:lang w:eastAsia="cs-CZ"/>
        </w:rPr>
        <w:t>Disposition time</w:t>
      </w:r>
      <w:bookmarkEnd w:id="1156"/>
      <w:r w:rsidRPr="00F15667">
        <w:rPr>
          <w:lang w:eastAsia="cs-CZ"/>
        </w:rPr>
        <w:t xml:space="preserve"> (dispoziční čas)</w:t>
      </w:r>
      <w:r w:rsidRPr="00F15667">
        <w:t xml:space="preserve"> opět potvrzuje to, co ukazují předchozí podkapitoly. Nejdůležitějším závěrem je, že DT je z dlouhodobého hlediska nízký. Především u VS v Olomouci je pak DT značně nestabilní; zejména nárůst v roce 2016 je velmi výrazný, což plyne z dlouhodobě velmi malého počtu nevyřízených věcí. Další velký výkyv je vidět v roce 2020, ten ale plyne z výše diskutovaných důvodů. U VS v Praze je DT v posledních letech pozoruhodně vyrovnaný.</w:t>
      </w:r>
    </w:p>
    <w:p w14:paraId="39F2BF1F" w14:textId="10B623BA" w:rsidR="00B5164A" w:rsidRPr="00F15667" w:rsidRDefault="00B5164A" w:rsidP="00B5164A">
      <w:pPr>
        <w:pStyle w:val="Podnadpis"/>
        <w:numPr>
          <w:ilvl w:val="0"/>
          <w:numId w:val="0"/>
        </w:numPr>
        <w:rPr>
          <w:color w:val="auto"/>
        </w:rPr>
      </w:pPr>
      <w:bookmarkStart w:id="1157" w:name="_Toc43841471"/>
      <w:bookmarkStart w:id="1158" w:name="_Toc75952274"/>
      <w:bookmarkStart w:id="1159" w:name="_Toc106106731"/>
      <w:bookmarkStart w:id="1160" w:name="_Toc109802055"/>
      <w:bookmarkStart w:id="1161" w:name="_Toc144104205"/>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93</w:t>
      </w:r>
      <w:r w:rsidRPr="00F15667">
        <w:rPr>
          <w:noProof/>
          <w:color w:val="auto"/>
        </w:rPr>
        <w:fldChar w:fldCharType="end"/>
      </w:r>
      <w:r w:rsidRPr="00F15667">
        <w:rPr>
          <w:color w:val="auto"/>
        </w:rPr>
        <w:t>: VS – DT trestního odvolacího řízení v letech 2008–20</w:t>
      </w:r>
      <w:bookmarkEnd w:id="1157"/>
      <w:r w:rsidRPr="00F15667">
        <w:rPr>
          <w:color w:val="auto"/>
        </w:rPr>
        <w:t>2</w:t>
      </w:r>
      <w:bookmarkEnd w:id="1158"/>
      <w:bookmarkEnd w:id="1159"/>
      <w:bookmarkEnd w:id="1160"/>
      <w:r w:rsidR="003914D0" w:rsidRPr="00F15667">
        <w:rPr>
          <w:color w:val="auto"/>
        </w:rPr>
        <w:t>2</w:t>
      </w:r>
      <w:bookmarkEnd w:id="1161"/>
    </w:p>
    <w:p w14:paraId="69C4C191" w14:textId="77777777" w:rsidR="001456DC" w:rsidRPr="00F15667" w:rsidRDefault="003914D0" w:rsidP="00115F4F">
      <w:pPr>
        <w:pStyle w:val="OdstavecASR"/>
      </w:pPr>
      <w:r w:rsidRPr="00F15667">
        <w:rPr>
          <w:noProof/>
          <w:lang w:eastAsia="cs-CZ"/>
        </w:rPr>
        <w:drawing>
          <wp:inline distT="0" distB="0" distL="0" distR="0" wp14:anchorId="2F600075" wp14:editId="62EBBEBE">
            <wp:extent cx="5029200" cy="3657600"/>
            <wp:effectExtent l="0" t="0" r="0" b="0"/>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B483518" w14:textId="77777777" w:rsidR="00115F4F" w:rsidRDefault="001456DC" w:rsidP="00DA4022">
      <w:pPr>
        <w:pStyle w:val="OdstavecASR"/>
      </w:pPr>
      <w:r w:rsidRPr="00F15667">
        <w:t>Situaci v této agendě lze shrnout tak, že ani jeden ze soudů dlouhodobě nevykazuje problém s jejím vyřizováním a oba soudy ji vyřizují přibližně stejně rychle. O něco lepší ukazatele nyní vykazuje spíše VS Praha. Data v některých obdobích vykazují určité výkyvy, které jsou způsobeny tím, že počet pozorování (např. počet pravomocně skončených věcí) je malý.</w:t>
      </w:r>
    </w:p>
    <w:p w14:paraId="40FA500E" w14:textId="7BA16FBA" w:rsidR="00B5164A" w:rsidRPr="00F15667" w:rsidRDefault="00B5164A" w:rsidP="00DA4022">
      <w:pPr>
        <w:pStyle w:val="OdstavecASR"/>
      </w:pPr>
      <w:r w:rsidRPr="00F15667">
        <w:br w:type="page"/>
      </w:r>
    </w:p>
    <w:p w14:paraId="47BF655B" w14:textId="666AE05E" w:rsidR="008430BD" w:rsidRPr="00F15667" w:rsidRDefault="008430BD" w:rsidP="008430BD">
      <w:pPr>
        <w:pStyle w:val="Nadpis2"/>
        <w:numPr>
          <w:ilvl w:val="1"/>
          <w:numId w:val="1"/>
        </w:numPr>
        <w:spacing w:before="120"/>
        <w:rPr>
          <w:color w:val="auto"/>
        </w:rPr>
      </w:pPr>
      <w:bookmarkStart w:id="1162" w:name="_Toc106092802"/>
      <w:bookmarkStart w:id="1163" w:name="_Toc487791293"/>
      <w:bookmarkStart w:id="1164" w:name="_Toc515871291"/>
      <w:bookmarkStart w:id="1165" w:name="_Toc144104416"/>
      <w:r w:rsidRPr="00F15667">
        <w:rPr>
          <w:color w:val="auto"/>
        </w:rPr>
        <w:lastRenderedPageBreak/>
        <w:t xml:space="preserve">Insolvenční agenda – II. </w:t>
      </w:r>
      <w:bookmarkEnd w:id="1162"/>
      <w:r w:rsidR="001A69D3" w:rsidRPr="00F15667">
        <w:rPr>
          <w:color w:val="auto"/>
        </w:rPr>
        <w:t>S</w:t>
      </w:r>
      <w:r w:rsidRPr="00F15667">
        <w:rPr>
          <w:color w:val="auto"/>
        </w:rPr>
        <w:t>tupeň</w:t>
      </w:r>
      <w:bookmarkEnd w:id="1163"/>
      <w:bookmarkEnd w:id="1164"/>
      <w:bookmarkEnd w:id="1165"/>
    </w:p>
    <w:p w14:paraId="2D2E56A9" w14:textId="77777777" w:rsidR="001A69D3" w:rsidRPr="00F15667" w:rsidRDefault="001A69D3" w:rsidP="001A69D3">
      <w:pPr>
        <w:pStyle w:val="OdstavecASR"/>
      </w:pPr>
      <w:r w:rsidRPr="00F15667">
        <w:t>Vrchní soudy vyřizují také insolvenční agendu v druhém stupni, to znamená především odvolání podaná proti rozhodnutí prvostupňových krajských insolvenčních soudů v rejstříku INS. Dále jsou do této agendy zahrnuta řízení o podjatosti, řízení o přikázání věci a řízení o příslušnosti vztahující se k insolvenčnímu řízení. Počet napadlých věcí v těchto agendách se však pohybuje v řádech jednotek. V insolvenční agendě nejsou k dispozici délky řízení</w:t>
      </w:r>
      <w:r w:rsidRPr="00F15667">
        <w:rPr>
          <w:rStyle w:val="Znakapoznpodarou"/>
        </w:rPr>
        <w:footnoteReference w:id="12"/>
      </w:r>
      <w:r w:rsidRPr="00F15667">
        <w:t xml:space="preserve"> a nelze ani provést přepočet na jednoho soudce</w:t>
      </w:r>
      <w:r w:rsidRPr="00F15667">
        <w:rPr>
          <w:rStyle w:val="Znakapoznpodarou"/>
        </w:rPr>
        <w:footnoteReference w:id="13"/>
      </w:r>
      <w:r w:rsidRPr="00F15667">
        <w:t>.</w:t>
      </w:r>
    </w:p>
    <w:p w14:paraId="601641D6" w14:textId="63D1A824" w:rsidR="008430BD" w:rsidRPr="00F15667" w:rsidRDefault="008430BD" w:rsidP="008430BD">
      <w:pPr>
        <w:pStyle w:val="Nadpis3"/>
        <w:numPr>
          <w:ilvl w:val="2"/>
          <w:numId w:val="1"/>
        </w:numPr>
        <w:rPr>
          <w:color w:val="auto"/>
          <w:lang w:eastAsia="cs-CZ"/>
        </w:rPr>
      </w:pPr>
      <w:bookmarkStart w:id="1166" w:name="_Toc515871292"/>
      <w:bookmarkStart w:id="1167" w:name="_Toc106092803"/>
      <w:bookmarkStart w:id="1168" w:name="_Toc144104417"/>
      <w:r w:rsidRPr="00F15667">
        <w:rPr>
          <w:color w:val="auto"/>
          <w:lang w:eastAsia="cs-CZ"/>
        </w:rPr>
        <w:t>Vyřizování věcí</w:t>
      </w:r>
      <w:bookmarkEnd w:id="1166"/>
      <w:bookmarkEnd w:id="1167"/>
      <w:bookmarkEnd w:id="1168"/>
    </w:p>
    <w:p w14:paraId="0A0DBD58" w14:textId="5C1B58B5" w:rsidR="001A69D3" w:rsidRPr="00F15667" w:rsidRDefault="001A69D3" w:rsidP="001A69D3">
      <w:pPr>
        <w:pStyle w:val="OdstavecASR"/>
      </w:pPr>
      <w:r w:rsidRPr="00F15667">
        <w:t>Z grafu je patrný velký nárůst v nápadu i počtu vyřízených a nevyřízených věcí do roku 2014 a zcela opačný trend od let 2015 a 2016 až do roku 2020. Důvody jsou stejné jako v případě insolvenční agendy u prvostupňových soudů, tedy skutečnost, že rejstřík vznikl v roce 2008 a logicky trvá několik let, než se nápad ustálí. U odvolání dojde ke stabilizaci s určitým zpožděním oproti prvostupňové agendě. U VS v Praze začal nápad klesat v roce 2015, u VS v Olomouci došlo k poklesu až v roce 2017. Je třeba poznamenat, že pokles v počtu příchozích věcí v letech 2017 a 2018 je opravdu vysoký. Počet příchozích věcí v roce 2018 byl u VS v Praze ve srovnání s rokem 2016 o 24 % nižší, u VS v Olomouci pak dokonce o 47 %. V roce 2019 počet příchozích věcí stagnoval a byl nižší než počet věcí vyřízených. U obou soudů tedy došlo k poklesu v počtu nevyřízených věcí. V roce 2020 pozorujeme u obou soudů nemalý pokles počtu příchozích, a tedy i vyřízených věcí. Ten plyne z poklesu v počtu prvostupňových věcí. V roce 2021 počet příchozích i vyřízených věcí u VS v Olomouci stagnoval. Počet nevyřízených věcí vzrostl téměř na dvojnásobek, ale v absolutních číslech se jedná pouze o necelých 50 věcí. U VS v Praze je vidět, že počet příchozích i vyřízených věcí se vrátil na úroveň roku 2019.</w:t>
      </w:r>
    </w:p>
    <w:p w14:paraId="4F2EB234" w14:textId="4270FA2C" w:rsidR="00481F1C" w:rsidRPr="00F15667" w:rsidRDefault="001A68FF" w:rsidP="001A69D3">
      <w:pPr>
        <w:pStyle w:val="OdstavecASR"/>
      </w:pPr>
      <w:r w:rsidRPr="00F15667">
        <w:t>V roce 2022 se VS v Praze podařilo udržet počet vyřízených věcí, ale počet příchozích věcí klesl. To vedlo k citelnému poklesu v počtu nevyřízených věcí. U VS v Olomouci je vývoj jiný – stoupl počet příchozích (cca o 11 %)</w:t>
      </w:r>
      <w:r w:rsidR="00EB4B90" w:rsidRPr="00F15667">
        <w:t>,</w:t>
      </w:r>
      <w:r w:rsidR="00882B63" w:rsidRPr="00F15667">
        <w:t xml:space="preserve"> a</w:t>
      </w:r>
      <w:r w:rsidR="00EB4B90" w:rsidRPr="00F15667">
        <w:t>le velmi</w:t>
      </w:r>
      <w:r w:rsidR="00882B63" w:rsidRPr="00F15667">
        <w:t xml:space="preserve"> výrazně</w:t>
      </w:r>
      <w:r w:rsidRPr="00F15667">
        <w:t xml:space="preserve"> i vyřízených věcí (o 22 %).</w:t>
      </w:r>
      <w:r w:rsidR="00882B63" w:rsidRPr="00F15667">
        <w:t xml:space="preserve"> Proto </w:t>
      </w:r>
      <w:r w:rsidR="00202408" w:rsidRPr="00F15667">
        <w:t xml:space="preserve">se u </w:t>
      </w:r>
      <w:r w:rsidR="00EB4B90" w:rsidRPr="00F15667">
        <w:t>tohoto vrchního soudu</w:t>
      </w:r>
      <w:r w:rsidR="00882B63" w:rsidRPr="00F15667">
        <w:t xml:space="preserve"> </w:t>
      </w:r>
      <w:r w:rsidR="00EB4B90" w:rsidRPr="00F15667">
        <w:t xml:space="preserve">počet nevyřízených věcí </w:t>
      </w:r>
      <w:r w:rsidR="00202408" w:rsidRPr="00F15667">
        <w:t>v roce 2022 vs. rok 2021 výrazně</w:t>
      </w:r>
      <w:r w:rsidR="00EB4B90" w:rsidRPr="00F15667">
        <w:t xml:space="preserve"> </w:t>
      </w:r>
      <w:r w:rsidR="00882B63" w:rsidRPr="00F15667">
        <w:t>snížil.</w:t>
      </w:r>
    </w:p>
    <w:p w14:paraId="34DF7214" w14:textId="4751B2C2" w:rsidR="001A68FF" w:rsidRPr="00F15667" w:rsidRDefault="001A68FF" w:rsidP="001A68FF">
      <w:pPr>
        <w:pStyle w:val="Podnadpis"/>
        <w:numPr>
          <w:ilvl w:val="0"/>
          <w:numId w:val="0"/>
        </w:numPr>
        <w:rPr>
          <w:color w:val="auto"/>
        </w:rPr>
      </w:pPr>
      <w:bookmarkStart w:id="1169" w:name="_Ref43837240"/>
      <w:bookmarkStart w:id="1170" w:name="_Ref43837233"/>
      <w:bookmarkStart w:id="1171" w:name="_Toc43841472"/>
      <w:bookmarkStart w:id="1172" w:name="_Toc75952275"/>
      <w:bookmarkStart w:id="1173" w:name="_Toc106106732"/>
      <w:bookmarkStart w:id="1174" w:name="_Toc109802056"/>
      <w:bookmarkStart w:id="1175" w:name="_Toc144104206"/>
      <w:r w:rsidRPr="00F15667">
        <w:rPr>
          <w:color w:val="auto"/>
        </w:rPr>
        <w:lastRenderedPageBreak/>
        <w:t xml:space="preserve">Graf </w:t>
      </w:r>
      <w:r w:rsidRPr="00F15667">
        <w:rPr>
          <w:color w:val="auto"/>
        </w:rPr>
        <w:fldChar w:fldCharType="begin"/>
      </w:r>
      <w:r w:rsidRPr="00F15667">
        <w:rPr>
          <w:noProof/>
          <w:color w:val="auto"/>
        </w:rPr>
        <w:instrText xml:space="preserve"> SEQ Graf \* ARABIC </w:instrText>
      </w:r>
      <w:r w:rsidRPr="00F15667">
        <w:rPr>
          <w:color w:val="auto"/>
        </w:rPr>
        <w:fldChar w:fldCharType="separate"/>
      </w:r>
      <w:r w:rsidR="001E1A67">
        <w:rPr>
          <w:noProof/>
          <w:color w:val="auto"/>
        </w:rPr>
        <w:t>94</w:t>
      </w:r>
      <w:r w:rsidRPr="00F15667">
        <w:rPr>
          <w:color w:val="auto"/>
        </w:rPr>
        <w:fldChar w:fldCharType="end"/>
      </w:r>
      <w:bookmarkEnd w:id="1169"/>
      <w:r w:rsidRPr="00F15667">
        <w:rPr>
          <w:color w:val="auto"/>
        </w:rPr>
        <w:t>: VS – vyřizování insolvenční agendy v letech 2010–20</w:t>
      </w:r>
      <w:bookmarkEnd w:id="1170"/>
      <w:bookmarkEnd w:id="1171"/>
      <w:r w:rsidRPr="00F15667">
        <w:rPr>
          <w:color w:val="auto"/>
        </w:rPr>
        <w:t>2</w:t>
      </w:r>
      <w:bookmarkEnd w:id="1172"/>
      <w:bookmarkEnd w:id="1173"/>
      <w:bookmarkEnd w:id="1174"/>
      <w:r w:rsidRPr="00F15667">
        <w:rPr>
          <w:color w:val="auto"/>
        </w:rPr>
        <w:t>2</w:t>
      </w:r>
      <w:bookmarkEnd w:id="1175"/>
    </w:p>
    <w:p w14:paraId="36D558FF" w14:textId="7C8A2E33" w:rsidR="00273568" w:rsidRPr="00F15667" w:rsidRDefault="001A68FF" w:rsidP="00FB2C4D">
      <w:pPr>
        <w:pStyle w:val="OdstavecASR"/>
      </w:pPr>
      <w:r w:rsidRPr="00F15667">
        <w:rPr>
          <w:noProof/>
          <w:lang w:eastAsia="cs-CZ"/>
        </w:rPr>
        <w:drawing>
          <wp:inline distT="0" distB="0" distL="0" distR="0" wp14:anchorId="69FDB448" wp14:editId="0EF2328E">
            <wp:extent cx="5029200" cy="3657600"/>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8E223A8" w14:textId="5B92C49F" w:rsidR="007879E7" w:rsidRPr="00F15667" w:rsidRDefault="008430BD" w:rsidP="008430BD">
      <w:pPr>
        <w:pStyle w:val="Nadpis3"/>
        <w:numPr>
          <w:ilvl w:val="2"/>
          <w:numId w:val="1"/>
        </w:numPr>
        <w:rPr>
          <w:color w:val="auto"/>
          <w:lang w:eastAsia="cs-CZ"/>
        </w:rPr>
      </w:pPr>
      <w:bookmarkStart w:id="1176" w:name="_Toc515871293"/>
      <w:bookmarkStart w:id="1177" w:name="_Toc106092804"/>
      <w:bookmarkStart w:id="1178" w:name="_Toc144104418"/>
      <w:r w:rsidRPr="00F15667">
        <w:rPr>
          <w:color w:val="auto"/>
          <w:lang w:eastAsia="cs-CZ"/>
        </w:rPr>
        <w:t>Disposition time</w:t>
      </w:r>
      <w:bookmarkEnd w:id="1176"/>
      <w:r w:rsidRPr="00F15667">
        <w:rPr>
          <w:color w:val="auto"/>
          <w:lang w:eastAsia="cs-CZ"/>
        </w:rPr>
        <w:t xml:space="preserve"> (dispoziční čas)</w:t>
      </w:r>
      <w:bookmarkEnd w:id="1177"/>
      <w:bookmarkEnd w:id="1178"/>
    </w:p>
    <w:p w14:paraId="00493EBB" w14:textId="5C2EE49B" w:rsidR="001A68FF" w:rsidRPr="00F15667" w:rsidRDefault="001A68FF" w:rsidP="001A68FF">
      <w:pPr>
        <w:pStyle w:val="Podnadpis"/>
        <w:numPr>
          <w:ilvl w:val="0"/>
          <w:numId w:val="0"/>
        </w:numPr>
        <w:rPr>
          <w:color w:val="auto"/>
        </w:rPr>
      </w:pPr>
      <w:bookmarkStart w:id="1179" w:name="_Toc515871420"/>
      <w:bookmarkStart w:id="1180" w:name="_Toc11135151"/>
      <w:bookmarkStart w:id="1181" w:name="_Toc43841473"/>
      <w:bookmarkStart w:id="1182" w:name="_Toc75952276"/>
      <w:bookmarkStart w:id="1183" w:name="_Toc106106733"/>
      <w:bookmarkStart w:id="1184" w:name="_Toc109802057"/>
      <w:bookmarkStart w:id="1185" w:name="_Toc144104207"/>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95</w:t>
      </w:r>
      <w:r w:rsidRPr="00F15667">
        <w:rPr>
          <w:color w:val="auto"/>
        </w:rPr>
        <w:fldChar w:fldCharType="end"/>
      </w:r>
      <w:r w:rsidRPr="00F15667">
        <w:rPr>
          <w:color w:val="auto"/>
        </w:rPr>
        <w:t>: VS – DT v insolvenční agendě v letech 2010–20</w:t>
      </w:r>
      <w:bookmarkEnd w:id="1179"/>
      <w:bookmarkEnd w:id="1180"/>
      <w:bookmarkEnd w:id="1181"/>
      <w:r w:rsidRPr="00F15667">
        <w:rPr>
          <w:color w:val="auto"/>
        </w:rPr>
        <w:t>2</w:t>
      </w:r>
      <w:bookmarkEnd w:id="1182"/>
      <w:bookmarkEnd w:id="1183"/>
      <w:bookmarkEnd w:id="1184"/>
      <w:r w:rsidRPr="00F15667">
        <w:rPr>
          <w:color w:val="auto"/>
        </w:rPr>
        <w:t>2</w:t>
      </w:r>
      <w:bookmarkEnd w:id="1185"/>
    </w:p>
    <w:p w14:paraId="154CCC9D" w14:textId="77777777" w:rsidR="001A68FF" w:rsidRPr="00F15667" w:rsidRDefault="001A68FF" w:rsidP="00FB2C4D">
      <w:pPr>
        <w:pStyle w:val="OdstavecASR"/>
      </w:pPr>
      <w:r w:rsidRPr="00F15667">
        <w:rPr>
          <w:noProof/>
          <w:lang w:eastAsia="cs-CZ"/>
        </w:rPr>
        <w:drawing>
          <wp:inline distT="0" distB="0" distL="0" distR="0" wp14:anchorId="17296462" wp14:editId="00962C81">
            <wp:extent cx="5029200" cy="3657600"/>
            <wp:effectExtent l="0" t="0" r="0" b="0"/>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DB1488E" w14:textId="1D839619" w:rsidR="001A68FF" w:rsidRPr="00F15667" w:rsidRDefault="001A68FF" w:rsidP="001A68FF">
      <w:pPr>
        <w:pStyle w:val="OdstavecASR"/>
      </w:pPr>
      <w:r w:rsidRPr="00F15667">
        <w:t xml:space="preserve">Z dat je patrný zřetelný klesající trend u VS v Praze. Zejména v letech 2016 a 2017 došlo k obzvláště významnému poklesu vyplývajícímu z výše popsaných změn v počtu nevyřízených věcí. U VS v Olomouci došlo také k obrovskému poklesu v DT. Pokles v obou případech plyne </w:t>
      </w:r>
      <w:r w:rsidRPr="00F15667">
        <w:lastRenderedPageBreak/>
        <w:t xml:space="preserve">z poklesu v počtu nevyřízených věcí a ten zase plyne především ze snížení nápadu. Vzhledem k poměrně velkým změnám v počtu vyřízených a nevyřízených věcí je DT v této agendě proměnlivý. </w:t>
      </w:r>
      <w:r w:rsidR="00F7785B" w:rsidRPr="00F15667">
        <w:t xml:space="preserve">Oběma </w:t>
      </w:r>
      <w:r w:rsidRPr="00F15667">
        <w:t>soudům se ale podařilo v roce 2022 dosáhnout nízkých hodnot, když oba výrazně snížily DT.</w:t>
      </w:r>
    </w:p>
    <w:p w14:paraId="3E526B0B" w14:textId="42DF383D" w:rsidR="001A68FF" w:rsidRPr="00F15667" w:rsidRDefault="001A68FF" w:rsidP="001A68FF">
      <w:pPr>
        <w:pStyle w:val="OdstavecASR"/>
      </w:pPr>
      <w:r w:rsidRPr="00F15667">
        <w:t>Ačkoliv není pro tuto agendu k dispozici mnoho dat, můžeme dojít k závěru, že z dlouhodobého (statistického) hlediska je vyřizování věcí pro oba soudy bezproblémové, a to i díky výraznému poklesu v počtu příchozích věcí v letech 2017 a 2018.</w:t>
      </w:r>
    </w:p>
    <w:p w14:paraId="68F96687" w14:textId="77777777" w:rsidR="00FB2C4D" w:rsidRDefault="00FB2C4D">
      <w:pPr>
        <w:spacing w:after="160" w:line="259" w:lineRule="auto"/>
        <w:jc w:val="left"/>
      </w:pPr>
      <w:r>
        <w:br w:type="page"/>
      </w:r>
    </w:p>
    <w:p w14:paraId="7E117B30" w14:textId="5D2EA11C" w:rsidR="008430BD" w:rsidRPr="00F15667" w:rsidRDefault="008430BD" w:rsidP="008430BD">
      <w:pPr>
        <w:pStyle w:val="Nadpis2"/>
        <w:numPr>
          <w:ilvl w:val="1"/>
          <w:numId w:val="1"/>
        </w:numPr>
        <w:spacing w:before="120"/>
        <w:rPr>
          <w:color w:val="auto"/>
        </w:rPr>
      </w:pPr>
      <w:bookmarkStart w:id="1186" w:name="_Toc106092805"/>
      <w:bookmarkStart w:id="1187" w:name="_Toc144104419"/>
      <w:r w:rsidRPr="00F15667">
        <w:rPr>
          <w:color w:val="auto"/>
        </w:rPr>
        <w:lastRenderedPageBreak/>
        <w:t xml:space="preserve">Incidenční spory – II. </w:t>
      </w:r>
      <w:r w:rsidR="00804DB6" w:rsidRPr="00F15667">
        <w:rPr>
          <w:color w:val="auto"/>
        </w:rPr>
        <w:t>S</w:t>
      </w:r>
      <w:r w:rsidRPr="00F15667">
        <w:rPr>
          <w:color w:val="auto"/>
        </w:rPr>
        <w:t>tupeň</w:t>
      </w:r>
      <w:bookmarkEnd w:id="1186"/>
      <w:bookmarkEnd w:id="1187"/>
    </w:p>
    <w:p w14:paraId="60E7AA47" w14:textId="77777777" w:rsidR="00804DB6" w:rsidRPr="00F15667" w:rsidRDefault="00804DB6" w:rsidP="00804DB6">
      <w:r w:rsidRPr="00F15667">
        <w:t>Stejně jako ve většině ostatních agend i v incidenčních sporech je možné podat odvolání. Prvostupňovou agendu vyřizují krajské soudy a odvolací (druhostupňová) agenda tedy napadá na soudy vrchní.</w:t>
      </w:r>
    </w:p>
    <w:p w14:paraId="327C5058" w14:textId="77777777" w:rsidR="00804DB6" w:rsidRPr="00F15667" w:rsidRDefault="00804DB6" w:rsidP="00804DB6">
      <w:r w:rsidRPr="00F15667">
        <w:t>Délku řízení je možné zjistit ze statistických listů civilních a vyřizování věcí je opět možno zjistit z výkazů. U této agendy tedy budeme zkoumat délky řízení, vyřizování věcí a disposition time.</w:t>
      </w:r>
    </w:p>
    <w:p w14:paraId="736FC104" w14:textId="77777777" w:rsidR="008430BD" w:rsidRPr="00F15667" w:rsidRDefault="008430BD" w:rsidP="008430BD">
      <w:pPr>
        <w:pStyle w:val="Nadpis3"/>
        <w:numPr>
          <w:ilvl w:val="2"/>
          <w:numId w:val="1"/>
        </w:numPr>
        <w:rPr>
          <w:color w:val="auto"/>
        </w:rPr>
      </w:pPr>
      <w:bookmarkStart w:id="1188" w:name="_Toc43903107"/>
      <w:bookmarkStart w:id="1189" w:name="_Toc106092806"/>
      <w:bookmarkStart w:id="1190" w:name="_Toc144104420"/>
      <w:r w:rsidRPr="00F15667">
        <w:rPr>
          <w:color w:val="auto"/>
        </w:rPr>
        <w:t>Délka řízení</w:t>
      </w:r>
      <w:bookmarkEnd w:id="1188"/>
      <w:bookmarkEnd w:id="1189"/>
      <w:bookmarkEnd w:id="1190"/>
    </w:p>
    <w:p w14:paraId="7CF4B957" w14:textId="77777777" w:rsidR="00804DB6" w:rsidRPr="00F15667" w:rsidRDefault="00804DB6" w:rsidP="00804DB6">
      <w:pPr>
        <w:pStyle w:val="OdstavecASR"/>
      </w:pPr>
      <w:r w:rsidRPr="00F15667">
        <w:t>Jde o délku řízení v kalendářních dnech ode dne nápadu u odvolacího soudu do dne vyřízení věci odvolacím soudem.</w:t>
      </w:r>
    </w:p>
    <w:p w14:paraId="5377427A" w14:textId="0373E89E" w:rsidR="00804DB6" w:rsidRPr="00F15667" w:rsidRDefault="00804DB6" w:rsidP="00804DB6">
      <w:pPr>
        <w:pStyle w:val="Podnadpis"/>
        <w:numPr>
          <w:ilvl w:val="0"/>
          <w:numId w:val="0"/>
        </w:numPr>
        <w:rPr>
          <w:color w:val="auto"/>
        </w:rPr>
      </w:pPr>
      <w:bookmarkStart w:id="1191" w:name="_Toc43841474"/>
      <w:bookmarkStart w:id="1192" w:name="_Toc75952277"/>
      <w:bookmarkStart w:id="1193" w:name="_Toc106106734"/>
      <w:bookmarkStart w:id="1194" w:name="_Toc109802058"/>
      <w:bookmarkStart w:id="1195" w:name="_Toc144104208"/>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96</w:t>
      </w:r>
      <w:r w:rsidRPr="00F15667">
        <w:rPr>
          <w:color w:val="auto"/>
        </w:rPr>
        <w:fldChar w:fldCharType="end"/>
      </w:r>
      <w:r w:rsidRPr="00F15667">
        <w:rPr>
          <w:color w:val="auto"/>
        </w:rPr>
        <w:t>: VS – délka odvolacího řízení incidenčních sporů v letech 2011–20</w:t>
      </w:r>
      <w:bookmarkEnd w:id="1191"/>
      <w:r w:rsidRPr="00F15667">
        <w:rPr>
          <w:color w:val="auto"/>
        </w:rPr>
        <w:t>2</w:t>
      </w:r>
      <w:bookmarkEnd w:id="1192"/>
      <w:bookmarkEnd w:id="1193"/>
      <w:bookmarkEnd w:id="1194"/>
      <w:r w:rsidRPr="00F15667">
        <w:rPr>
          <w:color w:val="auto"/>
        </w:rPr>
        <w:t>2</w:t>
      </w:r>
      <w:bookmarkEnd w:id="1195"/>
    </w:p>
    <w:p w14:paraId="6D48F10D" w14:textId="05ACAF18" w:rsidR="00804DB6" w:rsidRPr="00F15667" w:rsidRDefault="00804DB6" w:rsidP="00FB2C4D">
      <w:pPr>
        <w:pStyle w:val="OdstavecASR"/>
      </w:pPr>
      <w:r w:rsidRPr="00F15667">
        <w:rPr>
          <w:noProof/>
          <w:lang w:eastAsia="cs-CZ"/>
        </w:rPr>
        <w:drawing>
          <wp:inline distT="0" distB="0" distL="0" distR="0" wp14:anchorId="4D4187B3" wp14:editId="4C70279E">
            <wp:extent cx="5029200" cy="3657600"/>
            <wp:effectExtent l="0" t="0" r="0" b="0"/>
            <wp:docPr id="121" name="Obráze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F0940A4" w14:textId="0982A902" w:rsidR="00804DB6" w:rsidRPr="00F15667" w:rsidRDefault="00804DB6" w:rsidP="00804DB6">
      <w:r w:rsidRPr="00F15667">
        <w:t>Z grafu lze vyčíst například následující:</w:t>
      </w:r>
    </w:p>
    <w:p w14:paraId="1101A148" w14:textId="15E654D9" w:rsidR="00804DB6" w:rsidRPr="00F15667" w:rsidRDefault="00804DB6" w:rsidP="00804DB6">
      <w:pPr>
        <w:pStyle w:val="OdstavecASR"/>
        <w:numPr>
          <w:ilvl w:val="0"/>
          <w:numId w:val="25"/>
        </w:numPr>
      </w:pPr>
      <w:r w:rsidRPr="00F15667">
        <w:t>VS v Praze má výrazně vyšší délky řízení. Rozdíl je ale mnohem větší u průměru a 90. percentilu než u mediánu. To naznačuje, že VS v Olomouci má mnohem méně extrémních hodnot než VS v Praze, tedy velmi dlouhých řízení. V roce 2021 se tento rozdíl navýšil</w:t>
      </w:r>
      <w:r w:rsidR="00A546F1" w:rsidRPr="00F15667">
        <w:t>, v roce 2022 se významně nezměnil</w:t>
      </w:r>
      <w:r w:rsidRPr="00F15667">
        <w:t>. Tento závěr potvrzuje i histogram níže. VS v Olomouci téměř nevykazuje řízení s délkou řízení větší než 300 dnů, zatímco VS v Praze taková řízení vykazuje v nemalém množství.</w:t>
      </w:r>
    </w:p>
    <w:p w14:paraId="0695087F" w14:textId="77777777" w:rsidR="00804DB6" w:rsidRPr="00F15667" w:rsidRDefault="00804DB6" w:rsidP="00804DB6">
      <w:pPr>
        <w:pStyle w:val="OdstavecASR"/>
        <w:numPr>
          <w:ilvl w:val="0"/>
          <w:numId w:val="25"/>
        </w:numPr>
      </w:pPr>
      <w:r w:rsidRPr="00F15667">
        <w:t>I vývoje délky řízení se u obou soudů liší. U obou soudů byla délka řízení nízká a následně rostla. Malá délka řízení byla způsobena stejně jako u incidenčních sporů I. stupně tím, že agenda byla poměrně nová. Délka řízení nakonec u VS v Olomouci výrazně klesla v roce 2017 a od té doby klesá dále. V roce 2020 byl medián pouhých 51 dnů.</w:t>
      </w:r>
    </w:p>
    <w:p w14:paraId="1E73B29A" w14:textId="77777777" w:rsidR="00804DB6" w:rsidRPr="00F15667" w:rsidRDefault="00804DB6" w:rsidP="00804DB6">
      <w:pPr>
        <w:pStyle w:val="OdstavecASR"/>
        <w:numPr>
          <w:ilvl w:val="0"/>
          <w:numId w:val="25"/>
        </w:numPr>
      </w:pPr>
      <w:r w:rsidRPr="00F15667">
        <w:t>V absolutních číslech jsou délky řízení nízké podobně jako u ostatních odvolacích agend a jsou tedy výrazně nižší než u agendy prvostupňové.</w:t>
      </w:r>
    </w:p>
    <w:p w14:paraId="579775D7" w14:textId="0E0E4FCC" w:rsidR="00804DB6" w:rsidRPr="00F15667" w:rsidRDefault="00804DB6" w:rsidP="00804DB6">
      <w:pPr>
        <w:pStyle w:val="OdstavecASR"/>
        <w:numPr>
          <w:ilvl w:val="0"/>
          <w:numId w:val="25"/>
        </w:numPr>
      </w:pPr>
      <w:r w:rsidRPr="00F15667">
        <w:lastRenderedPageBreak/>
        <w:t>Za povšimnutí rovněž stojí fakt, že u VS v Olomouci je velmi vyrovnaná mediánová a průměrná délka řízení. V roce 2014 byl medián dokonce vyšší než průměr. To opět ukazuje na nepřítomnost extrémních hodnot.</w:t>
      </w:r>
    </w:p>
    <w:p w14:paraId="5617EF4B" w14:textId="767C42FF" w:rsidR="008A29AF" w:rsidRPr="00F15667" w:rsidRDefault="00557CE0" w:rsidP="00804DB6">
      <w:pPr>
        <w:pStyle w:val="OdstavecASR"/>
        <w:numPr>
          <w:ilvl w:val="0"/>
          <w:numId w:val="25"/>
        </w:numPr>
      </w:pPr>
      <w:r w:rsidRPr="00F15667">
        <w:t xml:space="preserve">Na další vývoj délek řízení se dá usoudit z časové skladby nevyřízených věcí: </w:t>
      </w:r>
    </w:p>
    <w:tbl>
      <w:tblPr>
        <w:tblW w:w="9200" w:type="dxa"/>
        <w:tblCellMar>
          <w:left w:w="70" w:type="dxa"/>
          <w:right w:w="70" w:type="dxa"/>
        </w:tblCellMar>
        <w:tblLook w:val="04A0" w:firstRow="1" w:lastRow="0" w:firstColumn="1" w:lastColumn="0" w:noHBand="0" w:noVBand="1"/>
      </w:tblPr>
      <w:tblGrid>
        <w:gridCol w:w="1400"/>
        <w:gridCol w:w="1560"/>
        <w:gridCol w:w="1560"/>
        <w:gridCol w:w="1560"/>
        <w:gridCol w:w="1560"/>
        <w:gridCol w:w="1560"/>
      </w:tblGrid>
      <w:tr w:rsidR="00FB2C4D" w:rsidRPr="00F15667" w14:paraId="0D23BFB8" w14:textId="77777777" w:rsidTr="00BE2B1F">
        <w:trPr>
          <w:trHeight w:val="300"/>
        </w:trPr>
        <w:tc>
          <w:tcPr>
            <w:tcW w:w="9200" w:type="dxa"/>
            <w:gridSpan w:val="6"/>
            <w:tcBorders>
              <w:top w:val="nil"/>
              <w:left w:val="nil"/>
              <w:bottom w:val="double" w:sz="6" w:space="0" w:color="auto"/>
              <w:right w:val="nil"/>
            </w:tcBorders>
            <w:shd w:val="clear" w:color="auto" w:fill="auto"/>
            <w:noWrap/>
            <w:vAlign w:val="center"/>
            <w:hideMark/>
          </w:tcPr>
          <w:p w14:paraId="6E0D3E81" w14:textId="1010E72F" w:rsidR="00FB2C4D" w:rsidRPr="00F15667" w:rsidRDefault="00FB2C4D"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Nevyřízený počet věcí k 31.12.2022</w:t>
            </w:r>
          </w:p>
        </w:tc>
      </w:tr>
      <w:tr w:rsidR="00F15667" w:rsidRPr="00F15667" w14:paraId="30CB582E" w14:textId="77777777" w:rsidTr="00FB2C4D">
        <w:trPr>
          <w:trHeight w:val="397"/>
        </w:trPr>
        <w:tc>
          <w:tcPr>
            <w:tcW w:w="1400" w:type="dxa"/>
            <w:tcBorders>
              <w:top w:val="nil"/>
              <w:left w:val="nil"/>
              <w:bottom w:val="double" w:sz="6" w:space="0" w:color="auto"/>
              <w:right w:val="nil"/>
            </w:tcBorders>
            <w:shd w:val="clear" w:color="auto" w:fill="auto"/>
            <w:noWrap/>
            <w:vAlign w:val="center"/>
            <w:hideMark/>
          </w:tcPr>
          <w:p w14:paraId="2F7EBC34" w14:textId="2FAC082F" w:rsidR="00295875" w:rsidRPr="00F15667" w:rsidRDefault="00295875" w:rsidP="00FB2C4D">
            <w:pPr>
              <w:spacing w:line="240" w:lineRule="auto"/>
              <w:jc w:val="center"/>
              <w:rPr>
                <w:rFonts w:eastAsia="Times New Roman" w:cs="Segoe UI Light"/>
                <w:sz w:val="20"/>
                <w:szCs w:val="20"/>
                <w:lang w:eastAsia="cs-CZ"/>
              </w:rPr>
            </w:pPr>
          </w:p>
        </w:tc>
        <w:tc>
          <w:tcPr>
            <w:tcW w:w="1560" w:type="dxa"/>
            <w:tcBorders>
              <w:top w:val="nil"/>
              <w:left w:val="nil"/>
              <w:bottom w:val="double" w:sz="6" w:space="0" w:color="auto"/>
              <w:right w:val="nil"/>
            </w:tcBorders>
            <w:shd w:val="clear" w:color="auto" w:fill="auto"/>
            <w:vAlign w:val="center"/>
            <w:hideMark/>
          </w:tcPr>
          <w:p w14:paraId="2C06DFDF"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do 90 dnů</w:t>
            </w:r>
          </w:p>
        </w:tc>
        <w:tc>
          <w:tcPr>
            <w:tcW w:w="1560" w:type="dxa"/>
            <w:tcBorders>
              <w:top w:val="nil"/>
              <w:left w:val="nil"/>
              <w:bottom w:val="double" w:sz="6" w:space="0" w:color="auto"/>
              <w:right w:val="nil"/>
            </w:tcBorders>
            <w:shd w:val="clear" w:color="auto" w:fill="auto"/>
            <w:vAlign w:val="center"/>
            <w:hideMark/>
          </w:tcPr>
          <w:p w14:paraId="1EC744B5"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91 až 180 dnů</w:t>
            </w:r>
          </w:p>
        </w:tc>
        <w:tc>
          <w:tcPr>
            <w:tcW w:w="1560" w:type="dxa"/>
            <w:tcBorders>
              <w:top w:val="nil"/>
              <w:left w:val="nil"/>
              <w:bottom w:val="double" w:sz="6" w:space="0" w:color="auto"/>
              <w:right w:val="nil"/>
            </w:tcBorders>
            <w:shd w:val="clear" w:color="auto" w:fill="auto"/>
            <w:vAlign w:val="center"/>
            <w:hideMark/>
          </w:tcPr>
          <w:p w14:paraId="5DA38D4C"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181 až 365 dnů</w:t>
            </w:r>
          </w:p>
        </w:tc>
        <w:tc>
          <w:tcPr>
            <w:tcW w:w="1560" w:type="dxa"/>
            <w:tcBorders>
              <w:top w:val="nil"/>
              <w:left w:val="nil"/>
              <w:bottom w:val="double" w:sz="6" w:space="0" w:color="auto"/>
              <w:right w:val="nil"/>
            </w:tcBorders>
            <w:shd w:val="clear" w:color="auto" w:fill="auto"/>
            <w:vAlign w:val="center"/>
            <w:hideMark/>
          </w:tcPr>
          <w:p w14:paraId="667089A1"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přes 365 dnů</w:t>
            </w:r>
          </w:p>
        </w:tc>
        <w:tc>
          <w:tcPr>
            <w:tcW w:w="1560" w:type="dxa"/>
            <w:tcBorders>
              <w:top w:val="nil"/>
              <w:left w:val="nil"/>
              <w:bottom w:val="double" w:sz="6" w:space="0" w:color="auto"/>
              <w:right w:val="nil"/>
            </w:tcBorders>
            <w:shd w:val="clear" w:color="auto" w:fill="auto"/>
            <w:noWrap/>
            <w:vAlign w:val="center"/>
            <w:hideMark/>
          </w:tcPr>
          <w:p w14:paraId="065CCA58" w14:textId="77777777" w:rsidR="00295875" w:rsidRPr="00F15667" w:rsidRDefault="00295875" w:rsidP="00FB2C4D">
            <w:pPr>
              <w:spacing w:line="240" w:lineRule="auto"/>
              <w:jc w:val="center"/>
              <w:rPr>
                <w:rFonts w:eastAsia="Times New Roman" w:cs="Segoe UI Light"/>
                <w:b/>
                <w:bCs/>
                <w:sz w:val="20"/>
                <w:szCs w:val="20"/>
                <w:lang w:eastAsia="cs-CZ"/>
              </w:rPr>
            </w:pPr>
            <w:r w:rsidRPr="00F15667">
              <w:rPr>
                <w:rFonts w:eastAsia="Times New Roman" w:cs="Segoe UI Light"/>
                <w:b/>
                <w:bCs/>
                <w:sz w:val="20"/>
                <w:szCs w:val="20"/>
                <w:lang w:eastAsia="cs-CZ"/>
              </w:rPr>
              <w:t>Celkem</w:t>
            </w:r>
          </w:p>
        </w:tc>
      </w:tr>
      <w:tr w:rsidR="00F15667" w:rsidRPr="00F15667" w14:paraId="63F28CF0" w14:textId="77777777" w:rsidTr="00FB2C4D">
        <w:trPr>
          <w:trHeight w:val="397"/>
        </w:trPr>
        <w:tc>
          <w:tcPr>
            <w:tcW w:w="1400" w:type="dxa"/>
            <w:tcBorders>
              <w:top w:val="nil"/>
              <w:left w:val="nil"/>
              <w:bottom w:val="nil"/>
              <w:right w:val="nil"/>
            </w:tcBorders>
            <w:shd w:val="clear" w:color="auto" w:fill="auto"/>
            <w:vAlign w:val="center"/>
            <w:hideMark/>
          </w:tcPr>
          <w:p w14:paraId="040297C2" w14:textId="77777777" w:rsidR="00295875" w:rsidRPr="00F15667" w:rsidRDefault="00295875" w:rsidP="00FB2C4D">
            <w:pPr>
              <w:spacing w:line="240" w:lineRule="auto"/>
              <w:jc w:val="left"/>
              <w:rPr>
                <w:rFonts w:eastAsia="Times New Roman" w:cs="Segoe UI Light"/>
                <w:sz w:val="20"/>
                <w:szCs w:val="20"/>
                <w:lang w:eastAsia="cs-CZ"/>
              </w:rPr>
            </w:pPr>
            <w:r w:rsidRPr="00F15667">
              <w:rPr>
                <w:rFonts w:eastAsia="Times New Roman" w:cs="Segoe UI Light"/>
                <w:sz w:val="20"/>
                <w:szCs w:val="20"/>
                <w:lang w:eastAsia="cs-CZ"/>
              </w:rPr>
              <w:t>VS v Olomouci</w:t>
            </w:r>
          </w:p>
        </w:tc>
        <w:tc>
          <w:tcPr>
            <w:tcW w:w="1560" w:type="dxa"/>
            <w:tcBorders>
              <w:top w:val="nil"/>
              <w:left w:val="nil"/>
              <w:bottom w:val="nil"/>
              <w:right w:val="nil"/>
            </w:tcBorders>
            <w:shd w:val="clear" w:color="auto" w:fill="auto"/>
            <w:noWrap/>
            <w:vAlign w:val="center"/>
            <w:hideMark/>
          </w:tcPr>
          <w:p w14:paraId="7284A60B"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44</w:t>
            </w:r>
          </w:p>
        </w:tc>
        <w:tc>
          <w:tcPr>
            <w:tcW w:w="1560" w:type="dxa"/>
            <w:tcBorders>
              <w:top w:val="nil"/>
              <w:left w:val="nil"/>
              <w:bottom w:val="nil"/>
              <w:right w:val="nil"/>
            </w:tcBorders>
            <w:shd w:val="clear" w:color="auto" w:fill="auto"/>
            <w:noWrap/>
            <w:vAlign w:val="center"/>
            <w:hideMark/>
          </w:tcPr>
          <w:p w14:paraId="65E2F984"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18</w:t>
            </w:r>
          </w:p>
        </w:tc>
        <w:tc>
          <w:tcPr>
            <w:tcW w:w="1560" w:type="dxa"/>
            <w:tcBorders>
              <w:top w:val="nil"/>
              <w:left w:val="nil"/>
              <w:bottom w:val="nil"/>
              <w:right w:val="nil"/>
            </w:tcBorders>
            <w:shd w:val="clear" w:color="auto" w:fill="auto"/>
            <w:noWrap/>
            <w:vAlign w:val="center"/>
            <w:hideMark/>
          </w:tcPr>
          <w:p w14:paraId="4F8B312B"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2</w:t>
            </w:r>
          </w:p>
        </w:tc>
        <w:tc>
          <w:tcPr>
            <w:tcW w:w="1560" w:type="dxa"/>
            <w:tcBorders>
              <w:top w:val="nil"/>
              <w:left w:val="nil"/>
              <w:bottom w:val="nil"/>
              <w:right w:val="nil"/>
            </w:tcBorders>
            <w:shd w:val="clear" w:color="auto" w:fill="auto"/>
            <w:noWrap/>
            <w:vAlign w:val="center"/>
            <w:hideMark/>
          </w:tcPr>
          <w:p w14:paraId="29EA0DE6"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1</w:t>
            </w:r>
          </w:p>
        </w:tc>
        <w:tc>
          <w:tcPr>
            <w:tcW w:w="1560" w:type="dxa"/>
            <w:tcBorders>
              <w:top w:val="nil"/>
              <w:left w:val="nil"/>
              <w:bottom w:val="nil"/>
              <w:right w:val="nil"/>
            </w:tcBorders>
            <w:shd w:val="clear" w:color="auto" w:fill="auto"/>
            <w:noWrap/>
            <w:vAlign w:val="center"/>
            <w:hideMark/>
          </w:tcPr>
          <w:p w14:paraId="1323EAC7" w14:textId="77777777" w:rsidR="00295875" w:rsidRPr="00F15667" w:rsidRDefault="00295875" w:rsidP="00FB2C4D">
            <w:pPr>
              <w:spacing w:line="240" w:lineRule="auto"/>
              <w:jc w:val="center"/>
              <w:rPr>
                <w:rFonts w:eastAsia="Times New Roman" w:cs="Segoe UI Light"/>
                <w:b/>
                <w:bCs/>
                <w:sz w:val="20"/>
                <w:szCs w:val="20"/>
                <w:lang w:eastAsia="cs-CZ"/>
              </w:rPr>
            </w:pPr>
            <w:r w:rsidRPr="00F15667">
              <w:rPr>
                <w:rFonts w:eastAsia="Times New Roman" w:cs="Segoe UI Light"/>
                <w:b/>
                <w:bCs/>
                <w:sz w:val="20"/>
                <w:szCs w:val="20"/>
                <w:lang w:eastAsia="cs-CZ"/>
              </w:rPr>
              <w:t>65</w:t>
            </w:r>
          </w:p>
        </w:tc>
      </w:tr>
      <w:tr w:rsidR="00F15667" w:rsidRPr="00F15667" w14:paraId="1CB66600" w14:textId="77777777" w:rsidTr="00FB2C4D">
        <w:trPr>
          <w:trHeight w:val="397"/>
        </w:trPr>
        <w:tc>
          <w:tcPr>
            <w:tcW w:w="1400" w:type="dxa"/>
            <w:tcBorders>
              <w:top w:val="nil"/>
              <w:left w:val="nil"/>
              <w:bottom w:val="nil"/>
              <w:right w:val="nil"/>
            </w:tcBorders>
            <w:shd w:val="clear" w:color="auto" w:fill="auto"/>
            <w:vAlign w:val="center"/>
            <w:hideMark/>
          </w:tcPr>
          <w:p w14:paraId="6B15B950" w14:textId="77777777" w:rsidR="00295875" w:rsidRPr="00F15667" w:rsidRDefault="00295875" w:rsidP="00FB2C4D">
            <w:pPr>
              <w:spacing w:line="240" w:lineRule="auto"/>
              <w:jc w:val="left"/>
              <w:rPr>
                <w:rFonts w:eastAsia="Times New Roman" w:cs="Segoe UI Light"/>
                <w:sz w:val="20"/>
                <w:szCs w:val="20"/>
                <w:lang w:eastAsia="cs-CZ"/>
              </w:rPr>
            </w:pPr>
            <w:r w:rsidRPr="00F15667">
              <w:rPr>
                <w:rFonts w:eastAsia="Times New Roman" w:cs="Segoe UI Light"/>
                <w:sz w:val="20"/>
                <w:szCs w:val="20"/>
                <w:lang w:eastAsia="cs-CZ"/>
              </w:rPr>
              <w:t>VS v Praze</w:t>
            </w:r>
          </w:p>
        </w:tc>
        <w:tc>
          <w:tcPr>
            <w:tcW w:w="1560" w:type="dxa"/>
            <w:tcBorders>
              <w:top w:val="nil"/>
              <w:left w:val="nil"/>
              <w:bottom w:val="nil"/>
              <w:right w:val="nil"/>
            </w:tcBorders>
            <w:shd w:val="clear" w:color="auto" w:fill="auto"/>
            <w:noWrap/>
            <w:vAlign w:val="center"/>
            <w:hideMark/>
          </w:tcPr>
          <w:p w14:paraId="3B732202"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145</w:t>
            </w:r>
          </w:p>
        </w:tc>
        <w:tc>
          <w:tcPr>
            <w:tcW w:w="1560" w:type="dxa"/>
            <w:tcBorders>
              <w:top w:val="nil"/>
              <w:left w:val="nil"/>
              <w:bottom w:val="nil"/>
              <w:right w:val="nil"/>
            </w:tcBorders>
            <w:shd w:val="clear" w:color="auto" w:fill="auto"/>
            <w:noWrap/>
            <w:vAlign w:val="center"/>
            <w:hideMark/>
          </w:tcPr>
          <w:p w14:paraId="4AEC6897"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77</w:t>
            </w:r>
          </w:p>
        </w:tc>
        <w:tc>
          <w:tcPr>
            <w:tcW w:w="1560" w:type="dxa"/>
            <w:tcBorders>
              <w:top w:val="nil"/>
              <w:left w:val="nil"/>
              <w:bottom w:val="nil"/>
              <w:right w:val="nil"/>
            </w:tcBorders>
            <w:shd w:val="clear" w:color="auto" w:fill="auto"/>
            <w:noWrap/>
            <w:vAlign w:val="center"/>
            <w:hideMark/>
          </w:tcPr>
          <w:p w14:paraId="6A7535BB"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86</w:t>
            </w:r>
          </w:p>
        </w:tc>
        <w:tc>
          <w:tcPr>
            <w:tcW w:w="1560" w:type="dxa"/>
            <w:tcBorders>
              <w:top w:val="nil"/>
              <w:left w:val="nil"/>
              <w:bottom w:val="nil"/>
              <w:right w:val="nil"/>
            </w:tcBorders>
            <w:shd w:val="clear" w:color="auto" w:fill="auto"/>
            <w:noWrap/>
            <w:vAlign w:val="center"/>
            <w:hideMark/>
          </w:tcPr>
          <w:p w14:paraId="2D9B2EB6" w14:textId="77777777" w:rsidR="00295875" w:rsidRPr="00F15667" w:rsidRDefault="00295875" w:rsidP="00FB2C4D">
            <w:pPr>
              <w:spacing w:line="240" w:lineRule="auto"/>
              <w:jc w:val="center"/>
              <w:rPr>
                <w:rFonts w:eastAsia="Times New Roman" w:cs="Segoe UI Light"/>
                <w:sz w:val="20"/>
                <w:szCs w:val="20"/>
                <w:lang w:eastAsia="cs-CZ"/>
              </w:rPr>
            </w:pPr>
            <w:r w:rsidRPr="00F15667">
              <w:rPr>
                <w:rFonts w:eastAsia="Times New Roman" w:cs="Segoe UI Light"/>
                <w:sz w:val="20"/>
                <w:szCs w:val="20"/>
                <w:lang w:eastAsia="cs-CZ"/>
              </w:rPr>
              <w:t>52</w:t>
            </w:r>
          </w:p>
        </w:tc>
        <w:tc>
          <w:tcPr>
            <w:tcW w:w="1560" w:type="dxa"/>
            <w:tcBorders>
              <w:top w:val="nil"/>
              <w:left w:val="nil"/>
              <w:bottom w:val="nil"/>
              <w:right w:val="nil"/>
            </w:tcBorders>
            <w:shd w:val="clear" w:color="auto" w:fill="auto"/>
            <w:noWrap/>
            <w:vAlign w:val="center"/>
            <w:hideMark/>
          </w:tcPr>
          <w:p w14:paraId="355BC58C" w14:textId="77777777" w:rsidR="00295875" w:rsidRPr="00F15667" w:rsidRDefault="00295875" w:rsidP="00FB2C4D">
            <w:pPr>
              <w:spacing w:line="240" w:lineRule="auto"/>
              <w:jc w:val="center"/>
              <w:rPr>
                <w:rFonts w:eastAsia="Times New Roman" w:cs="Segoe UI Light"/>
                <w:b/>
                <w:bCs/>
                <w:sz w:val="20"/>
                <w:szCs w:val="20"/>
                <w:lang w:eastAsia="cs-CZ"/>
              </w:rPr>
            </w:pPr>
            <w:r w:rsidRPr="00F15667">
              <w:rPr>
                <w:rFonts w:eastAsia="Times New Roman" w:cs="Segoe UI Light"/>
                <w:b/>
                <w:bCs/>
                <w:sz w:val="20"/>
                <w:szCs w:val="20"/>
                <w:lang w:eastAsia="cs-CZ"/>
              </w:rPr>
              <w:t>360</w:t>
            </w:r>
          </w:p>
        </w:tc>
      </w:tr>
      <w:tr w:rsidR="00F15667" w:rsidRPr="00F15667" w14:paraId="2F0775C8" w14:textId="77777777" w:rsidTr="00FB2C4D">
        <w:trPr>
          <w:trHeight w:val="397"/>
        </w:trPr>
        <w:tc>
          <w:tcPr>
            <w:tcW w:w="1400" w:type="dxa"/>
            <w:tcBorders>
              <w:top w:val="nil"/>
              <w:left w:val="nil"/>
              <w:bottom w:val="nil"/>
              <w:right w:val="nil"/>
            </w:tcBorders>
            <w:shd w:val="clear" w:color="auto" w:fill="auto"/>
            <w:noWrap/>
            <w:vAlign w:val="center"/>
            <w:hideMark/>
          </w:tcPr>
          <w:p w14:paraId="1C73D52F" w14:textId="77777777" w:rsidR="00295875" w:rsidRPr="00F15667" w:rsidRDefault="00295875" w:rsidP="00FB2C4D">
            <w:pPr>
              <w:spacing w:line="240" w:lineRule="auto"/>
              <w:jc w:val="center"/>
              <w:rPr>
                <w:rFonts w:eastAsia="Times New Roman" w:cs="Segoe UI Light"/>
                <w:b/>
                <w:bCs/>
                <w:sz w:val="20"/>
                <w:szCs w:val="20"/>
                <w:u w:val="single"/>
                <w:lang w:eastAsia="cs-CZ"/>
              </w:rPr>
            </w:pPr>
          </w:p>
        </w:tc>
        <w:tc>
          <w:tcPr>
            <w:tcW w:w="1560" w:type="dxa"/>
            <w:tcBorders>
              <w:top w:val="nil"/>
              <w:left w:val="nil"/>
              <w:bottom w:val="nil"/>
              <w:right w:val="nil"/>
            </w:tcBorders>
            <w:shd w:val="clear" w:color="auto" w:fill="auto"/>
            <w:noWrap/>
            <w:vAlign w:val="center"/>
            <w:hideMark/>
          </w:tcPr>
          <w:p w14:paraId="22C634FB" w14:textId="77777777" w:rsidR="00295875" w:rsidRPr="00F15667" w:rsidRDefault="00295875" w:rsidP="00FB2C4D">
            <w:pPr>
              <w:spacing w:line="240" w:lineRule="auto"/>
              <w:jc w:val="center"/>
              <w:rPr>
                <w:rFonts w:ascii="Times New Roman" w:eastAsia="Times New Roman" w:hAnsi="Times New Roman"/>
                <w:sz w:val="20"/>
                <w:szCs w:val="20"/>
                <w:lang w:eastAsia="cs-CZ"/>
              </w:rPr>
            </w:pPr>
          </w:p>
        </w:tc>
        <w:tc>
          <w:tcPr>
            <w:tcW w:w="1560" w:type="dxa"/>
            <w:tcBorders>
              <w:top w:val="nil"/>
              <w:left w:val="nil"/>
              <w:bottom w:val="nil"/>
              <w:right w:val="nil"/>
            </w:tcBorders>
            <w:shd w:val="clear" w:color="auto" w:fill="auto"/>
            <w:noWrap/>
            <w:vAlign w:val="center"/>
            <w:hideMark/>
          </w:tcPr>
          <w:p w14:paraId="28EB50E9" w14:textId="77777777" w:rsidR="00295875" w:rsidRPr="00F15667" w:rsidRDefault="00295875" w:rsidP="00FB2C4D">
            <w:pPr>
              <w:spacing w:line="240" w:lineRule="auto"/>
              <w:jc w:val="center"/>
              <w:rPr>
                <w:rFonts w:ascii="Times New Roman" w:eastAsia="Times New Roman" w:hAnsi="Times New Roman"/>
                <w:sz w:val="20"/>
                <w:szCs w:val="20"/>
                <w:lang w:eastAsia="cs-CZ"/>
              </w:rPr>
            </w:pPr>
          </w:p>
        </w:tc>
        <w:tc>
          <w:tcPr>
            <w:tcW w:w="1560" w:type="dxa"/>
            <w:tcBorders>
              <w:top w:val="nil"/>
              <w:left w:val="nil"/>
              <w:bottom w:val="nil"/>
              <w:right w:val="nil"/>
            </w:tcBorders>
            <w:shd w:val="clear" w:color="auto" w:fill="auto"/>
            <w:noWrap/>
            <w:vAlign w:val="center"/>
            <w:hideMark/>
          </w:tcPr>
          <w:p w14:paraId="668BB84F" w14:textId="77777777" w:rsidR="00295875" w:rsidRPr="00F15667" w:rsidRDefault="00295875" w:rsidP="00FB2C4D">
            <w:pPr>
              <w:spacing w:line="240" w:lineRule="auto"/>
              <w:jc w:val="center"/>
              <w:rPr>
                <w:rFonts w:ascii="Times New Roman" w:eastAsia="Times New Roman" w:hAnsi="Times New Roman"/>
                <w:sz w:val="20"/>
                <w:szCs w:val="20"/>
                <w:lang w:eastAsia="cs-CZ"/>
              </w:rPr>
            </w:pPr>
          </w:p>
        </w:tc>
        <w:tc>
          <w:tcPr>
            <w:tcW w:w="1560" w:type="dxa"/>
            <w:tcBorders>
              <w:top w:val="nil"/>
              <w:left w:val="nil"/>
              <w:bottom w:val="nil"/>
              <w:right w:val="nil"/>
            </w:tcBorders>
            <w:shd w:val="clear" w:color="auto" w:fill="auto"/>
            <w:noWrap/>
            <w:vAlign w:val="center"/>
            <w:hideMark/>
          </w:tcPr>
          <w:p w14:paraId="192A9B59" w14:textId="77777777" w:rsidR="00295875" w:rsidRPr="00F15667" w:rsidRDefault="00295875" w:rsidP="00FB2C4D">
            <w:pPr>
              <w:spacing w:line="240" w:lineRule="auto"/>
              <w:jc w:val="center"/>
              <w:rPr>
                <w:rFonts w:ascii="Times New Roman" w:eastAsia="Times New Roman" w:hAnsi="Times New Roman"/>
                <w:sz w:val="20"/>
                <w:szCs w:val="20"/>
                <w:lang w:eastAsia="cs-CZ"/>
              </w:rPr>
            </w:pPr>
          </w:p>
        </w:tc>
        <w:tc>
          <w:tcPr>
            <w:tcW w:w="1560" w:type="dxa"/>
            <w:tcBorders>
              <w:top w:val="nil"/>
              <w:left w:val="nil"/>
              <w:bottom w:val="nil"/>
              <w:right w:val="nil"/>
            </w:tcBorders>
            <w:shd w:val="clear" w:color="auto" w:fill="auto"/>
            <w:noWrap/>
            <w:vAlign w:val="center"/>
            <w:hideMark/>
          </w:tcPr>
          <w:p w14:paraId="12966759" w14:textId="77777777" w:rsidR="00295875" w:rsidRPr="00F15667" w:rsidRDefault="00295875" w:rsidP="00FB2C4D">
            <w:pPr>
              <w:spacing w:line="240" w:lineRule="auto"/>
              <w:jc w:val="center"/>
              <w:rPr>
                <w:rFonts w:ascii="Times New Roman" w:eastAsia="Times New Roman" w:hAnsi="Times New Roman"/>
                <w:sz w:val="20"/>
                <w:szCs w:val="20"/>
                <w:lang w:eastAsia="cs-CZ"/>
              </w:rPr>
            </w:pPr>
          </w:p>
        </w:tc>
      </w:tr>
    </w:tbl>
    <w:p w14:paraId="047DB2E9" w14:textId="138D8320" w:rsidR="00DD74DC" w:rsidRPr="00F15667" w:rsidRDefault="00DD74DC" w:rsidP="00557CE0">
      <w:pPr>
        <w:pStyle w:val="OdstavecASR"/>
      </w:pPr>
      <w:r w:rsidRPr="00F15667">
        <w:t xml:space="preserve">Z tohoto přehledu se zdá, že další pokles </w:t>
      </w:r>
      <w:r w:rsidR="008B4ABC" w:rsidRPr="00F15667">
        <w:t>délek</w:t>
      </w:r>
      <w:r w:rsidRPr="00F15667">
        <w:t xml:space="preserve"> lze očekávat spíše u VS v Olomouci.</w:t>
      </w:r>
    </w:p>
    <w:p w14:paraId="1ADD464A" w14:textId="75649671" w:rsidR="00804DB6" w:rsidRPr="00F15667" w:rsidRDefault="00804DB6" w:rsidP="00804DB6">
      <w:pPr>
        <w:pStyle w:val="Podnadpis"/>
        <w:numPr>
          <w:ilvl w:val="0"/>
          <w:numId w:val="0"/>
        </w:numPr>
        <w:rPr>
          <w:color w:val="auto"/>
        </w:rPr>
      </w:pPr>
      <w:bookmarkStart w:id="1196" w:name="_Toc43841475"/>
      <w:bookmarkStart w:id="1197" w:name="_Toc75952278"/>
      <w:bookmarkStart w:id="1198" w:name="_Toc106106735"/>
      <w:bookmarkStart w:id="1199" w:name="_Toc109802059"/>
      <w:bookmarkStart w:id="1200" w:name="_Toc144104209"/>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97</w:t>
      </w:r>
      <w:r w:rsidRPr="00F15667">
        <w:rPr>
          <w:color w:val="auto"/>
        </w:rPr>
        <w:fldChar w:fldCharType="end"/>
      </w:r>
      <w:r w:rsidRPr="00F15667">
        <w:rPr>
          <w:color w:val="auto"/>
        </w:rPr>
        <w:t>: VS – distribuce délek odvolacího řízení v incidenčních sporech</w:t>
      </w:r>
      <w:bookmarkEnd w:id="1196"/>
      <w:bookmarkEnd w:id="1197"/>
      <w:bookmarkEnd w:id="1198"/>
      <w:bookmarkEnd w:id="1199"/>
      <w:bookmarkEnd w:id="1200"/>
    </w:p>
    <w:p w14:paraId="44CED814" w14:textId="2120EB8C" w:rsidR="00804DB6" w:rsidRPr="00F15667" w:rsidRDefault="00804DB6" w:rsidP="00FB2C4D">
      <w:pPr>
        <w:pStyle w:val="OdstavecASR"/>
      </w:pPr>
      <w:r w:rsidRPr="00F15667">
        <w:rPr>
          <w:noProof/>
          <w:lang w:eastAsia="cs-CZ"/>
        </w:rPr>
        <w:drawing>
          <wp:inline distT="0" distB="0" distL="0" distR="0" wp14:anchorId="45C26575" wp14:editId="1C55C2DA">
            <wp:extent cx="5029200" cy="3657600"/>
            <wp:effectExtent l="0" t="0" r="0" b="0"/>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C940670" w14:textId="77777777" w:rsidR="008430BD" w:rsidRPr="00F15667" w:rsidRDefault="008430BD" w:rsidP="008430BD">
      <w:pPr>
        <w:pStyle w:val="Nadpis3"/>
        <w:numPr>
          <w:ilvl w:val="2"/>
          <w:numId w:val="1"/>
        </w:numPr>
        <w:rPr>
          <w:color w:val="auto"/>
          <w:lang w:eastAsia="cs-CZ"/>
        </w:rPr>
      </w:pPr>
      <w:bookmarkStart w:id="1201" w:name="_Toc106092807"/>
      <w:bookmarkStart w:id="1202" w:name="_Toc144104421"/>
      <w:r w:rsidRPr="00F15667">
        <w:rPr>
          <w:color w:val="auto"/>
          <w:lang w:eastAsia="cs-CZ"/>
        </w:rPr>
        <w:lastRenderedPageBreak/>
        <w:t>Vyřizování věcí</w:t>
      </w:r>
      <w:bookmarkEnd w:id="1201"/>
      <w:bookmarkEnd w:id="1202"/>
    </w:p>
    <w:p w14:paraId="2E759C49" w14:textId="7B9774A4" w:rsidR="000D4CD2" w:rsidRPr="00F15667" w:rsidRDefault="00804DB6" w:rsidP="00804DB6">
      <w:pPr>
        <w:pStyle w:val="Podnadpis"/>
        <w:rPr>
          <w:color w:val="auto"/>
        </w:rPr>
      </w:pPr>
      <w:bookmarkStart w:id="1203" w:name="_Toc43841476"/>
      <w:bookmarkStart w:id="1204" w:name="_Toc75952279"/>
      <w:bookmarkStart w:id="1205" w:name="_Toc106106736"/>
      <w:bookmarkStart w:id="1206" w:name="_Toc109802060"/>
      <w:bookmarkStart w:id="1207" w:name="_Toc144104210"/>
      <w:r w:rsidRPr="00F15667">
        <w:rPr>
          <w:color w:val="auto"/>
        </w:rPr>
        <w:t xml:space="preserve">Graf </w:t>
      </w:r>
      <w:r w:rsidR="002310B1" w:rsidRPr="00F15667">
        <w:rPr>
          <w:noProof/>
          <w:color w:val="auto"/>
        </w:rPr>
        <w:fldChar w:fldCharType="begin"/>
      </w:r>
      <w:r w:rsidR="002310B1" w:rsidRPr="00F15667">
        <w:rPr>
          <w:noProof/>
          <w:color w:val="auto"/>
        </w:rPr>
        <w:instrText xml:space="preserve"> SEQ Graf \* ARABIC </w:instrText>
      </w:r>
      <w:r w:rsidR="002310B1" w:rsidRPr="00F15667">
        <w:rPr>
          <w:noProof/>
          <w:color w:val="auto"/>
        </w:rPr>
        <w:fldChar w:fldCharType="separate"/>
      </w:r>
      <w:r w:rsidR="001E1A67">
        <w:rPr>
          <w:noProof/>
          <w:color w:val="auto"/>
        </w:rPr>
        <w:t>98</w:t>
      </w:r>
      <w:r w:rsidR="002310B1" w:rsidRPr="00F15667">
        <w:rPr>
          <w:noProof/>
          <w:color w:val="auto"/>
        </w:rPr>
        <w:fldChar w:fldCharType="end"/>
      </w:r>
      <w:r w:rsidRPr="00F15667">
        <w:rPr>
          <w:color w:val="auto"/>
        </w:rPr>
        <w:t>: VS – vyřizování odvolacího řízení v incidenčních sporech</w:t>
      </w:r>
      <w:bookmarkEnd w:id="1203"/>
      <w:bookmarkEnd w:id="1204"/>
      <w:bookmarkEnd w:id="1205"/>
      <w:bookmarkEnd w:id="1206"/>
      <w:bookmarkEnd w:id="1207"/>
    </w:p>
    <w:p w14:paraId="2AE0E8AD" w14:textId="590A62E7" w:rsidR="00804DB6" w:rsidRPr="00F15667" w:rsidRDefault="00804DB6" w:rsidP="00FB2C4D">
      <w:pPr>
        <w:pStyle w:val="OdstavecASR"/>
      </w:pPr>
      <w:r w:rsidRPr="00F15667">
        <w:rPr>
          <w:noProof/>
          <w:lang w:eastAsia="cs-CZ"/>
        </w:rPr>
        <w:drawing>
          <wp:inline distT="0" distB="0" distL="0" distR="0" wp14:anchorId="5D7228A6" wp14:editId="1792A933">
            <wp:extent cx="5029200" cy="3657600"/>
            <wp:effectExtent l="0" t="0" r="0" b="0"/>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B416FAE" w14:textId="3EDB7FEA" w:rsidR="00804DB6" w:rsidRPr="00F15667" w:rsidRDefault="00804DB6" w:rsidP="00FB2C4D">
      <w:pPr>
        <w:pStyle w:val="OdstavecASR"/>
      </w:pPr>
      <w:r w:rsidRPr="00F15667">
        <w:t>U VS v Praze vidíme, že počet příchozích a vyřízených věcí od roku 2014 nevykazuje žádný trend a osciluje přibližně mezi 900 a 1</w:t>
      </w:r>
      <w:r w:rsidR="00E75398">
        <w:t> </w:t>
      </w:r>
      <w:r w:rsidRPr="00F15667">
        <w:t>000 věcí. Počet příchozích věcí někdy převyšuje počet vyřízených, jindy je tomu naopak.</w:t>
      </w:r>
      <w:r w:rsidR="002D4655" w:rsidRPr="00F15667">
        <w:t xml:space="preserve"> </w:t>
      </w:r>
    </w:p>
    <w:p w14:paraId="38663902" w14:textId="77777777" w:rsidR="00804DB6" w:rsidRPr="00F15667" w:rsidRDefault="00804DB6" w:rsidP="00FB2C4D">
      <w:pPr>
        <w:pStyle w:val="OdstavecASR"/>
      </w:pPr>
      <w:r w:rsidRPr="00F15667">
        <w:t>Opravdu zajímavý je vývoj v počtu příchozích věcí u VS v Olomouci, který vzrostl z 315 v roce 2016, na 1 430 v roce 2019. Jde tedy o nárůst asi o 350 % během tří let.</w:t>
      </w:r>
    </w:p>
    <w:p w14:paraId="44A5D08D" w14:textId="77777777" w:rsidR="00804DB6" w:rsidRPr="00F15667" w:rsidRDefault="00804DB6" w:rsidP="00FB2C4D">
      <w:pPr>
        <w:pStyle w:val="OdstavecASR"/>
      </w:pPr>
      <w:r w:rsidRPr="00F15667">
        <w:t>Za tento nárůst jsou zodpovědné z části rozsáhlé konkursy velkých společností, které vyřizoval KS v Ostravě a které jsou známé i ze sdělovacích prostředků, a také úpadky společností tvořící tzv. „koncern“</w:t>
      </w:r>
      <w:r w:rsidRPr="00FB2C4D">
        <w:footnoteReference w:id="14"/>
      </w:r>
      <w:r w:rsidRPr="00F15667">
        <w:t>, které naproti tomu řešil KS v Brně</w:t>
      </w:r>
      <w:r w:rsidRPr="00FB2C4D">
        <w:footnoteReference w:id="15"/>
      </w:r>
      <w:r w:rsidRPr="00F15667">
        <w:t>. V těchto věcech napadlo velké množství incidenčních sporů především v letech 2014 až 2019 (a byly vyřízeny cca o rok až dva později). Ve valné většině bylo podáno odvolání a s určitým zpožděním tak tyto spory napadly u VS v Olomouci. Množství sporů je opravdu velké – i přesto, že VS v Olomouci je výrazně menší než VS v Praze, nápad incidenčních sporů byl u něj v letech 2018 a 2019 vyšší.</w:t>
      </w:r>
    </w:p>
    <w:p w14:paraId="283E8E5C" w14:textId="0F263DCB" w:rsidR="00804DB6" w:rsidRPr="00F15667" w:rsidRDefault="00804DB6" w:rsidP="00FB2C4D">
      <w:pPr>
        <w:pStyle w:val="OdstavecASR"/>
      </w:pPr>
      <w:r w:rsidRPr="00F15667">
        <w:t xml:space="preserve">Dále vidíme, že i přes obrovský nárůst v nápadu se </w:t>
      </w:r>
      <w:r w:rsidR="00481F1C" w:rsidRPr="00F15667">
        <w:t xml:space="preserve">u VS v Olomouci </w:t>
      </w:r>
      <w:r w:rsidRPr="00F15667">
        <w:t xml:space="preserve">nezvýšil počet nevyřízených </w:t>
      </w:r>
      <w:r w:rsidR="00481F1C" w:rsidRPr="00F15667">
        <w:t xml:space="preserve">věcí </w:t>
      </w:r>
      <w:r w:rsidRPr="00F15667">
        <w:t xml:space="preserve">a zároveň výrazně klesla vykázaná délka řízení. To ukazuje, že pro </w:t>
      </w:r>
      <w:r w:rsidR="00481F1C" w:rsidRPr="00F15667">
        <w:t xml:space="preserve">tento </w:t>
      </w:r>
      <w:r w:rsidRPr="00F15667">
        <w:t>soud nebylo složité agendu vyřídit, spíše naopak – vyřízení zabralo méně času než jiné incidenční spory.</w:t>
      </w:r>
    </w:p>
    <w:p w14:paraId="02E830CC" w14:textId="35F777E3" w:rsidR="00804DB6" w:rsidRPr="00F15667" w:rsidRDefault="00804DB6" w:rsidP="00FB2C4D">
      <w:pPr>
        <w:pStyle w:val="OdstavecASR"/>
      </w:pPr>
      <w:r w:rsidRPr="00F15667">
        <w:t>V roce 2020 počet příchozích věcí opět klesl přibližně na úroveň roku 2017. Po vyřízení rozsáhlých konkursů se věci tedy opět postupně vracejí „do normálu“. V roce 2021 pak počet příchozích i vyřízených věcí dále klesal a v roce 2022 víceméně stagnoval.</w:t>
      </w:r>
      <w:r w:rsidR="00481F1C" w:rsidRPr="00F15667">
        <w:t xml:space="preserve"> </w:t>
      </w:r>
    </w:p>
    <w:p w14:paraId="2E776948" w14:textId="46DD4EAA" w:rsidR="008430BD" w:rsidRPr="00F15667" w:rsidRDefault="008430BD" w:rsidP="008430BD">
      <w:pPr>
        <w:pStyle w:val="Nadpis3"/>
        <w:numPr>
          <w:ilvl w:val="2"/>
          <w:numId w:val="1"/>
        </w:numPr>
        <w:rPr>
          <w:color w:val="auto"/>
          <w:lang w:eastAsia="cs-CZ"/>
        </w:rPr>
      </w:pPr>
      <w:bookmarkStart w:id="1208" w:name="_Toc106092808"/>
      <w:bookmarkStart w:id="1209" w:name="_Toc144104422"/>
      <w:r w:rsidRPr="00F15667">
        <w:rPr>
          <w:color w:val="auto"/>
          <w:lang w:eastAsia="cs-CZ"/>
        </w:rPr>
        <w:lastRenderedPageBreak/>
        <w:t>Disposition time (dispoziční čas)</w:t>
      </w:r>
      <w:bookmarkEnd w:id="1208"/>
      <w:bookmarkEnd w:id="1209"/>
    </w:p>
    <w:p w14:paraId="1F115F36" w14:textId="3DD5EA94" w:rsidR="00804DB6" w:rsidRPr="00F15667" w:rsidRDefault="00804DB6" w:rsidP="00804DB6">
      <w:pPr>
        <w:pStyle w:val="Podnadpis"/>
        <w:numPr>
          <w:ilvl w:val="0"/>
          <w:numId w:val="0"/>
        </w:numPr>
        <w:rPr>
          <w:noProof/>
          <w:color w:val="auto"/>
          <w:lang w:eastAsia="cs-CZ"/>
        </w:rPr>
      </w:pPr>
      <w:bookmarkStart w:id="1210" w:name="_Toc43841477"/>
      <w:bookmarkStart w:id="1211" w:name="_Toc75952280"/>
      <w:bookmarkStart w:id="1212" w:name="_Toc106106737"/>
      <w:bookmarkStart w:id="1213" w:name="_Toc109802061"/>
      <w:bookmarkStart w:id="1214" w:name="_Toc144104211"/>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99</w:t>
      </w:r>
      <w:r w:rsidRPr="00F15667">
        <w:rPr>
          <w:color w:val="auto"/>
        </w:rPr>
        <w:fldChar w:fldCharType="end"/>
      </w:r>
      <w:r w:rsidRPr="00F15667">
        <w:rPr>
          <w:color w:val="auto"/>
        </w:rPr>
        <w:t>: VS – DT odvolacího řízení v incidenčních sporech</w:t>
      </w:r>
      <w:bookmarkEnd w:id="1210"/>
      <w:bookmarkEnd w:id="1211"/>
      <w:bookmarkEnd w:id="1212"/>
      <w:bookmarkEnd w:id="1213"/>
      <w:bookmarkEnd w:id="1214"/>
    </w:p>
    <w:p w14:paraId="38B520D8" w14:textId="7610EDCE" w:rsidR="00804DB6" w:rsidRPr="00F15667" w:rsidRDefault="00804DB6" w:rsidP="00FB2C4D">
      <w:pPr>
        <w:pStyle w:val="OdstavecASR"/>
      </w:pPr>
      <w:r w:rsidRPr="00F15667">
        <w:rPr>
          <w:noProof/>
          <w:lang w:eastAsia="cs-CZ"/>
        </w:rPr>
        <w:drawing>
          <wp:inline distT="0" distB="0" distL="0" distR="0" wp14:anchorId="42A97206" wp14:editId="383FC5A4">
            <wp:extent cx="5029200" cy="3657600"/>
            <wp:effectExtent l="0" t="0" r="0" b="0"/>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066F787" w14:textId="7AE92D24" w:rsidR="00804DB6" w:rsidRPr="00F15667" w:rsidRDefault="00804DB6" w:rsidP="00FB2C4D">
      <w:pPr>
        <w:pStyle w:val="OdstavecASR"/>
      </w:pPr>
      <w:r w:rsidRPr="00F15667">
        <w:rPr>
          <w:lang w:eastAsia="cs-CZ"/>
        </w:rPr>
        <w:t>Disposition time opět odráží výše popsané změny. U VS v Praze dlouhodobě osciluje přibližně mezi 140 a 180. U VS v Olomouci došlo k posledních třech letech k obrovskému poklesu z výše diskutovaných důvodů. Nárůst v letech 2021 je dán tím, že se věci opět vraceli „do normálu“, především s ohledem na pokles počtu vyřízených věcí. Rovněž je třeba poznamenat, že DT v roce 2011 nemá žádnou vypovídající hodnotu, protože rejstřík byl téměř zcela nový a napadaly do něj první věci.</w:t>
      </w:r>
    </w:p>
    <w:p w14:paraId="7F8440E4" w14:textId="002F1725" w:rsidR="008430BD" w:rsidRPr="00F15667" w:rsidRDefault="008430BD" w:rsidP="008430BD">
      <w:pPr>
        <w:rPr>
          <w:rFonts w:eastAsia="Times New Roman"/>
          <w:spacing w:val="15"/>
          <w:szCs w:val="24"/>
        </w:rPr>
      </w:pPr>
      <w:r w:rsidRPr="00F15667">
        <w:br w:type="page"/>
      </w:r>
    </w:p>
    <w:p w14:paraId="0FBA5FDF" w14:textId="2B4634CF" w:rsidR="008430BD" w:rsidRPr="00F15667" w:rsidRDefault="008430BD" w:rsidP="008430BD">
      <w:pPr>
        <w:pStyle w:val="Nadpis1"/>
        <w:pageBreakBefore/>
        <w:numPr>
          <w:ilvl w:val="0"/>
          <w:numId w:val="1"/>
        </w:numPr>
        <w:spacing w:after="120"/>
        <w:rPr>
          <w:lang w:eastAsia="cs-CZ"/>
        </w:rPr>
      </w:pPr>
      <w:bookmarkStart w:id="1215" w:name="_Toc515871294"/>
      <w:bookmarkStart w:id="1216" w:name="_Toc106092809"/>
      <w:bookmarkStart w:id="1217" w:name="_Toc144104423"/>
      <w:r w:rsidRPr="00F15667">
        <w:rPr>
          <w:lang w:eastAsia="cs-CZ"/>
        </w:rPr>
        <w:lastRenderedPageBreak/>
        <w:t>Nejvyšší soud</w:t>
      </w:r>
      <w:bookmarkEnd w:id="1215"/>
      <w:bookmarkEnd w:id="1216"/>
      <w:bookmarkEnd w:id="1217"/>
    </w:p>
    <w:p w14:paraId="145F4D8E" w14:textId="77777777" w:rsidR="007D76E4" w:rsidRPr="00F15667" w:rsidRDefault="007D76E4" w:rsidP="007D76E4">
      <w:pPr>
        <w:pStyle w:val="OdstavecASR"/>
      </w:pPr>
      <w:r w:rsidRPr="00F15667">
        <w:t>Největší část agendy Nejvyššího soudu (NS) ČR, který sídlí v Brně, tvoří věci, v nichž byl podán mimořádný opravný prostředek proti rozhodnutí odvolacích soudů. Jedná se především o dovolání, a to v občanskoprávním řízení (rejstřík Cdo, dříve také rejstřík Odo), trestním řízení (rejstřík Tdo), insolvenčním řízení (rejstřík NSČR) a incidenčních sporech (rejstřík ICdo). V této zprávě sledujeme také agendu stížností pro porušení zákona (rejstřík Tz), což je další mimořádný opravný prostředek v trestním řízení. Stejně jako u ostatních soudů nechybí v této kapitole ani data týkající se personální situace. Nejvyšší soud rozhoduje i v dalších případech stanovených předpisy upravujícími působnost soudů a řízení před soudem.</w:t>
      </w:r>
      <w:r w:rsidRPr="00F15667">
        <w:rPr>
          <w:rStyle w:val="Znakapoznpodarou"/>
        </w:rPr>
        <w:footnoteReference w:id="16"/>
      </w:r>
    </w:p>
    <w:p w14:paraId="272EF137" w14:textId="2CFA2865" w:rsidR="007D76E4" w:rsidRPr="00F15667" w:rsidRDefault="007D76E4" w:rsidP="007D76E4">
      <w:pPr>
        <w:pStyle w:val="OdstavecASR"/>
      </w:pPr>
      <w:r w:rsidRPr="00F15667">
        <w:t>V případě Nejvyššího soudu uvádí zpráva méně ukazatelů než u soudů nižších stupňů. Jsou pro to dva důvody. Za prvé, délka řízení a některé další statistické ukazatele nejsou k dispozici. Za druhé, soud je pouze jeden a není ho tedy s čím statisticky srovnávat. Přepočet vyřizování na jednoho soudce či výpočet disposition time zde tedy mají mnohem menší smysl než u ostatních soudů.</w:t>
      </w:r>
    </w:p>
    <w:p w14:paraId="4EE8A066" w14:textId="77777777" w:rsidR="007D76E4" w:rsidRPr="00F15667" w:rsidRDefault="007D76E4" w:rsidP="007D76E4">
      <w:pPr>
        <w:pStyle w:val="OdstavecASR"/>
      </w:pPr>
      <w:r w:rsidRPr="00F15667">
        <w:t>V této zprávě uvádíme základní statistické informace. Další údaje a informace o činnosti NS s rozsáhlým komentářem jsou dostupné v Ročence Nejvyššího soudu.</w:t>
      </w:r>
      <w:r w:rsidRPr="00F15667">
        <w:rPr>
          <w:rStyle w:val="Znakapoznpodarou"/>
        </w:rPr>
        <w:footnoteReference w:id="17"/>
      </w:r>
    </w:p>
    <w:p w14:paraId="4896EE65" w14:textId="3ED238AD" w:rsidR="008430BD" w:rsidRPr="00F15667" w:rsidRDefault="008430BD" w:rsidP="008430BD">
      <w:pPr>
        <w:pStyle w:val="Nadpis2"/>
        <w:keepNext w:val="0"/>
        <w:numPr>
          <w:ilvl w:val="1"/>
          <w:numId w:val="1"/>
        </w:numPr>
        <w:spacing w:before="120"/>
        <w:rPr>
          <w:color w:val="auto"/>
          <w:lang w:eastAsia="cs-CZ"/>
        </w:rPr>
      </w:pPr>
      <w:bookmarkStart w:id="1218" w:name="_Toc515871295"/>
      <w:bookmarkStart w:id="1219" w:name="_Toc106092810"/>
      <w:bookmarkStart w:id="1220" w:name="_Toc144104424"/>
      <w:r w:rsidRPr="00F15667">
        <w:rPr>
          <w:color w:val="auto"/>
          <w:lang w:eastAsia="cs-CZ"/>
        </w:rPr>
        <w:t>Personál</w:t>
      </w:r>
      <w:bookmarkEnd w:id="1218"/>
      <w:bookmarkEnd w:id="1219"/>
      <w:bookmarkEnd w:id="1220"/>
    </w:p>
    <w:p w14:paraId="61447CDE" w14:textId="0E8CD45E" w:rsidR="008430BD" w:rsidRPr="00F15667" w:rsidRDefault="008430BD" w:rsidP="008430BD">
      <w:pPr>
        <w:pStyle w:val="Nadpis3"/>
        <w:keepNext w:val="0"/>
        <w:numPr>
          <w:ilvl w:val="2"/>
          <w:numId w:val="1"/>
        </w:numPr>
        <w:rPr>
          <w:color w:val="auto"/>
          <w:lang w:eastAsia="cs-CZ"/>
        </w:rPr>
      </w:pPr>
      <w:bookmarkStart w:id="1221" w:name="_Toc515871296"/>
      <w:bookmarkStart w:id="1222" w:name="_Toc106092811"/>
      <w:bookmarkStart w:id="1223" w:name="_Toc144104425"/>
      <w:r w:rsidRPr="00F15667">
        <w:rPr>
          <w:color w:val="auto"/>
          <w:lang w:eastAsia="cs-CZ"/>
        </w:rPr>
        <w:t>Soudci</w:t>
      </w:r>
      <w:bookmarkEnd w:id="1221"/>
      <w:bookmarkEnd w:id="1222"/>
      <w:bookmarkEnd w:id="1223"/>
    </w:p>
    <w:p w14:paraId="0113D60D" w14:textId="40189B5F" w:rsidR="007D76E4" w:rsidRPr="00F15667" w:rsidRDefault="007D76E4" w:rsidP="007D76E4">
      <w:pPr>
        <w:pStyle w:val="OdstavecASR"/>
      </w:pPr>
      <w:r w:rsidRPr="00F15667">
        <w:t xml:space="preserve">Počet soudců se od roku 2009 do roku 2014 pomalu zvyšoval. Celkem se </w:t>
      </w:r>
      <w:r w:rsidR="00915ADC" w:rsidRPr="00F15667">
        <w:t xml:space="preserve">v letech 2009 až 2014 evidenční počet soudců </w:t>
      </w:r>
      <w:r w:rsidRPr="00F15667">
        <w:t xml:space="preserve">zvýšil o šest soudců, tedy o 10 %. Z důvodu dovršení věku 70 let odešli v roce 2016 </w:t>
      </w:r>
      <w:r w:rsidR="00915ADC" w:rsidRPr="00F15667">
        <w:t>dva </w:t>
      </w:r>
      <w:r w:rsidRPr="00F15667">
        <w:t>soudci. K 1. 1. 2017 nicméně došlo k doplnění počtu soudců, takže jich k tomuto datu u NS působilo 69. K 1. 1. 2019 u soudu působilo 66 soudců. V roce 2019 došlo k značnému navýšení plánovaného počtu soudců, a to na 72. Soudci byli k soudu následně i jmenováni, a evidenční počet soudců v roce 2020 vzrostl na 71. V roce 2021 počet soudců o 2 klesl a v roce 2022 opět vzrostl na 71, když byl posílen trestní úsek. Soud je také dlouhodobě posilován o stážisty z nižších soudů (aktuálně jich zde působí šest, pět z nich jakožto soudci občanskoprávního a obchodního kolegia).</w:t>
      </w:r>
      <w:r w:rsidRPr="00F15667">
        <w:rPr>
          <w:rStyle w:val="Znakapoznpodarou"/>
        </w:rPr>
        <w:footnoteReference w:id="18"/>
      </w:r>
    </w:p>
    <w:p w14:paraId="2F4BF770" w14:textId="7D135719" w:rsidR="007D76E4" w:rsidRPr="00F15667" w:rsidRDefault="007D76E4" w:rsidP="007D76E4">
      <w:pPr>
        <w:pStyle w:val="Podnadpis"/>
        <w:rPr>
          <w:color w:val="auto"/>
        </w:rPr>
      </w:pPr>
      <w:bookmarkStart w:id="1224" w:name="_Toc515871421"/>
      <w:bookmarkStart w:id="1225" w:name="_Toc11135152"/>
      <w:bookmarkStart w:id="1226" w:name="_Toc43841478"/>
      <w:bookmarkStart w:id="1227" w:name="_Toc75952281"/>
      <w:bookmarkStart w:id="1228" w:name="_Toc106106738"/>
      <w:bookmarkStart w:id="1229" w:name="_Toc109802062"/>
      <w:bookmarkStart w:id="1230" w:name="_Toc144104212"/>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100</w:t>
      </w:r>
      <w:r w:rsidRPr="00F15667">
        <w:rPr>
          <w:color w:val="auto"/>
        </w:rPr>
        <w:fldChar w:fldCharType="end"/>
      </w:r>
      <w:r w:rsidRPr="00F15667">
        <w:rPr>
          <w:color w:val="auto"/>
        </w:rPr>
        <w:t>: NS – počet soudců v letech 2008–20</w:t>
      </w:r>
      <w:bookmarkEnd w:id="1224"/>
      <w:bookmarkEnd w:id="1225"/>
      <w:bookmarkEnd w:id="1226"/>
      <w:r w:rsidRPr="00F15667">
        <w:rPr>
          <w:color w:val="auto"/>
        </w:rPr>
        <w:t>2</w:t>
      </w:r>
      <w:bookmarkEnd w:id="1227"/>
      <w:bookmarkEnd w:id="1228"/>
      <w:bookmarkEnd w:id="1229"/>
      <w:r w:rsidRPr="00F15667">
        <w:rPr>
          <w:color w:val="auto"/>
        </w:rPr>
        <w:t>2</w:t>
      </w:r>
      <w:bookmarkEnd w:id="1230"/>
    </w:p>
    <w:p w14:paraId="4BBBDCD6" w14:textId="16DEC8C2" w:rsidR="007D76E4" w:rsidRPr="00F15667" w:rsidRDefault="007D76E4" w:rsidP="00FB2C4D">
      <w:pPr>
        <w:pStyle w:val="OdstavecASR"/>
      </w:pPr>
      <w:r w:rsidRPr="00F15667">
        <w:rPr>
          <w:noProof/>
          <w:lang w:eastAsia="cs-CZ"/>
        </w:rPr>
        <w:drawing>
          <wp:inline distT="0" distB="0" distL="0" distR="0" wp14:anchorId="5E94862F" wp14:editId="6E67957D">
            <wp:extent cx="5029200" cy="3657600"/>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209B3C" w14:textId="063C26BA" w:rsidR="007D76E4" w:rsidRPr="00F15667" w:rsidRDefault="007D76E4" w:rsidP="007D76E4">
      <w:pPr>
        <w:pStyle w:val="Podnadpis"/>
        <w:rPr>
          <w:color w:val="auto"/>
        </w:rPr>
      </w:pPr>
      <w:bookmarkStart w:id="1231" w:name="_Toc515871422"/>
      <w:bookmarkStart w:id="1232" w:name="_Toc11135153"/>
      <w:bookmarkStart w:id="1233" w:name="_Toc43841479"/>
      <w:bookmarkStart w:id="1234" w:name="_Toc75952282"/>
      <w:bookmarkStart w:id="1235" w:name="_Toc106106739"/>
      <w:bookmarkStart w:id="1236" w:name="_Toc109802063"/>
      <w:bookmarkStart w:id="1237" w:name="_Toc144104213"/>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101</w:t>
      </w:r>
      <w:r w:rsidRPr="00F15667">
        <w:rPr>
          <w:color w:val="auto"/>
        </w:rPr>
        <w:fldChar w:fldCharType="end"/>
      </w:r>
      <w:r w:rsidRPr="00F15667">
        <w:rPr>
          <w:color w:val="auto"/>
        </w:rPr>
        <w:t>: NS – evidenční počet soudců dle soudních úseků v letech 2008–</w:t>
      </w:r>
      <w:bookmarkEnd w:id="1231"/>
      <w:bookmarkEnd w:id="1232"/>
      <w:r w:rsidRPr="00F15667">
        <w:rPr>
          <w:color w:val="auto"/>
        </w:rPr>
        <w:t>2</w:t>
      </w:r>
      <w:bookmarkEnd w:id="1233"/>
      <w:r w:rsidRPr="00F15667">
        <w:rPr>
          <w:color w:val="auto"/>
        </w:rPr>
        <w:t>02</w:t>
      </w:r>
      <w:bookmarkEnd w:id="1234"/>
      <w:bookmarkEnd w:id="1235"/>
      <w:bookmarkEnd w:id="1236"/>
      <w:r w:rsidRPr="00F15667">
        <w:rPr>
          <w:color w:val="auto"/>
        </w:rPr>
        <w:t>2</w:t>
      </w:r>
      <w:bookmarkEnd w:id="1237"/>
    </w:p>
    <w:p w14:paraId="0967D9F1" w14:textId="1A0AE466" w:rsidR="007D76E4" w:rsidRPr="00F15667" w:rsidRDefault="007D76E4" w:rsidP="00527C2C">
      <w:pPr>
        <w:pStyle w:val="OdstavecASR"/>
      </w:pPr>
      <w:r w:rsidRPr="00F15667">
        <w:rPr>
          <w:noProof/>
          <w:lang w:eastAsia="cs-CZ"/>
        </w:rPr>
        <w:drawing>
          <wp:inline distT="0" distB="0" distL="0" distR="0" wp14:anchorId="15784D6C" wp14:editId="375CBBAA">
            <wp:extent cx="5029200" cy="3657600"/>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83AF90C" w14:textId="77777777" w:rsidR="007D76E4" w:rsidRPr="00F15667" w:rsidRDefault="007D76E4" w:rsidP="007D76E4">
      <w:pPr>
        <w:pStyle w:val="OdstavecASR"/>
      </w:pPr>
      <w:r w:rsidRPr="00F15667">
        <w:t xml:space="preserve">Z dalšího grafu vyčteme, že výše zmíněný mírný nárůst v počtu soudců v letech 2009 až 2014 se odehrál na civilním úseku soudu. V roce 2017 byl především posílen také civilní úsek. V roce 2018 na tomto úseku 2 soudci skončili. V roce 2019 na trestním úseku ubyli hned 4 soudci a na civilním </w:t>
      </w:r>
      <w:r w:rsidRPr="00F15667">
        <w:lastRenderedPageBreak/>
        <w:t>úseku 2 přibyli. To poměrně značně změnilo velikostní poměr mezi oběma úseky. V roce 2020 pak přibyli soudci na obou úsecích a v roce 2021 naopak ubyli.</w:t>
      </w:r>
    </w:p>
    <w:p w14:paraId="49711E1F" w14:textId="17A094CE" w:rsidR="007D76E4" w:rsidRPr="00F15667" w:rsidRDefault="007D76E4" w:rsidP="007D76E4">
      <w:pPr>
        <w:pStyle w:val="OdstavecASR"/>
      </w:pPr>
      <w:r w:rsidRPr="00F15667">
        <w:t>Na dalším grafu je stejně jako u ostatních soudů zobrazen vývoj počtu soudců a soudkyň. Od roku 2009 se počet mužů zvyšoval a v roce 2017 došlo k dalšímu významnému růstu. Teprve v roce 2019 se výše popsaný trend zarazil a podíl žen dokonce mírně stoupl. V roce 2020 ale bylo k soudu jmenováno dalších 5 mužů</w:t>
      </w:r>
      <w:r w:rsidR="00B17E49" w:rsidRPr="00F15667">
        <w:t>, přičemž v roce 2022 se nůžky mezi muži a ženami rozevřely nejvíce od sledovaného roku.</w:t>
      </w:r>
    </w:p>
    <w:p w14:paraId="139D6029" w14:textId="3A0226DC" w:rsidR="007D76E4" w:rsidRPr="00F15667" w:rsidRDefault="007D76E4" w:rsidP="007D76E4">
      <w:pPr>
        <w:pStyle w:val="OdstavecASR"/>
      </w:pPr>
      <w:r w:rsidRPr="00F15667">
        <w:t xml:space="preserve">U Nejvyššího soudu tak </w:t>
      </w:r>
      <w:r w:rsidR="0087295A" w:rsidRPr="00F15667">
        <w:t xml:space="preserve">nejenom </w:t>
      </w:r>
      <w:r w:rsidRPr="00F15667">
        <w:t>pokračuje trend snižování podílu soudkyň s každým dalším článkem soudní soustavy</w:t>
      </w:r>
      <w:r w:rsidR="0087295A" w:rsidRPr="00F15667">
        <w:t xml:space="preserve">, </w:t>
      </w:r>
      <w:r w:rsidR="00B926A3" w:rsidRPr="00F15667">
        <w:t>ale nepoměr</w:t>
      </w:r>
      <w:r w:rsidR="0087295A" w:rsidRPr="00F15667">
        <w:t xml:space="preserve"> se v průběhu času prohlubuje</w:t>
      </w:r>
      <w:r w:rsidRPr="00F15667">
        <w:t xml:space="preserve">. V roce 2022 byl podíl soudkyň </w:t>
      </w:r>
      <w:r w:rsidR="0087295A" w:rsidRPr="00F15667">
        <w:t xml:space="preserve">pouze </w:t>
      </w:r>
      <w:r w:rsidRPr="00F15667">
        <w:t>necelých 17 %.</w:t>
      </w:r>
    </w:p>
    <w:p w14:paraId="5570CD61" w14:textId="2EBC5EE7" w:rsidR="007D76E4" w:rsidRPr="00F15667" w:rsidRDefault="007D76E4" w:rsidP="007D76E4">
      <w:pPr>
        <w:pStyle w:val="Podnadpis"/>
        <w:rPr>
          <w:color w:val="auto"/>
        </w:rPr>
      </w:pPr>
      <w:bookmarkStart w:id="1238" w:name="_Toc144104214"/>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102</w:t>
      </w:r>
      <w:r w:rsidRPr="00F15667">
        <w:rPr>
          <w:color w:val="auto"/>
        </w:rPr>
        <w:fldChar w:fldCharType="end"/>
      </w:r>
      <w:r w:rsidRPr="00F15667">
        <w:rPr>
          <w:color w:val="auto"/>
        </w:rPr>
        <w:t>: NS – evidenční počet soudců dle soudních úseků v letech 2008–2022</w:t>
      </w:r>
      <w:bookmarkEnd w:id="1238"/>
    </w:p>
    <w:p w14:paraId="101752E9" w14:textId="2240230C" w:rsidR="007D76E4" w:rsidRPr="00F15667" w:rsidRDefault="007D76E4" w:rsidP="00527C2C">
      <w:pPr>
        <w:pStyle w:val="OdstavecASR"/>
      </w:pPr>
      <w:r w:rsidRPr="00F15667">
        <w:rPr>
          <w:noProof/>
          <w:lang w:eastAsia="cs-CZ"/>
        </w:rPr>
        <w:drawing>
          <wp:inline distT="0" distB="0" distL="0" distR="0" wp14:anchorId="4CECE25A" wp14:editId="13C9BEB9">
            <wp:extent cx="5029200" cy="3657600"/>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3A56895" w14:textId="12CD037E" w:rsidR="009A317F" w:rsidRPr="00F15667" w:rsidRDefault="009A317F" w:rsidP="00FB2C4D">
      <w:pPr>
        <w:pStyle w:val="OdstavecASR"/>
      </w:pPr>
      <w:r w:rsidRPr="00F15667">
        <w:t xml:space="preserve">Věkovou strukturu soudců zkoumáme i u Nejvyššího soudu. Soudci u Nejvyššího soudu se už v průměru nezdají být starší než soudci u vrchních soudů. I zde však došlo během let ke změnám ve věkové struktuře. Zvyšoval se podíl soudců ve věku 61–70 let a snižoval se podíl soudců mezi 51. a 60. rokem věku. V roce 2020 došlo k nárůstu ve věkové kategorii 41 až 50 let. Můžeme tedy uzavřít, že soud v roce 2020 posílili muži ve věku 41 až 50 let. V roce 2021 můžeme rovněž vidět nárůst podílu soudců ve věkové skupině 41 až 50 let. Lze tedy říct, že </w:t>
      </w:r>
      <w:r w:rsidR="00E16E43" w:rsidRPr="00F15667">
        <w:t xml:space="preserve">jestliže </w:t>
      </w:r>
      <w:r w:rsidR="00B926A3" w:rsidRPr="00F15667">
        <w:t>se těchto</w:t>
      </w:r>
      <w:r w:rsidR="00280D2F" w:rsidRPr="00F15667">
        <w:t xml:space="preserve"> </w:t>
      </w:r>
      <w:r w:rsidRPr="00F15667">
        <w:t>letech zvýšil podíl mladších soudců u Nejvyššího soudu</w:t>
      </w:r>
      <w:r w:rsidR="00E16E43" w:rsidRPr="00F15667">
        <w:t>, v</w:t>
      </w:r>
      <w:r w:rsidR="00280D2F" w:rsidRPr="00F15667">
        <w:t> roce 2022 se</w:t>
      </w:r>
      <w:r w:rsidR="00E16E43" w:rsidRPr="00F15667">
        <w:t xml:space="preserve"> </w:t>
      </w:r>
      <w:r w:rsidR="00280D2F" w:rsidRPr="00F15667">
        <w:t xml:space="preserve">tento trend </w:t>
      </w:r>
      <w:r w:rsidR="00E16E43" w:rsidRPr="00F15667">
        <w:t xml:space="preserve">zatím </w:t>
      </w:r>
      <w:r w:rsidR="00280D2F" w:rsidRPr="00F15667">
        <w:t>zastavil.</w:t>
      </w:r>
    </w:p>
    <w:p w14:paraId="4ECC84B0" w14:textId="341C4243" w:rsidR="009A317F" w:rsidRPr="00F15667" w:rsidRDefault="009A317F" w:rsidP="009A317F">
      <w:pPr>
        <w:pStyle w:val="Podnadpis"/>
        <w:rPr>
          <w:color w:val="auto"/>
        </w:rPr>
      </w:pPr>
      <w:bookmarkStart w:id="1239" w:name="_Toc515871424"/>
      <w:bookmarkStart w:id="1240" w:name="_Toc11135155"/>
      <w:bookmarkStart w:id="1241" w:name="_Toc43841481"/>
      <w:bookmarkStart w:id="1242" w:name="_Toc75952284"/>
      <w:bookmarkStart w:id="1243" w:name="_Toc106106740"/>
      <w:bookmarkStart w:id="1244" w:name="_Toc109802064"/>
      <w:bookmarkStart w:id="1245" w:name="_Toc144104215"/>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103</w:t>
      </w:r>
      <w:r w:rsidRPr="00F15667">
        <w:rPr>
          <w:color w:val="auto"/>
        </w:rPr>
        <w:fldChar w:fldCharType="end"/>
      </w:r>
      <w:r w:rsidRPr="00F15667">
        <w:rPr>
          <w:color w:val="auto"/>
        </w:rPr>
        <w:t>: NS – věková struktura soudců v letech 2008–20</w:t>
      </w:r>
      <w:bookmarkEnd w:id="1239"/>
      <w:bookmarkEnd w:id="1240"/>
      <w:bookmarkEnd w:id="1241"/>
      <w:r w:rsidRPr="00F15667">
        <w:rPr>
          <w:color w:val="auto"/>
        </w:rPr>
        <w:t>2</w:t>
      </w:r>
      <w:bookmarkEnd w:id="1242"/>
      <w:r w:rsidRPr="00F15667">
        <w:rPr>
          <w:color w:val="auto"/>
        </w:rPr>
        <w:t>1</w:t>
      </w:r>
      <w:bookmarkEnd w:id="1243"/>
      <w:bookmarkEnd w:id="1244"/>
      <w:bookmarkEnd w:id="1245"/>
    </w:p>
    <w:p w14:paraId="118D4539" w14:textId="46094594" w:rsidR="009A317F" w:rsidRPr="00F15667" w:rsidRDefault="009A317F" w:rsidP="00527C2C">
      <w:pPr>
        <w:pStyle w:val="OdstavecASR"/>
      </w:pPr>
      <w:r w:rsidRPr="00F15667">
        <w:rPr>
          <w:noProof/>
          <w:lang w:eastAsia="cs-CZ"/>
        </w:rPr>
        <w:drawing>
          <wp:inline distT="0" distB="0" distL="0" distR="0" wp14:anchorId="329E5A4A" wp14:editId="4DE5F060">
            <wp:extent cx="5029200" cy="3657600"/>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B92934B" w14:textId="77777777" w:rsidR="00280D2F" w:rsidRPr="00F15667" w:rsidRDefault="00280D2F" w:rsidP="00280D2F">
      <w:pPr>
        <w:pStyle w:val="Nadpis3"/>
        <w:numPr>
          <w:ilvl w:val="2"/>
          <w:numId w:val="1"/>
        </w:numPr>
        <w:rPr>
          <w:color w:val="auto"/>
          <w:lang w:eastAsia="cs-CZ"/>
        </w:rPr>
      </w:pPr>
      <w:bookmarkStart w:id="1246" w:name="_Toc515871297"/>
      <w:bookmarkStart w:id="1247" w:name="_Toc106092812"/>
      <w:bookmarkStart w:id="1248" w:name="_Toc109801423"/>
      <w:bookmarkStart w:id="1249" w:name="_Toc144104426"/>
      <w:r w:rsidRPr="00F15667">
        <w:rPr>
          <w:color w:val="auto"/>
          <w:lang w:eastAsia="cs-CZ"/>
        </w:rPr>
        <w:t>Zaměstnanci ve výkonu</w:t>
      </w:r>
      <w:bookmarkEnd w:id="1246"/>
      <w:bookmarkEnd w:id="1247"/>
      <w:bookmarkEnd w:id="1248"/>
      <w:bookmarkEnd w:id="1249"/>
    </w:p>
    <w:p w14:paraId="4129A98B" w14:textId="10E4154D" w:rsidR="00280D2F" w:rsidRPr="00F15667" w:rsidRDefault="00280D2F" w:rsidP="00280D2F">
      <w:pPr>
        <w:pStyle w:val="OdstavecASR"/>
      </w:pPr>
      <w:r w:rsidRPr="00F15667">
        <w:t xml:space="preserve">Diametrálně odlišná povaha rozhodovací činnosti Nejvyššího soudu oproti soudům nižších stupňů (téměř vždy se rozhoduje bez jednání, řeší se téměř výhradně složité právní otázky) se nutně odráží i ve zcela odlišné struktuře zaměstnanců ve výkonu. Ve srovnání s předchozím rokem se počet zaměstnanců ve výkonu </w:t>
      </w:r>
      <w:r w:rsidR="003F471F" w:rsidRPr="00F15667">
        <w:t xml:space="preserve">sice </w:t>
      </w:r>
      <w:r w:rsidRPr="00F15667">
        <w:t>takřka nezměnil</w:t>
      </w:r>
      <w:r w:rsidR="003F471F" w:rsidRPr="00F15667">
        <w:t>, pro zajímavost ale uvádíme srovnání s rokem 2016.</w:t>
      </w:r>
    </w:p>
    <w:p w14:paraId="765A18BA" w14:textId="2713386D" w:rsidR="00280D2F" w:rsidRPr="00F15667" w:rsidRDefault="00280D2F" w:rsidP="00280D2F">
      <w:pPr>
        <w:pStyle w:val="Podnadpis"/>
        <w:rPr>
          <w:color w:val="auto"/>
        </w:rPr>
      </w:pPr>
      <w:bookmarkStart w:id="1250" w:name="_Toc515871505"/>
      <w:bookmarkStart w:id="1251" w:name="_Toc11133271"/>
      <w:bookmarkStart w:id="1252" w:name="_Toc43931253"/>
      <w:bookmarkStart w:id="1253" w:name="_Toc75952387"/>
      <w:bookmarkStart w:id="1254" w:name="_Toc106106840"/>
      <w:bookmarkStart w:id="1255" w:name="_Toc109802163"/>
      <w:bookmarkStart w:id="1256" w:name="_Toc144104322"/>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83</w:t>
      </w:r>
      <w:r w:rsidRPr="00F15667">
        <w:rPr>
          <w:color w:val="auto"/>
        </w:rPr>
        <w:fldChar w:fldCharType="end"/>
      </w:r>
      <w:r w:rsidRPr="00F15667">
        <w:rPr>
          <w:color w:val="auto"/>
        </w:rPr>
        <w:t>: NS – počet zaměstnanců ve výkonu</w:t>
      </w:r>
      <w:bookmarkEnd w:id="1250"/>
      <w:bookmarkEnd w:id="1251"/>
      <w:bookmarkEnd w:id="1252"/>
      <w:bookmarkEnd w:id="1253"/>
      <w:bookmarkEnd w:id="1254"/>
      <w:bookmarkEnd w:id="1255"/>
      <w:bookmarkEnd w:id="1256"/>
    </w:p>
    <w:tbl>
      <w:tblPr>
        <w:tblW w:w="5387" w:type="dxa"/>
        <w:tblCellMar>
          <w:left w:w="70" w:type="dxa"/>
          <w:right w:w="70" w:type="dxa"/>
        </w:tblCellMar>
        <w:tblLook w:val="04A0" w:firstRow="1" w:lastRow="0" w:firstColumn="1" w:lastColumn="0" w:noHBand="0" w:noVBand="1"/>
      </w:tblPr>
      <w:tblGrid>
        <w:gridCol w:w="3680"/>
        <w:gridCol w:w="1707"/>
      </w:tblGrid>
      <w:tr w:rsidR="00F15667" w:rsidRPr="00F15667" w14:paraId="2213EE30" w14:textId="77777777" w:rsidTr="00FB2C4D">
        <w:trPr>
          <w:trHeight w:val="345"/>
        </w:trPr>
        <w:tc>
          <w:tcPr>
            <w:tcW w:w="3680" w:type="dxa"/>
            <w:tcBorders>
              <w:top w:val="double" w:sz="6" w:space="0" w:color="auto"/>
              <w:left w:val="nil"/>
              <w:bottom w:val="double" w:sz="6" w:space="0" w:color="auto"/>
              <w:right w:val="nil"/>
            </w:tcBorders>
            <w:shd w:val="clear" w:color="auto" w:fill="auto"/>
            <w:noWrap/>
            <w:vAlign w:val="center"/>
            <w:hideMark/>
          </w:tcPr>
          <w:p w14:paraId="79CC6475" w14:textId="571B5B25" w:rsidR="001F6075" w:rsidRPr="00FB2C4D" w:rsidRDefault="00FB2C4D" w:rsidP="00FB2C4D">
            <w:pPr>
              <w:spacing w:line="240" w:lineRule="auto"/>
              <w:jc w:val="center"/>
              <w:rPr>
                <w:rFonts w:eastAsia="Times New Roman"/>
                <w:b/>
                <w:bCs/>
                <w:szCs w:val="24"/>
                <w:lang w:eastAsia="cs-CZ"/>
              </w:rPr>
            </w:pPr>
            <w:r w:rsidRPr="00FB2C4D">
              <w:rPr>
                <w:rFonts w:eastAsia="Times New Roman"/>
                <w:b/>
                <w:bCs/>
                <w:szCs w:val="24"/>
                <w:lang w:eastAsia="cs-CZ"/>
              </w:rPr>
              <w:t>Funkce</w:t>
            </w:r>
          </w:p>
        </w:tc>
        <w:tc>
          <w:tcPr>
            <w:tcW w:w="1707" w:type="dxa"/>
            <w:tcBorders>
              <w:top w:val="double" w:sz="6" w:space="0" w:color="auto"/>
              <w:left w:val="nil"/>
              <w:bottom w:val="double" w:sz="6" w:space="0" w:color="auto"/>
              <w:right w:val="nil"/>
            </w:tcBorders>
            <w:shd w:val="clear" w:color="auto" w:fill="auto"/>
            <w:noWrap/>
            <w:vAlign w:val="center"/>
            <w:hideMark/>
          </w:tcPr>
          <w:p w14:paraId="3136E5A0" w14:textId="11B5F81E" w:rsidR="001F6075" w:rsidRPr="00FB2C4D" w:rsidRDefault="001F6075" w:rsidP="00FB2C4D">
            <w:pPr>
              <w:spacing w:line="240" w:lineRule="auto"/>
              <w:jc w:val="center"/>
              <w:rPr>
                <w:rFonts w:eastAsia="Times New Roman"/>
                <w:b/>
                <w:bCs/>
                <w:szCs w:val="24"/>
                <w:lang w:eastAsia="cs-CZ"/>
              </w:rPr>
            </w:pPr>
            <w:r w:rsidRPr="00FB2C4D">
              <w:rPr>
                <w:rFonts w:eastAsia="Times New Roman"/>
                <w:b/>
                <w:bCs/>
                <w:szCs w:val="24"/>
                <w:lang w:eastAsia="cs-CZ"/>
              </w:rPr>
              <w:t>Počet osob</w:t>
            </w:r>
            <w:r w:rsidR="003F471F" w:rsidRPr="00FB2C4D">
              <w:rPr>
                <w:rFonts w:eastAsia="Times New Roman"/>
                <w:b/>
                <w:bCs/>
                <w:szCs w:val="24"/>
                <w:lang w:eastAsia="cs-CZ"/>
              </w:rPr>
              <w:t xml:space="preserve"> 202</w:t>
            </w:r>
            <w:r w:rsidR="006812BF" w:rsidRPr="00FB2C4D">
              <w:rPr>
                <w:rFonts w:eastAsia="Times New Roman"/>
                <w:b/>
                <w:bCs/>
                <w:szCs w:val="24"/>
                <w:lang w:eastAsia="cs-CZ"/>
              </w:rPr>
              <w:t>2</w:t>
            </w:r>
            <w:r w:rsidR="003F471F" w:rsidRPr="00FB2C4D">
              <w:rPr>
                <w:rFonts w:eastAsia="Times New Roman"/>
                <w:b/>
                <w:bCs/>
                <w:szCs w:val="24"/>
                <w:lang w:eastAsia="cs-CZ"/>
              </w:rPr>
              <w:t xml:space="preserve"> / 2016</w:t>
            </w:r>
          </w:p>
        </w:tc>
      </w:tr>
      <w:tr w:rsidR="00F15667" w:rsidRPr="00F15667" w14:paraId="65680EDB" w14:textId="77777777" w:rsidTr="00FB2C4D">
        <w:trPr>
          <w:trHeight w:val="330"/>
        </w:trPr>
        <w:tc>
          <w:tcPr>
            <w:tcW w:w="3680" w:type="dxa"/>
            <w:tcBorders>
              <w:top w:val="nil"/>
              <w:left w:val="nil"/>
              <w:bottom w:val="single" w:sz="4" w:space="0" w:color="auto"/>
              <w:right w:val="nil"/>
            </w:tcBorders>
            <w:shd w:val="clear" w:color="auto" w:fill="auto"/>
            <w:noWrap/>
            <w:vAlign w:val="center"/>
            <w:hideMark/>
          </w:tcPr>
          <w:p w14:paraId="71A570B7" w14:textId="77777777" w:rsidR="001F6075" w:rsidRPr="00FB2C4D" w:rsidRDefault="001F6075" w:rsidP="00FB2C4D">
            <w:pPr>
              <w:spacing w:line="240" w:lineRule="auto"/>
              <w:jc w:val="left"/>
              <w:rPr>
                <w:rFonts w:eastAsia="Times New Roman"/>
                <w:szCs w:val="24"/>
                <w:lang w:eastAsia="cs-CZ"/>
              </w:rPr>
            </w:pPr>
            <w:r w:rsidRPr="00FB2C4D">
              <w:rPr>
                <w:rFonts w:eastAsia="Times New Roman"/>
                <w:szCs w:val="24"/>
                <w:lang w:eastAsia="cs-CZ"/>
              </w:rPr>
              <w:t>Asistent</w:t>
            </w:r>
          </w:p>
        </w:tc>
        <w:tc>
          <w:tcPr>
            <w:tcW w:w="1707" w:type="dxa"/>
            <w:tcBorders>
              <w:top w:val="nil"/>
              <w:left w:val="nil"/>
              <w:bottom w:val="single" w:sz="4" w:space="0" w:color="auto"/>
              <w:right w:val="nil"/>
            </w:tcBorders>
            <w:shd w:val="clear" w:color="auto" w:fill="auto"/>
            <w:noWrap/>
            <w:vAlign w:val="center"/>
            <w:hideMark/>
          </w:tcPr>
          <w:p w14:paraId="72E20F0B" w14:textId="300FE89A" w:rsidR="001F6075" w:rsidRPr="00FB2C4D" w:rsidRDefault="001F6075" w:rsidP="00FB2C4D">
            <w:pPr>
              <w:spacing w:line="240" w:lineRule="auto"/>
              <w:jc w:val="center"/>
              <w:rPr>
                <w:rFonts w:eastAsia="Times New Roman"/>
                <w:szCs w:val="24"/>
                <w:lang w:eastAsia="cs-CZ"/>
              </w:rPr>
            </w:pPr>
            <w:r w:rsidRPr="00FB2C4D">
              <w:rPr>
                <w:rFonts w:eastAsia="Times New Roman"/>
                <w:szCs w:val="24"/>
                <w:lang w:eastAsia="cs-CZ"/>
              </w:rPr>
              <w:t>157</w:t>
            </w:r>
            <w:r w:rsidR="003F471F" w:rsidRPr="00FB2C4D">
              <w:rPr>
                <w:rFonts w:eastAsia="Times New Roman"/>
                <w:szCs w:val="24"/>
                <w:lang w:eastAsia="cs-CZ"/>
              </w:rPr>
              <w:t xml:space="preserve"> / 143</w:t>
            </w:r>
          </w:p>
        </w:tc>
      </w:tr>
      <w:tr w:rsidR="00F15667" w:rsidRPr="00F15667" w14:paraId="7511BF81" w14:textId="77777777" w:rsidTr="00FB2C4D">
        <w:trPr>
          <w:trHeight w:val="315"/>
        </w:trPr>
        <w:tc>
          <w:tcPr>
            <w:tcW w:w="3680" w:type="dxa"/>
            <w:tcBorders>
              <w:top w:val="nil"/>
              <w:left w:val="nil"/>
              <w:bottom w:val="single" w:sz="4" w:space="0" w:color="auto"/>
              <w:right w:val="nil"/>
            </w:tcBorders>
            <w:shd w:val="clear" w:color="auto" w:fill="auto"/>
            <w:noWrap/>
            <w:vAlign w:val="center"/>
            <w:hideMark/>
          </w:tcPr>
          <w:p w14:paraId="640EDD1F" w14:textId="77777777" w:rsidR="001F6075" w:rsidRPr="00FB2C4D" w:rsidRDefault="001F6075" w:rsidP="00FB2C4D">
            <w:pPr>
              <w:spacing w:line="240" w:lineRule="auto"/>
              <w:jc w:val="left"/>
              <w:rPr>
                <w:rFonts w:eastAsia="Times New Roman"/>
                <w:szCs w:val="24"/>
                <w:lang w:eastAsia="cs-CZ"/>
              </w:rPr>
            </w:pPr>
            <w:r w:rsidRPr="00FB2C4D">
              <w:rPr>
                <w:rFonts w:eastAsia="Times New Roman"/>
                <w:szCs w:val="24"/>
                <w:lang w:eastAsia="cs-CZ"/>
              </w:rPr>
              <w:t>Vedoucí kanceláře</w:t>
            </w:r>
          </w:p>
        </w:tc>
        <w:tc>
          <w:tcPr>
            <w:tcW w:w="1707" w:type="dxa"/>
            <w:tcBorders>
              <w:top w:val="nil"/>
              <w:left w:val="nil"/>
              <w:bottom w:val="single" w:sz="4" w:space="0" w:color="auto"/>
              <w:right w:val="nil"/>
            </w:tcBorders>
            <w:shd w:val="clear" w:color="auto" w:fill="auto"/>
            <w:noWrap/>
            <w:vAlign w:val="center"/>
            <w:hideMark/>
          </w:tcPr>
          <w:p w14:paraId="2945C7E1" w14:textId="23602D57" w:rsidR="001F6075" w:rsidRPr="00FB2C4D" w:rsidRDefault="001F6075" w:rsidP="00FB2C4D">
            <w:pPr>
              <w:spacing w:line="240" w:lineRule="auto"/>
              <w:jc w:val="center"/>
              <w:rPr>
                <w:rFonts w:eastAsia="Times New Roman"/>
                <w:szCs w:val="24"/>
                <w:lang w:eastAsia="cs-CZ"/>
              </w:rPr>
            </w:pPr>
            <w:r w:rsidRPr="00FB2C4D">
              <w:rPr>
                <w:rFonts w:eastAsia="Times New Roman"/>
                <w:szCs w:val="24"/>
                <w:lang w:eastAsia="cs-CZ"/>
              </w:rPr>
              <w:t>7</w:t>
            </w:r>
            <w:r w:rsidR="003F471F" w:rsidRPr="00FB2C4D">
              <w:rPr>
                <w:rFonts w:eastAsia="Times New Roman"/>
                <w:szCs w:val="24"/>
                <w:lang w:eastAsia="cs-CZ"/>
              </w:rPr>
              <w:t xml:space="preserve"> / 6</w:t>
            </w:r>
          </w:p>
        </w:tc>
      </w:tr>
      <w:tr w:rsidR="00F15667" w:rsidRPr="00F15667" w14:paraId="52325B8F" w14:textId="77777777" w:rsidTr="00FB2C4D">
        <w:trPr>
          <w:trHeight w:val="315"/>
        </w:trPr>
        <w:tc>
          <w:tcPr>
            <w:tcW w:w="3680" w:type="dxa"/>
            <w:tcBorders>
              <w:top w:val="nil"/>
              <w:left w:val="nil"/>
              <w:bottom w:val="single" w:sz="4" w:space="0" w:color="auto"/>
              <w:right w:val="nil"/>
            </w:tcBorders>
            <w:shd w:val="clear" w:color="auto" w:fill="auto"/>
            <w:noWrap/>
            <w:vAlign w:val="center"/>
            <w:hideMark/>
          </w:tcPr>
          <w:p w14:paraId="44EC9D9E" w14:textId="77777777" w:rsidR="001F6075" w:rsidRPr="00FB2C4D" w:rsidRDefault="001F6075" w:rsidP="00FB2C4D">
            <w:pPr>
              <w:spacing w:line="240" w:lineRule="auto"/>
              <w:jc w:val="left"/>
              <w:rPr>
                <w:rFonts w:eastAsia="Times New Roman"/>
                <w:szCs w:val="24"/>
                <w:lang w:eastAsia="cs-CZ"/>
              </w:rPr>
            </w:pPr>
            <w:r w:rsidRPr="00FB2C4D">
              <w:rPr>
                <w:rFonts w:eastAsia="Times New Roman"/>
                <w:szCs w:val="24"/>
                <w:lang w:eastAsia="cs-CZ"/>
              </w:rPr>
              <w:t>Protokolující úředník</w:t>
            </w:r>
          </w:p>
        </w:tc>
        <w:tc>
          <w:tcPr>
            <w:tcW w:w="1707" w:type="dxa"/>
            <w:tcBorders>
              <w:top w:val="nil"/>
              <w:left w:val="nil"/>
              <w:bottom w:val="single" w:sz="4" w:space="0" w:color="auto"/>
              <w:right w:val="nil"/>
            </w:tcBorders>
            <w:shd w:val="clear" w:color="auto" w:fill="auto"/>
            <w:noWrap/>
            <w:vAlign w:val="center"/>
            <w:hideMark/>
          </w:tcPr>
          <w:p w14:paraId="446783A6" w14:textId="218B8664" w:rsidR="001F6075" w:rsidRPr="00FB2C4D" w:rsidRDefault="001F6075" w:rsidP="00FB2C4D">
            <w:pPr>
              <w:spacing w:line="240" w:lineRule="auto"/>
              <w:jc w:val="center"/>
              <w:rPr>
                <w:rFonts w:eastAsia="Times New Roman"/>
                <w:szCs w:val="24"/>
                <w:lang w:eastAsia="cs-CZ"/>
              </w:rPr>
            </w:pPr>
            <w:r w:rsidRPr="00FB2C4D">
              <w:rPr>
                <w:rFonts w:eastAsia="Times New Roman"/>
                <w:szCs w:val="24"/>
                <w:lang w:eastAsia="cs-CZ"/>
              </w:rPr>
              <w:t>9</w:t>
            </w:r>
            <w:r w:rsidR="003F471F" w:rsidRPr="00FB2C4D">
              <w:rPr>
                <w:rFonts w:eastAsia="Times New Roman"/>
                <w:szCs w:val="24"/>
                <w:lang w:eastAsia="cs-CZ"/>
              </w:rPr>
              <w:t xml:space="preserve"> / 7</w:t>
            </w:r>
          </w:p>
        </w:tc>
      </w:tr>
      <w:tr w:rsidR="00F15667" w:rsidRPr="00F15667" w14:paraId="287C4582" w14:textId="77777777" w:rsidTr="00FB2C4D">
        <w:trPr>
          <w:trHeight w:val="330"/>
        </w:trPr>
        <w:tc>
          <w:tcPr>
            <w:tcW w:w="3680" w:type="dxa"/>
            <w:tcBorders>
              <w:top w:val="nil"/>
              <w:left w:val="nil"/>
              <w:bottom w:val="double" w:sz="6" w:space="0" w:color="auto"/>
              <w:right w:val="nil"/>
            </w:tcBorders>
            <w:shd w:val="clear" w:color="auto" w:fill="auto"/>
            <w:noWrap/>
            <w:vAlign w:val="center"/>
            <w:hideMark/>
          </w:tcPr>
          <w:p w14:paraId="70EF5822" w14:textId="77777777" w:rsidR="001F6075" w:rsidRPr="00FB2C4D" w:rsidRDefault="001F6075" w:rsidP="00FB2C4D">
            <w:pPr>
              <w:spacing w:line="240" w:lineRule="auto"/>
              <w:jc w:val="left"/>
              <w:rPr>
                <w:rFonts w:eastAsia="Times New Roman"/>
                <w:szCs w:val="24"/>
                <w:lang w:eastAsia="cs-CZ"/>
              </w:rPr>
            </w:pPr>
            <w:r w:rsidRPr="00FB2C4D">
              <w:rPr>
                <w:rFonts w:eastAsia="Times New Roman"/>
                <w:szCs w:val="24"/>
                <w:lang w:eastAsia="cs-CZ"/>
              </w:rPr>
              <w:t>Zapisovatelka</w:t>
            </w:r>
          </w:p>
        </w:tc>
        <w:tc>
          <w:tcPr>
            <w:tcW w:w="1707" w:type="dxa"/>
            <w:tcBorders>
              <w:top w:val="nil"/>
              <w:left w:val="nil"/>
              <w:bottom w:val="double" w:sz="6" w:space="0" w:color="auto"/>
              <w:right w:val="nil"/>
            </w:tcBorders>
            <w:shd w:val="clear" w:color="auto" w:fill="auto"/>
            <w:noWrap/>
            <w:vAlign w:val="center"/>
            <w:hideMark/>
          </w:tcPr>
          <w:p w14:paraId="291512BA" w14:textId="27D2E0FC" w:rsidR="001F6075" w:rsidRPr="00FB2C4D" w:rsidRDefault="001F6075" w:rsidP="00FB2C4D">
            <w:pPr>
              <w:spacing w:line="240" w:lineRule="auto"/>
              <w:jc w:val="center"/>
              <w:rPr>
                <w:rFonts w:eastAsia="Times New Roman"/>
                <w:szCs w:val="24"/>
                <w:lang w:eastAsia="cs-CZ"/>
              </w:rPr>
            </w:pPr>
            <w:r w:rsidRPr="00FB2C4D">
              <w:rPr>
                <w:rFonts w:eastAsia="Times New Roman"/>
                <w:szCs w:val="24"/>
                <w:lang w:eastAsia="cs-CZ"/>
              </w:rPr>
              <w:t>13</w:t>
            </w:r>
            <w:r w:rsidR="003F471F" w:rsidRPr="00FB2C4D">
              <w:rPr>
                <w:rFonts w:eastAsia="Times New Roman"/>
                <w:szCs w:val="24"/>
                <w:lang w:eastAsia="cs-CZ"/>
              </w:rPr>
              <w:t xml:space="preserve"> / 16</w:t>
            </w:r>
          </w:p>
        </w:tc>
      </w:tr>
      <w:tr w:rsidR="00F15667" w:rsidRPr="00F15667" w14:paraId="0D285A55" w14:textId="77777777" w:rsidTr="00FB2C4D">
        <w:trPr>
          <w:trHeight w:val="345"/>
        </w:trPr>
        <w:tc>
          <w:tcPr>
            <w:tcW w:w="3680" w:type="dxa"/>
            <w:tcBorders>
              <w:top w:val="nil"/>
              <w:left w:val="nil"/>
              <w:bottom w:val="double" w:sz="6" w:space="0" w:color="auto"/>
              <w:right w:val="nil"/>
            </w:tcBorders>
            <w:shd w:val="clear" w:color="auto" w:fill="auto"/>
            <w:noWrap/>
            <w:vAlign w:val="center"/>
            <w:hideMark/>
          </w:tcPr>
          <w:p w14:paraId="42836132" w14:textId="2C4C19BF" w:rsidR="001F6075" w:rsidRPr="00FB2C4D" w:rsidRDefault="001F6075" w:rsidP="00FB2C4D">
            <w:pPr>
              <w:spacing w:line="240" w:lineRule="auto"/>
              <w:jc w:val="left"/>
              <w:rPr>
                <w:rFonts w:eastAsia="Times New Roman"/>
                <w:b/>
                <w:bCs/>
                <w:szCs w:val="24"/>
                <w:lang w:eastAsia="cs-CZ"/>
              </w:rPr>
            </w:pPr>
            <w:r w:rsidRPr="00FB2C4D">
              <w:rPr>
                <w:rFonts w:eastAsia="Times New Roman"/>
                <w:b/>
                <w:bCs/>
                <w:szCs w:val="24"/>
                <w:lang w:eastAsia="cs-CZ"/>
              </w:rPr>
              <w:t>Celkem</w:t>
            </w:r>
          </w:p>
        </w:tc>
        <w:tc>
          <w:tcPr>
            <w:tcW w:w="1707" w:type="dxa"/>
            <w:tcBorders>
              <w:top w:val="nil"/>
              <w:left w:val="nil"/>
              <w:bottom w:val="double" w:sz="6" w:space="0" w:color="auto"/>
              <w:right w:val="nil"/>
            </w:tcBorders>
            <w:shd w:val="clear" w:color="auto" w:fill="auto"/>
            <w:noWrap/>
            <w:vAlign w:val="center"/>
            <w:hideMark/>
          </w:tcPr>
          <w:p w14:paraId="45349441" w14:textId="4AD8F60F" w:rsidR="001F6075" w:rsidRPr="00FB2C4D" w:rsidRDefault="001F6075" w:rsidP="00FB2C4D">
            <w:pPr>
              <w:spacing w:line="240" w:lineRule="auto"/>
              <w:jc w:val="center"/>
              <w:rPr>
                <w:rFonts w:eastAsia="Times New Roman"/>
                <w:b/>
                <w:bCs/>
                <w:szCs w:val="24"/>
                <w:lang w:eastAsia="cs-CZ"/>
              </w:rPr>
            </w:pPr>
            <w:r w:rsidRPr="00FB2C4D">
              <w:rPr>
                <w:rFonts w:eastAsia="Times New Roman"/>
                <w:b/>
                <w:bCs/>
                <w:szCs w:val="24"/>
                <w:lang w:eastAsia="cs-CZ"/>
              </w:rPr>
              <w:t>185</w:t>
            </w:r>
            <w:r w:rsidR="003F471F" w:rsidRPr="00FB2C4D">
              <w:rPr>
                <w:rFonts w:eastAsia="Times New Roman"/>
                <w:b/>
                <w:bCs/>
                <w:szCs w:val="24"/>
                <w:lang w:eastAsia="cs-CZ"/>
              </w:rPr>
              <w:t xml:space="preserve"> / 172</w:t>
            </w:r>
          </w:p>
        </w:tc>
      </w:tr>
      <w:tr w:rsidR="001F6075" w:rsidRPr="00F15667" w14:paraId="3E8CF1D3" w14:textId="77777777" w:rsidTr="00FB2C4D">
        <w:trPr>
          <w:trHeight w:val="330"/>
        </w:trPr>
        <w:tc>
          <w:tcPr>
            <w:tcW w:w="3680" w:type="dxa"/>
            <w:tcBorders>
              <w:top w:val="nil"/>
              <w:left w:val="nil"/>
              <w:bottom w:val="nil"/>
              <w:right w:val="nil"/>
            </w:tcBorders>
            <w:shd w:val="clear" w:color="auto" w:fill="auto"/>
            <w:noWrap/>
            <w:vAlign w:val="center"/>
            <w:hideMark/>
          </w:tcPr>
          <w:p w14:paraId="601E24C0" w14:textId="77777777" w:rsidR="001F6075" w:rsidRPr="00FB2C4D" w:rsidRDefault="001F6075" w:rsidP="00FB2C4D">
            <w:pPr>
              <w:spacing w:line="240" w:lineRule="auto"/>
              <w:jc w:val="center"/>
              <w:rPr>
                <w:rFonts w:eastAsia="Times New Roman"/>
                <w:b/>
                <w:bCs/>
                <w:szCs w:val="24"/>
                <w:lang w:eastAsia="cs-CZ"/>
              </w:rPr>
            </w:pPr>
          </w:p>
        </w:tc>
        <w:tc>
          <w:tcPr>
            <w:tcW w:w="1707" w:type="dxa"/>
            <w:tcBorders>
              <w:top w:val="nil"/>
              <w:left w:val="nil"/>
              <w:bottom w:val="nil"/>
              <w:right w:val="nil"/>
            </w:tcBorders>
            <w:shd w:val="clear" w:color="auto" w:fill="auto"/>
            <w:noWrap/>
            <w:vAlign w:val="center"/>
            <w:hideMark/>
          </w:tcPr>
          <w:p w14:paraId="7F74CA97" w14:textId="77777777" w:rsidR="001F6075" w:rsidRPr="00FB2C4D" w:rsidRDefault="001F6075" w:rsidP="00FB2C4D">
            <w:pPr>
              <w:spacing w:line="240" w:lineRule="auto"/>
              <w:jc w:val="center"/>
              <w:rPr>
                <w:rFonts w:eastAsia="Times New Roman"/>
                <w:sz w:val="20"/>
                <w:szCs w:val="20"/>
                <w:lang w:eastAsia="cs-CZ"/>
              </w:rPr>
            </w:pPr>
          </w:p>
        </w:tc>
      </w:tr>
    </w:tbl>
    <w:p w14:paraId="27F56E1F" w14:textId="77777777" w:rsidR="00FB2C4D" w:rsidRDefault="00FB2C4D">
      <w:pPr>
        <w:spacing w:after="160" w:line="259" w:lineRule="auto"/>
        <w:jc w:val="left"/>
      </w:pPr>
      <w:r>
        <w:br w:type="page"/>
      </w:r>
    </w:p>
    <w:p w14:paraId="3F847EC7" w14:textId="20CD94AE" w:rsidR="008430BD" w:rsidRPr="00F15667" w:rsidRDefault="008430BD" w:rsidP="008430BD">
      <w:pPr>
        <w:pStyle w:val="Nadpis2"/>
        <w:numPr>
          <w:ilvl w:val="1"/>
          <w:numId w:val="1"/>
        </w:numPr>
        <w:spacing w:before="120"/>
        <w:rPr>
          <w:color w:val="auto"/>
          <w:lang w:eastAsia="cs-CZ"/>
        </w:rPr>
      </w:pPr>
      <w:bookmarkStart w:id="1257" w:name="_Toc515871298"/>
      <w:bookmarkStart w:id="1258" w:name="_Toc106092813"/>
      <w:bookmarkStart w:id="1259" w:name="_Toc144104427"/>
      <w:r w:rsidRPr="00F15667">
        <w:rPr>
          <w:color w:val="auto"/>
          <w:lang w:eastAsia="cs-CZ"/>
        </w:rPr>
        <w:lastRenderedPageBreak/>
        <w:t>Civilní dovolací agenda</w:t>
      </w:r>
      <w:bookmarkEnd w:id="1257"/>
      <w:bookmarkEnd w:id="1258"/>
      <w:bookmarkEnd w:id="1259"/>
    </w:p>
    <w:p w14:paraId="09CD8871" w14:textId="35A978C5" w:rsidR="001F6075" w:rsidRPr="00F15667" w:rsidRDefault="001F6075" w:rsidP="001F6075">
      <w:pPr>
        <w:pStyle w:val="OdstavecASR"/>
      </w:pPr>
      <w:r w:rsidRPr="00F15667">
        <w:t>Již výše jsme uvedli, že se jedná o rejstřík Cdo, dříve též rejstřík Odo.</w:t>
      </w:r>
    </w:p>
    <w:p w14:paraId="023B479D" w14:textId="418AF156" w:rsidR="008430BD" w:rsidRPr="00F15667" w:rsidRDefault="008430BD" w:rsidP="008430BD">
      <w:pPr>
        <w:pStyle w:val="Nadpis3"/>
        <w:numPr>
          <w:ilvl w:val="2"/>
          <w:numId w:val="1"/>
        </w:numPr>
        <w:rPr>
          <w:color w:val="auto"/>
          <w:lang w:eastAsia="cs-CZ"/>
        </w:rPr>
      </w:pPr>
      <w:bookmarkStart w:id="1260" w:name="_Toc515871299"/>
      <w:bookmarkStart w:id="1261" w:name="_Toc41546389"/>
      <w:bookmarkStart w:id="1262" w:name="_Toc106092814"/>
      <w:bookmarkStart w:id="1263" w:name="_Toc144104428"/>
      <w:bookmarkStart w:id="1264" w:name="_Toc515871425"/>
      <w:bookmarkStart w:id="1265" w:name="_Toc11135156"/>
      <w:r w:rsidRPr="00F15667">
        <w:rPr>
          <w:color w:val="auto"/>
          <w:lang w:eastAsia="cs-CZ"/>
        </w:rPr>
        <w:t>Vyřizování věcí</w:t>
      </w:r>
      <w:bookmarkEnd w:id="1260"/>
      <w:bookmarkEnd w:id="1261"/>
      <w:bookmarkEnd w:id="1262"/>
      <w:bookmarkEnd w:id="1263"/>
    </w:p>
    <w:p w14:paraId="546EFDB7" w14:textId="7B1D0BFF" w:rsidR="001F6075" w:rsidRPr="00F15667" w:rsidRDefault="001F6075" w:rsidP="001F6075">
      <w:pPr>
        <w:pStyle w:val="OdstavecASR"/>
      </w:pPr>
      <w:r w:rsidRPr="00F15667">
        <w:t>Časové řady mají v tomto případě velmi zajímavý průběh, a to i mimo běžně sledované období 2008–</w:t>
      </w:r>
      <w:r w:rsidR="006812BF" w:rsidRPr="00F15667">
        <w:t>2022</w:t>
      </w:r>
      <w:r w:rsidRPr="00F15667">
        <w:t>. V roce 2001 činil nápad 3 102 věcí a počet nevyřízených věcí byl 1 663. Do roku 2008 víceméně postupně nápad narostl na 5 453 a počet nevyřízených věcí na 5 613. Následoval značný propad nápadu až na 3 914 věcí v roce 2012, což je hodnota na úrovni roku 2003. Pokles v nápadu se logicky příznivě projevil v počtu nevyřízených věcí. Od roku 2013 došlo k dalšímu růstu nápadu (podobnému tomu z let 2002–2008), který trval několik let. Lze to přisoudit tomu, že dne 1. 1. 2013 nabyla účinnosti novela (zákon č. 404/2012 Sb.), kterou byla rozšířena objektivní přípustnost dovolání v civilních věcech. Soudu se ale tentokrát podařilo úspěšně reagovat a výrazně zvýšil počet vyřízených věcí, čímž se mu podařilo zabránit výraznému růstu v počtu nevyřízených věcí. V roce 2017 se ale rostoucí trend v nápadu silně zpomalil, až téměř zastavil. V roce 2017 napadlo pouze o 40 věcí více než v roce 2016. V roce 2018 pak došlo k markantnímu poklesu v počtu příchozích věcí (o 22 %). V letech 2019 až 2021 klesající trend pokračoval a nápad klesal, i když už pomaleji. Nápad je tak nižší než v roce 2012. Za tímto enormním poklesem zřejmě stojí velká novela civilního procesního práva (zákon č. 296/2017 Sb.), která nabyla účinnosti dne 30. 9. 2017. Kromě jiných legislativních úprav si tato novela dala za cíl též odbřemenit dovolací soud</w:t>
      </w:r>
      <w:r w:rsidR="006812BF" w:rsidRPr="00F15667">
        <w:t>, což se podařilo</w:t>
      </w:r>
      <w:r w:rsidRPr="00F15667">
        <w:t>.</w:t>
      </w:r>
    </w:p>
    <w:p w14:paraId="41083504" w14:textId="4853E3A2" w:rsidR="001F6075" w:rsidRPr="00F15667" w:rsidRDefault="001F6075" w:rsidP="001F6075">
      <w:pPr>
        <w:pStyle w:val="OdstavecASR"/>
      </w:pPr>
      <w:r w:rsidRPr="00F15667">
        <w:t>Soudu, který především v letech 2015 až 2017 čelil velké případové zátěži, se tak alespoň částečně ulevilo. Výše uvedené se projevilo i v poklesu v počtu vyřízených věcí (mezi příchozími a vyřízenými věcmi je logicky velmi silná závislost). Počet vyřízených věcí ale stále letech 2018 až 2021 převýšil počet věcí příchozích. Došlo tedy k poklesu počtu nevyřízených věcí. Od roku 2017 do roku 2021 klesl počet nevyřízených věcí z</w:t>
      </w:r>
      <w:r w:rsidR="00E75398">
        <w:t> </w:t>
      </w:r>
      <w:r w:rsidRPr="00F15667">
        <w:t>2</w:t>
      </w:r>
      <w:r w:rsidR="00E75398">
        <w:t> </w:t>
      </w:r>
      <w:r w:rsidRPr="00F15667">
        <w:t>884 na 1</w:t>
      </w:r>
      <w:r w:rsidR="00E75398">
        <w:t> </w:t>
      </w:r>
      <w:r w:rsidRPr="00F15667">
        <w:t xml:space="preserve">569, tedy o 46 %. V roce 2022 se počet příchozích </w:t>
      </w:r>
      <w:r w:rsidR="006812BF" w:rsidRPr="00F15667">
        <w:t>věcí zvýšil poprvé od roku 2017</w:t>
      </w:r>
      <w:r w:rsidR="00833DCA" w:rsidRPr="00F15667">
        <w:t>,</w:t>
      </w:r>
      <w:r w:rsidR="006812BF" w:rsidRPr="00F15667">
        <w:t xml:space="preserve"> a to o </w:t>
      </w:r>
      <w:r w:rsidR="00833DCA" w:rsidRPr="00F15667">
        <w:t>31,</w:t>
      </w:r>
      <w:r w:rsidR="006812BF" w:rsidRPr="00F15667">
        <w:t xml:space="preserve"> počet </w:t>
      </w:r>
      <w:r w:rsidRPr="00F15667">
        <w:t xml:space="preserve">vyřízených a nevyřízených věcí </w:t>
      </w:r>
      <w:r w:rsidR="00833DCA" w:rsidRPr="00F15667">
        <w:t>stoupnul shodně o 20</w:t>
      </w:r>
      <w:r w:rsidR="00A55883" w:rsidRPr="00F15667">
        <w:t>.</w:t>
      </w:r>
    </w:p>
    <w:p w14:paraId="0A594CEF" w14:textId="590A9069" w:rsidR="001F6075" w:rsidRPr="00F15667" w:rsidRDefault="001F6075" w:rsidP="001F6075">
      <w:pPr>
        <w:pStyle w:val="Podnadpis"/>
        <w:rPr>
          <w:color w:val="auto"/>
        </w:rPr>
      </w:pPr>
      <w:bookmarkStart w:id="1266" w:name="_Toc43841482"/>
      <w:bookmarkStart w:id="1267" w:name="_Toc75952285"/>
      <w:bookmarkStart w:id="1268" w:name="_Toc106106741"/>
      <w:bookmarkStart w:id="1269" w:name="_Toc109802065"/>
      <w:bookmarkStart w:id="1270" w:name="_Toc144104216"/>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104</w:t>
      </w:r>
      <w:r w:rsidRPr="00F15667">
        <w:rPr>
          <w:noProof/>
          <w:color w:val="auto"/>
        </w:rPr>
        <w:fldChar w:fldCharType="end"/>
      </w:r>
      <w:r w:rsidRPr="00F15667">
        <w:rPr>
          <w:color w:val="auto"/>
        </w:rPr>
        <w:t>: NS – vyřizování civilní dovolací agendy v letech 2008–20</w:t>
      </w:r>
      <w:bookmarkEnd w:id="1266"/>
      <w:r w:rsidRPr="00F15667">
        <w:rPr>
          <w:color w:val="auto"/>
        </w:rPr>
        <w:t>2</w:t>
      </w:r>
      <w:bookmarkEnd w:id="1267"/>
      <w:bookmarkEnd w:id="1268"/>
      <w:bookmarkEnd w:id="1269"/>
      <w:r w:rsidRPr="00F15667">
        <w:rPr>
          <w:color w:val="auto"/>
        </w:rPr>
        <w:t>2</w:t>
      </w:r>
      <w:bookmarkEnd w:id="1270"/>
    </w:p>
    <w:p w14:paraId="4066CDE9" w14:textId="2B50E2B3" w:rsidR="001F6075" w:rsidRPr="00F15667" w:rsidRDefault="001F6075" w:rsidP="00FB2C4D">
      <w:pPr>
        <w:pStyle w:val="OdstavecASR"/>
      </w:pPr>
      <w:r w:rsidRPr="00F15667">
        <w:rPr>
          <w:noProof/>
          <w:lang w:eastAsia="cs-CZ"/>
        </w:rPr>
        <w:drawing>
          <wp:inline distT="0" distB="0" distL="0" distR="0" wp14:anchorId="24028615" wp14:editId="47232BB7">
            <wp:extent cx="5029200" cy="3657600"/>
            <wp:effectExtent l="0" t="0" r="0" b="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7CD8E8" w14:textId="1A26D300" w:rsidR="008430BD" w:rsidRPr="00F15667" w:rsidRDefault="008430BD" w:rsidP="008430BD">
      <w:pPr>
        <w:pStyle w:val="Nadpis2"/>
        <w:pageBreakBefore/>
        <w:numPr>
          <w:ilvl w:val="1"/>
          <w:numId w:val="1"/>
        </w:numPr>
        <w:spacing w:before="120"/>
        <w:rPr>
          <w:color w:val="auto"/>
        </w:rPr>
      </w:pPr>
      <w:bookmarkStart w:id="1271" w:name="_Toc515871300"/>
      <w:bookmarkStart w:id="1272" w:name="_Toc106092815"/>
      <w:bookmarkStart w:id="1273" w:name="_Toc144104429"/>
      <w:bookmarkEnd w:id="1264"/>
      <w:bookmarkEnd w:id="1265"/>
      <w:r w:rsidRPr="00F15667">
        <w:rPr>
          <w:color w:val="auto"/>
        </w:rPr>
        <w:lastRenderedPageBreak/>
        <w:t>Trestní dovolací agenda</w:t>
      </w:r>
      <w:bookmarkEnd w:id="1271"/>
      <w:bookmarkEnd w:id="1272"/>
      <w:bookmarkEnd w:id="1273"/>
    </w:p>
    <w:p w14:paraId="5E7972AD" w14:textId="2F62C255" w:rsidR="001F6075" w:rsidRPr="00F15667" w:rsidRDefault="001F6075" w:rsidP="001F6075">
      <w:r w:rsidRPr="00F15667">
        <w:t>Jak již bylo řečeno, jedná se o rejstřík Tdo.</w:t>
      </w:r>
    </w:p>
    <w:p w14:paraId="1772F872" w14:textId="7AC60AF2" w:rsidR="006B2738" w:rsidRPr="00F15667" w:rsidRDefault="008430BD" w:rsidP="008430BD">
      <w:pPr>
        <w:pStyle w:val="Nadpis3"/>
        <w:numPr>
          <w:ilvl w:val="2"/>
          <w:numId w:val="1"/>
        </w:numPr>
        <w:rPr>
          <w:color w:val="auto"/>
          <w:lang w:eastAsia="cs-CZ"/>
        </w:rPr>
      </w:pPr>
      <w:bookmarkStart w:id="1274" w:name="_Toc515871301"/>
      <w:bookmarkStart w:id="1275" w:name="_Toc106092816"/>
      <w:bookmarkStart w:id="1276" w:name="_Toc144104430"/>
      <w:r w:rsidRPr="00F15667">
        <w:rPr>
          <w:color w:val="auto"/>
          <w:lang w:eastAsia="cs-CZ"/>
        </w:rPr>
        <w:t>Vyřizování věcí</w:t>
      </w:r>
      <w:bookmarkEnd w:id="1274"/>
      <w:bookmarkEnd w:id="1275"/>
      <w:bookmarkEnd w:id="1276"/>
    </w:p>
    <w:p w14:paraId="1A9EDE7A" w14:textId="7FDE0596" w:rsidR="001F6075" w:rsidRPr="00F15667" w:rsidRDefault="001F6075" w:rsidP="001F6075">
      <w:pPr>
        <w:pStyle w:val="Podnadpis"/>
        <w:numPr>
          <w:ilvl w:val="0"/>
          <w:numId w:val="0"/>
        </w:numPr>
        <w:rPr>
          <w:color w:val="auto"/>
        </w:rPr>
      </w:pPr>
      <w:bookmarkStart w:id="1277" w:name="_Toc515871426"/>
      <w:bookmarkStart w:id="1278" w:name="_Toc11135157"/>
      <w:bookmarkStart w:id="1279" w:name="_Toc43841483"/>
      <w:bookmarkStart w:id="1280" w:name="_Toc75952286"/>
      <w:bookmarkStart w:id="1281" w:name="_Toc106106742"/>
      <w:bookmarkStart w:id="1282" w:name="_Toc109802066"/>
      <w:bookmarkStart w:id="1283" w:name="_Toc144104217"/>
      <w:r w:rsidRPr="00F15667">
        <w:rPr>
          <w:color w:val="auto"/>
        </w:rPr>
        <w:t xml:space="preserve">Graf </w:t>
      </w:r>
      <w:r w:rsidRPr="00F15667">
        <w:rPr>
          <w:noProof/>
          <w:color w:val="auto"/>
        </w:rPr>
        <w:fldChar w:fldCharType="begin"/>
      </w:r>
      <w:r w:rsidRPr="00F15667">
        <w:rPr>
          <w:noProof/>
          <w:color w:val="auto"/>
        </w:rPr>
        <w:instrText xml:space="preserve"> SEQ Graf \* ARABIC </w:instrText>
      </w:r>
      <w:r w:rsidRPr="00F15667">
        <w:rPr>
          <w:noProof/>
          <w:color w:val="auto"/>
        </w:rPr>
        <w:fldChar w:fldCharType="separate"/>
      </w:r>
      <w:r w:rsidR="001E1A67">
        <w:rPr>
          <w:noProof/>
          <w:color w:val="auto"/>
        </w:rPr>
        <w:t>105</w:t>
      </w:r>
      <w:r w:rsidRPr="00F15667">
        <w:rPr>
          <w:noProof/>
          <w:color w:val="auto"/>
        </w:rPr>
        <w:fldChar w:fldCharType="end"/>
      </w:r>
      <w:r w:rsidRPr="00F15667">
        <w:rPr>
          <w:color w:val="auto"/>
        </w:rPr>
        <w:t>: NS – vyřizování trestní dovolací agendy v letech 2008–20</w:t>
      </w:r>
      <w:bookmarkEnd w:id="1277"/>
      <w:bookmarkEnd w:id="1278"/>
      <w:bookmarkEnd w:id="1279"/>
      <w:r w:rsidRPr="00F15667">
        <w:rPr>
          <w:color w:val="auto"/>
        </w:rPr>
        <w:t>2</w:t>
      </w:r>
      <w:bookmarkEnd w:id="1280"/>
      <w:bookmarkEnd w:id="1281"/>
      <w:bookmarkEnd w:id="1282"/>
      <w:r w:rsidRPr="00F15667">
        <w:rPr>
          <w:color w:val="auto"/>
        </w:rPr>
        <w:t>2</w:t>
      </w:r>
      <w:bookmarkEnd w:id="1283"/>
    </w:p>
    <w:p w14:paraId="676641A1" w14:textId="0892517B" w:rsidR="001F6075" w:rsidRPr="00F15667" w:rsidRDefault="001F6075" w:rsidP="00FB2C4D">
      <w:pPr>
        <w:pStyle w:val="OdstavecASR"/>
      </w:pPr>
      <w:r w:rsidRPr="00F15667">
        <w:rPr>
          <w:noProof/>
          <w:lang w:eastAsia="cs-CZ"/>
        </w:rPr>
        <w:drawing>
          <wp:inline distT="0" distB="0" distL="0" distR="0" wp14:anchorId="438CFFF8" wp14:editId="364B883C">
            <wp:extent cx="5029200" cy="3657600"/>
            <wp:effectExtent l="0" t="0" r="0" b="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FAC740B" w14:textId="1969E79A" w:rsidR="001F6075" w:rsidRDefault="001F6075" w:rsidP="001F6075">
      <w:pPr>
        <w:pStyle w:val="OdstavecASR"/>
      </w:pPr>
      <w:r w:rsidRPr="00F15667">
        <w:t>Trestní kolegium čelí mnohem menším změnám v nápadu než kolegium občanskoprávní a obchodní. V agendě Tdo byl nicméně v letech 2013 až 2016 patrný mírný rostoucí trend v počtu napadlých věcí, což se zřejmě projevilo i v mírném růstu v počtu nevyřízených věcí. V roce 2017 nápad poklesl a počet nevyřízených věcí se díky tomu vrátil přibližně na úroveň roku 2013, na které zůstal i v letech 2018 a 2019. Počet vyřízených věcí byl dokonce v letech 2018 a 2019 zcela totožný. V letech 2020 až 2022 došlo k poklesu v počtu příchozích věcí, který je na poměry této agendy poměrně výrazný. To lze připsat především poklesu druhostupňové trestní agendy u krajských soudů, která zase plyne z poklesu prvostupňové agendy u soudů okresních. Počet nevyřízených věcí je v poměru k nápadu a k vyřízeným věcem stabilní a stále velmi nízký.</w:t>
      </w:r>
    </w:p>
    <w:p w14:paraId="0EE6B7AB" w14:textId="4420E1DA" w:rsidR="00FB2C4D" w:rsidRDefault="00FB2C4D">
      <w:pPr>
        <w:spacing w:after="160" w:line="259" w:lineRule="auto"/>
        <w:jc w:val="left"/>
      </w:pPr>
      <w:r>
        <w:br w:type="page"/>
      </w:r>
    </w:p>
    <w:p w14:paraId="35A390A6" w14:textId="229B34C3" w:rsidR="008430BD" w:rsidRPr="00F15667" w:rsidRDefault="008430BD" w:rsidP="008430BD">
      <w:pPr>
        <w:pStyle w:val="Nadpis2"/>
        <w:numPr>
          <w:ilvl w:val="1"/>
          <w:numId w:val="1"/>
        </w:numPr>
        <w:spacing w:before="120"/>
        <w:rPr>
          <w:color w:val="auto"/>
        </w:rPr>
      </w:pPr>
      <w:bookmarkStart w:id="1284" w:name="_Toc487791304"/>
      <w:bookmarkStart w:id="1285" w:name="_Toc515871302"/>
      <w:bookmarkStart w:id="1286" w:name="_Toc106092817"/>
      <w:bookmarkStart w:id="1287" w:name="_Toc144104431"/>
      <w:r w:rsidRPr="00F15667">
        <w:rPr>
          <w:color w:val="auto"/>
        </w:rPr>
        <w:lastRenderedPageBreak/>
        <w:t>Stížnosti pro porušení zákona</w:t>
      </w:r>
      <w:bookmarkEnd w:id="1284"/>
      <w:bookmarkEnd w:id="1285"/>
      <w:bookmarkEnd w:id="1286"/>
      <w:bookmarkEnd w:id="1287"/>
    </w:p>
    <w:p w14:paraId="6951BADB" w14:textId="77777777" w:rsidR="001F6075" w:rsidRPr="00F15667" w:rsidRDefault="001F6075" w:rsidP="001F6075">
      <w:pPr>
        <w:pStyle w:val="OdstavecASR"/>
      </w:pPr>
      <w:r w:rsidRPr="00F15667">
        <w:t>Popis této agendy lze najít v seznamu použitých pojmů (příloha). Jedná se o rejstřík označený jako Tz. Agendu vyřizuje trestní kolegium Nejvyššího soudu.</w:t>
      </w:r>
    </w:p>
    <w:p w14:paraId="4FFD6276" w14:textId="716E1A5B" w:rsidR="001F6075" w:rsidRPr="00F15667" w:rsidRDefault="001F6075" w:rsidP="001F6075">
      <w:pPr>
        <w:pStyle w:val="Podnadpis"/>
        <w:numPr>
          <w:ilvl w:val="0"/>
          <w:numId w:val="0"/>
        </w:numPr>
        <w:rPr>
          <w:color w:val="auto"/>
        </w:rPr>
      </w:pPr>
      <w:bookmarkStart w:id="1288" w:name="_Toc515871427"/>
      <w:bookmarkStart w:id="1289" w:name="_Toc11135158"/>
      <w:bookmarkStart w:id="1290" w:name="_Toc43841484"/>
      <w:bookmarkStart w:id="1291" w:name="_Toc75952287"/>
      <w:bookmarkStart w:id="1292" w:name="_Toc106106743"/>
      <w:bookmarkStart w:id="1293" w:name="_Toc109802067"/>
      <w:bookmarkStart w:id="1294" w:name="_Toc144104218"/>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106</w:t>
      </w:r>
      <w:r w:rsidRPr="00F15667">
        <w:rPr>
          <w:color w:val="auto"/>
        </w:rPr>
        <w:fldChar w:fldCharType="end"/>
      </w:r>
      <w:r w:rsidRPr="00F15667">
        <w:rPr>
          <w:color w:val="auto"/>
        </w:rPr>
        <w:t>: NS – vyřizování stížností pro porušení zákona v letech 2010–20</w:t>
      </w:r>
      <w:bookmarkEnd w:id="1288"/>
      <w:bookmarkEnd w:id="1289"/>
      <w:bookmarkEnd w:id="1290"/>
      <w:r w:rsidRPr="00F15667">
        <w:rPr>
          <w:color w:val="auto"/>
        </w:rPr>
        <w:t>2</w:t>
      </w:r>
      <w:bookmarkEnd w:id="1291"/>
      <w:r w:rsidRPr="00F15667">
        <w:rPr>
          <w:color w:val="auto"/>
        </w:rPr>
        <w:t>1</w:t>
      </w:r>
      <w:bookmarkEnd w:id="1292"/>
      <w:bookmarkEnd w:id="1293"/>
      <w:bookmarkEnd w:id="1294"/>
    </w:p>
    <w:p w14:paraId="3743E54C" w14:textId="2961FD3D" w:rsidR="001F6075" w:rsidRPr="00F15667" w:rsidRDefault="001F6075" w:rsidP="00FB2C4D">
      <w:pPr>
        <w:pStyle w:val="OdstavecASR"/>
      </w:pPr>
      <w:r w:rsidRPr="00F15667">
        <w:rPr>
          <w:noProof/>
          <w:lang w:eastAsia="cs-CZ"/>
        </w:rPr>
        <w:drawing>
          <wp:inline distT="0" distB="0" distL="0" distR="0" wp14:anchorId="0ADCB636" wp14:editId="2CF08FD4">
            <wp:extent cx="5029200" cy="3657600"/>
            <wp:effectExtent l="0" t="0" r="0"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0EAF4E3" w14:textId="4DC3C6D0" w:rsidR="001F6075" w:rsidRDefault="001F6075" w:rsidP="001F6075">
      <w:pPr>
        <w:pStyle w:val="OdstavecASR"/>
      </w:pPr>
      <w:r w:rsidRPr="00F15667">
        <w:t>Oproti agendě dovolání, především dovolání v občanskoprávních a obchodních věcech, je tato agenda velmi malá. Z toho také plyne velká variabilita. U takto malých čísel je možné, aby se v jeden rok „sešlo“ větší množství pravomocných rozhodnutí, proti kterým ministr spravedlnosti považuje za vhodné podat stížnost pro porušení zákona. V absolutních číslech se ale jedná o změny malé. Určité změny mohou také plynout ze střídání ministrů spravedlnosti, kteří mohou klást větší či menší důraz na určitou problematiku. Jak již bylo řečeno, nápad v agendě je značně volatilní. Jak je z grafu patrné, jedná se nicméně o agendu, kterou soud vyřizuje bez jakýchkoliv problémů.</w:t>
      </w:r>
    </w:p>
    <w:p w14:paraId="6AAEE5D6" w14:textId="36B0BFE9" w:rsidR="00FB2C4D" w:rsidRDefault="00FB2C4D">
      <w:pPr>
        <w:spacing w:after="160" w:line="259" w:lineRule="auto"/>
        <w:jc w:val="left"/>
      </w:pPr>
      <w:r>
        <w:br w:type="page"/>
      </w:r>
    </w:p>
    <w:p w14:paraId="7112EA32" w14:textId="592DE151" w:rsidR="008430BD" w:rsidRPr="00F15667" w:rsidRDefault="008430BD" w:rsidP="008430BD">
      <w:pPr>
        <w:pStyle w:val="Nadpis2"/>
        <w:numPr>
          <w:ilvl w:val="1"/>
          <w:numId w:val="1"/>
        </w:numPr>
        <w:spacing w:before="120"/>
        <w:rPr>
          <w:color w:val="auto"/>
        </w:rPr>
      </w:pPr>
      <w:bookmarkStart w:id="1295" w:name="_Toc515871304"/>
      <w:bookmarkStart w:id="1296" w:name="_Toc106092819"/>
      <w:bookmarkStart w:id="1297" w:name="_Toc144104432"/>
      <w:r w:rsidRPr="00F15667">
        <w:rPr>
          <w:color w:val="auto"/>
        </w:rPr>
        <w:lastRenderedPageBreak/>
        <w:t>Insolvenční agenda</w:t>
      </w:r>
      <w:bookmarkEnd w:id="1295"/>
      <w:bookmarkEnd w:id="1296"/>
      <w:bookmarkEnd w:id="1297"/>
    </w:p>
    <w:p w14:paraId="3315AFAD" w14:textId="6D809D9F" w:rsidR="001F6075" w:rsidRPr="00F15667" w:rsidRDefault="001F6075" w:rsidP="001F6075">
      <w:pPr>
        <w:pStyle w:val="OdstavecASR"/>
      </w:pPr>
      <w:r w:rsidRPr="00F15667">
        <w:t>Jedná se o rejstřík NS</w:t>
      </w:r>
      <w:r w:rsidR="00B102F7" w:rsidRPr="00F15667">
        <w:t xml:space="preserve"> </w:t>
      </w:r>
      <w:r w:rsidRPr="00F15667">
        <w:t>ČR – věci předložené soudu k rozhodnutí v insolvenčním řízení (dovolání, příslušnost soudů a vyloučení soudců v insolvenčním řízení). Rejstřík spadá pod civilní úsek Nejvyššího soudu, tedy občanskoprávní a obchodní kolegium.</w:t>
      </w:r>
    </w:p>
    <w:p w14:paraId="7C1A1959" w14:textId="1591AB7C" w:rsidR="001F6075" w:rsidRPr="00F15667" w:rsidRDefault="001F6075" w:rsidP="001F6075">
      <w:pPr>
        <w:pStyle w:val="Podnadpis"/>
        <w:rPr>
          <w:color w:val="auto"/>
        </w:rPr>
      </w:pPr>
      <w:bookmarkStart w:id="1298" w:name="_Toc515871428"/>
      <w:bookmarkStart w:id="1299" w:name="_Toc11135159"/>
      <w:bookmarkStart w:id="1300" w:name="_Toc43841485"/>
      <w:bookmarkStart w:id="1301" w:name="_Toc75952288"/>
      <w:bookmarkStart w:id="1302" w:name="_Toc106106744"/>
      <w:bookmarkStart w:id="1303" w:name="_Toc109802068"/>
      <w:bookmarkStart w:id="1304" w:name="_Toc144104219"/>
      <w:r w:rsidRPr="00F15667">
        <w:rPr>
          <w:color w:val="auto"/>
        </w:rPr>
        <w:t xml:space="preserve">Graf </w:t>
      </w:r>
      <w:r w:rsidR="002310B1" w:rsidRPr="00F15667">
        <w:rPr>
          <w:noProof/>
          <w:color w:val="auto"/>
        </w:rPr>
        <w:fldChar w:fldCharType="begin"/>
      </w:r>
      <w:r w:rsidR="002310B1" w:rsidRPr="00F15667">
        <w:rPr>
          <w:noProof/>
          <w:color w:val="auto"/>
        </w:rPr>
        <w:instrText xml:space="preserve"> SEQ Graf \* ARABIC </w:instrText>
      </w:r>
      <w:r w:rsidR="002310B1" w:rsidRPr="00F15667">
        <w:rPr>
          <w:noProof/>
          <w:color w:val="auto"/>
        </w:rPr>
        <w:fldChar w:fldCharType="separate"/>
      </w:r>
      <w:r w:rsidR="001E1A67">
        <w:rPr>
          <w:noProof/>
          <w:color w:val="auto"/>
        </w:rPr>
        <w:t>107</w:t>
      </w:r>
      <w:r w:rsidR="002310B1" w:rsidRPr="00F15667">
        <w:rPr>
          <w:noProof/>
          <w:color w:val="auto"/>
        </w:rPr>
        <w:fldChar w:fldCharType="end"/>
      </w:r>
      <w:r w:rsidRPr="00F15667">
        <w:rPr>
          <w:color w:val="auto"/>
        </w:rPr>
        <w:t>: NS – vyřizování insolvenční dovolací agendy v letech 2010–20</w:t>
      </w:r>
      <w:bookmarkEnd w:id="1298"/>
      <w:bookmarkEnd w:id="1299"/>
      <w:bookmarkEnd w:id="1300"/>
      <w:r w:rsidRPr="00F15667">
        <w:rPr>
          <w:color w:val="auto"/>
        </w:rPr>
        <w:t>2</w:t>
      </w:r>
      <w:bookmarkEnd w:id="1301"/>
      <w:r w:rsidRPr="00F15667">
        <w:rPr>
          <w:color w:val="auto"/>
        </w:rPr>
        <w:t>1</w:t>
      </w:r>
      <w:bookmarkEnd w:id="1302"/>
      <w:bookmarkEnd w:id="1303"/>
      <w:bookmarkEnd w:id="1304"/>
    </w:p>
    <w:p w14:paraId="2CBE286C" w14:textId="688AD5DD" w:rsidR="001F6075" w:rsidRPr="00FB2C4D" w:rsidRDefault="001F6075" w:rsidP="00FB2C4D">
      <w:pPr>
        <w:pStyle w:val="OdstavecASR"/>
      </w:pPr>
      <w:r w:rsidRPr="00F15667">
        <w:rPr>
          <w:b/>
          <w:bCs/>
          <w:noProof/>
          <w:lang w:eastAsia="cs-CZ"/>
        </w:rPr>
        <w:drawing>
          <wp:inline distT="0" distB="0" distL="0" distR="0" wp14:anchorId="429A1256" wp14:editId="36127856">
            <wp:extent cx="5029200" cy="3657600"/>
            <wp:effectExtent l="0" t="0" r="0" b="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5F27F97" w14:textId="2DD6A7CE" w:rsidR="001F6075" w:rsidRPr="00F15667" w:rsidRDefault="001F6075" w:rsidP="001F6075">
      <w:pPr>
        <w:pStyle w:val="OdstavecASR"/>
      </w:pPr>
      <w:r w:rsidRPr="00F15667">
        <w:t>Agenda je velmi malá, ale až do roku 2016 postupně rostla. V roce 2017 poprvé došlo k poklesu v počtu napadlých věcí, který pokračoval i v roce 2018. Růst a následný pokles nápadu v letech 2017 až 2021 plyne především z obdobného vývoje ve vyřizování druhoinstanční insolvenční agendy u vrchních soudů (</w:t>
      </w:r>
      <w:r w:rsidRPr="00F15667">
        <w:fldChar w:fldCharType="begin"/>
      </w:r>
      <w:r w:rsidRPr="00F15667">
        <w:instrText xml:space="preserve"> REF  _Ref43837240 \h \* Lower </w:instrText>
      </w:r>
      <w:r w:rsidRPr="00F15667">
        <w:fldChar w:fldCharType="separate"/>
      </w:r>
      <w:r w:rsidR="001E1A67" w:rsidRPr="00F15667">
        <w:t xml:space="preserve">graf </w:t>
      </w:r>
      <w:r w:rsidR="001E1A67">
        <w:rPr>
          <w:noProof/>
        </w:rPr>
        <w:t>94</w:t>
      </w:r>
      <w:r w:rsidRPr="00F15667">
        <w:fldChar w:fldCharType="end"/>
      </w:r>
      <w:r w:rsidRPr="00F15667">
        <w:t>). V roce 2022 došlo k prudkému růstu v počtu příchozích i</w:t>
      </w:r>
      <w:r w:rsidR="00FB2C4D">
        <w:t> </w:t>
      </w:r>
      <w:r w:rsidRPr="00F15667">
        <w:t>vyřízených věcí.</w:t>
      </w:r>
    </w:p>
    <w:p w14:paraId="2C666DBD" w14:textId="53C15BD7" w:rsidR="008430BD" w:rsidRPr="00F15667" w:rsidRDefault="008430BD" w:rsidP="008430BD">
      <w:pPr>
        <w:pStyle w:val="Nadpis1"/>
        <w:pageBreakBefore/>
        <w:numPr>
          <w:ilvl w:val="0"/>
          <w:numId w:val="1"/>
        </w:numPr>
        <w:spacing w:after="120"/>
        <w:rPr>
          <w:lang w:eastAsia="cs-CZ"/>
        </w:rPr>
      </w:pPr>
      <w:bookmarkStart w:id="1305" w:name="_Toc515871306"/>
      <w:bookmarkStart w:id="1306" w:name="_Toc106092821"/>
      <w:bookmarkStart w:id="1307" w:name="_Toc144104433"/>
      <w:r w:rsidRPr="00F15667">
        <w:rPr>
          <w:lang w:eastAsia="cs-CZ"/>
        </w:rPr>
        <w:lastRenderedPageBreak/>
        <w:t>Nejvyšší správní soud</w:t>
      </w:r>
      <w:bookmarkEnd w:id="1305"/>
      <w:bookmarkEnd w:id="1306"/>
      <w:bookmarkEnd w:id="1307"/>
    </w:p>
    <w:p w14:paraId="16F2891A" w14:textId="77777777" w:rsidR="001F6075" w:rsidRPr="00F15667" w:rsidRDefault="001F6075" w:rsidP="001F6075">
      <w:pPr>
        <w:pStyle w:val="OdstavecASR"/>
      </w:pPr>
      <w:r w:rsidRPr="00F15667">
        <w:t>Do pravomoci Nejvyššího správního soudu (NSS) ČR, který sídlí v Brně, spadá několik druhů rozhodování, například rozhodování ve věcech volebních, rozhodování ve věcech politických stran a hnutí (rozpuštění, pozastavení nebo znovuobnovení jejich činnosti) nebo řízení ve věcech kárné odpovědnosti soudců, státních zástupců a exekutorů. Tato zpráva se soustředí výhradně na soudy a soudce, proto jsou v této zprávě zachycena data o kárném řízení pouze ve věcech soudců.</w:t>
      </w:r>
    </w:p>
    <w:p w14:paraId="71825F44" w14:textId="77777777" w:rsidR="001F6075" w:rsidRPr="00F15667" w:rsidRDefault="001F6075" w:rsidP="001F6075">
      <w:pPr>
        <w:pStyle w:val="OdstavecASR"/>
      </w:pPr>
      <w:r w:rsidRPr="00F15667">
        <w:t>Zdaleka nejrozsáhlejší agendou NSS je ale rozhodování o kasačních stížnostech. Do agendy kasačních stížností spadá velké množství rejstříků: Azs, Ads, Afs, As, Ans, Aps, A, Aos a Ars. Do některých z těchto rejstříků se již nezapisují nové věci. Věci spadají do jednotlivých rejstříků v závislosti na prvostupňové agendě, do níž směřuje kasační stížnost (finanční, azylová apod.).</w:t>
      </w:r>
    </w:p>
    <w:p w14:paraId="318DB614" w14:textId="77777777" w:rsidR="001F6075" w:rsidRPr="00F15667" w:rsidRDefault="001F6075" w:rsidP="001F6075">
      <w:pPr>
        <w:pStyle w:val="OdstavecASR"/>
      </w:pPr>
      <w:r w:rsidRPr="00F15667">
        <w:t>Stejně jako u NS i u NSS zachycuje tato zpráva méně ukazatelů než u ostatních soudů. Důvody jsou stejné: délka řízení a některé další statistické ukazatele nejsou k dispozici a soud je pouze jeden a není ho tedy s čím statisticky srovnávat.</w:t>
      </w:r>
    </w:p>
    <w:p w14:paraId="719A4A57" w14:textId="62550081" w:rsidR="008430BD" w:rsidRPr="00F15667" w:rsidRDefault="008430BD" w:rsidP="008430BD">
      <w:pPr>
        <w:pStyle w:val="Nadpis2"/>
        <w:numPr>
          <w:ilvl w:val="1"/>
          <w:numId w:val="1"/>
        </w:numPr>
        <w:spacing w:before="120"/>
        <w:rPr>
          <w:color w:val="auto"/>
          <w:lang w:eastAsia="cs-CZ"/>
        </w:rPr>
      </w:pPr>
      <w:bookmarkStart w:id="1308" w:name="_Toc515871307"/>
      <w:bookmarkStart w:id="1309" w:name="_Toc106092822"/>
      <w:bookmarkStart w:id="1310" w:name="_Toc144104434"/>
      <w:r w:rsidRPr="00F15667">
        <w:rPr>
          <w:color w:val="auto"/>
          <w:lang w:eastAsia="cs-CZ"/>
        </w:rPr>
        <w:t>Personál</w:t>
      </w:r>
      <w:bookmarkEnd w:id="1308"/>
      <w:bookmarkEnd w:id="1309"/>
      <w:bookmarkEnd w:id="1310"/>
    </w:p>
    <w:p w14:paraId="7FCC5597" w14:textId="08935160" w:rsidR="00C60E47" w:rsidRPr="00F15667" w:rsidRDefault="00C60E47" w:rsidP="00C60E47">
      <w:pPr>
        <w:pStyle w:val="Nadpis3"/>
        <w:numPr>
          <w:ilvl w:val="2"/>
          <w:numId w:val="1"/>
        </w:numPr>
        <w:rPr>
          <w:color w:val="auto"/>
          <w:lang w:eastAsia="cs-CZ"/>
        </w:rPr>
      </w:pPr>
      <w:bookmarkStart w:id="1311" w:name="_Toc515871308"/>
      <w:bookmarkStart w:id="1312" w:name="_Toc106092823"/>
      <w:bookmarkStart w:id="1313" w:name="_Toc144104435"/>
      <w:r w:rsidRPr="00F15667">
        <w:rPr>
          <w:color w:val="auto"/>
          <w:lang w:eastAsia="cs-CZ"/>
        </w:rPr>
        <w:t>Soudci</w:t>
      </w:r>
      <w:bookmarkEnd w:id="1311"/>
      <w:bookmarkEnd w:id="1312"/>
      <w:bookmarkEnd w:id="1313"/>
    </w:p>
    <w:p w14:paraId="16A58620" w14:textId="37A04B4B" w:rsidR="00295875" w:rsidRPr="00F15667" w:rsidRDefault="00295875" w:rsidP="00FB2C4D">
      <w:pPr>
        <w:pStyle w:val="OdstavecASR"/>
      </w:pPr>
      <w:r w:rsidRPr="00F15667">
        <w:t>Jak je vidět z grafu níže, evidenční počet soudců Nejvyššího správního soudu se v posledních 13</w:t>
      </w:r>
      <w:r w:rsidR="00727F2B">
        <w:t> </w:t>
      </w:r>
      <w:r w:rsidRPr="00F15667">
        <w:t>letech jen zřídkakdy potkal s plánovaným počtem soudců tohoto soudu. Stalo se tak pouze 3</w:t>
      </w:r>
      <w:r w:rsidR="00FB2C4D">
        <w:t>×</w:t>
      </w:r>
      <w:r w:rsidRPr="00F15667">
        <w:t xml:space="preserve">, přičemž šest let pracoval soud v podstavu, v některých letech dosti hlubokém. V roce 2022 se evidenční i plánovaný počet soudců </w:t>
      </w:r>
      <w:r w:rsidR="00727F2B">
        <w:t>„</w:t>
      </w:r>
      <w:r w:rsidRPr="00F15667">
        <w:t>srovnal“</w:t>
      </w:r>
      <w:r w:rsidR="00FB2C4D">
        <w:t>.</w:t>
      </w:r>
    </w:p>
    <w:p w14:paraId="37C5CA95" w14:textId="107D4008" w:rsidR="001F6075" w:rsidRPr="00F15667" w:rsidRDefault="001F6075" w:rsidP="001F6075">
      <w:pPr>
        <w:pStyle w:val="Podnadpis"/>
        <w:numPr>
          <w:ilvl w:val="0"/>
          <w:numId w:val="0"/>
        </w:numPr>
        <w:rPr>
          <w:color w:val="auto"/>
        </w:rPr>
      </w:pPr>
      <w:bookmarkStart w:id="1314" w:name="_Toc515871429"/>
      <w:bookmarkStart w:id="1315" w:name="_Toc11135160"/>
      <w:bookmarkStart w:id="1316" w:name="_Toc43841486"/>
      <w:bookmarkStart w:id="1317" w:name="_Toc75952289"/>
      <w:bookmarkStart w:id="1318" w:name="_Toc106106745"/>
      <w:bookmarkStart w:id="1319" w:name="_Toc109802069"/>
      <w:bookmarkStart w:id="1320" w:name="_Toc144104220"/>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108</w:t>
      </w:r>
      <w:r w:rsidRPr="00F15667">
        <w:rPr>
          <w:color w:val="auto"/>
        </w:rPr>
        <w:fldChar w:fldCharType="end"/>
      </w:r>
      <w:r w:rsidRPr="00F15667">
        <w:rPr>
          <w:color w:val="auto"/>
        </w:rPr>
        <w:t>: NSS – počet soudců v letech 2008–20</w:t>
      </w:r>
      <w:bookmarkEnd w:id="1314"/>
      <w:bookmarkEnd w:id="1315"/>
      <w:bookmarkEnd w:id="1316"/>
      <w:r w:rsidRPr="00F15667">
        <w:rPr>
          <w:color w:val="auto"/>
        </w:rPr>
        <w:t>2</w:t>
      </w:r>
      <w:bookmarkEnd w:id="1317"/>
      <w:bookmarkEnd w:id="1318"/>
      <w:bookmarkEnd w:id="1319"/>
      <w:r w:rsidR="00C60E47" w:rsidRPr="00F15667">
        <w:rPr>
          <w:color w:val="auto"/>
        </w:rPr>
        <w:t>2</w:t>
      </w:r>
      <w:bookmarkEnd w:id="1320"/>
    </w:p>
    <w:p w14:paraId="72015058" w14:textId="6533B2CA" w:rsidR="001F6075" w:rsidRPr="00F15667" w:rsidRDefault="001F6075" w:rsidP="00FB2C4D">
      <w:pPr>
        <w:pStyle w:val="OdstavecASR"/>
      </w:pPr>
      <w:r w:rsidRPr="00F15667">
        <w:rPr>
          <w:noProof/>
          <w:lang w:eastAsia="cs-CZ"/>
        </w:rPr>
        <w:drawing>
          <wp:inline distT="0" distB="0" distL="0" distR="0" wp14:anchorId="34003722" wp14:editId="3087CF97">
            <wp:extent cx="5029200" cy="3657600"/>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E3BA970" w14:textId="35836A8C" w:rsidR="00C60E47" w:rsidRPr="00F15667" w:rsidRDefault="00C60E47" w:rsidP="00C60E47">
      <w:pPr>
        <w:pStyle w:val="Podnadpis"/>
        <w:rPr>
          <w:color w:val="auto"/>
        </w:rPr>
      </w:pPr>
      <w:bookmarkStart w:id="1321" w:name="_Toc515871430"/>
      <w:bookmarkStart w:id="1322" w:name="_Toc11135161"/>
      <w:bookmarkStart w:id="1323" w:name="_Toc43841487"/>
      <w:bookmarkStart w:id="1324" w:name="_Toc75952290"/>
      <w:bookmarkStart w:id="1325" w:name="_Toc106106746"/>
      <w:bookmarkStart w:id="1326" w:name="_Toc109802070"/>
      <w:bookmarkStart w:id="1327" w:name="_Toc144104221"/>
      <w:r w:rsidRPr="00F15667">
        <w:rPr>
          <w:color w:val="auto"/>
        </w:rPr>
        <w:lastRenderedPageBreak/>
        <w:t xml:space="preserve">Graf </w:t>
      </w:r>
      <w:r w:rsidRPr="00F15667">
        <w:rPr>
          <w:color w:val="auto"/>
        </w:rPr>
        <w:fldChar w:fldCharType="begin"/>
      </w:r>
      <w:r w:rsidRPr="00F15667">
        <w:rPr>
          <w:noProof/>
          <w:color w:val="auto"/>
        </w:rPr>
        <w:instrText xml:space="preserve"> SEQ Graf \* ARABIC </w:instrText>
      </w:r>
      <w:r w:rsidRPr="00F15667">
        <w:rPr>
          <w:color w:val="auto"/>
        </w:rPr>
        <w:fldChar w:fldCharType="separate"/>
      </w:r>
      <w:r w:rsidR="001E1A67">
        <w:rPr>
          <w:noProof/>
          <w:color w:val="auto"/>
        </w:rPr>
        <w:t>109</w:t>
      </w:r>
      <w:r w:rsidRPr="00F15667">
        <w:rPr>
          <w:color w:val="auto"/>
        </w:rPr>
        <w:fldChar w:fldCharType="end"/>
      </w:r>
      <w:r w:rsidRPr="00F15667">
        <w:rPr>
          <w:color w:val="auto"/>
        </w:rPr>
        <w:t>: NSS – evidenční počet soudců dle pohlaví v letech 2008–20</w:t>
      </w:r>
      <w:bookmarkEnd w:id="1321"/>
      <w:bookmarkEnd w:id="1322"/>
      <w:bookmarkEnd w:id="1323"/>
      <w:r w:rsidRPr="00F15667">
        <w:rPr>
          <w:color w:val="auto"/>
        </w:rPr>
        <w:t>2</w:t>
      </w:r>
      <w:bookmarkEnd w:id="1324"/>
      <w:bookmarkEnd w:id="1325"/>
      <w:bookmarkEnd w:id="1326"/>
      <w:r w:rsidR="00E36A57" w:rsidRPr="00F15667">
        <w:rPr>
          <w:color w:val="auto"/>
        </w:rPr>
        <w:t>2</w:t>
      </w:r>
      <w:bookmarkEnd w:id="1327"/>
    </w:p>
    <w:p w14:paraId="258F6EE0" w14:textId="0811FF4C" w:rsidR="0040357C" w:rsidRPr="00F15667" w:rsidRDefault="00C60E47" w:rsidP="00FB2C4D">
      <w:pPr>
        <w:pStyle w:val="OdstavecASR"/>
      </w:pPr>
      <w:r w:rsidRPr="00F15667">
        <w:rPr>
          <w:noProof/>
          <w:lang w:eastAsia="cs-CZ"/>
        </w:rPr>
        <w:drawing>
          <wp:inline distT="0" distB="0" distL="0" distR="0" wp14:anchorId="3F8300B5" wp14:editId="55430B36">
            <wp:extent cx="5029200" cy="365760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849473F" w14:textId="77777777" w:rsidR="00D62704" w:rsidRPr="00F15667" w:rsidRDefault="00D62704" w:rsidP="00D62704">
      <w:pPr>
        <w:pStyle w:val="OdstavecASR"/>
      </w:pPr>
      <w:r w:rsidRPr="00F15667">
        <w:t>V grafu výše vidíme, že v posledních letech se mění počet mužů, kteří u soudu působí. Počet žen je daleko stabilnější. U NSS v roce 2021 tvořily ženy přesně jednu třetinu soudců, tedy více než u NS, ale méně než u soudů nižších stupňů.</w:t>
      </w:r>
    </w:p>
    <w:p w14:paraId="2E3F29E2" w14:textId="77777777" w:rsidR="00D62704" w:rsidRPr="00F15667" w:rsidRDefault="00D62704" w:rsidP="00D62704">
      <w:pPr>
        <w:pStyle w:val="OdstavecASR"/>
      </w:pPr>
      <w:r w:rsidRPr="00F15667">
        <w:t>V dalším grafu je zobrazen stejně jako u ostatních článků soudní soustavy vývoj ve věkové struktuře soudců. Zajímavým poznatkem je, že soudci u NSS jsou výrazně mladší nejen než soudci u Nejvyššího soudu a u vrchních soudů, ale dokonce také než soudci u soudů krajských. Soudci ve věku 41 až 50 let tvoří u NSS téměř dvě třetiny soudcovské populace.</w:t>
      </w:r>
    </w:p>
    <w:p w14:paraId="48368F74" w14:textId="77777777" w:rsidR="00D62704" w:rsidRPr="00F15667" w:rsidRDefault="00D62704" w:rsidP="00D62704">
      <w:pPr>
        <w:pStyle w:val="OdstavecASR"/>
      </w:pPr>
      <w:r w:rsidRPr="00F15667">
        <w:t>Dáme-li údaje ze všech tří grafů dohromady, zjistíme, že soudci, o které byl v letech 2013 až 2015 soud posílen, byli muži ve věku 41 až 50 let.</w:t>
      </w:r>
    </w:p>
    <w:p w14:paraId="702A3280" w14:textId="1EA8029F" w:rsidR="00D62704" w:rsidRPr="00F15667" w:rsidRDefault="00D62704" w:rsidP="00D62704">
      <w:pPr>
        <w:pStyle w:val="OdstavecASR"/>
      </w:pPr>
      <w:r w:rsidRPr="00F15667">
        <w:t xml:space="preserve">V grafu níže také vidíme, že ani u NSS </w:t>
      </w:r>
      <w:r w:rsidR="00487E44" w:rsidRPr="00F15667">
        <w:t>od roku 2020</w:t>
      </w:r>
      <w:r w:rsidRPr="00F15667">
        <w:t xml:space="preserve"> nepůsobí žádní soudci ve věku do 40 let, neboť se posunuli do vyšší věkové skupiny.</w:t>
      </w:r>
    </w:p>
    <w:p w14:paraId="2E22FF96" w14:textId="02ABA5DF" w:rsidR="00400119" w:rsidRPr="00F15667" w:rsidRDefault="00400119" w:rsidP="00400119">
      <w:pPr>
        <w:pStyle w:val="Podnadpis"/>
        <w:rPr>
          <w:color w:val="auto"/>
        </w:rPr>
      </w:pPr>
      <w:bookmarkStart w:id="1328" w:name="_Toc515871431"/>
      <w:bookmarkStart w:id="1329" w:name="_Toc11135162"/>
      <w:bookmarkStart w:id="1330" w:name="_Toc43841488"/>
      <w:bookmarkStart w:id="1331" w:name="_Toc75952291"/>
      <w:bookmarkStart w:id="1332" w:name="_Toc106106747"/>
      <w:bookmarkStart w:id="1333" w:name="_Toc109802071"/>
      <w:bookmarkStart w:id="1334" w:name="_Toc144104222"/>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110</w:t>
      </w:r>
      <w:r w:rsidRPr="00F15667">
        <w:rPr>
          <w:color w:val="auto"/>
        </w:rPr>
        <w:fldChar w:fldCharType="end"/>
      </w:r>
      <w:r w:rsidRPr="00F15667">
        <w:rPr>
          <w:color w:val="auto"/>
        </w:rPr>
        <w:t>: NSS – věková struktura soudců v letech 2008</w:t>
      </w:r>
      <w:r w:rsidRPr="00F15667">
        <w:rPr>
          <w:color w:val="auto"/>
        </w:rPr>
        <w:sym w:font="Symbol" w:char="F02D"/>
      </w:r>
      <w:r w:rsidRPr="00F15667">
        <w:rPr>
          <w:color w:val="auto"/>
        </w:rPr>
        <w:t>20</w:t>
      </w:r>
      <w:bookmarkEnd w:id="1328"/>
      <w:bookmarkEnd w:id="1329"/>
      <w:bookmarkEnd w:id="1330"/>
      <w:r w:rsidRPr="00F15667">
        <w:rPr>
          <w:color w:val="auto"/>
        </w:rPr>
        <w:t>2</w:t>
      </w:r>
      <w:bookmarkEnd w:id="1331"/>
      <w:bookmarkEnd w:id="1332"/>
      <w:bookmarkEnd w:id="1333"/>
      <w:r w:rsidRPr="00F15667">
        <w:rPr>
          <w:color w:val="auto"/>
        </w:rPr>
        <w:t>2</w:t>
      </w:r>
      <w:bookmarkEnd w:id="1334"/>
    </w:p>
    <w:p w14:paraId="17D1C939" w14:textId="152334CD" w:rsidR="00400119" w:rsidRPr="00FB2C4D" w:rsidRDefault="00400119" w:rsidP="00FB2C4D">
      <w:pPr>
        <w:pStyle w:val="OdstavecASR"/>
      </w:pPr>
      <w:r w:rsidRPr="00F15667">
        <w:rPr>
          <w:rFonts w:eastAsia="Times New Roman"/>
          <w:b/>
          <w:iCs/>
          <w:noProof/>
          <w:spacing w:val="15"/>
          <w:szCs w:val="24"/>
          <w:lang w:eastAsia="cs-CZ"/>
        </w:rPr>
        <w:drawing>
          <wp:inline distT="0" distB="0" distL="0" distR="0" wp14:anchorId="5A45C7C9" wp14:editId="053D20E2">
            <wp:extent cx="5029200" cy="365760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501F59F" w14:textId="77777777" w:rsidR="008430BD" w:rsidRPr="00F15667" w:rsidRDefault="008430BD" w:rsidP="008430BD">
      <w:pPr>
        <w:pStyle w:val="Nadpis3"/>
        <w:numPr>
          <w:ilvl w:val="2"/>
          <w:numId w:val="1"/>
        </w:numPr>
        <w:rPr>
          <w:color w:val="auto"/>
          <w:lang w:eastAsia="cs-CZ"/>
        </w:rPr>
      </w:pPr>
      <w:bookmarkStart w:id="1335" w:name="_Toc515871309"/>
      <w:bookmarkStart w:id="1336" w:name="_Toc106092824"/>
      <w:bookmarkStart w:id="1337" w:name="_Toc144104436"/>
      <w:r w:rsidRPr="00F15667">
        <w:rPr>
          <w:color w:val="auto"/>
          <w:lang w:eastAsia="cs-CZ"/>
        </w:rPr>
        <w:t>Zaměstnanci ve výkonu</w:t>
      </w:r>
      <w:bookmarkEnd w:id="1335"/>
      <w:bookmarkEnd w:id="1336"/>
      <w:bookmarkEnd w:id="1337"/>
    </w:p>
    <w:p w14:paraId="1E9FCEAC" w14:textId="495853B8" w:rsidR="00487E44" w:rsidRPr="00F15667" w:rsidRDefault="00487E44" w:rsidP="00487E44">
      <w:pPr>
        <w:pStyle w:val="OdstavecASR"/>
      </w:pPr>
      <w:r w:rsidRPr="00F15667">
        <w:t xml:space="preserve">U NSS je stejně jako u NS s výjimkou asistentů soudců malé množství zaměstnanců ve výkonu. Na jednoho soudce připadají téměř dva asistenti. Personální počty opět plynou ze zvláštní povahy agendy u NSS. </w:t>
      </w:r>
      <w:r w:rsidR="00C232E9" w:rsidRPr="00F15667">
        <w:t xml:space="preserve">Při pohledu na delší časové období je možno říci, že personální obsazení </w:t>
      </w:r>
      <w:r w:rsidR="00474324" w:rsidRPr="00F15667">
        <w:t xml:space="preserve">NSS </w:t>
      </w:r>
      <w:r w:rsidR="00C232E9" w:rsidRPr="00F15667">
        <w:t>je velmi stále a pokud dochází u NSS k</w:t>
      </w:r>
      <w:r w:rsidR="00474324" w:rsidRPr="00F15667">
        <w:t> </w:t>
      </w:r>
      <w:r w:rsidR="00C232E9" w:rsidRPr="00F15667">
        <w:t>pohybu zaměstnanců ve výkonu, děje se tak převážně na pozicích asistentů/asistentek, a to v</w:t>
      </w:r>
      <w:r w:rsidR="00474324" w:rsidRPr="00F15667">
        <w:t> </w:t>
      </w:r>
      <w:r w:rsidR="00C232E9" w:rsidRPr="00F15667">
        <w:t>jednotkách osob (např. v</w:t>
      </w:r>
      <w:r w:rsidR="00474324" w:rsidRPr="00F15667">
        <w:t> </w:t>
      </w:r>
      <w:r w:rsidR="00C232E9" w:rsidRPr="00F15667">
        <w:t>roce 2016 zde pracovalo 63 asistent</w:t>
      </w:r>
      <w:r w:rsidR="00474324" w:rsidRPr="00F15667">
        <w:t>ů</w:t>
      </w:r>
      <w:r w:rsidR="00C232E9" w:rsidRPr="00F15667">
        <w:t xml:space="preserve"> vs. 62 asistentů v roce 2022).</w:t>
      </w:r>
      <w:r w:rsidR="006812BF" w:rsidRPr="00F15667">
        <w:t xml:space="preserve"> </w:t>
      </w:r>
      <w:r w:rsidR="00C232E9" w:rsidRPr="00F15667">
        <w:t>V roce 2021 tři asistenti přibyli, v roce 2022 naopak dva ubyli.</w:t>
      </w:r>
    </w:p>
    <w:p w14:paraId="73C850A2" w14:textId="5B319BEE" w:rsidR="00487E44" w:rsidRPr="00F15667" w:rsidRDefault="00487E44" w:rsidP="00487E44">
      <w:pPr>
        <w:pStyle w:val="Podnadpis"/>
        <w:numPr>
          <w:ilvl w:val="0"/>
          <w:numId w:val="0"/>
        </w:numPr>
        <w:rPr>
          <w:color w:val="auto"/>
        </w:rPr>
      </w:pPr>
      <w:bookmarkStart w:id="1338" w:name="_Toc515871506"/>
      <w:bookmarkStart w:id="1339" w:name="_Toc11133272"/>
      <w:bookmarkStart w:id="1340" w:name="_Toc43931254"/>
      <w:bookmarkStart w:id="1341" w:name="_Toc75952388"/>
      <w:bookmarkStart w:id="1342" w:name="_Toc106106841"/>
      <w:bookmarkStart w:id="1343" w:name="_Toc109802164"/>
      <w:bookmarkStart w:id="1344" w:name="_Toc144104323"/>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84</w:t>
      </w:r>
      <w:r w:rsidRPr="00F15667">
        <w:rPr>
          <w:color w:val="auto"/>
        </w:rPr>
        <w:fldChar w:fldCharType="end"/>
      </w:r>
      <w:r w:rsidRPr="00F15667">
        <w:rPr>
          <w:color w:val="auto"/>
        </w:rPr>
        <w:t>: NSS – počet zaměstnanců ve výkonu</w:t>
      </w:r>
      <w:bookmarkEnd w:id="1338"/>
      <w:bookmarkEnd w:id="1339"/>
      <w:bookmarkEnd w:id="1340"/>
      <w:bookmarkEnd w:id="1341"/>
      <w:bookmarkEnd w:id="1342"/>
      <w:bookmarkEnd w:id="1343"/>
      <w:bookmarkEnd w:id="1344"/>
    </w:p>
    <w:tbl>
      <w:tblPr>
        <w:tblW w:w="5120" w:type="dxa"/>
        <w:tblCellMar>
          <w:left w:w="70" w:type="dxa"/>
          <w:right w:w="70" w:type="dxa"/>
        </w:tblCellMar>
        <w:tblLook w:val="04A0" w:firstRow="1" w:lastRow="0" w:firstColumn="1" w:lastColumn="0" w:noHBand="0" w:noVBand="1"/>
      </w:tblPr>
      <w:tblGrid>
        <w:gridCol w:w="3680"/>
        <w:gridCol w:w="1440"/>
      </w:tblGrid>
      <w:tr w:rsidR="00F15667" w:rsidRPr="00F15667" w14:paraId="0673B9F8" w14:textId="77777777" w:rsidTr="00DC17A0">
        <w:trPr>
          <w:trHeight w:val="345"/>
        </w:trPr>
        <w:tc>
          <w:tcPr>
            <w:tcW w:w="3680" w:type="dxa"/>
            <w:tcBorders>
              <w:top w:val="double" w:sz="6" w:space="0" w:color="auto"/>
              <w:left w:val="nil"/>
              <w:bottom w:val="double" w:sz="6" w:space="0" w:color="auto"/>
              <w:right w:val="nil"/>
            </w:tcBorders>
            <w:shd w:val="clear" w:color="auto" w:fill="auto"/>
            <w:noWrap/>
            <w:vAlign w:val="center"/>
            <w:hideMark/>
          </w:tcPr>
          <w:p w14:paraId="53F8604E" w14:textId="2F061D37" w:rsidR="00487E44" w:rsidRPr="00F15667" w:rsidRDefault="00DC17A0" w:rsidP="00DC17A0">
            <w:pPr>
              <w:spacing w:line="240" w:lineRule="auto"/>
              <w:jc w:val="center"/>
              <w:rPr>
                <w:rFonts w:eastAsia="Times New Roman"/>
                <w:b/>
                <w:bCs/>
                <w:szCs w:val="24"/>
                <w:lang w:eastAsia="cs-CZ"/>
              </w:rPr>
            </w:pPr>
            <w:r>
              <w:rPr>
                <w:rFonts w:eastAsia="Times New Roman"/>
                <w:b/>
                <w:bCs/>
                <w:szCs w:val="24"/>
                <w:lang w:eastAsia="cs-CZ"/>
              </w:rPr>
              <w:t>Funkce</w:t>
            </w:r>
          </w:p>
        </w:tc>
        <w:tc>
          <w:tcPr>
            <w:tcW w:w="1440" w:type="dxa"/>
            <w:tcBorders>
              <w:top w:val="double" w:sz="6" w:space="0" w:color="auto"/>
              <w:left w:val="nil"/>
              <w:bottom w:val="double" w:sz="6" w:space="0" w:color="auto"/>
              <w:right w:val="nil"/>
            </w:tcBorders>
            <w:shd w:val="clear" w:color="auto" w:fill="auto"/>
            <w:noWrap/>
            <w:vAlign w:val="center"/>
            <w:hideMark/>
          </w:tcPr>
          <w:p w14:paraId="7A93781C" w14:textId="77777777" w:rsidR="00487E44" w:rsidRPr="00F15667" w:rsidRDefault="00487E44" w:rsidP="00DC17A0">
            <w:pPr>
              <w:spacing w:line="240" w:lineRule="auto"/>
              <w:jc w:val="center"/>
              <w:rPr>
                <w:rFonts w:eastAsia="Times New Roman"/>
                <w:b/>
                <w:bCs/>
                <w:szCs w:val="24"/>
                <w:lang w:eastAsia="cs-CZ"/>
              </w:rPr>
            </w:pPr>
            <w:r w:rsidRPr="00F15667">
              <w:rPr>
                <w:rFonts w:eastAsia="Times New Roman"/>
                <w:b/>
                <w:bCs/>
                <w:szCs w:val="24"/>
                <w:lang w:eastAsia="cs-CZ"/>
              </w:rPr>
              <w:t>Počet osob</w:t>
            </w:r>
          </w:p>
        </w:tc>
      </w:tr>
      <w:tr w:rsidR="00F15667" w:rsidRPr="00F15667" w14:paraId="67629311" w14:textId="77777777" w:rsidTr="00DC17A0">
        <w:trPr>
          <w:trHeight w:val="330"/>
        </w:trPr>
        <w:tc>
          <w:tcPr>
            <w:tcW w:w="3680" w:type="dxa"/>
            <w:tcBorders>
              <w:top w:val="nil"/>
              <w:left w:val="nil"/>
              <w:bottom w:val="single" w:sz="4" w:space="0" w:color="auto"/>
              <w:right w:val="nil"/>
            </w:tcBorders>
            <w:shd w:val="clear" w:color="auto" w:fill="auto"/>
            <w:noWrap/>
            <w:vAlign w:val="center"/>
            <w:hideMark/>
          </w:tcPr>
          <w:p w14:paraId="20B212DF" w14:textId="77777777" w:rsidR="00487E44" w:rsidRPr="00F15667" w:rsidRDefault="00487E44" w:rsidP="00DC17A0">
            <w:pPr>
              <w:spacing w:line="240" w:lineRule="auto"/>
              <w:jc w:val="left"/>
              <w:rPr>
                <w:rFonts w:eastAsia="Times New Roman"/>
                <w:szCs w:val="24"/>
                <w:lang w:eastAsia="cs-CZ"/>
              </w:rPr>
            </w:pPr>
            <w:r w:rsidRPr="00F15667">
              <w:rPr>
                <w:rFonts w:eastAsia="Times New Roman"/>
                <w:szCs w:val="24"/>
                <w:lang w:eastAsia="cs-CZ"/>
              </w:rPr>
              <w:t>Asistent</w:t>
            </w:r>
          </w:p>
        </w:tc>
        <w:tc>
          <w:tcPr>
            <w:tcW w:w="1440" w:type="dxa"/>
            <w:tcBorders>
              <w:top w:val="nil"/>
              <w:left w:val="nil"/>
              <w:bottom w:val="single" w:sz="4" w:space="0" w:color="auto"/>
              <w:right w:val="nil"/>
            </w:tcBorders>
            <w:shd w:val="clear" w:color="auto" w:fill="auto"/>
            <w:noWrap/>
            <w:vAlign w:val="center"/>
            <w:hideMark/>
          </w:tcPr>
          <w:p w14:paraId="6A8ABC31" w14:textId="77777777" w:rsidR="00487E44" w:rsidRPr="00F15667" w:rsidRDefault="00487E44" w:rsidP="00DC17A0">
            <w:pPr>
              <w:spacing w:line="240" w:lineRule="auto"/>
              <w:jc w:val="center"/>
              <w:rPr>
                <w:rFonts w:eastAsia="Times New Roman"/>
                <w:szCs w:val="24"/>
                <w:lang w:eastAsia="cs-CZ"/>
              </w:rPr>
            </w:pPr>
            <w:r w:rsidRPr="00F15667">
              <w:rPr>
                <w:rFonts w:eastAsia="Times New Roman"/>
                <w:szCs w:val="24"/>
                <w:lang w:eastAsia="cs-CZ"/>
              </w:rPr>
              <w:t>62</w:t>
            </w:r>
          </w:p>
        </w:tc>
      </w:tr>
      <w:tr w:rsidR="00F15667" w:rsidRPr="00F15667" w14:paraId="3AAF69CC" w14:textId="77777777" w:rsidTr="00DC17A0">
        <w:trPr>
          <w:trHeight w:val="315"/>
        </w:trPr>
        <w:tc>
          <w:tcPr>
            <w:tcW w:w="3680" w:type="dxa"/>
            <w:tcBorders>
              <w:top w:val="nil"/>
              <w:left w:val="nil"/>
              <w:bottom w:val="single" w:sz="4" w:space="0" w:color="auto"/>
              <w:right w:val="nil"/>
            </w:tcBorders>
            <w:shd w:val="clear" w:color="auto" w:fill="auto"/>
            <w:noWrap/>
            <w:vAlign w:val="center"/>
            <w:hideMark/>
          </w:tcPr>
          <w:p w14:paraId="4BB0E943" w14:textId="77777777" w:rsidR="00487E44" w:rsidRPr="00F15667" w:rsidRDefault="00487E44" w:rsidP="00DC17A0">
            <w:pPr>
              <w:spacing w:line="240" w:lineRule="auto"/>
              <w:jc w:val="left"/>
              <w:rPr>
                <w:rFonts w:eastAsia="Times New Roman"/>
                <w:szCs w:val="24"/>
                <w:lang w:eastAsia="cs-CZ"/>
              </w:rPr>
            </w:pPr>
            <w:r w:rsidRPr="00F15667">
              <w:rPr>
                <w:rFonts w:eastAsia="Times New Roman"/>
                <w:szCs w:val="24"/>
                <w:lang w:eastAsia="cs-CZ"/>
              </w:rPr>
              <w:t>Vedoucí kanceláře</w:t>
            </w:r>
          </w:p>
        </w:tc>
        <w:tc>
          <w:tcPr>
            <w:tcW w:w="1440" w:type="dxa"/>
            <w:tcBorders>
              <w:top w:val="nil"/>
              <w:left w:val="nil"/>
              <w:bottom w:val="single" w:sz="4" w:space="0" w:color="auto"/>
              <w:right w:val="nil"/>
            </w:tcBorders>
            <w:shd w:val="clear" w:color="auto" w:fill="auto"/>
            <w:noWrap/>
            <w:vAlign w:val="center"/>
            <w:hideMark/>
          </w:tcPr>
          <w:p w14:paraId="5CF1935E" w14:textId="77777777" w:rsidR="00487E44" w:rsidRPr="00F15667" w:rsidRDefault="00487E44" w:rsidP="00DC17A0">
            <w:pPr>
              <w:spacing w:line="240" w:lineRule="auto"/>
              <w:jc w:val="center"/>
              <w:rPr>
                <w:rFonts w:eastAsia="Times New Roman"/>
                <w:szCs w:val="24"/>
                <w:lang w:eastAsia="cs-CZ"/>
              </w:rPr>
            </w:pPr>
            <w:r w:rsidRPr="00F15667">
              <w:rPr>
                <w:rFonts w:eastAsia="Times New Roman"/>
                <w:szCs w:val="24"/>
                <w:lang w:eastAsia="cs-CZ"/>
              </w:rPr>
              <w:t>11</w:t>
            </w:r>
          </w:p>
        </w:tc>
      </w:tr>
      <w:tr w:rsidR="00F15667" w:rsidRPr="00F15667" w14:paraId="41E93970" w14:textId="77777777" w:rsidTr="00DC17A0">
        <w:trPr>
          <w:trHeight w:val="315"/>
        </w:trPr>
        <w:tc>
          <w:tcPr>
            <w:tcW w:w="3680" w:type="dxa"/>
            <w:tcBorders>
              <w:top w:val="nil"/>
              <w:left w:val="nil"/>
              <w:bottom w:val="single" w:sz="4" w:space="0" w:color="auto"/>
              <w:right w:val="nil"/>
            </w:tcBorders>
            <w:shd w:val="clear" w:color="auto" w:fill="auto"/>
            <w:noWrap/>
            <w:vAlign w:val="center"/>
            <w:hideMark/>
          </w:tcPr>
          <w:p w14:paraId="767A791E" w14:textId="77777777" w:rsidR="00487E44" w:rsidRPr="00F15667" w:rsidRDefault="00487E44" w:rsidP="00DC17A0">
            <w:pPr>
              <w:spacing w:line="240" w:lineRule="auto"/>
              <w:jc w:val="left"/>
              <w:rPr>
                <w:rFonts w:eastAsia="Times New Roman"/>
                <w:szCs w:val="24"/>
                <w:lang w:eastAsia="cs-CZ"/>
              </w:rPr>
            </w:pPr>
            <w:r w:rsidRPr="00F15667">
              <w:rPr>
                <w:rFonts w:eastAsia="Times New Roman"/>
                <w:szCs w:val="24"/>
                <w:lang w:eastAsia="cs-CZ"/>
              </w:rPr>
              <w:t>Protokolující úředník</w:t>
            </w:r>
          </w:p>
        </w:tc>
        <w:tc>
          <w:tcPr>
            <w:tcW w:w="1440" w:type="dxa"/>
            <w:tcBorders>
              <w:top w:val="nil"/>
              <w:left w:val="nil"/>
              <w:bottom w:val="single" w:sz="4" w:space="0" w:color="auto"/>
              <w:right w:val="nil"/>
            </w:tcBorders>
            <w:shd w:val="clear" w:color="auto" w:fill="auto"/>
            <w:noWrap/>
            <w:vAlign w:val="center"/>
            <w:hideMark/>
          </w:tcPr>
          <w:p w14:paraId="53857513" w14:textId="77777777" w:rsidR="00487E44" w:rsidRPr="00F15667" w:rsidRDefault="00487E44" w:rsidP="00DC17A0">
            <w:pPr>
              <w:spacing w:line="240" w:lineRule="auto"/>
              <w:jc w:val="center"/>
              <w:rPr>
                <w:rFonts w:eastAsia="Times New Roman"/>
                <w:szCs w:val="24"/>
                <w:lang w:eastAsia="cs-CZ"/>
              </w:rPr>
            </w:pPr>
            <w:r w:rsidRPr="00F15667">
              <w:rPr>
                <w:rFonts w:eastAsia="Times New Roman"/>
                <w:szCs w:val="24"/>
                <w:lang w:eastAsia="cs-CZ"/>
              </w:rPr>
              <w:t>2</w:t>
            </w:r>
          </w:p>
        </w:tc>
      </w:tr>
      <w:tr w:rsidR="00F15667" w:rsidRPr="00F15667" w14:paraId="58697DB8" w14:textId="77777777" w:rsidTr="00DC17A0">
        <w:trPr>
          <w:trHeight w:val="330"/>
        </w:trPr>
        <w:tc>
          <w:tcPr>
            <w:tcW w:w="3680" w:type="dxa"/>
            <w:tcBorders>
              <w:top w:val="nil"/>
              <w:left w:val="nil"/>
              <w:bottom w:val="double" w:sz="6" w:space="0" w:color="auto"/>
              <w:right w:val="nil"/>
            </w:tcBorders>
            <w:shd w:val="clear" w:color="auto" w:fill="auto"/>
            <w:noWrap/>
            <w:vAlign w:val="center"/>
            <w:hideMark/>
          </w:tcPr>
          <w:p w14:paraId="2B4D47DE" w14:textId="77777777" w:rsidR="00487E44" w:rsidRPr="00F15667" w:rsidRDefault="00487E44" w:rsidP="00DC17A0">
            <w:pPr>
              <w:spacing w:line="240" w:lineRule="auto"/>
              <w:jc w:val="left"/>
              <w:rPr>
                <w:rFonts w:eastAsia="Times New Roman"/>
                <w:szCs w:val="24"/>
                <w:lang w:eastAsia="cs-CZ"/>
              </w:rPr>
            </w:pPr>
            <w:r w:rsidRPr="00F15667">
              <w:rPr>
                <w:rFonts w:eastAsia="Times New Roman"/>
                <w:szCs w:val="24"/>
                <w:lang w:eastAsia="cs-CZ"/>
              </w:rPr>
              <w:t>Zapisovatelka</w:t>
            </w:r>
          </w:p>
        </w:tc>
        <w:tc>
          <w:tcPr>
            <w:tcW w:w="1440" w:type="dxa"/>
            <w:tcBorders>
              <w:top w:val="nil"/>
              <w:left w:val="nil"/>
              <w:bottom w:val="double" w:sz="6" w:space="0" w:color="auto"/>
              <w:right w:val="nil"/>
            </w:tcBorders>
            <w:shd w:val="clear" w:color="auto" w:fill="auto"/>
            <w:noWrap/>
            <w:vAlign w:val="center"/>
            <w:hideMark/>
          </w:tcPr>
          <w:p w14:paraId="4ECAE2BE" w14:textId="77777777" w:rsidR="00487E44" w:rsidRPr="00F15667" w:rsidRDefault="00487E44" w:rsidP="00DC17A0">
            <w:pPr>
              <w:spacing w:line="240" w:lineRule="auto"/>
              <w:jc w:val="center"/>
              <w:rPr>
                <w:rFonts w:eastAsia="Times New Roman"/>
                <w:szCs w:val="24"/>
                <w:lang w:eastAsia="cs-CZ"/>
              </w:rPr>
            </w:pPr>
            <w:r w:rsidRPr="00F15667">
              <w:rPr>
                <w:rFonts w:eastAsia="Times New Roman"/>
                <w:szCs w:val="24"/>
                <w:lang w:eastAsia="cs-CZ"/>
              </w:rPr>
              <w:t>20</w:t>
            </w:r>
          </w:p>
        </w:tc>
      </w:tr>
      <w:tr w:rsidR="00F15667" w:rsidRPr="00F15667" w14:paraId="69828189" w14:textId="77777777" w:rsidTr="00DC17A0">
        <w:trPr>
          <w:trHeight w:val="345"/>
        </w:trPr>
        <w:tc>
          <w:tcPr>
            <w:tcW w:w="3680" w:type="dxa"/>
            <w:tcBorders>
              <w:top w:val="nil"/>
              <w:left w:val="nil"/>
              <w:bottom w:val="double" w:sz="6" w:space="0" w:color="auto"/>
              <w:right w:val="nil"/>
            </w:tcBorders>
            <w:shd w:val="clear" w:color="auto" w:fill="auto"/>
            <w:noWrap/>
            <w:vAlign w:val="center"/>
            <w:hideMark/>
          </w:tcPr>
          <w:p w14:paraId="6208EEDB" w14:textId="0D1FB691" w:rsidR="00487E44" w:rsidRPr="00F15667" w:rsidRDefault="00487E44" w:rsidP="00DC17A0">
            <w:pPr>
              <w:spacing w:line="240" w:lineRule="auto"/>
              <w:jc w:val="left"/>
              <w:rPr>
                <w:rFonts w:eastAsia="Times New Roman"/>
                <w:b/>
                <w:bCs/>
                <w:szCs w:val="24"/>
                <w:lang w:eastAsia="cs-CZ"/>
              </w:rPr>
            </w:pPr>
            <w:r w:rsidRPr="00F15667">
              <w:rPr>
                <w:rFonts w:eastAsia="Times New Roman"/>
                <w:b/>
                <w:bCs/>
                <w:szCs w:val="24"/>
                <w:lang w:eastAsia="cs-CZ"/>
              </w:rPr>
              <w:t>Celkem</w:t>
            </w:r>
          </w:p>
        </w:tc>
        <w:tc>
          <w:tcPr>
            <w:tcW w:w="1440" w:type="dxa"/>
            <w:tcBorders>
              <w:top w:val="nil"/>
              <w:left w:val="nil"/>
              <w:bottom w:val="double" w:sz="6" w:space="0" w:color="auto"/>
              <w:right w:val="nil"/>
            </w:tcBorders>
            <w:shd w:val="clear" w:color="auto" w:fill="auto"/>
            <w:noWrap/>
            <w:vAlign w:val="center"/>
            <w:hideMark/>
          </w:tcPr>
          <w:p w14:paraId="0BC040CC" w14:textId="77777777" w:rsidR="00487E44" w:rsidRPr="00F15667" w:rsidRDefault="00487E44" w:rsidP="00DC17A0">
            <w:pPr>
              <w:spacing w:line="240" w:lineRule="auto"/>
              <w:jc w:val="center"/>
              <w:rPr>
                <w:rFonts w:eastAsia="Times New Roman"/>
                <w:b/>
                <w:bCs/>
                <w:szCs w:val="24"/>
                <w:lang w:eastAsia="cs-CZ"/>
              </w:rPr>
            </w:pPr>
            <w:r w:rsidRPr="00F15667">
              <w:rPr>
                <w:rFonts w:eastAsia="Times New Roman"/>
                <w:b/>
                <w:bCs/>
                <w:szCs w:val="24"/>
                <w:lang w:eastAsia="cs-CZ"/>
              </w:rPr>
              <w:t>95</w:t>
            </w:r>
          </w:p>
        </w:tc>
      </w:tr>
      <w:tr w:rsidR="00487E44" w:rsidRPr="00F15667" w14:paraId="4EA01C94" w14:textId="77777777" w:rsidTr="00DC17A0">
        <w:trPr>
          <w:trHeight w:val="330"/>
        </w:trPr>
        <w:tc>
          <w:tcPr>
            <w:tcW w:w="3680" w:type="dxa"/>
            <w:tcBorders>
              <w:top w:val="nil"/>
              <w:left w:val="nil"/>
              <w:bottom w:val="nil"/>
              <w:right w:val="nil"/>
            </w:tcBorders>
            <w:shd w:val="clear" w:color="auto" w:fill="auto"/>
            <w:noWrap/>
            <w:vAlign w:val="center"/>
            <w:hideMark/>
          </w:tcPr>
          <w:p w14:paraId="4EB06426" w14:textId="77777777" w:rsidR="00487E44" w:rsidRPr="00F15667" w:rsidRDefault="00487E44" w:rsidP="00DC17A0">
            <w:pPr>
              <w:spacing w:line="240" w:lineRule="auto"/>
              <w:jc w:val="center"/>
              <w:rPr>
                <w:rFonts w:eastAsia="Times New Roman"/>
                <w:b/>
                <w:bCs/>
                <w:szCs w:val="24"/>
                <w:lang w:eastAsia="cs-CZ"/>
              </w:rPr>
            </w:pPr>
          </w:p>
        </w:tc>
        <w:tc>
          <w:tcPr>
            <w:tcW w:w="1440" w:type="dxa"/>
            <w:tcBorders>
              <w:top w:val="nil"/>
              <w:left w:val="nil"/>
              <w:bottom w:val="nil"/>
              <w:right w:val="nil"/>
            </w:tcBorders>
            <w:shd w:val="clear" w:color="auto" w:fill="auto"/>
            <w:noWrap/>
            <w:vAlign w:val="center"/>
            <w:hideMark/>
          </w:tcPr>
          <w:p w14:paraId="5FFED78D" w14:textId="77777777" w:rsidR="00487E44" w:rsidRPr="00F15667" w:rsidRDefault="00487E44" w:rsidP="00DC17A0">
            <w:pPr>
              <w:spacing w:line="240" w:lineRule="auto"/>
              <w:jc w:val="center"/>
              <w:rPr>
                <w:rFonts w:ascii="Times New Roman" w:eastAsia="Times New Roman" w:hAnsi="Times New Roman"/>
                <w:sz w:val="20"/>
                <w:szCs w:val="20"/>
                <w:lang w:eastAsia="cs-CZ"/>
              </w:rPr>
            </w:pPr>
          </w:p>
        </w:tc>
      </w:tr>
    </w:tbl>
    <w:p w14:paraId="36DB857C" w14:textId="77777777" w:rsidR="008430BD" w:rsidRPr="00F15667" w:rsidRDefault="008430BD" w:rsidP="008430BD">
      <w:pPr>
        <w:spacing w:line="240" w:lineRule="auto"/>
        <w:jc w:val="left"/>
        <w:rPr>
          <w:lang w:eastAsia="cs-CZ"/>
        </w:rPr>
      </w:pPr>
      <w:r w:rsidRPr="00F15667">
        <w:rPr>
          <w:lang w:eastAsia="cs-CZ"/>
        </w:rPr>
        <w:br w:type="page"/>
      </w:r>
    </w:p>
    <w:p w14:paraId="1E9CB7A5" w14:textId="793C409B" w:rsidR="008430BD" w:rsidRPr="00F15667" w:rsidRDefault="008430BD" w:rsidP="008430BD">
      <w:pPr>
        <w:pStyle w:val="Nadpis2"/>
        <w:numPr>
          <w:ilvl w:val="1"/>
          <w:numId w:val="1"/>
        </w:numPr>
        <w:spacing w:before="120"/>
        <w:rPr>
          <w:color w:val="auto"/>
        </w:rPr>
      </w:pPr>
      <w:bookmarkStart w:id="1345" w:name="_Toc487791312"/>
      <w:bookmarkStart w:id="1346" w:name="_Toc515871310"/>
      <w:bookmarkStart w:id="1347" w:name="_Toc106092825"/>
      <w:bookmarkStart w:id="1348" w:name="_Toc144104437"/>
      <w:r w:rsidRPr="00F15667">
        <w:rPr>
          <w:color w:val="auto"/>
        </w:rPr>
        <w:lastRenderedPageBreak/>
        <w:t>Řízení o kasačních stížnostech</w:t>
      </w:r>
      <w:bookmarkEnd w:id="1345"/>
      <w:bookmarkEnd w:id="1346"/>
      <w:bookmarkEnd w:id="1347"/>
      <w:bookmarkEnd w:id="1348"/>
    </w:p>
    <w:p w14:paraId="45149282" w14:textId="77777777" w:rsidR="001E4F76" w:rsidRPr="00F15667" w:rsidRDefault="001E4F76" w:rsidP="001E4F76">
      <w:pPr>
        <w:pStyle w:val="OdstavecASR"/>
      </w:pPr>
      <w:r w:rsidRPr="00F15667">
        <w:t>Rejstříky spadající do této agendy jsou popsány v úvodu této části.</w:t>
      </w:r>
    </w:p>
    <w:p w14:paraId="4FAD4D21" w14:textId="55275BEA" w:rsidR="008430BD" w:rsidRPr="00F15667" w:rsidRDefault="008430BD" w:rsidP="008430BD">
      <w:pPr>
        <w:pStyle w:val="Nadpis3"/>
        <w:numPr>
          <w:ilvl w:val="2"/>
          <w:numId w:val="1"/>
        </w:numPr>
        <w:rPr>
          <w:color w:val="auto"/>
        </w:rPr>
      </w:pPr>
      <w:bookmarkStart w:id="1349" w:name="_Toc515871311"/>
      <w:bookmarkStart w:id="1350" w:name="_Toc106092826"/>
      <w:bookmarkStart w:id="1351" w:name="_Toc144104438"/>
      <w:r w:rsidRPr="00F15667">
        <w:rPr>
          <w:color w:val="auto"/>
        </w:rPr>
        <w:t>Vyřizování věcí</w:t>
      </w:r>
      <w:bookmarkEnd w:id="1349"/>
      <w:bookmarkEnd w:id="1350"/>
      <w:bookmarkEnd w:id="1351"/>
    </w:p>
    <w:p w14:paraId="66A6342B" w14:textId="77777777" w:rsidR="001E4F76" w:rsidRPr="00F15667" w:rsidRDefault="001E4F76" w:rsidP="001E4F76">
      <w:pPr>
        <w:pStyle w:val="OdstavecASR"/>
      </w:pPr>
      <w:r w:rsidRPr="00F15667">
        <w:t>Srovnání nápadu v agendě kasačních stížností a počtu vyřízených věcí u krajských soudů ve správní agendě ukazuje, že průběh obou časových řad vykazuje značnou, i když ne úplnou podobnost. Můžeme tedy logicky dovodit, že nápad u NSS se odvíjí především od počtu pravomocně vyřízených věcí u krajských soudů.</w:t>
      </w:r>
    </w:p>
    <w:p w14:paraId="6836A740" w14:textId="174D4961" w:rsidR="001E4F76" w:rsidRPr="00F15667" w:rsidRDefault="001E4F76" w:rsidP="001E4F76">
      <w:pPr>
        <w:pStyle w:val="OdstavecASR"/>
      </w:pPr>
      <w:r w:rsidRPr="00F15667">
        <w:t>Od roku 2014 do roku 2019 pozorujeme trvalý růst nápadu. Od roku 2016 však soud již nestíhal vyřizovat svůj nápad, což logicky vyústilo v rychlý růst počtu nevyřízených věcí. V roce 2018 nárůst příchozích věcí zpomalil, ale nezastavil se. Počet příchozích věcí tak výrazně převýšil počet věcí vyřízených, a došlo tak k růstu v počtu nevyřízených věcí. V letech 2019 až 2021 došlo k výraznému růstu v počtu vyřízených věcí a rozdíl mezi věcmi příchozími a vyřízenými se tak zmenšil. Počet napadlých věcí ale stále převyšoval počet věcí vyřízených a tak roste počet věcí nevyřízených. Konečně v roce 2022 došlo k očekávanému výraznému poklesu (o 22 %) v počtu příchozích věcí. Pokles byl očekáván kvůli poklesu v prvostupňové agendě v předchozích letech. Počet vyřízených věcí klesl výrazně méně</w:t>
      </w:r>
      <w:r w:rsidR="00D17EB5" w:rsidRPr="00F15667">
        <w:t xml:space="preserve"> </w:t>
      </w:r>
      <w:r w:rsidRPr="00F15667">
        <w:t xml:space="preserve">a tak se poprvé od roku 2015 soudu podařilo snížit </w:t>
      </w:r>
      <w:r w:rsidR="007055F9" w:rsidRPr="00F15667">
        <w:t>počet</w:t>
      </w:r>
      <w:r w:rsidRPr="00F15667">
        <w:t xml:space="preserve"> nevyřízených věcí.</w:t>
      </w:r>
    </w:p>
    <w:p w14:paraId="13BB3A23" w14:textId="07B21A5D" w:rsidR="001E4F76" w:rsidRPr="00F15667" w:rsidRDefault="001E4F76" w:rsidP="001E4F76">
      <w:pPr>
        <w:pStyle w:val="Podnadpis"/>
        <w:numPr>
          <w:ilvl w:val="0"/>
          <w:numId w:val="0"/>
        </w:numPr>
        <w:rPr>
          <w:color w:val="auto"/>
        </w:rPr>
      </w:pPr>
      <w:bookmarkStart w:id="1352" w:name="_Toc43841489"/>
      <w:bookmarkStart w:id="1353" w:name="_Toc75952292"/>
      <w:bookmarkStart w:id="1354" w:name="_Toc106106748"/>
      <w:bookmarkStart w:id="1355" w:name="_Toc109802072"/>
      <w:bookmarkStart w:id="1356" w:name="_Toc144104223"/>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111</w:t>
      </w:r>
      <w:r w:rsidRPr="00F15667">
        <w:rPr>
          <w:color w:val="auto"/>
        </w:rPr>
        <w:fldChar w:fldCharType="end"/>
      </w:r>
      <w:r w:rsidRPr="00F15667">
        <w:rPr>
          <w:color w:val="auto"/>
        </w:rPr>
        <w:t>: NSS – vyřizování kasačních věcí v letech 2008–20</w:t>
      </w:r>
      <w:bookmarkEnd w:id="1352"/>
      <w:r w:rsidRPr="00F15667">
        <w:rPr>
          <w:color w:val="auto"/>
        </w:rPr>
        <w:t>2</w:t>
      </w:r>
      <w:bookmarkEnd w:id="1353"/>
      <w:bookmarkEnd w:id="1354"/>
      <w:bookmarkEnd w:id="1355"/>
      <w:r w:rsidRPr="00F15667">
        <w:rPr>
          <w:color w:val="auto"/>
        </w:rPr>
        <w:t>2</w:t>
      </w:r>
      <w:bookmarkEnd w:id="1356"/>
    </w:p>
    <w:p w14:paraId="19220C7D" w14:textId="0E97B0C2" w:rsidR="001E4F76" w:rsidRDefault="001E4F76" w:rsidP="00DC17A0">
      <w:pPr>
        <w:pStyle w:val="OdstavecASR"/>
      </w:pPr>
      <w:r w:rsidRPr="00F15667">
        <w:rPr>
          <w:noProof/>
          <w:lang w:eastAsia="cs-CZ"/>
        </w:rPr>
        <w:drawing>
          <wp:inline distT="0" distB="0" distL="0" distR="0" wp14:anchorId="020497FD" wp14:editId="4E74FC65">
            <wp:extent cx="5029200" cy="365760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C64AD42" w14:textId="0BD8D1AA" w:rsidR="00DC17A0" w:rsidRDefault="00DC17A0">
      <w:pPr>
        <w:spacing w:after="160" w:line="259" w:lineRule="auto"/>
        <w:jc w:val="left"/>
      </w:pPr>
      <w:r>
        <w:br w:type="page"/>
      </w:r>
    </w:p>
    <w:p w14:paraId="5BD9E643" w14:textId="5A49123C" w:rsidR="008430BD" w:rsidRPr="00F15667" w:rsidRDefault="008430BD" w:rsidP="008430BD">
      <w:pPr>
        <w:pStyle w:val="Nadpis2"/>
        <w:numPr>
          <w:ilvl w:val="1"/>
          <w:numId w:val="1"/>
        </w:numPr>
        <w:spacing w:before="120"/>
        <w:rPr>
          <w:color w:val="auto"/>
          <w:lang w:eastAsia="cs-CZ"/>
        </w:rPr>
      </w:pPr>
      <w:bookmarkStart w:id="1357" w:name="_Toc515871312"/>
      <w:bookmarkStart w:id="1358" w:name="_Toc106092827"/>
      <w:bookmarkStart w:id="1359" w:name="_Toc144104439"/>
      <w:r w:rsidRPr="00F15667">
        <w:rPr>
          <w:color w:val="auto"/>
          <w:lang w:eastAsia="cs-CZ"/>
        </w:rPr>
        <w:lastRenderedPageBreak/>
        <w:t>Řízení ve věcech soudců</w:t>
      </w:r>
      <w:bookmarkEnd w:id="1357"/>
      <w:bookmarkEnd w:id="1358"/>
      <w:bookmarkEnd w:id="1359"/>
    </w:p>
    <w:p w14:paraId="7705D516" w14:textId="77777777" w:rsidR="007055F9" w:rsidRPr="00F15667" w:rsidRDefault="007055F9" w:rsidP="007055F9">
      <w:bookmarkStart w:id="1360" w:name="_Hlk160450540"/>
      <w:r w:rsidRPr="00F15667">
        <w:rPr>
          <w:lang w:eastAsia="cs-CZ"/>
        </w:rPr>
        <w:t>Jedná s</w:t>
      </w:r>
      <w:r w:rsidRPr="00F15667">
        <w:t xml:space="preserve">e o řízení ve věcech kárné odpovědnosti soudců a ve věcech nezpůsobilosti soudce podle § 91 zákona o soudech a soudcích. </w:t>
      </w:r>
      <w:bookmarkEnd w:id="1360"/>
      <w:r w:rsidRPr="00F15667">
        <w:t>Věci jsou zapisovány do rejstříku Kss.</w:t>
      </w:r>
    </w:p>
    <w:p w14:paraId="73253215" w14:textId="27201B5E" w:rsidR="008430BD" w:rsidRPr="00F15667" w:rsidRDefault="008430BD" w:rsidP="008430BD">
      <w:pPr>
        <w:pStyle w:val="Nadpis3"/>
        <w:numPr>
          <w:ilvl w:val="2"/>
          <w:numId w:val="1"/>
        </w:numPr>
        <w:rPr>
          <w:color w:val="auto"/>
          <w:lang w:eastAsia="cs-CZ"/>
        </w:rPr>
      </w:pPr>
      <w:bookmarkStart w:id="1361" w:name="_Toc515871313"/>
      <w:bookmarkStart w:id="1362" w:name="_Toc106092828"/>
      <w:bookmarkStart w:id="1363" w:name="_Toc144104440"/>
      <w:r w:rsidRPr="00F15667">
        <w:rPr>
          <w:color w:val="auto"/>
          <w:lang w:eastAsia="cs-CZ"/>
        </w:rPr>
        <w:t>Vyřizování věcí</w:t>
      </w:r>
      <w:bookmarkEnd w:id="1361"/>
      <w:bookmarkEnd w:id="1362"/>
      <w:bookmarkEnd w:id="1363"/>
    </w:p>
    <w:p w14:paraId="023B3CE0" w14:textId="0AFD9B20" w:rsidR="002D2917" w:rsidRPr="00F15667" w:rsidRDefault="002D2917" w:rsidP="002D2917">
      <w:pPr>
        <w:pStyle w:val="Podnadpis"/>
        <w:numPr>
          <w:ilvl w:val="0"/>
          <w:numId w:val="0"/>
        </w:numPr>
        <w:rPr>
          <w:color w:val="auto"/>
        </w:rPr>
      </w:pPr>
      <w:bookmarkStart w:id="1364" w:name="_Toc515871433"/>
      <w:bookmarkStart w:id="1365" w:name="_Toc11135164"/>
      <w:bookmarkStart w:id="1366" w:name="_Toc43841490"/>
      <w:bookmarkStart w:id="1367" w:name="_Toc75952293"/>
      <w:bookmarkStart w:id="1368" w:name="_Toc106106749"/>
      <w:bookmarkStart w:id="1369" w:name="_Toc109802073"/>
      <w:bookmarkStart w:id="1370" w:name="_Toc144104224"/>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112</w:t>
      </w:r>
      <w:r w:rsidRPr="00F15667">
        <w:rPr>
          <w:color w:val="auto"/>
        </w:rPr>
        <w:fldChar w:fldCharType="end"/>
      </w:r>
      <w:r w:rsidRPr="00F15667">
        <w:rPr>
          <w:color w:val="auto"/>
        </w:rPr>
        <w:t>: NSS – vyřizování řízení ve věcech soudců v letech 2008–20</w:t>
      </w:r>
      <w:bookmarkEnd w:id="1364"/>
      <w:bookmarkEnd w:id="1365"/>
      <w:bookmarkEnd w:id="1366"/>
      <w:r w:rsidRPr="00F15667">
        <w:rPr>
          <w:color w:val="auto"/>
        </w:rPr>
        <w:t>2</w:t>
      </w:r>
      <w:bookmarkEnd w:id="1367"/>
      <w:r w:rsidRPr="00F15667">
        <w:rPr>
          <w:color w:val="auto"/>
        </w:rPr>
        <w:t>1</w:t>
      </w:r>
      <w:bookmarkEnd w:id="1368"/>
      <w:bookmarkEnd w:id="1369"/>
      <w:bookmarkEnd w:id="1370"/>
    </w:p>
    <w:p w14:paraId="15C6AF2E" w14:textId="770CE43C" w:rsidR="002D2917" w:rsidRPr="00F15667" w:rsidRDefault="002D2917" w:rsidP="00DC17A0">
      <w:pPr>
        <w:pStyle w:val="OdstavecASR"/>
      </w:pPr>
      <w:r w:rsidRPr="00F15667">
        <w:rPr>
          <w:noProof/>
          <w:lang w:eastAsia="cs-CZ"/>
        </w:rPr>
        <w:drawing>
          <wp:inline distT="0" distB="0" distL="0" distR="0" wp14:anchorId="2ECFFE90" wp14:editId="63A9FBA9">
            <wp:extent cx="5029200" cy="3657600"/>
            <wp:effectExtent l="0" t="0" r="0" b="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393BD1E" w14:textId="49E9DD4A" w:rsidR="006E44E8" w:rsidRPr="00F15667" w:rsidRDefault="006E44E8" w:rsidP="006E44E8">
      <w:pPr>
        <w:pStyle w:val="OdstavecASR"/>
        <w:rPr>
          <w:lang w:eastAsia="cs-CZ"/>
        </w:rPr>
      </w:pPr>
      <w:r w:rsidRPr="00F15667">
        <w:t xml:space="preserve">Oproti agendě kasačních stížností je tato agenda velmi malá. Z toho také plyne velká variabilita. U takto malých čísel je možné, aby se v jeden rok „sešlo“ vyšší množství podaných kárných žalob, případně návrhů na zahájení řízení o způsobilosti soudce. V absolutních číslech se ale jedná o změny malé. </w:t>
      </w:r>
      <w:r w:rsidRPr="00F15667">
        <w:rPr>
          <w:lang w:eastAsia="cs-CZ"/>
        </w:rPr>
        <w:t>V roce 2018 bylo z 18 vyřízených věcí 10 soudců uznáno vinnými. V roce 2019 to bylo 20 soudců z 26, v roce 2020 se jednalo o 10 soudců ze 17 a v roce 2021 o 11 soudců z 20. V roce 2022 to bylo 15 soudců z 20.</w:t>
      </w:r>
    </w:p>
    <w:p w14:paraId="1C74211D" w14:textId="08B806C7" w:rsidR="008430BD" w:rsidRPr="00F15667" w:rsidRDefault="008430BD" w:rsidP="00564A4E">
      <w:pPr>
        <w:pStyle w:val="Nadpis1"/>
        <w:pageBreakBefore/>
        <w:numPr>
          <w:ilvl w:val="0"/>
          <w:numId w:val="1"/>
        </w:numPr>
        <w:spacing w:after="120"/>
        <w:rPr>
          <w:lang w:eastAsia="cs-CZ"/>
        </w:rPr>
      </w:pPr>
      <w:bookmarkStart w:id="1371" w:name="_Toc106092829"/>
      <w:bookmarkStart w:id="1372" w:name="_Toc144104441"/>
      <w:r w:rsidRPr="00F15667">
        <w:rPr>
          <w:lang w:eastAsia="cs-CZ"/>
        </w:rPr>
        <w:lastRenderedPageBreak/>
        <w:t xml:space="preserve">Shrnutí </w:t>
      </w:r>
      <w:r w:rsidR="00021FDD" w:rsidRPr="00F15667">
        <w:rPr>
          <w:lang w:eastAsia="cs-CZ"/>
        </w:rPr>
        <w:t>a </w:t>
      </w:r>
      <w:r w:rsidRPr="00F15667">
        <w:rPr>
          <w:lang w:eastAsia="cs-CZ"/>
        </w:rPr>
        <w:t>mezinárodní srovnání</w:t>
      </w:r>
      <w:bookmarkEnd w:id="1371"/>
      <w:bookmarkEnd w:id="1372"/>
    </w:p>
    <w:p w14:paraId="2F7111A3" w14:textId="7386792C" w:rsidR="008430BD" w:rsidRPr="00F15667" w:rsidRDefault="008430BD" w:rsidP="00564A4E">
      <w:pPr>
        <w:pStyle w:val="Nadpis2"/>
        <w:numPr>
          <w:ilvl w:val="1"/>
          <w:numId w:val="1"/>
        </w:numPr>
        <w:spacing w:before="120"/>
        <w:rPr>
          <w:color w:val="auto"/>
          <w:lang w:eastAsia="cs-CZ"/>
        </w:rPr>
      </w:pPr>
      <w:bookmarkStart w:id="1373" w:name="_Toc106092830"/>
      <w:bookmarkStart w:id="1374" w:name="_Toc144104442"/>
      <w:r w:rsidRPr="00F15667">
        <w:rPr>
          <w:color w:val="auto"/>
          <w:lang w:eastAsia="cs-CZ"/>
        </w:rPr>
        <w:t>Shrnutí</w:t>
      </w:r>
      <w:bookmarkEnd w:id="1373"/>
      <w:bookmarkEnd w:id="1374"/>
    </w:p>
    <w:p w14:paraId="08E3877F" w14:textId="050DB552" w:rsidR="006E44E8" w:rsidRPr="00F15667" w:rsidRDefault="006E44E8" w:rsidP="00341CF1">
      <w:pPr>
        <w:pStyle w:val="OdstavecASR"/>
        <w:keepNext/>
        <w:outlineLvl w:val="3"/>
        <w:rPr>
          <w:b/>
          <w:bCs/>
          <w:lang w:eastAsia="cs-CZ"/>
        </w:rPr>
      </w:pPr>
      <w:r w:rsidRPr="00F15667">
        <w:rPr>
          <w:b/>
          <w:bCs/>
          <w:lang w:eastAsia="cs-CZ"/>
        </w:rPr>
        <w:t>Celkem</w:t>
      </w:r>
    </w:p>
    <w:p w14:paraId="79F1CA53" w14:textId="19624B5B" w:rsidR="006E44E8" w:rsidRPr="00F15667" w:rsidRDefault="006E44E8" w:rsidP="00DC17A0">
      <w:pPr>
        <w:pStyle w:val="OdstavecASR"/>
      </w:pPr>
      <w:r w:rsidRPr="00F15667">
        <w:t>Celkově lze označit situaci v českém soudnictví jako stabilní. Plánovaný počet soudců je 3</w:t>
      </w:r>
      <w:r w:rsidR="0016342C" w:rsidRPr="00F15667">
        <w:t> </w:t>
      </w:r>
      <w:r w:rsidRPr="00F15667">
        <w:t>063</w:t>
      </w:r>
      <w:r w:rsidR="0016342C" w:rsidRPr="00F15667">
        <w:t>,</w:t>
      </w:r>
      <w:r w:rsidRPr="00F15667">
        <w:t xml:space="preserve"> evidenční počet soudců se obvykle drží těsně nad 3 000. Mírný rozdíl je vysvětlen tím, že soudci průběžně končí (ať už z důvodu dosažení věku 70 let či jiných důvodů) a doplňováni jsou pouze několikrát ročně během jmenovacích etap. Určitý počet neobsazených míst by také měl zůstat jako rezerva.</w:t>
      </w:r>
    </w:p>
    <w:p w14:paraId="7568D293" w14:textId="7400A838" w:rsidR="006E44E8" w:rsidRPr="00F15667" w:rsidRDefault="00150439" w:rsidP="00DC17A0">
      <w:pPr>
        <w:pStyle w:val="OdstavecASR"/>
      </w:pPr>
      <w:r w:rsidRPr="00F15667">
        <w:t xml:space="preserve">Délky řízení se v absolutních číslech samozřejmě liší v závislosti na agendě a článku soudní soustavy. Obecně lze ale říci, že ve většině případů jsou stabilní a někdy dokonce klesají (především správní agenda u krajských osudů). V této oblasti došlo hlavně u okresních soudů od roku 2013 </w:t>
      </w:r>
      <w:r w:rsidR="0056684D" w:rsidRPr="00F15667">
        <w:t>k </w:t>
      </w:r>
      <w:r w:rsidRPr="00F15667">
        <w:t>velkému zlepšení, a to především díky</w:t>
      </w:r>
      <w:r w:rsidR="00887B6B" w:rsidRPr="00F15667">
        <w:t xml:space="preserve"> snížení variability mezi soudy. Tedy díky tomu, že se podařilo vylepšit statistiky nejpřetíženějších soudů.</w:t>
      </w:r>
    </w:p>
    <w:p w14:paraId="70E4DF8B" w14:textId="62DC882E" w:rsidR="00887B6B" w:rsidRPr="00F15667" w:rsidRDefault="00887B6B" w:rsidP="00DC17A0">
      <w:pPr>
        <w:pStyle w:val="OdstavecASR"/>
      </w:pPr>
      <w:r w:rsidRPr="00F15667">
        <w:t>Obdobné závěry platí i pro počty věcí. Přibližně v letech 2014 (či později) až 2020 klesal nápad</w:t>
      </w:r>
      <w:r w:rsidR="00341CF1" w:rsidRPr="00F15667">
        <w:t xml:space="preserve"> </w:t>
      </w:r>
      <w:r w:rsidR="00500424" w:rsidRPr="00F15667">
        <w:t>u </w:t>
      </w:r>
      <w:r w:rsidR="00341CF1" w:rsidRPr="00F15667">
        <w:t>velkého množství agend u okresních soudů. Počet</w:t>
      </w:r>
      <w:r w:rsidRPr="00F15667">
        <w:t xml:space="preserve"> nevyřízených věcí </w:t>
      </w:r>
      <w:r w:rsidR="00341CF1" w:rsidRPr="00F15667">
        <w:t>často klesal až do roku 2022.</w:t>
      </w:r>
      <w:r w:rsidRPr="00F15667">
        <w:t xml:space="preserve"> U krajských a vrchních soudů je situace různorodější. V současné době je ale situace u většiny agend víceméně stabilní. Za zmínku opět stojí správní agenda u krajských soudů i NSS, kde došlo v roce 2022 ke zlepšení situace. </w:t>
      </w:r>
    </w:p>
    <w:p w14:paraId="292FB6F0" w14:textId="78330BF8" w:rsidR="00887B6B" w:rsidRPr="00F15667" w:rsidRDefault="00887B6B" w:rsidP="00DC17A0">
      <w:pPr>
        <w:pStyle w:val="OdstavecASR"/>
      </w:pPr>
      <w:r w:rsidRPr="00F15667">
        <w:t>V rámci mezinárodního srovnání si ČR také nevede špatně (nutno přiznat, že ani extrémně dobře) a i v tomto srovnání je situace v posledních letech stabilní.</w:t>
      </w:r>
    </w:p>
    <w:p w14:paraId="595F16B6" w14:textId="0B04D247" w:rsidR="00341CF1" w:rsidRPr="00F15667" w:rsidRDefault="00341CF1" w:rsidP="00DC17A0">
      <w:pPr>
        <w:pStyle w:val="OdstavecASR"/>
      </w:pPr>
      <w:r w:rsidRPr="00F15667">
        <w:t>Zatímco situace je ve výkonnostních ukazatelích často v posledních letech stabilní (nebo se mírně vylepšuje)</w:t>
      </w:r>
      <w:r w:rsidR="006F3A2D" w:rsidRPr="00F15667">
        <w:t>,</w:t>
      </w:r>
      <w:r w:rsidRPr="00F15667">
        <w:t xml:space="preserve"> jsou v justici stále přítomné trendy, které jsou mnohem výraznější. Jako příklad lze uvést rostoucí trend ukládání peněžitých trestů či využívání institutu o dohodě o vině a trestu v trestní agendě.</w:t>
      </w:r>
    </w:p>
    <w:p w14:paraId="75A6485A" w14:textId="7C6C95C7" w:rsidR="00341CF1" w:rsidRPr="00F15667" w:rsidRDefault="00341CF1" w:rsidP="00DC17A0">
      <w:pPr>
        <w:pStyle w:val="OdstavecASR"/>
      </w:pPr>
      <w:r w:rsidRPr="00F15667">
        <w:t xml:space="preserve">Podrobnější informace lze najít v jednotlivých částech této publikace. </w:t>
      </w:r>
    </w:p>
    <w:p w14:paraId="6299E4EB" w14:textId="77777777" w:rsidR="006E44E8" w:rsidRPr="00F15667" w:rsidRDefault="006E44E8" w:rsidP="006E44E8">
      <w:pPr>
        <w:pStyle w:val="OdstavecASR"/>
        <w:keepNext/>
        <w:outlineLvl w:val="3"/>
        <w:rPr>
          <w:b/>
          <w:bCs/>
          <w:lang w:eastAsia="cs-CZ"/>
        </w:rPr>
      </w:pPr>
      <w:r w:rsidRPr="00F15667">
        <w:rPr>
          <w:b/>
          <w:bCs/>
          <w:lang w:eastAsia="cs-CZ"/>
        </w:rPr>
        <w:t>Okresní soudy</w:t>
      </w:r>
    </w:p>
    <w:p w14:paraId="44F0091A" w14:textId="77777777" w:rsidR="006E44E8" w:rsidRPr="00F15667" w:rsidRDefault="006E44E8" w:rsidP="006E44E8">
      <w:pPr>
        <w:pStyle w:val="OdstavecASR"/>
      </w:pPr>
      <w:r w:rsidRPr="00F15667">
        <w:t>Počet soudců je u OS dlouhodobě stabilní. Nemění se ani velikost úseků, ani zastoupení dle pohlaví.</w:t>
      </w:r>
    </w:p>
    <w:p w14:paraId="4799FC58" w14:textId="3CBE8028" w:rsidR="006E44E8" w:rsidRPr="00F15667" w:rsidRDefault="006E44E8" w:rsidP="006E44E8">
      <w:pPr>
        <w:pStyle w:val="OdstavecASR"/>
      </w:pPr>
      <w:r w:rsidRPr="00F15667">
        <w:t xml:space="preserve">V civilní agendě došlo od roku 2013 (kdy asi byla situace nejhorší) k výraznému zlepšení. Došlo k razantnímu snížení v délkách řízení, dispozičním čase a počtech nevyřízených věcí a nedodělků. Tomuto vývoji nepochybně napomohlo výrazné snížení nápadu. Historicky značná část problémů plynula z velké variability – mnoho soudů problémy nemělo, ale soudy v Jihomoravském </w:t>
      </w:r>
      <w:r w:rsidR="00B926A3" w:rsidRPr="00F15667">
        <w:t>kraji,</w:t>
      </w:r>
      <w:r w:rsidRPr="00F15667">
        <w:t xml:space="preserve"> a především v Severočeském kraji vykazovaly značné obtíže. Situace se i v tomto ohledu výrazně zlepšila, ale určité rozdíly přetrvávají.</w:t>
      </w:r>
    </w:p>
    <w:p w14:paraId="797283E6" w14:textId="77777777" w:rsidR="006E44E8" w:rsidRPr="00F15667" w:rsidRDefault="006E44E8" w:rsidP="006E44E8">
      <w:pPr>
        <w:pStyle w:val="OdstavecASR"/>
      </w:pPr>
      <w:r w:rsidRPr="00F15667">
        <w:t>Agenda elektronického platebního rozkazu byla vždy z hlediska délek řízení a vyřizování soudy jednoduchá a bezproblémová. Veškeré ukazatele jsou více či méně stabilní.</w:t>
      </w:r>
    </w:p>
    <w:p w14:paraId="393AF6C8" w14:textId="77777777" w:rsidR="006E44E8" w:rsidRPr="00F15667" w:rsidRDefault="006E44E8" w:rsidP="006E44E8">
      <w:pPr>
        <w:pStyle w:val="OdstavecASR"/>
      </w:pPr>
      <w:r w:rsidRPr="00F15667">
        <w:t xml:space="preserve">V trestní agendě došlo rovněž ke zlepšení, i když méně patrnému než v agendě civilní. Délky řízení jsou celorepublikově stabilní, ale došlo ke snížení variability. Opět se tedy zlepšily některé problematické soudy. V počtu příchozích a nevyřízených věcí je patrný klesající trend od roku </w:t>
      </w:r>
      <w:r w:rsidRPr="00F15667">
        <w:lastRenderedPageBreak/>
        <w:t>2014. V trestní agendě nicméně stále jsou soudy, které vykazují problémy, a situace se tam příliš nezlepšuje. Je také třeba zmínit velký nárůst v počtu uložených peněžitých trestů v posledních letech.</w:t>
      </w:r>
    </w:p>
    <w:p w14:paraId="261A239C" w14:textId="77777777" w:rsidR="006E44E8" w:rsidRPr="00F15667" w:rsidRDefault="006E44E8" w:rsidP="006E44E8">
      <w:pPr>
        <w:pStyle w:val="OdstavecASR"/>
      </w:pPr>
      <w:r w:rsidRPr="00F15667">
        <w:t>V opatrovnické agendě byla situace až do roku 2013 stabilní. V roce 2014 však nabyl účinnosti nový občanský zákoník (zákon č. 89/2012 Sb.), což vedlo k růstu nápadu, délek řízení a počtu nevyřízených věcí. Od roku 2016 se pak počty nevyřízených začaly vracet do stavu před nabytím účinnosti zákona č. 89/2012 Sb. Délky řízení začaly klesat o rok později. Nápad zřejmě již trvale zůstane vyšší.</w:t>
      </w:r>
    </w:p>
    <w:p w14:paraId="53D4E00D" w14:textId="77777777" w:rsidR="006E44E8" w:rsidRPr="00F15667" w:rsidRDefault="006E44E8" w:rsidP="006E44E8">
      <w:pPr>
        <w:pStyle w:val="OdstavecASR"/>
      </w:pPr>
      <w:r w:rsidRPr="00F15667">
        <w:t>Celkově lze říct, že se situace u okresních soudů z hlediska délek řízení a zatíženosti soudů za posledních 8 let výrazně zlepšila, především pak v Severočeském kraji. Stále jsou ale soudy, které mají potíže s vyřizováním agend a existuje tak prostor pro zlepšení.</w:t>
      </w:r>
    </w:p>
    <w:p w14:paraId="28A43E65" w14:textId="127CBF8F" w:rsidR="006E44E8" w:rsidRPr="00F15667" w:rsidRDefault="006E44E8" w:rsidP="006E44E8">
      <w:pPr>
        <w:pStyle w:val="OdstavecASR"/>
      </w:pPr>
      <w:r w:rsidRPr="00F15667">
        <w:t>Je také třeba zmínit vliv pandemie COVID</w:t>
      </w:r>
      <w:r w:rsidRPr="00F15667">
        <w:noBreakHyphen/>
        <w:t>19 a s ní související opatření. Ve většině agend došlo k výraznému poklesu nápadu a pandemie také soudům ztížila práci; do statistik vyřizování věcí a délek řízení se to nicméně příliš nepromítlo snad s výjimkou rejstříku C v roce 2020. V roce 2021 soudy velmi dobře zvládaly vyřizovat i věci rejstříku C.</w:t>
      </w:r>
      <w:r w:rsidR="00FC285B" w:rsidRPr="00F15667">
        <w:t xml:space="preserve"> V roce 2022 pak už samozřejmě vliv pandemie neregistrujeme.</w:t>
      </w:r>
    </w:p>
    <w:p w14:paraId="3FFA8335" w14:textId="77777777" w:rsidR="006E44E8" w:rsidRPr="00F15667" w:rsidRDefault="006E44E8" w:rsidP="006E44E8">
      <w:pPr>
        <w:pStyle w:val="OdstavecASR"/>
        <w:keepNext/>
        <w:outlineLvl w:val="3"/>
        <w:rPr>
          <w:b/>
          <w:bCs/>
          <w:lang w:eastAsia="cs-CZ"/>
        </w:rPr>
      </w:pPr>
      <w:r w:rsidRPr="00F15667">
        <w:rPr>
          <w:b/>
          <w:bCs/>
          <w:lang w:eastAsia="cs-CZ"/>
        </w:rPr>
        <w:t>Krajské soudy</w:t>
      </w:r>
    </w:p>
    <w:p w14:paraId="08884BEB" w14:textId="77777777" w:rsidR="006E44E8" w:rsidRPr="00F15667" w:rsidRDefault="006E44E8" w:rsidP="006E44E8">
      <w:pPr>
        <w:pStyle w:val="OdstavecASR"/>
        <w:rPr>
          <w:lang w:eastAsia="cs-CZ"/>
        </w:rPr>
      </w:pPr>
      <w:r w:rsidRPr="00F15667">
        <w:rPr>
          <w:lang w:eastAsia="cs-CZ"/>
        </w:rPr>
        <w:t>Počet soudců je u KS dlouhodobě stabilní. Nemění se ani velikost úseků, ale stoupá podíl mužů mezi soudci. Soudy mají dlouhodobě nižší evidenční počet soudců, než je plán.</w:t>
      </w:r>
    </w:p>
    <w:p w14:paraId="6FD52AAB" w14:textId="77777777" w:rsidR="006E44E8" w:rsidRPr="00F15667" w:rsidRDefault="006E44E8" w:rsidP="006E44E8">
      <w:pPr>
        <w:pStyle w:val="OdstavecASR"/>
      </w:pPr>
      <w:r w:rsidRPr="00F15667">
        <w:rPr>
          <w:lang w:eastAsia="cs-CZ"/>
        </w:rPr>
        <w:t xml:space="preserve">V prvostupňové civilní a obchodní agendě velmi prudce klesl nápad, což se projevilo poklesem počtu nevyřízených věcí. To lze označit za pozitivní zprávu. Pokles se ale nepromítl do délek řízení především kvůli tomu, že je </w:t>
      </w:r>
      <w:r w:rsidRPr="00F15667">
        <w:t>velká část věcí přerušena z důvodu rozhodnutí o úpadku či konkursu. Přerušené věci se promítají do statistik a dochází tak ke zvýšení vykázaných délek řízení.</w:t>
      </w:r>
    </w:p>
    <w:p w14:paraId="5FD2DA14" w14:textId="77777777" w:rsidR="006E44E8" w:rsidRPr="00F15667" w:rsidRDefault="006E44E8" w:rsidP="006E44E8">
      <w:pPr>
        <w:pStyle w:val="OdstavecASR"/>
      </w:pPr>
      <w:r w:rsidRPr="00F15667">
        <w:t>V civilní odvolací agendě došlo rovněž k poklesu v nápadu, což plyne z poklesu v nápadu u okresních soudů. To vyústilo v pokles počtu nevyřízených věcí. Délky řízení jsou zde nicméně stabilní. Jsou také poměrně nízké v porovnání s prvostupňovou agendou. Civilní odvolací agendu lze označit za celkem bezproblémovou, byť jsou i zde přítomny určité rozdíly mezi soudy.</w:t>
      </w:r>
    </w:p>
    <w:p w14:paraId="37052A20" w14:textId="77777777" w:rsidR="006E44E8" w:rsidRPr="00F15667" w:rsidRDefault="006E44E8" w:rsidP="006E44E8">
      <w:pPr>
        <w:pStyle w:val="OdstavecASR"/>
      </w:pPr>
      <w:r w:rsidRPr="00F15667">
        <w:t>Statistické sledování prvostupňové trestní agendy ztěžuje to, že se jedná o malou agendu z hlediska počtu věcí, což znamená malý počet pozorování, a tedy velkou variabilitu dat. Některé soudy vykazují v této agendě určité problémy, dlouhodobě ale lze situaci označit za stabilní, i když s určitými výkyvy. Je třeba přiznat, že se zde situace ze statistického hlediska nevylepšila.</w:t>
      </w:r>
    </w:p>
    <w:p w14:paraId="5C2DE6F0" w14:textId="77777777" w:rsidR="006E44E8" w:rsidRPr="00F15667" w:rsidRDefault="006E44E8" w:rsidP="006E44E8">
      <w:pPr>
        <w:pStyle w:val="OdstavecASR"/>
      </w:pPr>
      <w:r w:rsidRPr="00F15667">
        <w:t>Trestní odvolací agenda je z dlouhodobého hlediska bezproblémová – nízké délky řízení a disposition time (DT), málo nevyřízených věcí a nevelké rozdíly mezi soudy. V letech 2020 a 2021 výrazně klesl nápad kvůli pandemii onemocnění COVID</w:t>
      </w:r>
      <w:r w:rsidRPr="00F15667">
        <w:noBreakHyphen/>
        <w:t>19.</w:t>
      </w:r>
    </w:p>
    <w:p w14:paraId="680172CE" w14:textId="7A435C61" w:rsidR="006E44E8" w:rsidRPr="00F15667" w:rsidRDefault="006E44E8" w:rsidP="006E44E8">
      <w:pPr>
        <w:pStyle w:val="OdstavecASR"/>
      </w:pPr>
      <w:r w:rsidRPr="00F15667">
        <w:t>Správní agenda byla až do nedávna ze statistického hlediska nejproblematičtější agendou krajských soudů. Dlouhodobě se jedná o vysoké délky řízení a vysoký DT i velké množství nevyřízených věcí na soudce. Do roku 2018 prudce rostl nápad a počet nevyřízených věcí. V letech 2019 až 202</w:t>
      </w:r>
      <w:r w:rsidR="004F3F29" w:rsidRPr="00F15667">
        <w:t>2</w:t>
      </w:r>
      <w:r w:rsidRPr="00F15667">
        <w:t xml:space="preserve"> ale obojí razantně kleslo, což znamená, že situace se </w:t>
      </w:r>
      <w:r w:rsidR="004F3F29" w:rsidRPr="00F15667">
        <w:t>výrazně zlepšila.</w:t>
      </w:r>
      <w:r w:rsidRPr="00F15667">
        <w:t xml:space="preserve"> Rovněž pomohlo posílení správních úseků krajských soudů. Stále se ale jedná o problematickou agendu, zvlášť u některých soudů.</w:t>
      </w:r>
      <w:r w:rsidR="004F3F29" w:rsidRPr="00F15667">
        <w:t xml:space="preserve"> Další prostor pro zlepšování zde každopádně je.</w:t>
      </w:r>
    </w:p>
    <w:p w14:paraId="1A9E3F13" w14:textId="77777777" w:rsidR="006E44E8" w:rsidRPr="00F15667" w:rsidRDefault="006E44E8" w:rsidP="006E44E8">
      <w:pPr>
        <w:pStyle w:val="OdstavecASR"/>
      </w:pPr>
      <w:r w:rsidRPr="00F15667">
        <w:lastRenderedPageBreak/>
        <w:t>Statistiky o insolvenční agendě jsou silně ovlivněny jejím charakterem a tím, že je relativně nová. Data ukazují, že soudy nemají problémy s rozhodováním o úpadku. Vyřizování věcí a délky řízení v další fázi pak plynou z charakteru agendy a soud na ně má jen omezený vliv. Až do roku 2013 nápad vykazoval jasný stoupající trend, poté začal klesat. Počet vyřízených věcí ho s několikaletým zpožděním následoval. Vývoj v agendě je také silně ovlivněn četnými novelizacemi insolvenčního zákona a v posledním období zřejmě i pandemií COVID-19 a takzvaným „lex covid justice“.</w:t>
      </w:r>
    </w:p>
    <w:p w14:paraId="43E68781" w14:textId="77777777" w:rsidR="006E44E8" w:rsidRPr="00F15667" w:rsidRDefault="006E44E8" w:rsidP="006E44E8">
      <w:pPr>
        <w:pStyle w:val="OdstavecASR"/>
      </w:pPr>
      <w:r w:rsidRPr="00F15667">
        <w:t>Incidenční spory jsou vyvolány insolvenčním řízením a projednávány v jeho rámci. Proto vývoj příchozích věcí s určitým zpožděním sleduje vývoj příchozích věcí v insolvenční agendě. Vysoké délky řízení, nemalý DT a značné množství nevyřízených věcí ukazuje, že se jedná o náročnou agendu. Dobré znamení je to, že většina ukazatelů v posledních letech alespoň mírně poklesla. Stále se ale jedná o nelehkou agendu, a zvlášť některé soudy vykazují určité problémy s jejím vyřizováním. Většina ukazatelů rovněž vykazuje velkou variabilitu.</w:t>
      </w:r>
    </w:p>
    <w:p w14:paraId="7DE94444" w14:textId="716A42E3" w:rsidR="006E44E8" w:rsidRPr="00F15667" w:rsidRDefault="006E44E8" w:rsidP="006E44E8">
      <w:pPr>
        <w:pStyle w:val="OdstavecASR"/>
      </w:pPr>
      <w:r w:rsidRPr="00F15667">
        <w:t>Zatímco u okresních soudů je možné učinit závěr, že dochází ke zlepšení, u krajských soudů je situace složitější. V některých agendách klesá nápad a dochází tak k mírnému zlepšení (civilní odvolací a prvostupňová agenda), někde je situace dlouhodobě bezproblémová (trestní odvolací agenda), jinde je situace stabilní, ale vykazuje určité problémy (trestní prvostupňová agenda). V další agendě (insolvenční) je značná část statistických hodnot ovlivněna podstatou agendy. Jsou pak i agendy, kde data ukazují na problémy (částečně incidenční spory, ale především správní agenda</w:t>
      </w:r>
      <w:r w:rsidR="004F3F29" w:rsidRPr="00F15667">
        <w:t xml:space="preserve"> – zde se ovšem situace rychle zlepšuje</w:t>
      </w:r>
      <w:r w:rsidRPr="00F15667">
        <w:t>).</w:t>
      </w:r>
    </w:p>
    <w:p w14:paraId="78ECCDD3" w14:textId="77777777" w:rsidR="006E44E8" w:rsidRPr="00F15667" w:rsidRDefault="006E44E8" w:rsidP="006E44E8">
      <w:pPr>
        <w:pStyle w:val="OdstavecASR"/>
        <w:keepNext/>
        <w:outlineLvl w:val="3"/>
        <w:rPr>
          <w:b/>
        </w:rPr>
      </w:pPr>
      <w:r w:rsidRPr="00F15667">
        <w:rPr>
          <w:b/>
        </w:rPr>
        <w:t>Vrchní soudy</w:t>
      </w:r>
    </w:p>
    <w:p w14:paraId="2FA111DD" w14:textId="77777777" w:rsidR="006E44E8" w:rsidRPr="00F15667" w:rsidRDefault="006E44E8" w:rsidP="006E44E8">
      <w:pPr>
        <w:pStyle w:val="OdstavecASR"/>
      </w:pPr>
      <w:r w:rsidRPr="00F15667">
        <w:t>VS v Praze je více než dvakrát větší než VS v Olomouci. Počet soudců, podíl soudkyň a velikost úseků se u obou soudů v průběhu let mírně mění.</w:t>
      </w:r>
    </w:p>
    <w:p w14:paraId="513708A7" w14:textId="77777777" w:rsidR="006E44E8" w:rsidRPr="00F15667" w:rsidRDefault="006E44E8" w:rsidP="006E44E8">
      <w:pPr>
        <w:pStyle w:val="OdstavecASR"/>
      </w:pPr>
      <w:r w:rsidRPr="00F15667">
        <w:t>V civilní odvolací agendě je nemalý rozdíl mezi oběma soudy. VS Olomouc má výrazně lepší statistiky (nevyřízené věci na soudce, DT, délky řízení). U obou soudů dlouhodobě klesá počet příchozích věcí, což vede ke snížení počtu nevyřízených věcí. Délky řízení nicméně neklesají. Celkově lze shrnout, že situace u VS v Olomouci je dobrá, u VS v Praze méně příznivá, ale díky snižování nápadu se postupně zlepšuje.</w:t>
      </w:r>
    </w:p>
    <w:p w14:paraId="4753BF71" w14:textId="61B96498" w:rsidR="006E44E8" w:rsidRPr="00F15667" w:rsidRDefault="006E44E8" w:rsidP="006E44E8">
      <w:pPr>
        <w:pStyle w:val="OdstavecASR"/>
      </w:pPr>
      <w:r w:rsidRPr="00F15667">
        <w:t>V trestní odvolací agendě je situace vyrovnanější. Z dlouhodobého hlediska soudy vykazují vyrovnané statistiky.</w:t>
      </w:r>
      <w:r w:rsidR="004F3F29" w:rsidRPr="00F15667">
        <w:t xml:space="preserve"> V poslední době si ale o něco lépe vede VS Praha.</w:t>
      </w:r>
    </w:p>
    <w:p w14:paraId="72E4248B" w14:textId="3E57FBA0" w:rsidR="006E44E8" w:rsidRPr="00F15667" w:rsidRDefault="006E44E8" w:rsidP="006E44E8">
      <w:pPr>
        <w:pStyle w:val="OdstavecASR"/>
      </w:pPr>
      <w:r w:rsidRPr="00F15667">
        <w:t>V insolvenční agendě II. stupně mají časové řady příchozích, vyřízených i nevyřízených věcí přibližně tvar obráceného „U“, v posledních letech tedy klesaly. Pokles se ovšem nyní zastavil</w:t>
      </w:r>
      <w:r w:rsidR="004F3F29" w:rsidRPr="00F15667">
        <w:t xml:space="preserve">, </w:t>
      </w:r>
      <w:r w:rsidR="00500424" w:rsidRPr="00F15667">
        <w:t>u </w:t>
      </w:r>
      <w:r w:rsidR="004F3F29" w:rsidRPr="00F15667">
        <w:t>VS v Olomouci dokonce došlo k nárůstu</w:t>
      </w:r>
      <w:r w:rsidRPr="00F15667">
        <w:t>. V současné době jsou na tom oba soudy poměrně dobře, a to díky poklesu v počtu napadlých věcí.</w:t>
      </w:r>
    </w:p>
    <w:p w14:paraId="355AE82D" w14:textId="77777777" w:rsidR="006E44E8" w:rsidRPr="00F15667" w:rsidRDefault="006E44E8" w:rsidP="006E44E8">
      <w:pPr>
        <w:pStyle w:val="OdstavecASR"/>
      </w:pPr>
      <w:r w:rsidRPr="00F15667">
        <w:t>V incidenčních sporech II. stupně si lépe vede VS v Olomouci, který vykazuje nižší délky řízení, nižší DT i méně nevyřízených věcí na soudce.</w:t>
      </w:r>
    </w:p>
    <w:p w14:paraId="7B89CD9A" w14:textId="77777777" w:rsidR="006E44E8" w:rsidRPr="00F15667" w:rsidRDefault="006E44E8" w:rsidP="006E44E8">
      <w:pPr>
        <w:pStyle w:val="OdstavecASR"/>
        <w:keepNext/>
        <w:outlineLvl w:val="3"/>
        <w:rPr>
          <w:b/>
          <w:bCs/>
          <w:lang w:eastAsia="cs-CZ"/>
        </w:rPr>
      </w:pPr>
      <w:r w:rsidRPr="00F15667">
        <w:rPr>
          <w:b/>
          <w:bCs/>
          <w:lang w:eastAsia="cs-CZ"/>
        </w:rPr>
        <w:t>Nejvyšší soud</w:t>
      </w:r>
    </w:p>
    <w:p w14:paraId="70A1832E" w14:textId="77777777" w:rsidR="006E44E8" w:rsidRPr="00F15667" w:rsidRDefault="006E44E8" w:rsidP="006E44E8">
      <w:pPr>
        <w:pStyle w:val="OdstavecASR"/>
      </w:pPr>
      <w:r w:rsidRPr="00F15667">
        <w:t>U Nejvyššího soudu došlo v posledních letech k určitému růstu v plánovaném i evidenčním počtu soudců. Civilní dovolací agenda a trestní dovolací agenda jsou nejvýznamnější a největší agendy Nejvyššího soudu.</w:t>
      </w:r>
    </w:p>
    <w:p w14:paraId="600B4875" w14:textId="13A069BB" w:rsidR="00391586" w:rsidRPr="00F15667" w:rsidRDefault="006E44E8" w:rsidP="006E44E8">
      <w:pPr>
        <w:pStyle w:val="OdstavecASR"/>
      </w:pPr>
      <w:r w:rsidRPr="00F15667">
        <w:lastRenderedPageBreak/>
        <w:t>Nápad civilní dovolací agendy se v průběhu let poměrně zásadně měnil. Velmi vysoký byl v letech 2008 a 2009. V tuto dobu soud také vykazoval velmi vysoké počty nevyřízených věcí. Následně došlo k poklesu nápadu i nevyřízených věcí. V letech 2013 až 2017 ale nápad opět rostl. Tentokrát soud zvládl zvýšený nápor a počet nevyřízených věcí se nezvětšoval. Od roku 2018 nápad rychle kles</w:t>
      </w:r>
      <w:r w:rsidR="009A6B35" w:rsidRPr="00F15667">
        <w:t>al</w:t>
      </w:r>
      <w:r w:rsidRPr="00F15667">
        <w:t xml:space="preserve"> a díky tomu kles</w:t>
      </w:r>
      <w:r w:rsidR="009A6B35" w:rsidRPr="00F15667">
        <w:t>al</w:t>
      </w:r>
      <w:r w:rsidRPr="00F15667">
        <w:t xml:space="preserve"> i počet nevyřízených věcí, který </w:t>
      </w:r>
      <w:r w:rsidR="009A6B35" w:rsidRPr="00F15667">
        <w:t>byl</w:t>
      </w:r>
      <w:r w:rsidRPr="00F15667">
        <w:t xml:space="preserve"> </w:t>
      </w:r>
      <w:r w:rsidR="009A6B35" w:rsidRPr="00F15667">
        <w:t xml:space="preserve">v roce 2021 </w:t>
      </w:r>
      <w:r w:rsidRPr="00F15667">
        <w:t>nejnižší za sledované období</w:t>
      </w:r>
      <w:r w:rsidR="009A6B35" w:rsidRPr="00F15667">
        <w:t>.</w:t>
      </w:r>
      <w:r w:rsidR="00391586" w:rsidRPr="00F15667">
        <w:t xml:space="preserve"> V roce 2022 zůstal počet věcí v zásadě na úrovni roku 2021.</w:t>
      </w:r>
    </w:p>
    <w:p w14:paraId="4CAC2A11" w14:textId="54959A13" w:rsidR="006E44E8" w:rsidRPr="00F15667" w:rsidRDefault="006E44E8" w:rsidP="006E44E8">
      <w:pPr>
        <w:pStyle w:val="OdstavecASR"/>
      </w:pPr>
      <w:r w:rsidRPr="00F15667">
        <w:t xml:space="preserve">Situace v trestní dovolací agendě je mnohem stabilnější. Nápad i počet vyřízených věcí se až na výjimky pohybuje mezi 1 450 a 1 700 věci ročně. Počet nevyřízených věcí se pak pohybuje (opět až na výjimky) mezi 150 a 200. Teprve v posledních </w:t>
      </w:r>
      <w:r w:rsidR="00391586" w:rsidRPr="00F15667">
        <w:t xml:space="preserve">třech </w:t>
      </w:r>
      <w:r w:rsidRPr="00F15667">
        <w:t>letech je vidět určitý citelnější pokles. Je otázka, zda je trvalý, či se jedná o další výkyv, který by mohl být způsoben poklesem druhostupňové agendy.</w:t>
      </w:r>
    </w:p>
    <w:p w14:paraId="03D6B61B" w14:textId="77777777" w:rsidR="006E44E8" w:rsidRPr="00F15667" w:rsidRDefault="006E44E8" w:rsidP="006E44E8">
      <w:pPr>
        <w:pStyle w:val="OdstavecASR"/>
        <w:keepNext/>
        <w:outlineLvl w:val="3"/>
        <w:rPr>
          <w:b/>
          <w:bCs/>
          <w:lang w:eastAsia="cs-CZ"/>
        </w:rPr>
      </w:pPr>
      <w:r w:rsidRPr="00F15667">
        <w:rPr>
          <w:b/>
          <w:bCs/>
          <w:lang w:eastAsia="cs-CZ"/>
        </w:rPr>
        <w:t>Nejvyšší správní soud</w:t>
      </w:r>
    </w:p>
    <w:p w14:paraId="5F14DACF" w14:textId="77777777" w:rsidR="006E44E8" w:rsidRPr="00F15667" w:rsidRDefault="006E44E8" w:rsidP="006E44E8">
      <w:pPr>
        <w:pStyle w:val="OdstavecASR"/>
      </w:pPr>
      <w:r w:rsidRPr="00F15667">
        <w:t>V letech 2013 až 2015 došlo k nárůstu v počtu soudců, od té doby je víceméně stabilní.</w:t>
      </w:r>
    </w:p>
    <w:p w14:paraId="3E1B2F76" w14:textId="2CD7BD29" w:rsidR="00DC17A0" w:rsidRDefault="006E44E8" w:rsidP="006E44E8">
      <w:pPr>
        <w:pStyle w:val="OdstavecASR"/>
      </w:pPr>
      <w:r w:rsidRPr="00F15667">
        <w:t>Nejvýznamnější agendou NSS je agenda řízení o kasačních stížnostech. V této agendě se bohužel projevuje trend, který pozorujeme ve správním soudnictví u krajských soudů. Od roku 2014 až do roku 2019 rostl nápad. Soud sice zvládl zvyšovat počet vyřízených věcí, ale nápad počet vyřízených věcí stále převyšoval. To potvrzuje, že ze statistického hlediska je správní soudnictví nejproblematičtější. Roky 2020 a 2021 ale naznačují zlepšení, neboť nápad u krajských soudů již tři roky klesá a u NSS alespoň přestal růst. Napadá nicméně pořád vysoký počet kasačních stížností proti rozhodnutím krajských soudů, které stále vykazují poměrně vysoký počet nedodělků. Situace se tedy začne zlepšovat, až krajské soudy „vyčerpají“ své nedodělky, což by mělo vést k signifikantnímu snížení nápadu kasačních stížností. Pomoci by NSS rovněž mělo plánované personální posílení.</w:t>
      </w:r>
    </w:p>
    <w:p w14:paraId="6B809766" w14:textId="77777777" w:rsidR="00DC17A0" w:rsidRDefault="00DC17A0">
      <w:pPr>
        <w:spacing w:after="160" w:line="259" w:lineRule="auto"/>
        <w:jc w:val="left"/>
      </w:pPr>
      <w:r>
        <w:br w:type="page"/>
      </w:r>
    </w:p>
    <w:p w14:paraId="41821EF5" w14:textId="601F7276" w:rsidR="004F2497" w:rsidRPr="00F15667" w:rsidRDefault="004F2497" w:rsidP="00A00187">
      <w:pPr>
        <w:pStyle w:val="Nadpis2"/>
        <w:numPr>
          <w:ilvl w:val="1"/>
          <w:numId w:val="1"/>
        </w:numPr>
        <w:spacing w:before="120"/>
        <w:rPr>
          <w:color w:val="auto"/>
          <w:lang w:eastAsia="cs-CZ"/>
        </w:rPr>
      </w:pPr>
      <w:bookmarkStart w:id="1375" w:name="_Toc75952166"/>
      <w:bookmarkStart w:id="1376" w:name="_Toc106092831"/>
      <w:bookmarkStart w:id="1377" w:name="_Toc144104443"/>
      <w:r w:rsidRPr="00F15667">
        <w:rPr>
          <w:color w:val="auto"/>
          <w:lang w:eastAsia="cs-CZ"/>
        </w:rPr>
        <w:lastRenderedPageBreak/>
        <w:t>Mezinárodní srovnání</w:t>
      </w:r>
      <w:bookmarkEnd w:id="1375"/>
      <w:bookmarkEnd w:id="1376"/>
      <w:bookmarkEnd w:id="1377"/>
    </w:p>
    <w:p w14:paraId="3DF03CE8" w14:textId="77777777" w:rsidR="00391586" w:rsidRPr="00F15667" w:rsidRDefault="00391586" w:rsidP="00391586">
      <w:pPr>
        <w:pStyle w:val="OdstavecASR"/>
      </w:pPr>
      <w:r w:rsidRPr="00F15667">
        <w:t xml:space="preserve">Nejnovějším mezinárodně dostupným rokem je covidový rok 2020. Podíváme se proto, zda se odrazil ve fungování justice jednotlivých členských států EU a případně jak. Zajímat nás bude jak vnímání nezávislosti justice, tak účinnost a efektivnost soudní soustavy. </w:t>
      </w:r>
      <w:r w:rsidRPr="00F15667" w:rsidDel="00A722B2">
        <w:t xml:space="preserve">Obsah této kapitoly byl oproti minulosti </w:t>
      </w:r>
      <w:r w:rsidRPr="00F15667">
        <w:t xml:space="preserve">částečně </w:t>
      </w:r>
      <w:r w:rsidRPr="00F15667" w:rsidDel="00A722B2">
        <w:t xml:space="preserve">pozměněn, protože mnohé dříve publikované ukazatele zůstávají nezměněny a jejich každoroční </w:t>
      </w:r>
      <w:r w:rsidRPr="00F15667">
        <w:t>zveřejňování proto</w:t>
      </w:r>
      <w:r w:rsidRPr="00F15667" w:rsidDel="00A722B2">
        <w:t xml:space="preserve"> nic nového nepřináší.  </w:t>
      </w:r>
    </w:p>
    <w:p w14:paraId="445D5C2F" w14:textId="558D97E9" w:rsidR="00391586" w:rsidRPr="00F15667" w:rsidRDefault="00391586" w:rsidP="00391586">
      <w:pPr>
        <w:pStyle w:val="OdstavecASR"/>
      </w:pPr>
      <w:r w:rsidRPr="00F15667">
        <w:t xml:space="preserve">Základním zdrojem prezentovaných dat je publikace Evropské komise „EU </w:t>
      </w:r>
      <w:r w:rsidR="005F5119">
        <w:t>Justice</w:t>
      </w:r>
      <w:r w:rsidR="005F5119" w:rsidRPr="00F15667">
        <w:t xml:space="preserve"> </w:t>
      </w:r>
      <w:r w:rsidRPr="00F15667">
        <w:t>Scoreboard“ z 19.</w:t>
      </w:r>
      <w:r w:rsidR="00A43125" w:rsidRPr="00F15667">
        <w:t xml:space="preserve"> </w:t>
      </w:r>
      <w:r w:rsidRPr="00F15667">
        <w:t>5.</w:t>
      </w:r>
      <w:r w:rsidR="00A43125" w:rsidRPr="00F15667">
        <w:t xml:space="preserve"> </w:t>
      </w:r>
      <w:r w:rsidRPr="00F15667">
        <w:t>2022, pro detailní informace byla použit rozsáhlý materiál „Study on the functioning of judicial systems in the EU Member States“ vydaný 6.</w:t>
      </w:r>
      <w:r w:rsidR="00A43125" w:rsidRPr="00F15667">
        <w:t xml:space="preserve"> </w:t>
      </w:r>
      <w:r w:rsidRPr="00F15667">
        <w:t>4.</w:t>
      </w:r>
      <w:r w:rsidR="00A43125" w:rsidRPr="00F15667">
        <w:t xml:space="preserve"> </w:t>
      </w:r>
      <w:r w:rsidRPr="00F15667">
        <w:t>2022 Evropskou komisí pro efektivitu justice (CEPEJ), ze které čerpá vybraná data také samotný Scoreboard. V souvislosti s využitím dat CEPEJ máme povinnost připojit i následující prohlášení:</w:t>
      </w:r>
    </w:p>
    <w:p w14:paraId="4CA650FD" w14:textId="77777777" w:rsidR="00391586" w:rsidRPr="00CF32FA" w:rsidRDefault="00391586" w:rsidP="006D4ED9">
      <w:pPr>
        <w:pStyle w:val="OdstavecASR"/>
        <w:rPr>
          <w:lang w:val="en-US"/>
        </w:rPr>
      </w:pPr>
      <w:r w:rsidRPr="00CF32FA">
        <w:rPr>
          <w:lang w:val="en-US"/>
        </w:rPr>
        <w:t>“The information and positions presented in this study/publication are those of the authors and do not necessary reflect the official position of the CEPEJ. In this study, the CEPEJ is only one of the data sources used, and the CEPEJ does not guarantee the accuracy of the analyses, opinions and/or conclusions of this study/publication. Neither the CEPEJ nor any person acting on behalf of the CEPEJ can be held responsible for any use that might be made of the information contained therein.”</w:t>
      </w:r>
    </w:p>
    <w:p w14:paraId="2D03407E" w14:textId="77777777" w:rsidR="00391586" w:rsidRPr="00F15667" w:rsidRDefault="00391586" w:rsidP="00DC17A0">
      <w:pPr>
        <w:pStyle w:val="OdstavecASR"/>
      </w:pPr>
      <w:r w:rsidRPr="00F15667">
        <w:t>Volný překlad: „Informace a postoje prezentované v této studii/publikaci jsou informacemi a postoji autorů a nemusí nutně odrážet oficiální stanovisko CEPEJ. V této studii je CEPEJ pouze jedním z použitých zdrojů dat a CEPEJ nezaručuje správnost analýz, názorů a/nebo závěrů této studie/publikace. CEPEJ ani žádná osoba jednající jménem CEPEJ nemůže být zodpovědná za jakékoli použití informací v nich obsažených.“</w:t>
      </w:r>
    </w:p>
    <w:p w14:paraId="70CDF05F" w14:textId="3026B24C" w:rsidR="00391586" w:rsidRPr="00F15667" w:rsidRDefault="00391586" w:rsidP="00391586">
      <w:pPr>
        <w:pStyle w:val="OdstavecASR"/>
      </w:pPr>
      <w:r w:rsidRPr="00F15667">
        <w:t>Do výroční zprávy však přenášíme pouze uveřejněné hodnoty a nepřebíráme ani nepřetiskujeme doprovodné analýzy, názory či postoje ze zdrojové publikace. Pokud jsou tyto hodnoty (prezentované např. ve formě námi vytvořené tabulky či grafu) komentovány, jedná se o komentáře autorů této zprávy. Více než dříve využíváme data průzkumu Eurobarometr, a to v kapitole věnované vním</w:t>
      </w:r>
      <w:r w:rsidR="00B50EA0" w:rsidRPr="00F15667">
        <w:t>ání</w:t>
      </w:r>
      <w:r w:rsidRPr="00F15667">
        <w:t xml:space="preserve"> nezávislosti justice v jednotlivých státech EU. Autorem je společnost Ipsos European Public Affairs na žádost Evropské komise. </w:t>
      </w:r>
    </w:p>
    <w:p w14:paraId="278B5B1C" w14:textId="77777777" w:rsidR="00391586" w:rsidRPr="00F15667" w:rsidRDefault="00391586" w:rsidP="00DC17A0">
      <w:pPr>
        <w:pStyle w:val="OdstavecASR"/>
      </w:pPr>
      <w:bookmarkStart w:id="1378" w:name="_Hlk106105859"/>
      <w:r w:rsidRPr="00F15667">
        <w:t>Seznam zkratek členských zemí EU používaných v mezinárodním srovnání: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1900"/>
        <w:gridCol w:w="460"/>
        <w:gridCol w:w="580"/>
        <w:gridCol w:w="2396"/>
        <w:gridCol w:w="580"/>
        <w:gridCol w:w="1900"/>
      </w:tblGrid>
      <w:tr w:rsidR="00F15667" w:rsidRPr="00F15667" w14:paraId="07CC9907" w14:textId="77777777" w:rsidTr="008433A9">
        <w:trPr>
          <w:trHeight w:val="285"/>
        </w:trPr>
        <w:tc>
          <w:tcPr>
            <w:tcW w:w="580" w:type="dxa"/>
            <w:noWrap/>
            <w:hideMark/>
          </w:tcPr>
          <w:p w14:paraId="2832F88C" w14:textId="77777777" w:rsidR="00391586" w:rsidRPr="00F15667" w:rsidRDefault="00391586" w:rsidP="002310B1">
            <w:r w:rsidRPr="00F15667">
              <w:t>AT</w:t>
            </w:r>
          </w:p>
        </w:tc>
        <w:tc>
          <w:tcPr>
            <w:tcW w:w="1900" w:type="dxa"/>
            <w:noWrap/>
            <w:hideMark/>
          </w:tcPr>
          <w:p w14:paraId="4675CF40" w14:textId="77777777" w:rsidR="00391586" w:rsidRPr="00F15667" w:rsidRDefault="00391586" w:rsidP="002310B1">
            <w:r w:rsidRPr="00F15667">
              <w:t>Rakousko</w:t>
            </w:r>
          </w:p>
        </w:tc>
        <w:tc>
          <w:tcPr>
            <w:tcW w:w="460" w:type="dxa"/>
            <w:noWrap/>
            <w:hideMark/>
          </w:tcPr>
          <w:p w14:paraId="309CB387" w14:textId="77777777" w:rsidR="00391586" w:rsidRPr="00F15667" w:rsidRDefault="00391586" w:rsidP="002310B1"/>
        </w:tc>
        <w:tc>
          <w:tcPr>
            <w:tcW w:w="580" w:type="dxa"/>
            <w:noWrap/>
            <w:hideMark/>
          </w:tcPr>
          <w:p w14:paraId="069FFD64" w14:textId="77777777" w:rsidR="00391586" w:rsidRPr="00F15667" w:rsidRDefault="00391586" w:rsidP="002310B1">
            <w:r w:rsidRPr="00F15667">
              <w:t>ES</w:t>
            </w:r>
          </w:p>
        </w:tc>
        <w:tc>
          <w:tcPr>
            <w:tcW w:w="2396" w:type="dxa"/>
            <w:noWrap/>
            <w:hideMark/>
          </w:tcPr>
          <w:p w14:paraId="42C89369" w14:textId="77777777" w:rsidR="00391586" w:rsidRPr="00F15667" w:rsidRDefault="00391586" w:rsidP="002310B1">
            <w:r w:rsidRPr="00F15667">
              <w:t>Španělsko</w:t>
            </w:r>
          </w:p>
        </w:tc>
        <w:tc>
          <w:tcPr>
            <w:tcW w:w="580" w:type="dxa"/>
            <w:noWrap/>
            <w:hideMark/>
          </w:tcPr>
          <w:p w14:paraId="23CBF1D2" w14:textId="77777777" w:rsidR="00391586" w:rsidRPr="00F15667" w:rsidRDefault="00391586" w:rsidP="002310B1">
            <w:r w:rsidRPr="00F15667">
              <w:t>LV</w:t>
            </w:r>
          </w:p>
        </w:tc>
        <w:tc>
          <w:tcPr>
            <w:tcW w:w="1900" w:type="dxa"/>
            <w:noWrap/>
            <w:hideMark/>
          </w:tcPr>
          <w:p w14:paraId="6208D47D" w14:textId="77777777" w:rsidR="00391586" w:rsidRPr="00F15667" w:rsidRDefault="00391586" w:rsidP="002310B1">
            <w:r w:rsidRPr="00F15667">
              <w:t>Lotyšsko</w:t>
            </w:r>
          </w:p>
        </w:tc>
      </w:tr>
      <w:tr w:rsidR="00F15667" w:rsidRPr="00F15667" w14:paraId="352E7448" w14:textId="77777777" w:rsidTr="008433A9">
        <w:trPr>
          <w:trHeight w:val="285"/>
        </w:trPr>
        <w:tc>
          <w:tcPr>
            <w:tcW w:w="580" w:type="dxa"/>
            <w:noWrap/>
            <w:hideMark/>
          </w:tcPr>
          <w:p w14:paraId="4F175E4F" w14:textId="77777777" w:rsidR="00391586" w:rsidRPr="00F15667" w:rsidRDefault="00391586" w:rsidP="002310B1">
            <w:r w:rsidRPr="00F15667">
              <w:t>BE</w:t>
            </w:r>
          </w:p>
        </w:tc>
        <w:tc>
          <w:tcPr>
            <w:tcW w:w="1900" w:type="dxa"/>
            <w:noWrap/>
            <w:hideMark/>
          </w:tcPr>
          <w:p w14:paraId="4E89E274" w14:textId="77777777" w:rsidR="00391586" w:rsidRPr="00F15667" w:rsidRDefault="00391586" w:rsidP="002310B1">
            <w:r w:rsidRPr="00F15667">
              <w:t>Belgie</w:t>
            </w:r>
          </w:p>
        </w:tc>
        <w:tc>
          <w:tcPr>
            <w:tcW w:w="460" w:type="dxa"/>
            <w:noWrap/>
            <w:hideMark/>
          </w:tcPr>
          <w:p w14:paraId="1AC1493F" w14:textId="77777777" w:rsidR="00391586" w:rsidRPr="00F15667" w:rsidRDefault="00391586" w:rsidP="002310B1"/>
        </w:tc>
        <w:tc>
          <w:tcPr>
            <w:tcW w:w="580" w:type="dxa"/>
            <w:noWrap/>
            <w:hideMark/>
          </w:tcPr>
          <w:p w14:paraId="0423A5D8" w14:textId="77777777" w:rsidR="00391586" w:rsidRPr="00F15667" w:rsidRDefault="00391586" w:rsidP="002310B1">
            <w:r w:rsidRPr="00F15667">
              <w:t>FI</w:t>
            </w:r>
          </w:p>
        </w:tc>
        <w:tc>
          <w:tcPr>
            <w:tcW w:w="2396" w:type="dxa"/>
            <w:noWrap/>
            <w:hideMark/>
          </w:tcPr>
          <w:p w14:paraId="669E0C89" w14:textId="77777777" w:rsidR="00391586" w:rsidRPr="00F15667" w:rsidRDefault="00391586" w:rsidP="002310B1">
            <w:r w:rsidRPr="00F15667">
              <w:t>Finsko</w:t>
            </w:r>
          </w:p>
        </w:tc>
        <w:tc>
          <w:tcPr>
            <w:tcW w:w="580" w:type="dxa"/>
            <w:noWrap/>
            <w:hideMark/>
          </w:tcPr>
          <w:p w14:paraId="5853BF08" w14:textId="77777777" w:rsidR="00391586" w:rsidRPr="00F15667" w:rsidRDefault="00391586" w:rsidP="002310B1">
            <w:r w:rsidRPr="00F15667">
              <w:t>MT</w:t>
            </w:r>
          </w:p>
        </w:tc>
        <w:tc>
          <w:tcPr>
            <w:tcW w:w="1900" w:type="dxa"/>
            <w:noWrap/>
            <w:hideMark/>
          </w:tcPr>
          <w:p w14:paraId="1FD478E4" w14:textId="77777777" w:rsidR="00391586" w:rsidRPr="00F15667" w:rsidRDefault="00391586" w:rsidP="002310B1">
            <w:r w:rsidRPr="00F15667">
              <w:t>Malta</w:t>
            </w:r>
          </w:p>
        </w:tc>
      </w:tr>
      <w:tr w:rsidR="00F15667" w:rsidRPr="00F15667" w14:paraId="1566BEF1" w14:textId="77777777" w:rsidTr="008433A9">
        <w:trPr>
          <w:trHeight w:val="285"/>
        </w:trPr>
        <w:tc>
          <w:tcPr>
            <w:tcW w:w="580" w:type="dxa"/>
            <w:noWrap/>
            <w:hideMark/>
          </w:tcPr>
          <w:p w14:paraId="522FC380" w14:textId="77777777" w:rsidR="00391586" w:rsidRPr="00F15667" w:rsidRDefault="00391586" w:rsidP="002310B1">
            <w:r w:rsidRPr="00F15667">
              <w:t>BG</w:t>
            </w:r>
          </w:p>
        </w:tc>
        <w:tc>
          <w:tcPr>
            <w:tcW w:w="1900" w:type="dxa"/>
            <w:noWrap/>
            <w:hideMark/>
          </w:tcPr>
          <w:p w14:paraId="0D6BDB12" w14:textId="77777777" w:rsidR="00391586" w:rsidRPr="00F15667" w:rsidRDefault="00391586" w:rsidP="002310B1">
            <w:r w:rsidRPr="00F15667">
              <w:t>Bulharsko</w:t>
            </w:r>
          </w:p>
        </w:tc>
        <w:tc>
          <w:tcPr>
            <w:tcW w:w="460" w:type="dxa"/>
            <w:noWrap/>
            <w:hideMark/>
          </w:tcPr>
          <w:p w14:paraId="7DC005A5" w14:textId="77777777" w:rsidR="00391586" w:rsidRPr="00F15667" w:rsidRDefault="00391586" w:rsidP="002310B1"/>
        </w:tc>
        <w:tc>
          <w:tcPr>
            <w:tcW w:w="580" w:type="dxa"/>
            <w:noWrap/>
            <w:hideMark/>
          </w:tcPr>
          <w:p w14:paraId="4AA58F6A" w14:textId="77777777" w:rsidR="00391586" w:rsidRPr="00F15667" w:rsidRDefault="00391586" w:rsidP="002310B1">
            <w:r w:rsidRPr="00F15667">
              <w:t>FR</w:t>
            </w:r>
          </w:p>
        </w:tc>
        <w:tc>
          <w:tcPr>
            <w:tcW w:w="2396" w:type="dxa"/>
            <w:noWrap/>
            <w:hideMark/>
          </w:tcPr>
          <w:p w14:paraId="4C7BB4BE" w14:textId="77777777" w:rsidR="00391586" w:rsidRPr="00F15667" w:rsidRDefault="00391586" w:rsidP="002310B1">
            <w:r w:rsidRPr="00F15667">
              <w:t>Francie</w:t>
            </w:r>
          </w:p>
        </w:tc>
        <w:tc>
          <w:tcPr>
            <w:tcW w:w="580" w:type="dxa"/>
            <w:noWrap/>
            <w:hideMark/>
          </w:tcPr>
          <w:p w14:paraId="40D1B1B1" w14:textId="77777777" w:rsidR="00391586" w:rsidRPr="00F15667" w:rsidRDefault="00391586" w:rsidP="002310B1">
            <w:r w:rsidRPr="00F15667">
              <w:t>NL</w:t>
            </w:r>
          </w:p>
        </w:tc>
        <w:tc>
          <w:tcPr>
            <w:tcW w:w="1900" w:type="dxa"/>
            <w:noWrap/>
            <w:hideMark/>
          </w:tcPr>
          <w:p w14:paraId="479AB6E1" w14:textId="77777777" w:rsidR="00391586" w:rsidRPr="00F15667" w:rsidRDefault="00391586" w:rsidP="002310B1">
            <w:r w:rsidRPr="00F15667">
              <w:t>Nizozemsko</w:t>
            </w:r>
          </w:p>
        </w:tc>
      </w:tr>
      <w:tr w:rsidR="00F15667" w:rsidRPr="00F15667" w14:paraId="00A1D4CE" w14:textId="77777777" w:rsidTr="008433A9">
        <w:trPr>
          <w:trHeight w:val="285"/>
        </w:trPr>
        <w:tc>
          <w:tcPr>
            <w:tcW w:w="580" w:type="dxa"/>
            <w:noWrap/>
            <w:hideMark/>
          </w:tcPr>
          <w:p w14:paraId="21B7D7EE" w14:textId="77777777" w:rsidR="00391586" w:rsidRPr="00F15667" w:rsidRDefault="00391586" w:rsidP="002310B1">
            <w:r w:rsidRPr="00F15667">
              <w:t>CY</w:t>
            </w:r>
          </w:p>
        </w:tc>
        <w:tc>
          <w:tcPr>
            <w:tcW w:w="1900" w:type="dxa"/>
            <w:noWrap/>
            <w:hideMark/>
          </w:tcPr>
          <w:p w14:paraId="24E377AA" w14:textId="77777777" w:rsidR="00391586" w:rsidRPr="00F15667" w:rsidRDefault="00391586" w:rsidP="002310B1">
            <w:r w:rsidRPr="00F15667">
              <w:t>Kypr</w:t>
            </w:r>
          </w:p>
        </w:tc>
        <w:tc>
          <w:tcPr>
            <w:tcW w:w="460" w:type="dxa"/>
            <w:noWrap/>
            <w:hideMark/>
          </w:tcPr>
          <w:p w14:paraId="4572830F" w14:textId="77777777" w:rsidR="00391586" w:rsidRPr="00F15667" w:rsidRDefault="00391586" w:rsidP="002310B1"/>
        </w:tc>
        <w:tc>
          <w:tcPr>
            <w:tcW w:w="580" w:type="dxa"/>
            <w:noWrap/>
            <w:hideMark/>
          </w:tcPr>
          <w:p w14:paraId="551AA92B" w14:textId="77777777" w:rsidR="00391586" w:rsidRPr="00F15667" w:rsidRDefault="00391586" w:rsidP="002310B1">
            <w:r w:rsidRPr="00F15667">
              <w:t>HR</w:t>
            </w:r>
          </w:p>
        </w:tc>
        <w:tc>
          <w:tcPr>
            <w:tcW w:w="2396" w:type="dxa"/>
            <w:noWrap/>
            <w:hideMark/>
          </w:tcPr>
          <w:p w14:paraId="7AD8C4D6" w14:textId="77777777" w:rsidR="00391586" w:rsidRPr="00F15667" w:rsidRDefault="00391586" w:rsidP="002310B1">
            <w:r w:rsidRPr="00F15667">
              <w:t>Chorvatsko</w:t>
            </w:r>
          </w:p>
        </w:tc>
        <w:tc>
          <w:tcPr>
            <w:tcW w:w="580" w:type="dxa"/>
            <w:noWrap/>
            <w:hideMark/>
          </w:tcPr>
          <w:p w14:paraId="69044D5C" w14:textId="77777777" w:rsidR="00391586" w:rsidRPr="00F15667" w:rsidRDefault="00391586" w:rsidP="002310B1">
            <w:r w:rsidRPr="00F15667">
              <w:t>PL</w:t>
            </w:r>
          </w:p>
        </w:tc>
        <w:tc>
          <w:tcPr>
            <w:tcW w:w="1900" w:type="dxa"/>
            <w:noWrap/>
            <w:hideMark/>
          </w:tcPr>
          <w:p w14:paraId="6518B9EE" w14:textId="77777777" w:rsidR="00391586" w:rsidRPr="00F15667" w:rsidRDefault="00391586" w:rsidP="002310B1">
            <w:r w:rsidRPr="00F15667">
              <w:t>Polsko</w:t>
            </w:r>
          </w:p>
        </w:tc>
      </w:tr>
      <w:tr w:rsidR="00F15667" w:rsidRPr="00F15667" w14:paraId="3929B257" w14:textId="77777777" w:rsidTr="008433A9">
        <w:trPr>
          <w:trHeight w:val="285"/>
        </w:trPr>
        <w:tc>
          <w:tcPr>
            <w:tcW w:w="580" w:type="dxa"/>
            <w:noWrap/>
            <w:hideMark/>
          </w:tcPr>
          <w:p w14:paraId="5B6D812E" w14:textId="77777777" w:rsidR="00391586" w:rsidRPr="00F15667" w:rsidRDefault="00391586" w:rsidP="002310B1">
            <w:r w:rsidRPr="00F15667">
              <w:t>CZ</w:t>
            </w:r>
          </w:p>
        </w:tc>
        <w:tc>
          <w:tcPr>
            <w:tcW w:w="1900" w:type="dxa"/>
            <w:noWrap/>
            <w:hideMark/>
          </w:tcPr>
          <w:p w14:paraId="1301B135" w14:textId="77777777" w:rsidR="00391586" w:rsidRPr="00F15667" w:rsidRDefault="00391586" w:rsidP="002310B1">
            <w:r w:rsidRPr="00F15667">
              <w:t>Česká republika</w:t>
            </w:r>
          </w:p>
        </w:tc>
        <w:tc>
          <w:tcPr>
            <w:tcW w:w="460" w:type="dxa"/>
            <w:noWrap/>
            <w:hideMark/>
          </w:tcPr>
          <w:p w14:paraId="42F807FC" w14:textId="77777777" w:rsidR="00391586" w:rsidRPr="00F15667" w:rsidRDefault="00391586" w:rsidP="002310B1"/>
        </w:tc>
        <w:tc>
          <w:tcPr>
            <w:tcW w:w="580" w:type="dxa"/>
            <w:noWrap/>
            <w:hideMark/>
          </w:tcPr>
          <w:p w14:paraId="40571E32" w14:textId="77777777" w:rsidR="00391586" w:rsidRPr="00F15667" w:rsidRDefault="00391586" w:rsidP="002310B1">
            <w:r w:rsidRPr="00F15667">
              <w:t>HU</w:t>
            </w:r>
          </w:p>
        </w:tc>
        <w:tc>
          <w:tcPr>
            <w:tcW w:w="2396" w:type="dxa"/>
            <w:noWrap/>
            <w:hideMark/>
          </w:tcPr>
          <w:p w14:paraId="692E4139" w14:textId="77777777" w:rsidR="00391586" w:rsidRPr="00F15667" w:rsidRDefault="00391586" w:rsidP="002310B1">
            <w:r w:rsidRPr="00F15667">
              <w:t>Maďarsko</w:t>
            </w:r>
          </w:p>
        </w:tc>
        <w:tc>
          <w:tcPr>
            <w:tcW w:w="580" w:type="dxa"/>
            <w:noWrap/>
            <w:hideMark/>
          </w:tcPr>
          <w:p w14:paraId="2E89187A" w14:textId="77777777" w:rsidR="00391586" w:rsidRPr="00F15667" w:rsidRDefault="00391586" w:rsidP="002310B1">
            <w:r w:rsidRPr="00F15667">
              <w:t>PT</w:t>
            </w:r>
          </w:p>
        </w:tc>
        <w:tc>
          <w:tcPr>
            <w:tcW w:w="1900" w:type="dxa"/>
            <w:noWrap/>
            <w:hideMark/>
          </w:tcPr>
          <w:p w14:paraId="5C7CC1F5" w14:textId="77777777" w:rsidR="00391586" w:rsidRPr="00F15667" w:rsidRDefault="00391586" w:rsidP="002310B1">
            <w:r w:rsidRPr="00F15667">
              <w:t>Portugalsko</w:t>
            </w:r>
          </w:p>
        </w:tc>
      </w:tr>
      <w:tr w:rsidR="008433A9" w:rsidRPr="00F15667" w14:paraId="307C63AC" w14:textId="77777777" w:rsidTr="00424613">
        <w:trPr>
          <w:trHeight w:val="285"/>
        </w:trPr>
        <w:tc>
          <w:tcPr>
            <w:tcW w:w="580" w:type="dxa"/>
            <w:noWrap/>
            <w:hideMark/>
          </w:tcPr>
          <w:p w14:paraId="0FAB8162" w14:textId="77777777" w:rsidR="008433A9" w:rsidRPr="00F15667" w:rsidRDefault="008433A9" w:rsidP="002310B1">
            <w:r w:rsidRPr="00F15667">
              <w:t>DE</w:t>
            </w:r>
          </w:p>
        </w:tc>
        <w:tc>
          <w:tcPr>
            <w:tcW w:w="1900" w:type="dxa"/>
            <w:noWrap/>
            <w:hideMark/>
          </w:tcPr>
          <w:p w14:paraId="418F54E8" w14:textId="77777777" w:rsidR="008433A9" w:rsidRPr="00F15667" w:rsidRDefault="008433A9" w:rsidP="002310B1">
            <w:r w:rsidRPr="00F15667">
              <w:t>Německo</w:t>
            </w:r>
          </w:p>
        </w:tc>
        <w:tc>
          <w:tcPr>
            <w:tcW w:w="460" w:type="dxa"/>
            <w:noWrap/>
            <w:hideMark/>
          </w:tcPr>
          <w:p w14:paraId="32B92CFC" w14:textId="77777777" w:rsidR="008433A9" w:rsidRPr="00F15667" w:rsidRDefault="008433A9" w:rsidP="002310B1"/>
        </w:tc>
        <w:tc>
          <w:tcPr>
            <w:tcW w:w="580" w:type="dxa"/>
            <w:noWrap/>
            <w:hideMark/>
          </w:tcPr>
          <w:p w14:paraId="04FF9E2F" w14:textId="77777777" w:rsidR="008433A9" w:rsidRPr="00F15667" w:rsidRDefault="008433A9" w:rsidP="002310B1">
            <w:r w:rsidRPr="00F15667">
              <w:t>IE</w:t>
            </w:r>
          </w:p>
        </w:tc>
        <w:tc>
          <w:tcPr>
            <w:tcW w:w="2396" w:type="dxa"/>
            <w:noWrap/>
            <w:hideMark/>
          </w:tcPr>
          <w:p w14:paraId="68398B9B" w14:textId="0C743D71" w:rsidR="008433A9" w:rsidRPr="00F15667" w:rsidRDefault="008433A9" w:rsidP="002310B1">
            <w:r w:rsidRPr="00F15667">
              <w:t>Irsko</w:t>
            </w:r>
          </w:p>
        </w:tc>
        <w:tc>
          <w:tcPr>
            <w:tcW w:w="580" w:type="dxa"/>
            <w:noWrap/>
            <w:hideMark/>
          </w:tcPr>
          <w:p w14:paraId="02AD9F84" w14:textId="77777777" w:rsidR="008433A9" w:rsidRPr="00F15667" w:rsidRDefault="008433A9" w:rsidP="002310B1">
            <w:r w:rsidRPr="00F15667">
              <w:t>RO</w:t>
            </w:r>
          </w:p>
        </w:tc>
        <w:tc>
          <w:tcPr>
            <w:tcW w:w="1900" w:type="dxa"/>
            <w:noWrap/>
            <w:hideMark/>
          </w:tcPr>
          <w:p w14:paraId="59CD3523" w14:textId="77777777" w:rsidR="008433A9" w:rsidRPr="00F15667" w:rsidRDefault="008433A9" w:rsidP="002310B1">
            <w:r w:rsidRPr="00F15667">
              <w:t>Rumunsko</w:t>
            </w:r>
          </w:p>
        </w:tc>
      </w:tr>
      <w:tr w:rsidR="008433A9" w:rsidRPr="00F15667" w14:paraId="0951ED6C" w14:textId="77777777" w:rsidTr="006D262A">
        <w:trPr>
          <w:trHeight w:val="285"/>
        </w:trPr>
        <w:tc>
          <w:tcPr>
            <w:tcW w:w="580" w:type="dxa"/>
            <w:noWrap/>
            <w:hideMark/>
          </w:tcPr>
          <w:p w14:paraId="2F0893CE" w14:textId="77777777" w:rsidR="008433A9" w:rsidRPr="00F15667" w:rsidRDefault="008433A9" w:rsidP="002310B1">
            <w:r w:rsidRPr="00F15667">
              <w:t>DK</w:t>
            </w:r>
          </w:p>
        </w:tc>
        <w:tc>
          <w:tcPr>
            <w:tcW w:w="1900" w:type="dxa"/>
            <w:noWrap/>
            <w:hideMark/>
          </w:tcPr>
          <w:p w14:paraId="771B02E6" w14:textId="77777777" w:rsidR="008433A9" w:rsidRPr="00F15667" w:rsidRDefault="008433A9" w:rsidP="002310B1">
            <w:r w:rsidRPr="00F15667">
              <w:t>Dánsko</w:t>
            </w:r>
          </w:p>
        </w:tc>
        <w:tc>
          <w:tcPr>
            <w:tcW w:w="460" w:type="dxa"/>
            <w:noWrap/>
            <w:hideMark/>
          </w:tcPr>
          <w:p w14:paraId="624B332E" w14:textId="77777777" w:rsidR="008433A9" w:rsidRPr="00F15667" w:rsidRDefault="008433A9" w:rsidP="002310B1"/>
        </w:tc>
        <w:tc>
          <w:tcPr>
            <w:tcW w:w="580" w:type="dxa"/>
            <w:noWrap/>
            <w:hideMark/>
          </w:tcPr>
          <w:p w14:paraId="79F74ED6" w14:textId="77777777" w:rsidR="008433A9" w:rsidRPr="00F15667" w:rsidRDefault="008433A9" w:rsidP="002310B1">
            <w:r w:rsidRPr="00F15667">
              <w:t>IT</w:t>
            </w:r>
          </w:p>
        </w:tc>
        <w:tc>
          <w:tcPr>
            <w:tcW w:w="2396" w:type="dxa"/>
            <w:noWrap/>
            <w:hideMark/>
          </w:tcPr>
          <w:p w14:paraId="36A18C2D" w14:textId="52A4F551" w:rsidR="008433A9" w:rsidRPr="00F15667" w:rsidRDefault="008433A9" w:rsidP="002310B1">
            <w:r w:rsidRPr="00F15667">
              <w:t>Itálie</w:t>
            </w:r>
          </w:p>
        </w:tc>
        <w:tc>
          <w:tcPr>
            <w:tcW w:w="580" w:type="dxa"/>
            <w:noWrap/>
            <w:hideMark/>
          </w:tcPr>
          <w:p w14:paraId="6E8B583C" w14:textId="77777777" w:rsidR="008433A9" w:rsidRPr="00F15667" w:rsidRDefault="008433A9" w:rsidP="002310B1">
            <w:r w:rsidRPr="00F15667">
              <w:t>SE</w:t>
            </w:r>
          </w:p>
        </w:tc>
        <w:tc>
          <w:tcPr>
            <w:tcW w:w="1900" w:type="dxa"/>
            <w:noWrap/>
            <w:hideMark/>
          </w:tcPr>
          <w:p w14:paraId="72C4F758" w14:textId="77777777" w:rsidR="008433A9" w:rsidRPr="00F15667" w:rsidRDefault="008433A9" w:rsidP="002310B1">
            <w:r w:rsidRPr="00F15667">
              <w:t>Švédsko</w:t>
            </w:r>
          </w:p>
        </w:tc>
      </w:tr>
      <w:tr w:rsidR="008433A9" w:rsidRPr="00F15667" w14:paraId="72C32538" w14:textId="77777777" w:rsidTr="00B038B4">
        <w:trPr>
          <w:trHeight w:val="285"/>
        </w:trPr>
        <w:tc>
          <w:tcPr>
            <w:tcW w:w="580" w:type="dxa"/>
            <w:noWrap/>
            <w:hideMark/>
          </w:tcPr>
          <w:p w14:paraId="270E04DA" w14:textId="77777777" w:rsidR="008433A9" w:rsidRPr="00F15667" w:rsidRDefault="008433A9" w:rsidP="002310B1">
            <w:r w:rsidRPr="00F15667">
              <w:t>EE</w:t>
            </w:r>
          </w:p>
        </w:tc>
        <w:tc>
          <w:tcPr>
            <w:tcW w:w="1900" w:type="dxa"/>
            <w:noWrap/>
            <w:hideMark/>
          </w:tcPr>
          <w:p w14:paraId="5FDCF702" w14:textId="77777777" w:rsidR="008433A9" w:rsidRPr="00F15667" w:rsidRDefault="008433A9" w:rsidP="002310B1">
            <w:r w:rsidRPr="00F15667">
              <w:t>Estonsko</w:t>
            </w:r>
          </w:p>
        </w:tc>
        <w:tc>
          <w:tcPr>
            <w:tcW w:w="460" w:type="dxa"/>
            <w:noWrap/>
            <w:hideMark/>
          </w:tcPr>
          <w:p w14:paraId="3AFD036F" w14:textId="77777777" w:rsidR="008433A9" w:rsidRPr="00F15667" w:rsidRDefault="008433A9" w:rsidP="002310B1"/>
        </w:tc>
        <w:tc>
          <w:tcPr>
            <w:tcW w:w="580" w:type="dxa"/>
            <w:noWrap/>
            <w:hideMark/>
          </w:tcPr>
          <w:p w14:paraId="17798EE5" w14:textId="77777777" w:rsidR="008433A9" w:rsidRPr="00F15667" w:rsidRDefault="008433A9" w:rsidP="002310B1">
            <w:r w:rsidRPr="00F15667">
              <w:t>LT</w:t>
            </w:r>
          </w:p>
        </w:tc>
        <w:tc>
          <w:tcPr>
            <w:tcW w:w="2396" w:type="dxa"/>
            <w:noWrap/>
            <w:hideMark/>
          </w:tcPr>
          <w:p w14:paraId="16978716" w14:textId="011F3BFB" w:rsidR="008433A9" w:rsidRPr="00F15667" w:rsidRDefault="008433A9" w:rsidP="002310B1">
            <w:r w:rsidRPr="00F15667">
              <w:t>Litva</w:t>
            </w:r>
          </w:p>
        </w:tc>
        <w:tc>
          <w:tcPr>
            <w:tcW w:w="580" w:type="dxa"/>
            <w:noWrap/>
            <w:hideMark/>
          </w:tcPr>
          <w:p w14:paraId="4E260FDD" w14:textId="77777777" w:rsidR="008433A9" w:rsidRPr="00F15667" w:rsidRDefault="008433A9" w:rsidP="002310B1">
            <w:r w:rsidRPr="00F15667">
              <w:t>SK</w:t>
            </w:r>
          </w:p>
        </w:tc>
        <w:tc>
          <w:tcPr>
            <w:tcW w:w="1900" w:type="dxa"/>
            <w:noWrap/>
            <w:hideMark/>
          </w:tcPr>
          <w:p w14:paraId="253B65F5" w14:textId="77777777" w:rsidR="008433A9" w:rsidRPr="00F15667" w:rsidRDefault="008433A9" w:rsidP="002310B1">
            <w:r w:rsidRPr="00F15667">
              <w:t>Slovensko</w:t>
            </w:r>
          </w:p>
        </w:tc>
      </w:tr>
      <w:tr w:rsidR="00F15667" w:rsidRPr="00F15667" w14:paraId="0BDE8680" w14:textId="77777777" w:rsidTr="008433A9">
        <w:trPr>
          <w:trHeight w:val="285"/>
        </w:trPr>
        <w:tc>
          <w:tcPr>
            <w:tcW w:w="580" w:type="dxa"/>
            <w:noWrap/>
            <w:hideMark/>
          </w:tcPr>
          <w:p w14:paraId="4377BE8B" w14:textId="77777777" w:rsidR="00391586" w:rsidRPr="00F15667" w:rsidRDefault="00391586" w:rsidP="002310B1">
            <w:r w:rsidRPr="00F15667">
              <w:t>EL</w:t>
            </w:r>
          </w:p>
        </w:tc>
        <w:tc>
          <w:tcPr>
            <w:tcW w:w="1900" w:type="dxa"/>
            <w:noWrap/>
            <w:hideMark/>
          </w:tcPr>
          <w:p w14:paraId="63D5B53B" w14:textId="77777777" w:rsidR="00391586" w:rsidRPr="00F15667" w:rsidRDefault="00391586" w:rsidP="002310B1">
            <w:r w:rsidRPr="00F15667">
              <w:t>Řecko</w:t>
            </w:r>
          </w:p>
        </w:tc>
        <w:tc>
          <w:tcPr>
            <w:tcW w:w="460" w:type="dxa"/>
            <w:noWrap/>
            <w:hideMark/>
          </w:tcPr>
          <w:p w14:paraId="1896975D" w14:textId="77777777" w:rsidR="00391586" w:rsidRPr="00F15667" w:rsidRDefault="00391586" w:rsidP="002310B1"/>
        </w:tc>
        <w:tc>
          <w:tcPr>
            <w:tcW w:w="580" w:type="dxa"/>
            <w:noWrap/>
            <w:hideMark/>
          </w:tcPr>
          <w:p w14:paraId="64399915" w14:textId="77777777" w:rsidR="00391586" w:rsidRPr="00F15667" w:rsidRDefault="00391586" w:rsidP="002310B1">
            <w:r w:rsidRPr="00F15667">
              <w:t>LU</w:t>
            </w:r>
          </w:p>
        </w:tc>
        <w:tc>
          <w:tcPr>
            <w:tcW w:w="2396" w:type="dxa"/>
            <w:noWrap/>
            <w:hideMark/>
          </w:tcPr>
          <w:p w14:paraId="10B2B3B7" w14:textId="77777777" w:rsidR="00391586" w:rsidRPr="00F15667" w:rsidRDefault="00391586" w:rsidP="002310B1">
            <w:r w:rsidRPr="00F15667">
              <w:t>Lucembursko</w:t>
            </w:r>
          </w:p>
        </w:tc>
        <w:tc>
          <w:tcPr>
            <w:tcW w:w="580" w:type="dxa"/>
            <w:noWrap/>
            <w:hideMark/>
          </w:tcPr>
          <w:p w14:paraId="32A53B56" w14:textId="77777777" w:rsidR="00391586" w:rsidRPr="00F15667" w:rsidRDefault="00391586" w:rsidP="002310B1">
            <w:r w:rsidRPr="00F15667">
              <w:t>SI</w:t>
            </w:r>
          </w:p>
        </w:tc>
        <w:tc>
          <w:tcPr>
            <w:tcW w:w="1900" w:type="dxa"/>
            <w:noWrap/>
            <w:hideMark/>
          </w:tcPr>
          <w:p w14:paraId="07E23381" w14:textId="77777777" w:rsidR="00391586" w:rsidRPr="00F15667" w:rsidRDefault="00391586" w:rsidP="002310B1">
            <w:r w:rsidRPr="00F15667">
              <w:t>Slovinsko</w:t>
            </w:r>
          </w:p>
        </w:tc>
      </w:tr>
      <w:tr w:rsidR="00DC17A0" w:rsidRPr="00F15667" w14:paraId="2C2DEEFB" w14:textId="77777777" w:rsidTr="008433A9">
        <w:trPr>
          <w:trHeight w:val="285"/>
        </w:trPr>
        <w:tc>
          <w:tcPr>
            <w:tcW w:w="580" w:type="dxa"/>
            <w:noWrap/>
          </w:tcPr>
          <w:p w14:paraId="1E38E186" w14:textId="77777777" w:rsidR="00DC17A0" w:rsidRPr="00F15667" w:rsidRDefault="00DC17A0" w:rsidP="002310B1"/>
        </w:tc>
        <w:tc>
          <w:tcPr>
            <w:tcW w:w="1900" w:type="dxa"/>
            <w:noWrap/>
          </w:tcPr>
          <w:p w14:paraId="07308FA6" w14:textId="77777777" w:rsidR="00DC17A0" w:rsidRPr="00F15667" w:rsidRDefault="00DC17A0" w:rsidP="002310B1"/>
        </w:tc>
        <w:tc>
          <w:tcPr>
            <w:tcW w:w="460" w:type="dxa"/>
            <w:noWrap/>
          </w:tcPr>
          <w:p w14:paraId="6D038F18" w14:textId="77777777" w:rsidR="00DC17A0" w:rsidRPr="00F15667" w:rsidRDefault="00DC17A0" w:rsidP="002310B1"/>
        </w:tc>
        <w:tc>
          <w:tcPr>
            <w:tcW w:w="580" w:type="dxa"/>
            <w:noWrap/>
          </w:tcPr>
          <w:p w14:paraId="3C9589F9" w14:textId="77777777" w:rsidR="00DC17A0" w:rsidRPr="00F15667" w:rsidRDefault="00DC17A0" w:rsidP="002310B1"/>
        </w:tc>
        <w:tc>
          <w:tcPr>
            <w:tcW w:w="2396" w:type="dxa"/>
            <w:noWrap/>
          </w:tcPr>
          <w:p w14:paraId="4FDAF1D8" w14:textId="77777777" w:rsidR="00DC17A0" w:rsidRPr="00F15667" w:rsidRDefault="00DC17A0" w:rsidP="002310B1"/>
        </w:tc>
        <w:tc>
          <w:tcPr>
            <w:tcW w:w="580" w:type="dxa"/>
            <w:noWrap/>
          </w:tcPr>
          <w:p w14:paraId="1D7CC3E3" w14:textId="77777777" w:rsidR="00DC17A0" w:rsidRPr="00F15667" w:rsidRDefault="00DC17A0" w:rsidP="002310B1"/>
        </w:tc>
        <w:tc>
          <w:tcPr>
            <w:tcW w:w="1900" w:type="dxa"/>
            <w:noWrap/>
          </w:tcPr>
          <w:p w14:paraId="56739BD4" w14:textId="77777777" w:rsidR="00DC17A0" w:rsidRPr="00F15667" w:rsidRDefault="00DC17A0" w:rsidP="002310B1"/>
        </w:tc>
      </w:tr>
    </w:tbl>
    <w:p w14:paraId="72DA9D89" w14:textId="254CB986" w:rsidR="00391586" w:rsidRPr="00F15667" w:rsidRDefault="00391586" w:rsidP="00391586">
      <w:pPr>
        <w:pStyle w:val="OdstavecASR"/>
      </w:pPr>
      <w:r w:rsidRPr="00F15667">
        <w:rPr>
          <w:lang w:eastAsia="cs-CZ"/>
        </w:rPr>
        <w:t>Upozorňujeme, že při studování, hodnocení či interpretaci publikovaných statistických dat je nutné brát v úvahu, že každý stát je unikátní, liší se jejich justiční systémy i způsoby statistického vykazování dat. To připomínáme i v dalších částech mezinárodního srovnání ČR.</w:t>
      </w:r>
    </w:p>
    <w:p w14:paraId="250A0873" w14:textId="77777777" w:rsidR="00391586" w:rsidRPr="00F15667" w:rsidRDefault="00391586" w:rsidP="00391586">
      <w:pPr>
        <w:pStyle w:val="Nadpis3"/>
        <w:numPr>
          <w:ilvl w:val="2"/>
          <w:numId w:val="1"/>
        </w:numPr>
        <w:rPr>
          <w:color w:val="auto"/>
        </w:rPr>
      </w:pPr>
      <w:bookmarkStart w:id="1379" w:name="_Toc144104444"/>
      <w:bookmarkEnd w:id="1378"/>
      <w:r w:rsidRPr="00F15667">
        <w:rPr>
          <w:color w:val="auto"/>
          <w:lang w:eastAsia="cs-CZ"/>
        </w:rPr>
        <w:lastRenderedPageBreak/>
        <w:t>Počet soudů, soudců a advokátů</w:t>
      </w:r>
      <w:bookmarkEnd w:id="1379"/>
    </w:p>
    <w:p w14:paraId="0CF2F00F" w14:textId="5792CBB9" w:rsidR="00391586" w:rsidRPr="00F15667" w:rsidRDefault="00391586" w:rsidP="00DC17A0">
      <w:pPr>
        <w:pStyle w:val="OdstavecASR"/>
      </w:pPr>
      <w:r w:rsidRPr="00F15667">
        <w:t>Předcházející ročníky zprávy začínaly vždy počtem soudců jako jedním z významných ukazatelů dostupnosti spravedlnosti pro občany i podnikatele. Letošní mezinárodní srovnání doplňujeme počtem soudů, které jsou pro občany jednotlivých států EU dostupné pro uplatňování jejich práv. Propočet je proveden pro geografickou lokaci soudu, tedy berou se v potaz také pobočky soudů. To je velmi důležité zobecňující kritérium, protože se tak vytváří stejná společná báze pro korektní srovnání</w:t>
      </w:r>
      <w:r w:rsidRPr="00F15667">
        <w:rPr>
          <w:rStyle w:val="Znakapoznpodarou"/>
        </w:rPr>
        <w:footnoteReference w:id="19"/>
      </w:r>
      <w:r w:rsidRPr="00F15667">
        <w:t>. Do propočtu byly zahrnuty soudy všech stupňů včetně soudů specializovaných, přestože započítání pouze soudů prvního stupně by se mohlo jevit jako přiměřenější pro hodnocení dostupnosti širokou veřejností – to by však vyžadovalo detailní znalost soudní hierarchie a soudního systému každé země. Propočet je vytvořen tak, aby odpověděl na otázku „kolik obyvatel státu připadá na jeden soud?“</w:t>
      </w:r>
      <w:r w:rsidR="00B50EA0" w:rsidRPr="00F15667">
        <w:t>.</w:t>
      </w:r>
    </w:p>
    <w:p w14:paraId="5EF01F7A" w14:textId="313FB05C" w:rsidR="00391586" w:rsidRPr="00F15667" w:rsidRDefault="00391586" w:rsidP="00391586">
      <w:pPr>
        <w:pStyle w:val="Podnadpis"/>
        <w:numPr>
          <w:ilvl w:val="0"/>
          <w:numId w:val="0"/>
        </w:numPr>
        <w:rPr>
          <w:color w:val="auto"/>
        </w:rPr>
      </w:pPr>
      <w:bookmarkStart w:id="1380" w:name="_Toc144104225"/>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113</w:t>
      </w:r>
      <w:r w:rsidRPr="00F15667">
        <w:rPr>
          <w:color w:val="auto"/>
        </w:rPr>
        <w:fldChar w:fldCharType="end"/>
      </w:r>
      <w:r w:rsidRPr="00F15667">
        <w:rPr>
          <w:color w:val="auto"/>
        </w:rPr>
        <w:t>: Počet obyvatel připadající na jeden soud v zemích EU, 2020</w:t>
      </w:r>
      <w:bookmarkEnd w:id="1380"/>
    </w:p>
    <w:p w14:paraId="0954EAFD" w14:textId="77777777" w:rsidR="00391586" w:rsidRPr="00F15667" w:rsidRDefault="00391586" w:rsidP="00391586">
      <w:r w:rsidRPr="00F15667">
        <w:rPr>
          <w:noProof/>
          <w:lang w:eastAsia="cs-CZ"/>
        </w:rPr>
        <w:drawing>
          <wp:inline distT="0" distB="0" distL="0" distR="0" wp14:anchorId="73F8ACFD" wp14:editId="26115CF9">
            <wp:extent cx="5759450" cy="2280920"/>
            <wp:effectExtent l="0" t="0" r="0" b="5080"/>
            <wp:docPr id="144" name="Grafický objekt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96DAC541-7B7A-43D3-8B79-37D633B846F1}">
                          <asvg:svgBlip xmlns:asvg="http://schemas.microsoft.com/office/drawing/2016/SVG/main" r:embed="rId140"/>
                        </a:ext>
                      </a:extLst>
                    </a:blip>
                    <a:stretch>
                      <a:fillRect/>
                    </a:stretch>
                  </pic:blipFill>
                  <pic:spPr>
                    <a:xfrm>
                      <a:off x="0" y="0"/>
                      <a:ext cx="5759450" cy="2280920"/>
                    </a:xfrm>
                    <a:prstGeom prst="rect">
                      <a:avLst/>
                    </a:prstGeom>
                  </pic:spPr>
                </pic:pic>
              </a:graphicData>
            </a:graphic>
          </wp:inline>
        </w:drawing>
      </w:r>
    </w:p>
    <w:p w14:paraId="19C7A8E8" w14:textId="77777777" w:rsidR="00391586" w:rsidRPr="00F15667" w:rsidRDefault="00391586" w:rsidP="00391586">
      <w:pPr>
        <w:rPr>
          <w:i/>
          <w:iCs/>
          <w:sz w:val="18"/>
          <w:szCs w:val="18"/>
        </w:rPr>
      </w:pPr>
      <w:r w:rsidRPr="00F15667">
        <w:rPr>
          <w:i/>
          <w:iCs/>
          <w:sz w:val="18"/>
          <w:szCs w:val="18"/>
        </w:rPr>
        <w:t xml:space="preserve">Zdroj: </w:t>
      </w:r>
      <w:r w:rsidRPr="00F15667">
        <w:rPr>
          <w:i/>
          <w:iCs/>
          <w:noProof/>
          <w:sz w:val="18"/>
          <w:szCs w:val="18"/>
        </w:rPr>
        <w:t>Study on the functioning of judicial systems in the EU Member States, Strasburg 06</w:t>
      </w:r>
      <w:r w:rsidRPr="00F15667">
        <w:rPr>
          <w:i/>
          <w:iCs/>
          <w:sz w:val="18"/>
          <w:szCs w:val="18"/>
        </w:rPr>
        <w:t>/04/2022, propočet a zpracování vlastní</w:t>
      </w:r>
    </w:p>
    <w:p w14:paraId="6048EE05" w14:textId="77777777" w:rsidR="00C62C52" w:rsidRPr="00F15667" w:rsidRDefault="00C62C52" w:rsidP="00DC17A0">
      <w:pPr>
        <w:pStyle w:val="OdstavecASR"/>
      </w:pPr>
    </w:p>
    <w:p w14:paraId="1BA77A37" w14:textId="64A99890" w:rsidR="00391586" w:rsidRPr="00F15667" w:rsidRDefault="00391586" w:rsidP="00DC17A0">
      <w:pPr>
        <w:pStyle w:val="OdstavecASR"/>
      </w:pPr>
      <w:r w:rsidRPr="00F15667">
        <w:t>Maximum = 416 081 Nizozemsko (NL), průměr EU = 85 534, medián EU = 70 210 Itálie (IT), minimum = 27 750 Slovinsko (</w:t>
      </w:r>
      <w:r w:rsidR="00C62C52" w:rsidRPr="00F15667">
        <w:t>SI</w:t>
      </w:r>
      <w:r w:rsidRPr="00F15667">
        <w:t xml:space="preserve">) / Česká republika = 100 017 obyvatel </w:t>
      </w:r>
      <w:r w:rsidR="00CA3BD6" w:rsidRPr="00F15667">
        <w:t xml:space="preserve">na </w:t>
      </w:r>
      <w:r w:rsidRPr="00F15667">
        <w:t xml:space="preserve">soud. </w:t>
      </w:r>
    </w:p>
    <w:p w14:paraId="030850B9" w14:textId="77777777" w:rsidR="00391586" w:rsidRPr="00F15667" w:rsidRDefault="00391586" w:rsidP="00DC17A0">
      <w:pPr>
        <w:pStyle w:val="OdstavecASR"/>
      </w:pPr>
    </w:p>
    <w:p w14:paraId="710D7A48" w14:textId="7B1AFFC8" w:rsidR="00391586" w:rsidRPr="00F15667" w:rsidRDefault="00391586" w:rsidP="00DC17A0">
      <w:pPr>
        <w:pStyle w:val="OdstavecASR"/>
      </w:pPr>
      <w:r w:rsidRPr="00F15667">
        <w:t>Pozn.: v souhrnném tabulkovém přehledu v dalším textu uvádíme vedle dalších informací také detailnější tabulkové porovnání tohoto ukazatele s našimi nejbližšími sousedy.</w:t>
      </w:r>
    </w:p>
    <w:p w14:paraId="2D191B63" w14:textId="62261E4B" w:rsidR="00391586" w:rsidRPr="00F15667" w:rsidRDefault="00391586" w:rsidP="00DC17A0">
      <w:pPr>
        <w:pStyle w:val="OdstavecASR"/>
      </w:pPr>
      <w:r w:rsidRPr="00F15667">
        <w:t>Počty soudců se mezi roky dramaticky nemění. Jako zajímavé proto shledáváme přenesení dat o počtech soudců na mapu Evropy a jejich porovnání s obdobnou mapou pro počty advokátů. Průměr EU za rok 2020 je 21,8 soudce a 193 advokátů na 100 tis. obyvatel, ČR = 28,1 a 114,6.</w:t>
      </w:r>
    </w:p>
    <w:p w14:paraId="373C7FDB" w14:textId="7F29469E" w:rsidR="00391586" w:rsidRPr="00F15667" w:rsidRDefault="00391586" w:rsidP="00391586">
      <w:pPr>
        <w:pStyle w:val="Podnadpis"/>
        <w:numPr>
          <w:ilvl w:val="0"/>
          <w:numId w:val="0"/>
        </w:numPr>
        <w:rPr>
          <w:color w:val="auto"/>
        </w:rPr>
      </w:pPr>
      <w:bookmarkStart w:id="1381" w:name="_Toc106106750"/>
      <w:bookmarkStart w:id="1382" w:name="_Toc106194411"/>
      <w:bookmarkStart w:id="1383" w:name="_Toc144104226"/>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114</w:t>
      </w:r>
      <w:r w:rsidRPr="00F15667">
        <w:rPr>
          <w:color w:val="auto"/>
        </w:rPr>
        <w:fldChar w:fldCharType="end"/>
      </w:r>
      <w:r w:rsidRPr="00F15667">
        <w:rPr>
          <w:color w:val="auto"/>
        </w:rPr>
        <w:t xml:space="preserve">: </w:t>
      </w:r>
      <w:bookmarkStart w:id="1384" w:name="_Hlk104202026"/>
      <w:r w:rsidRPr="00F15667">
        <w:rPr>
          <w:color w:val="auto"/>
        </w:rPr>
        <w:t>Počet soudců a advokátů (*) na 100 000 obyvatel v zemích EU</w:t>
      </w:r>
      <w:bookmarkEnd w:id="1381"/>
      <w:bookmarkEnd w:id="1382"/>
      <w:r w:rsidRPr="00F15667">
        <w:rPr>
          <w:color w:val="auto"/>
        </w:rPr>
        <w:t>, 2020</w:t>
      </w:r>
      <w:bookmarkEnd w:id="1383"/>
    </w:p>
    <w:bookmarkEnd w:id="1384"/>
    <w:p w14:paraId="077DFD17" w14:textId="77777777" w:rsidR="00391586" w:rsidRPr="00F15667" w:rsidRDefault="00391586" w:rsidP="00DC17A0">
      <w:pPr>
        <w:pStyle w:val="OdstavecASR"/>
      </w:pPr>
      <w:r w:rsidRPr="00F15667">
        <w:rPr>
          <w:noProof/>
          <w:lang w:eastAsia="cs-CZ"/>
        </w:rPr>
        <w:drawing>
          <wp:inline distT="0" distB="0" distL="0" distR="0" wp14:anchorId="03288810" wp14:editId="44F88BDA">
            <wp:extent cx="3693760" cy="3492000"/>
            <wp:effectExtent l="0" t="0" r="2540" b="0"/>
            <wp:docPr id="205" name="Obráze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693760" cy="3492000"/>
                    </a:xfrm>
                    <a:prstGeom prst="rect">
                      <a:avLst/>
                    </a:prstGeom>
                  </pic:spPr>
                </pic:pic>
              </a:graphicData>
            </a:graphic>
          </wp:inline>
        </w:drawing>
      </w:r>
    </w:p>
    <w:p w14:paraId="7D487E0A" w14:textId="77777777" w:rsidR="00391586" w:rsidRPr="00F15667" w:rsidRDefault="00391586" w:rsidP="00391586">
      <w:pPr>
        <w:jc w:val="left"/>
        <w:rPr>
          <w:noProof/>
        </w:rPr>
      </w:pPr>
      <w:r w:rsidRPr="00F15667">
        <w:rPr>
          <w:noProof/>
          <w:lang w:eastAsia="cs-CZ"/>
        </w:rPr>
        <w:drawing>
          <wp:inline distT="0" distB="0" distL="0" distR="0" wp14:anchorId="0E1A1353" wp14:editId="19641B91">
            <wp:extent cx="3577360" cy="3492000"/>
            <wp:effectExtent l="0" t="0" r="4445" b="0"/>
            <wp:docPr id="206" name="Obráze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577360" cy="3492000"/>
                    </a:xfrm>
                    <a:prstGeom prst="rect">
                      <a:avLst/>
                    </a:prstGeom>
                  </pic:spPr>
                </pic:pic>
              </a:graphicData>
            </a:graphic>
          </wp:inline>
        </w:drawing>
      </w:r>
    </w:p>
    <w:p w14:paraId="7BEB4C86" w14:textId="77777777" w:rsidR="00391586" w:rsidRPr="00F15667" w:rsidRDefault="00391586" w:rsidP="00391586">
      <w:pPr>
        <w:rPr>
          <w:i/>
          <w:iCs/>
          <w:sz w:val="16"/>
          <w:szCs w:val="16"/>
        </w:rPr>
      </w:pPr>
      <w:r w:rsidRPr="00F15667">
        <w:rPr>
          <w:i/>
          <w:iCs/>
          <w:sz w:val="18"/>
          <w:szCs w:val="20"/>
        </w:rPr>
        <w:t>Zdroj: Evropská komise, Srovnávací přehled EU o soudnictví 2022, soudci Fig(36), advokáti Fig(38), zpracování vlastní</w:t>
      </w:r>
    </w:p>
    <w:p w14:paraId="0CE39B3B" w14:textId="77777777" w:rsidR="00391586" w:rsidRPr="00F15667" w:rsidRDefault="00391586" w:rsidP="00391586">
      <w:pPr>
        <w:rPr>
          <w:i/>
          <w:iCs/>
          <w:sz w:val="18"/>
          <w:szCs w:val="20"/>
        </w:rPr>
      </w:pPr>
      <w:r w:rsidRPr="00F15667">
        <w:rPr>
          <w:i/>
          <w:iCs/>
          <w:sz w:val="18"/>
          <w:szCs w:val="20"/>
        </w:rPr>
        <w:t>(*) Podle metodiky CEPEJ je advokát osoba, která je podle vnitrostátního práva kvalifikovaná a oprávněná obhajovat klienty a jednat jejich jménem, vykonávat právní praxi, vystupovat před soudy nebo poskytovat klientům rady a zastupovat je v právních záležitostech.</w:t>
      </w:r>
    </w:p>
    <w:p w14:paraId="10E7BD10" w14:textId="77777777" w:rsidR="00C62C52" w:rsidRPr="00F15667" w:rsidRDefault="00C62C52" w:rsidP="00391586"/>
    <w:p w14:paraId="73577DA8" w14:textId="7409CDAB" w:rsidR="00391586" w:rsidRPr="00F15667" w:rsidRDefault="00391586" w:rsidP="00DC17A0">
      <w:pPr>
        <w:pStyle w:val="OdstavecASR"/>
      </w:pPr>
      <w:r w:rsidRPr="00F15667">
        <w:t xml:space="preserve">Jak bylo konstatováno již ve výroční statistické zprávě z roku 2022, interpretace uvedených dat není jednoduchá a nelze zjednodušeně tvrdit, že státy s nižšími či vyššími počty soudů, soudců jsou „lepší“ či „horší“. Některé státy ponechávají rozhodování více na profesionálních permanentních soudcích (jeví se takto státy ovlivněné rakouským či německým historickým vlivem) a jiné spoléhají </w:t>
      </w:r>
      <w:r w:rsidRPr="00F15667">
        <w:lastRenderedPageBreak/>
        <w:t xml:space="preserve">více na neprofesionální soudce a pravděpodobně také na jiné než soudní instituce. </w:t>
      </w:r>
      <w:r w:rsidR="00CA3BD6" w:rsidRPr="00F15667">
        <w:t>Může jít například o ADR (alter</w:t>
      </w:r>
      <w:r w:rsidR="001473B0" w:rsidRPr="00F15667">
        <w:t>n</w:t>
      </w:r>
      <w:r w:rsidR="00CA3BD6" w:rsidRPr="00F15667">
        <w:t xml:space="preserve">ative dispute resolution = </w:t>
      </w:r>
      <w:r w:rsidR="001473B0" w:rsidRPr="00F15667">
        <w:t>m</w:t>
      </w:r>
      <w:r w:rsidR="00CA3BD6" w:rsidRPr="00F15667">
        <w:t>imosoudní řešení sporů) jako je mediace.</w:t>
      </w:r>
    </w:p>
    <w:p w14:paraId="0AA8240D" w14:textId="77777777" w:rsidR="00391586" w:rsidRPr="00F15667" w:rsidRDefault="00391586" w:rsidP="00DC17A0">
      <w:pPr>
        <w:pStyle w:val="OdstavecASR"/>
      </w:pPr>
      <w:r w:rsidRPr="00F15667">
        <w:t>V minulé výroční statistické zprávě bylo také uvedeno, že počet advokátů na 100 tis. obyvatel se ve většině států EU postupně zvyšuje. Tuto dynamiku se pokusíme ukázat na delším časovém úseku pomocí ukazatelů průměr a medián:</w:t>
      </w:r>
    </w:p>
    <w:p w14:paraId="6F7BB4F3" w14:textId="0967A385" w:rsidR="00391586" w:rsidRPr="00F15667" w:rsidRDefault="00391586" w:rsidP="00C62C52">
      <w:pPr>
        <w:pStyle w:val="Podnadpis"/>
        <w:numPr>
          <w:ilvl w:val="0"/>
          <w:numId w:val="0"/>
        </w:numPr>
        <w:jc w:val="both"/>
        <w:rPr>
          <w:color w:val="auto"/>
        </w:rPr>
      </w:pPr>
      <w:bookmarkStart w:id="1385" w:name="_Toc144104227"/>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115</w:t>
      </w:r>
      <w:r w:rsidRPr="00F15667">
        <w:rPr>
          <w:color w:val="auto"/>
        </w:rPr>
        <w:fldChar w:fldCharType="end"/>
      </w:r>
      <w:r w:rsidRPr="00F15667">
        <w:rPr>
          <w:color w:val="auto"/>
        </w:rPr>
        <w:t xml:space="preserve">: Počet advokátů na 100 000 obyvatel v zemích EU, </w:t>
      </w:r>
      <w:r w:rsidR="00B50EA0" w:rsidRPr="00F15667">
        <w:rPr>
          <w:color w:val="auto"/>
        </w:rPr>
        <w:t>2010–2020</w:t>
      </w:r>
      <w:bookmarkEnd w:id="1385"/>
    </w:p>
    <w:p w14:paraId="7A3D7191" w14:textId="77777777" w:rsidR="00391586" w:rsidRPr="00F15667" w:rsidRDefault="00391586" w:rsidP="00391586">
      <w:r w:rsidRPr="00F15667">
        <w:rPr>
          <w:noProof/>
          <w:lang w:eastAsia="cs-CZ"/>
        </w:rPr>
        <w:drawing>
          <wp:inline distT="0" distB="0" distL="0" distR="0" wp14:anchorId="308236EF" wp14:editId="0E823D94">
            <wp:extent cx="5759450" cy="2879725"/>
            <wp:effectExtent l="0" t="0" r="0" b="0"/>
            <wp:docPr id="195" name="Grafický objekt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96DAC541-7B7A-43D3-8B79-37D633B846F1}">
                          <asvg:svgBlip xmlns:asvg="http://schemas.microsoft.com/office/drawing/2016/SVG/main" r:embed="rId144"/>
                        </a:ext>
                      </a:extLst>
                    </a:blip>
                    <a:stretch>
                      <a:fillRect/>
                    </a:stretch>
                  </pic:blipFill>
                  <pic:spPr>
                    <a:xfrm>
                      <a:off x="0" y="0"/>
                      <a:ext cx="5759450" cy="2879725"/>
                    </a:xfrm>
                    <a:prstGeom prst="rect">
                      <a:avLst/>
                    </a:prstGeom>
                  </pic:spPr>
                </pic:pic>
              </a:graphicData>
            </a:graphic>
          </wp:inline>
        </w:drawing>
      </w:r>
    </w:p>
    <w:p w14:paraId="223AC87B" w14:textId="77777777" w:rsidR="00391586" w:rsidRPr="00F15667" w:rsidRDefault="00391586" w:rsidP="00391586">
      <w:pPr>
        <w:rPr>
          <w:i/>
          <w:iCs/>
          <w:sz w:val="18"/>
          <w:szCs w:val="18"/>
        </w:rPr>
      </w:pPr>
      <w:r w:rsidRPr="00F15667">
        <w:rPr>
          <w:i/>
          <w:iCs/>
          <w:sz w:val="18"/>
          <w:szCs w:val="18"/>
        </w:rPr>
        <w:t xml:space="preserve">Zdroj: </w:t>
      </w:r>
      <w:r w:rsidRPr="00F15667">
        <w:rPr>
          <w:i/>
          <w:iCs/>
          <w:noProof/>
          <w:sz w:val="18"/>
          <w:szCs w:val="18"/>
        </w:rPr>
        <w:t>Study on the functioning of judicial systems in the EU Member States, Strasburg 06</w:t>
      </w:r>
      <w:r w:rsidRPr="00F15667">
        <w:rPr>
          <w:i/>
          <w:iCs/>
          <w:sz w:val="18"/>
          <w:szCs w:val="18"/>
        </w:rPr>
        <w:t>/04/2022, zpracování vlastní</w:t>
      </w:r>
    </w:p>
    <w:p w14:paraId="4429D373" w14:textId="77777777" w:rsidR="00391586" w:rsidRPr="00F15667" w:rsidRDefault="00391586" w:rsidP="00391586">
      <w:pPr>
        <w:rPr>
          <w:i/>
          <w:iCs/>
          <w:sz w:val="18"/>
          <w:szCs w:val="18"/>
        </w:rPr>
      </w:pPr>
      <w:r w:rsidRPr="00F15667">
        <w:rPr>
          <w:i/>
          <w:iCs/>
          <w:sz w:val="18"/>
          <w:szCs w:val="18"/>
        </w:rPr>
        <w:t>Data roku 2010 viz https://public.tableau.com/app/profile/cepej/viz/QuantitativeDataEN/Tables?publish=yes</w:t>
      </w:r>
    </w:p>
    <w:p w14:paraId="13A1C888" w14:textId="77777777" w:rsidR="00391586" w:rsidRPr="00F15667" w:rsidRDefault="00391586" w:rsidP="00391586"/>
    <w:p w14:paraId="4096D682" w14:textId="005DBC23" w:rsidR="00391586" w:rsidRPr="00F15667" w:rsidRDefault="00391586" w:rsidP="00DC17A0">
      <w:pPr>
        <w:pStyle w:val="OdstavecASR"/>
      </w:pPr>
      <w:r w:rsidRPr="00F15667">
        <w:t>V ČR došlo mezi roky 2010 a 2020 k nárůstu z 97 na 115 advokátů na 100 tis. obyvatel.</w:t>
      </w:r>
    </w:p>
    <w:p w14:paraId="7E512AEC" w14:textId="60C89F20" w:rsidR="00391586" w:rsidRPr="00F15667" w:rsidRDefault="00391586" w:rsidP="00DC17A0">
      <w:pPr>
        <w:pStyle w:val="OdstavecASR"/>
      </w:pPr>
      <w:r w:rsidRPr="00F15667">
        <w:t>Protože je počet soudců v zemích EU dlouhodobě velmi stabilní, doplňujeme do letošní zprávy srovnání, jak jsou soudci ze strany státu v jednotlivých zemích podporováni.</w:t>
      </w:r>
    </w:p>
    <w:p w14:paraId="1986095A" w14:textId="77777777" w:rsidR="00391586" w:rsidRPr="00F15667" w:rsidRDefault="00391586" w:rsidP="00DC17A0">
      <w:pPr>
        <w:pStyle w:val="OdstavecASR"/>
      </w:pPr>
      <w:r w:rsidRPr="00F15667">
        <w:t>Nejprve porovnáme počty zaměstnanců soudů (v originále studie nazvaní „non-judge staff“) připadajících na jednoho soudce, a to ve dvou propočtech: 1. celkem zaměstnanci (včetně technického personálu) a 2. zaměstnanci ve výkonu.</w:t>
      </w:r>
    </w:p>
    <w:p w14:paraId="462175FF" w14:textId="0BCF9EF4" w:rsidR="00391586" w:rsidRPr="00F15667" w:rsidRDefault="00391586" w:rsidP="0035708D">
      <w:pPr>
        <w:pStyle w:val="Podnadpis"/>
        <w:pageBreakBefore/>
        <w:numPr>
          <w:ilvl w:val="0"/>
          <w:numId w:val="0"/>
        </w:numPr>
        <w:jc w:val="both"/>
        <w:rPr>
          <w:color w:val="auto"/>
        </w:rPr>
      </w:pPr>
      <w:bookmarkStart w:id="1386" w:name="_Toc144104228"/>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116</w:t>
      </w:r>
      <w:r w:rsidRPr="00F15667">
        <w:rPr>
          <w:color w:val="auto"/>
        </w:rPr>
        <w:fldChar w:fldCharType="end"/>
      </w:r>
      <w:r w:rsidRPr="00F15667">
        <w:rPr>
          <w:color w:val="auto"/>
        </w:rPr>
        <w:t>: Počet celkem zaměstnanců soudů na soudce v zemích EU, 2012 a 2020</w:t>
      </w:r>
      <w:bookmarkEnd w:id="1386"/>
    </w:p>
    <w:p w14:paraId="1E759538" w14:textId="77777777" w:rsidR="00391586" w:rsidRPr="00F15667" w:rsidRDefault="00391586" w:rsidP="00391586">
      <w:r w:rsidRPr="00F15667">
        <w:rPr>
          <w:noProof/>
          <w:lang w:eastAsia="cs-CZ"/>
        </w:rPr>
        <w:drawing>
          <wp:inline distT="0" distB="0" distL="0" distR="0" wp14:anchorId="35810692" wp14:editId="31E5E489">
            <wp:extent cx="5759450" cy="2879725"/>
            <wp:effectExtent l="0" t="0" r="0" b="0"/>
            <wp:docPr id="179" name="Grafický objekt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96DAC541-7B7A-43D3-8B79-37D633B846F1}">
                          <asvg:svgBlip xmlns:asvg="http://schemas.microsoft.com/office/drawing/2016/SVG/main" r:embed="rId146"/>
                        </a:ext>
                      </a:extLst>
                    </a:blip>
                    <a:stretch>
                      <a:fillRect/>
                    </a:stretch>
                  </pic:blipFill>
                  <pic:spPr>
                    <a:xfrm>
                      <a:off x="0" y="0"/>
                      <a:ext cx="5759450" cy="2879725"/>
                    </a:xfrm>
                    <a:prstGeom prst="rect">
                      <a:avLst/>
                    </a:prstGeom>
                  </pic:spPr>
                </pic:pic>
              </a:graphicData>
            </a:graphic>
          </wp:inline>
        </w:drawing>
      </w:r>
    </w:p>
    <w:p w14:paraId="1FEA57B1" w14:textId="77777777" w:rsidR="00391586" w:rsidRPr="00F15667" w:rsidRDefault="00391586" w:rsidP="00391586">
      <w:pPr>
        <w:rPr>
          <w:i/>
          <w:iCs/>
          <w:sz w:val="18"/>
          <w:szCs w:val="18"/>
        </w:rPr>
      </w:pPr>
      <w:r w:rsidRPr="00F15667">
        <w:rPr>
          <w:i/>
          <w:iCs/>
          <w:sz w:val="18"/>
          <w:szCs w:val="18"/>
        </w:rPr>
        <w:t xml:space="preserve">Zdroj: </w:t>
      </w:r>
      <w:r w:rsidRPr="00F15667">
        <w:rPr>
          <w:i/>
          <w:iCs/>
          <w:noProof/>
          <w:sz w:val="18"/>
          <w:szCs w:val="18"/>
        </w:rPr>
        <w:t>Study on the functioning of judicial systems in the EU Member States, Strasburg 06</w:t>
      </w:r>
      <w:r w:rsidRPr="00F15667">
        <w:rPr>
          <w:i/>
          <w:iCs/>
          <w:sz w:val="18"/>
          <w:szCs w:val="18"/>
        </w:rPr>
        <w:t>/04/2022, zaměstnanci celkem, všechny stupně, zpracování vlastní, pořadí dle roku 2020</w:t>
      </w:r>
    </w:p>
    <w:p w14:paraId="0A595A77" w14:textId="77777777" w:rsidR="00C62C52" w:rsidRPr="00F15667" w:rsidRDefault="00C62C52" w:rsidP="00391586"/>
    <w:p w14:paraId="7C32ECAD" w14:textId="038685AC" w:rsidR="00391586" w:rsidRPr="00F15667" w:rsidRDefault="00391586" w:rsidP="00DC17A0">
      <w:pPr>
        <w:pStyle w:val="OdstavecASR"/>
      </w:pPr>
      <w:r w:rsidRPr="00F15667">
        <w:t>Maximum = 9,4 Malta (MT), průměr EU = 3,7 medián EU = 3,3 Česká republika (CZ) a Belgie (BE), minimum = 1,0 Lucembursko (LU)</w:t>
      </w:r>
    </w:p>
    <w:p w14:paraId="6E0B7B50" w14:textId="5D529468" w:rsidR="00391586" w:rsidRPr="00F15667" w:rsidRDefault="00391586" w:rsidP="0035708D">
      <w:pPr>
        <w:pStyle w:val="Podnadpis"/>
        <w:numPr>
          <w:ilvl w:val="0"/>
          <w:numId w:val="0"/>
        </w:numPr>
        <w:jc w:val="both"/>
        <w:rPr>
          <w:color w:val="auto"/>
        </w:rPr>
      </w:pPr>
      <w:bookmarkStart w:id="1387" w:name="_Toc144104229"/>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117</w:t>
      </w:r>
      <w:r w:rsidRPr="00F15667">
        <w:rPr>
          <w:color w:val="auto"/>
        </w:rPr>
        <w:fldChar w:fldCharType="end"/>
      </w:r>
      <w:r w:rsidRPr="00F15667">
        <w:rPr>
          <w:color w:val="auto"/>
        </w:rPr>
        <w:t>: Počet zaměstnanců soudů ve výkonu (*) na soudce v zemích EU, 2020</w:t>
      </w:r>
      <w:bookmarkEnd w:id="1387"/>
    </w:p>
    <w:p w14:paraId="4E82DEC3" w14:textId="77777777" w:rsidR="00391586" w:rsidRPr="00F15667" w:rsidRDefault="00391586" w:rsidP="00391586">
      <w:r w:rsidRPr="00F15667">
        <w:rPr>
          <w:noProof/>
          <w:lang w:eastAsia="cs-CZ"/>
        </w:rPr>
        <w:drawing>
          <wp:inline distT="0" distB="0" distL="0" distR="0" wp14:anchorId="5B7D18E9" wp14:editId="693184E0">
            <wp:extent cx="5759450" cy="2879725"/>
            <wp:effectExtent l="0" t="0" r="0" b="0"/>
            <wp:docPr id="185" name="Grafický objekt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96DAC541-7B7A-43D3-8B79-37D633B846F1}">
                          <asvg:svgBlip xmlns:asvg="http://schemas.microsoft.com/office/drawing/2016/SVG/main" r:embed="rId148"/>
                        </a:ext>
                      </a:extLst>
                    </a:blip>
                    <a:stretch>
                      <a:fillRect/>
                    </a:stretch>
                  </pic:blipFill>
                  <pic:spPr>
                    <a:xfrm>
                      <a:off x="0" y="0"/>
                      <a:ext cx="5759450" cy="2879725"/>
                    </a:xfrm>
                    <a:prstGeom prst="rect">
                      <a:avLst/>
                    </a:prstGeom>
                  </pic:spPr>
                </pic:pic>
              </a:graphicData>
            </a:graphic>
          </wp:inline>
        </w:drawing>
      </w:r>
    </w:p>
    <w:p w14:paraId="0DA8C499" w14:textId="77777777" w:rsidR="00391586" w:rsidRPr="00F15667" w:rsidRDefault="00391586" w:rsidP="00391586">
      <w:pPr>
        <w:rPr>
          <w:i/>
          <w:iCs/>
          <w:sz w:val="18"/>
          <w:szCs w:val="18"/>
        </w:rPr>
      </w:pPr>
      <w:r w:rsidRPr="00F15667">
        <w:rPr>
          <w:i/>
          <w:iCs/>
          <w:sz w:val="18"/>
          <w:szCs w:val="18"/>
        </w:rPr>
        <w:t xml:space="preserve">Zdroj: </w:t>
      </w:r>
      <w:r w:rsidRPr="00F15667">
        <w:rPr>
          <w:i/>
          <w:iCs/>
          <w:noProof/>
          <w:sz w:val="18"/>
          <w:szCs w:val="18"/>
        </w:rPr>
        <w:t>Study on the functioning of judicial systems in the EU Member States, Strasburg 06</w:t>
      </w:r>
      <w:r w:rsidRPr="00F15667">
        <w:rPr>
          <w:i/>
          <w:iCs/>
          <w:sz w:val="18"/>
          <w:szCs w:val="18"/>
        </w:rPr>
        <w:t>/04/2022, všechny stupně, zpracování vlastní</w:t>
      </w:r>
    </w:p>
    <w:p w14:paraId="1E8AC853" w14:textId="77777777" w:rsidR="00391586" w:rsidRPr="00F15667" w:rsidRDefault="00391586" w:rsidP="00391586">
      <w:pPr>
        <w:rPr>
          <w:i/>
          <w:sz w:val="18"/>
          <w:szCs w:val="20"/>
        </w:rPr>
      </w:pPr>
      <w:r w:rsidRPr="00F15667">
        <w:rPr>
          <w:i/>
          <w:iCs/>
          <w:sz w:val="18"/>
          <w:szCs w:val="20"/>
        </w:rPr>
        <w:t xml:space="preserve">(*) </w:t>
      </w:r>
      <w:r w:rsidRPr="00F15667">
        <w:rPr>
          <w:i/>
          <w:iCs/>
          <w:sz w:val="18"/>
          <w:szCs w:val="18"/>
        </w:rPr>
        <w:t>vyšší soudní úředníci/úřednice a asistenti/asistentky soudců (v originále „Rechtspfleger“ a „ Assistents of Judge“)</w:t>
      </w:r>
      <w:r w:rsidRPr="00F15667">
        <w:rPr>
          <w:i/>
          <w:iCs/>
          <w:sz w:val="18"/>
          <w:szCs w:val="20"/>
        </w:rPr>
        <w:t>.</w:t>
      </w:r>
    </w:p>
    <w:p w14:paraId="52C22CD0" w14:textId="77777777" w:rsidR="00DC17A0" w:rsidRDefault="00DC17A0" w:rsidP="00391586"/>
    <w:p w14:paraId="4D33C81B" w14:textId="6A68D50C" w:rsidR="00391586" w:rsidRPr="00F15667" w:rsidRDefault="00391586" w:rsidP="00DC17A0">
      <w:pPr>
        <w:pStyle w:val="OdstavecASR"/>
      </w:pPr>
      <w:r w:rsidRPr="00F15667">
        <w:t>Maximum = 5,86 Malta (MT), průměr EU = 2,15,  medián EU = 1,99 Itálie (IT), minimum = 0,48 Rakousko (AT) / Česká republika = 2,35.</w:t>
      </w:r>
    </w:p>
    <w:p w14:paraId="0406DA6D" w14:textId="7220C262" w:rsidR="00391586" w:rsidRPr="00F15667" w:rsidRDefault="00391586" w:rsidP="00DC17A0">
      <w:pPr>
        <w:pStyle w:val="OdstavecASR"/>
      </w:pPr>
      <w:r w:rsidRPr="00F15667">
        <w:t>Na soudech prvního stupně pracovalo v EU v průměru 78</w:t>
      </w:r>
      <w:r w:rsidR="00291A09" w:rsidRPr="00F15667">
        <w:t xml:space="preserve"> </w:t>
      </w:r>
      <w:r w:rsidRPr="00F15667">
        <w:t>% všech zaměstnanců soudů (ČR = 65,9</w:t>
      </w:r>
      <w:r w:rsidR="00291A09" w:rsidRPr="00F15667">
        <w:t xml:space="preserve"> </w:t>
      </w:r>
      <w:r w:rsidRPr="00F15667">
        <w:t>% na okresních a obvodních soudech).</w:t>
      </w:r>
    </w:p>
    <w:p w14:paraId="23A3C9CC" w14:textId="06C74012" w:rsidR="00391586" w:rsidRPr="00F15667" w:rsidRDefault="00391586" w:rsidP="00DC17A0">
      <w:pPr>
        <w:pStyle w:val="OdstavecASR"/>
      </w:pPr>
      <w:r w:rsidRPr="00F15667">
        <w:lastRenderedPageBreak/>
        <w:t>Jako doplňkovou informaci uvádíme, že v průměru za celou EU a soudy všech stupňů</w:t>
      </w:r>
      <w:r w:rsidR="00B50EA0" w:rsidRPr="00F15667">
        <w:t xml:space="preserve"> v roce 2020</w:t>
      </w:r>
      <w:r w:rsidRPr="00F15667">
        <w:t xml:space="preserve"> tvořily ženy 77</w:t>
      </w:r>
      <w:r w:rsidR="00291A09" w:rsidRPr="00F15667">
        <w:t xml:space="preserve"> </w:t>
      </w:r>
      <w:r w:rsidRPr="00F15667">
        <w:t>% všech nesoudcovských zaměstnanců (ČR = 87,5</w:t>
      </w:r>
      <w:r w:rsidR="00291A09" w:rsidRPr="00F15667">
        <w:t xml:space="preserve"> </w:t>
      </w:r>
      <w:r w:rsidRPr="00F15667">
        <w:t>%), kdy nejvyšší zastoupení měly v Lotyšsku (92,2</w:t>
      </w:r>
      <w:r w:rsidR="00291A09" w:rsidRPr="00F15667">
        <w:t xml:space="preserve"> </w:t>
      </w:r>
      <w:r w:rsidRPr="00F15667">
        <w:t>%). Naopak nejvíce mužů mezi všemi zaměstnanci soudů pracovalo v roce 2020 v Irsku (40,2</w:t>
      </w:r>
      <w:r w:rsidR="00291A09" w:rsidRPr="00F15667">
        <w:t xml:space="preserve"> </w:t>
      </w:r>
      <w:r w:rsidRPr="00F15667">
        <w:t>%) následováno Lucemburskem (35,4</w:t>
      </w:r>
      <w:r w:rsidR="00291A09" w:rsidRPr="00F15667">
        <w:t xml:space="preserve"> </w:t>
      </w:r>
      <w:r w:rsidRPr="00F15667">
        <w:t>%) a Itálií (33,0</w:t>
      </w:r>
      <w:r w:rsidR="00291A09" w:rsidRPr="00F15667">
        <w:t xml:space="preserve"> </w:t>
      </w:r>
      <w:r w:rsidRPr="00F15667">
        <w:t xml:space="preserve">%). </w:t>
      </w:r>
    </w:p>
    <w:p w14:paraId="492A73B5" w14:textId="77777777" w:rsidR="00391586" w:rsidRPr="00F15667" w:rsidRDefault="00391586" w:rsidP="00DC17A0">
      <w:pPr>
        <w:pStyle w:val="OdstavecASR"/>
      </w:pPr>
      <w:r w:rsidRPr="00F15667">
        <w:t>Porovnání počtu soudů, soudců, zaměstnanců soudů a advokátů pouze s našimi nejbližšími sousedy vypadá následovně:</w:t>
      </w:r>
    </w:p>
    <w:p w14:paraId="7CA5D139" w14:textId="5F1FB61A" w:rsidR="00391586" w:rsidRPr="00F15667" w:rsidRDefault="00391586" w:rsidP="0035708D">
      <w:pPr>
        <w:pStyle w:val="Podnadpis"/>
        <w:numPr>
          <w:ilvl w:val="0"/>
          <w:numId w:val="0"/>
        </w:numPr>
        <w:jc w:val="both"/>
        <w:rPr>
          <w:color w:val="auto"/>
        </w:rPr>
      </w:pPr>
      <w:bookmarkStart w:id="1388" w:name="_Toc144104324"/>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85</w:t>
      </w:r>
      <w:r w:rsidRPr="00F15667">
        <w:rPr>
          <w:color w:val="auto"/>
        </w:rPr>
        <w:fldChar w:fldCharType="end"/>
      </w:r>
      <w:r w:rsidRPr="00F15667">
        <w:rPr>
          <w:color w:val="auto"/>
        </w:rPr>
        <w:t>: počet soudů, soudců a zaměstnanců soudů, střední Evropa, 2020</w:t>
      </w:r>
      <w:bookmarkEnd w:id="1388"/>
    </w:p>
    <w:p w14:paraId="00587C2F" w14:textId="77777777" w:rsidR="00391586" w:rsidRPr="00F15667" w:rsidRDefault="00391586" w:rsidP="00391586">
      <w:r w:rsidRPr="00F15667">
        <w:rPr>
          <w:noProof/>
          <w:lang w:eastAsia="cs-CZ"/>
        </w:rPr>
        <w:drawing>
          <wp:inline distT="0" distB="0" distL="0" distR="0" wp14:anchorId="2BC3643C" wp14:editId="01E929FE">
            <wp:extent cx="5759450" cy="1786255"/>
            <wp:effectExtent l="0" t="0" r="0" b="4445"/>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59450" cy="1786255"/>
                    </a:xfrm>
                    <a:prstGeom prst="rect">
                      <a:avLst/>
                    </a:prstGeom>
                    <a:noFill/>
                    <a:ln>
                      <a:noFill/>
                    </a:ln>
                  </pic:spPr>
                </pic:pic>
              </a:graphicData>
            </a:graphic>
          </wp:inline>
        </w:drawing>
      </w:r>
    </w:p>
    <w:p w14:paraId="5DA0CFF1" w14:textId="77777777" w:rsidR="00391586" w:rsidRPr="00F15667" w:rsidRDefault="00391586" w:rsidP="00391586">
      <w:pPr>
        <w:rPr>
          <w:i/>
          <w:iCs/>
          <w:sz w:val="18"/>
          <w:szCs w:val="18"/>
        </w:rPr>
      </w:pPr>
      <w:r w:rsidRPr="00F15667">
        <w:rPr>
          <w:i/>
          <w:iCs/>
          <w:sz w:val="18"/>
          <w:szCs w:val="18"/>
        </w:rPr>
        <w:t xml:space="preserve">Zdroj: </w:t>
      </w:r>
      <w:r w:rsidRPr="00F15667">
        <w:rPr>
          <w:i/>
          <w:iCs/>
          <w:noProof/>
          <w:sz w:val="18"/>
          <w:szCs w:val="18"/>
        </w:rPr>
        <w:t>Study on the functioning of judicial systems in the EU Member States, Strasburg 06</w:t>
      </w:r>
      <w:r w:rsidRPr="00F15667">
        <w:rPr>
          <w:i/>
          <w:iCs/>
          <w:sz w:val="18"/>
          <w:szCs w:val="18"/>
        </w:rPr>
        <w:t>/04/2022, zpracování vlastní</w:t>
      </w:r>
    </w:p>
    <w:p w14:paraId="7D564B95" w14:textId="77777777" w:rsidR="00391586" w:rsidRPr="00F15667" w:rsidRDefault="00391586" w:rsidP="00391586">
      <w:pPr>
        <w:rPr>
          <w:i/>
          <w:iCs/>
          <w:sz w:val="18"/>
          <w:szCs w:val="18"/>
        </w:rPr>
      </w:pPr>
      <w:r w:rsidRPr="00F15667">
        <w:rPr>
          <w:i/>
          <w:iCs/>
          <w:sz w:val="20"/>
        </w:rPr>
        <w:t xml:space="preserve">Evropská komise, Srovnávací přehled EU o soudnictví 2022, </w:t>
      </w:r>
      <w:r w:rsidRPr="00F15667">
        <w:rPr>
          <w:i/>
          <w:iCs/>
          <w:sz w:val="18"/>
          <w:szCs w:val="18"/>
        </w:rPr>
        <w:t>zpracování vlastní</w:t>
      </w:r>
    </w:p>
    <w:p w14:paraId="729E8518" w14:textId="77777777" w:rsidR="00391586" w:rsidRPr="00F15667" w:rsidRDefault="00391586" w:rsidP="00391586">
      <w:pPr>
        <w:rPr>
          <w:i/>
          <w:iCs/>
          <w:sz w:val="18"/>
          <w:szCs w:val="18"/>
        </w:rPr>
      </w:pPr>
      <w:r w:rsidRPr="00F15667">
        <w:rPr>
          <w:i/>
          <w:iCs/>
          <w:sz w:val="18"/>
          <w:szCs w:val="18"/>
        </w:rPr>
        <w:t>Zaměstnanci soudů – zahrnuje všechny zaměstnance vč. technického personálu</w:t>
      </w:r>
    </w:p>
    <w:p w14:paraId="4664CE33" w14:textId="77777777" w:rsidR="00391586" w:rsidRPr="00F15667" w:rsidRDefault="00391586" w:rsidP="00391586">
      <w:pPr>
        <w:jc w:val="left"/>
      </w:pPr>
    </w:p>
    <w:p w14:paraId="24474455" w14:textId="77777777" w:rsidR="00391586" w:rsidRPr="00F15667" w:rsidRDefault="00391586" w:rsidP="00DC17A0">
      <w:pPr>
        <w:pStyle w:val="OdstavecASR"/>
      </w:pPr>
      <w:r w:rsidRPr="00F15667">
        <w:t>Základní systémovou a současně ústavní podmínkou efektivního fungování justice je nezávislost soudů a soudců. Ta je zajištěna různými nástroji, které se navzájem doplňují. Jedním z nich je i hmotné zabezpečení soudců, které se skládá z několika částí. Statisticky je z nich velmi dobře měřitelný plat.</w:t>
      </w:r>
    </w:p>
    <w:p w14:paraId="1464AC14" w14:textId="77777777" w:rsidR="00391586" w:rsidRPr="00F15667" w:rsidRDefault="00391586" w:rsidP="00DC17A0">
      <w:pPr>
        <w:pStyle w:val="OdstavecASR"/>
      </w:pPr>
      <w:r w:rsidRPr="00F15667">
        <w:t xml:space="preserve">Proto v druhém kroku srovnáme, jak jsou soudci ze strany státu podporováni v platové oblasti Využijeme k tomu dostupné údaje o poměru ročního hrubého platu (v originále „gross annual salary“) soudců k průměrnému ročnímu hrubému platu v dané zemi a porovnáme začátek a vrchol soudcovské kariéry </w:t>
      </w:r>
      <w:bookmarkStart w:id="1389" w:name="_Hlk133388360"/>
      <w:r w:rsidRPr="00F15667">
        <w:t>(Nejvyšší soud, popř. Nejvyšší apelační soud, v originále „</w:t>
      </w:r>
      <w:r w:rsidRPr="00DC17A0">
        <w:t>the Supreme Court“ a „the Highest Appellate Court</w:t>
      </w:r>
      <w:r w:rsidRPr="00F15667">
        <w:t>“)</w:t>
      </w:r>
      <w:bookmarkEnd w:id="1389"/>
      <w:r w:rsidRPr="00F15667">
        <w:t>. Používáme údaje uvedené ve zdrojové publikaci CEPEJ (odkaz pod tabulkou a grafem) s využitím indexů pro zachování co největší srovnatelnosti. V dalším textu vždy hovoříme o průměrném hrubém platu, který byl pro účely srovnání mezi státy EU přepočítán na euro (což má vliv i na dále používanou indexaci).</w:t>
      </w:r>
    </w:p>
    <w:p w14:paraId="71CDF879" w14:textId="77777777" w:rsidR="00391586" w:rsidRPr="00F15667" w:rsidRDefault="00391586" w:rsidP="00DC17A0">
      <w:pPr>
        <w:pStyle w:val="OdstavecASR"/>
      </w:pPr>
      <w:r w:rsidRPr="00F15667">
        <w:t>Velmi důrazně upozorňujeme, že se jedná pouze o jednu ze složek celého systému zajištění nezávislosti soudců, která nemůže být vytržena z kontextu dalších nástrojů a hodnocena samostatně.</w:t>
      </w:r>
    </w:p>
    <w:p w14:paraId="4301D756" w14:textId="58C147D0" w:rsidR="00391586" w:rsidRPr="00F15667" w:rsidRDefault="00391586" w:rsidP="0035708D">
      <w:pPr>
        <w:pStyle w:val="Podnadpis"/>
        <w:pageBreakBefore/>
        <w:numPr>
          <w:ilvl w:val="0"/>
          <w:numId w:val="0"/>
        </w:numPr>
        <w:jc w:val="both"/>
        <w:rPr>
          <w:color w:val="auto"/>
        </w:rPr>
      </w:pPr>
      <w:bookmarkStart w:id="1390" w:name="_Toc144104325"/>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86</w:t>
      </w:r>
      <w:r w:rsidRPr="00F15667">
        <w:rPr>
          <w:color w:val="auto"/>
        </w:rPr>
        <w:fldChar w:fldCharType="end"/>
      </w:r>
      <w:r w:rsidRPr="00F15667">
        <w:rPr>
          <w:color w:val="auto"/>
        </w:rPr>
        <w:t>: Index mezi průměrným hrubý platem soudce a průměrným hrubým platem v dané zemi, 2020</w:t>
      </w:r>
      <w:bookmarkEnd w:id="1390"/>
    </w:p>
    <w:p w14:paraId="23C49069" w14:textId="77777777" w:rsidR="00391586" w:rsidRPr="00F15667" w:rsidRDefault="00391586" w:rsidP="00391586">
      <w:pPr>
        <w:jc w:val="left"/>
        <w:rPr>
          <w:lang w:val="en-US"/>
        </w:rPr>
      </w:pPr>
      <w:r w:rsidRPr="00F15667">
        <w:rPr>
          <w:noProof/>
          <w:lang w:eastAsia="cs-CZ"/>
        </w:rPr>
        <w:drawing>
          <wp:inline distT="0" distB="0" distL="0" distR="0" wp14:anchorId="68FCA0BB" wp14:editId="3EAF0D43">
            <wp:extent cx="5759450" cy="6406515"/>
            <wp:effectExtent l="0" t="0" r="0" b="0"/>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59450" cy="6406515"/>
                    </a:xfrm>
                    <a:prstGeom prst="rect">
                      <a:avLst/>
                    </a:prstGeom>
                    <a:noFill/>
                    <a:ln>
                      <a:noFill/>
                    </a:ln>
                  </pic:spPr>
                </pic:pic>
              </a:graphicData>
            </a:graphic>
          </wp:inline>
        </w:drawing>
      </w:r>
    </w:p>
    <w:p w14:paraId="46E4D25A" w14:textId="77777777" w:rsidR="00391586" w:rsidRPr="00F15667" w:rsidRDefault="00391586" w:rsidP="00391586">
      <w:pPr>
        <w:rPr>
          <w:i/>
          <w:iCs/>
          <w:sz w:val="18"/>
          <w:szCs w:val="18"/>
        </w:rPr>
      </w:pPr>
      <w:r w:rsidRPr="00F15667">
        <w:rPr>
          <w:i/>
          <w:iCs/>
          <w:sz w:val="18"/>
          <w:szCs w:val="18"/>
        </w:rPr>
        <w:t xml:space="preserve">Zdroj: </w:t>
      </w:r>
      <w:r w:rsidRPr="00F15667">
        <w:rPr>
          <w:i/>
          <w:iCs/>
          <w:noProof/>
          <w:sz w:val="18"/>
          <w:szCs w:val="18"/>
        </w:rPr>
        <w:t>Study on the functioning of judicial systems in the EU Member States, Strasburg 06</w:t>
      </w:r>
      <w:r w:rsidRPr="00F15667">
        <w:rPr>
          <w:i/>
          <w:iCs/>
          <w:sz w:val="18"/>
          <w:szCs w:val="18"/>
        </w:rPr>
        <w:t xml:space="preserve">/04/2022, pořadí dle indexu začínajícího soudce, prázdné buňky = data nebyla uvedena. V České republice je plat soudce upraven zákonem č. 236/1995 Sb. </w:t>
      </w:r>
    </w:p>
    <w:p w14:paraId="5366A81A" w14:textId="77777777" w:rsidR="00391586" w:rsidRPr="00F15667" w:rsidRDefault="00391586" w:rsidP="00391586"/>
    <w:p w14:paraId="244BCC62" w14:textId="79C917EC" w:rsidR="00391586" w:rsidRPr="00F15667" w:rsidRDefault="00391586" w:rsidP="00DC17A0">
      <w:pPr>
        <w:pStyle w:val="OdstavecASR"/>
      </w:pPr>
      <w:r w:rsidRPr="00F15667">
        <w:t xml:space="preserve">Kromě hodnoty indexu je zajímavé podívat se na rozdíl mezi platy soudců na začátku profesní kariéry vs. na jejím vrcholu (Nejvyšší soud, popř. Nejvyšší apelační soud) v jednotlivých státech EU. Rozdíl mezi platy jsme indexovali a srovnali do následujícího přehledu, kdy například hodnota 1,0 znamená stejný plat na začátku i vrcholu kariéry, hodnota 2,0 znamená dvojnásobný plat atd. </w:t>
      </w:r>
    </w:p>
    <w:p w14:paraId="2EA00AC2" w14:textId="7E6F95C5" w:rsidR="00391586" w:rsidRPr="00F15667" w:rsidRDefault="00391586" w:rsidP="0035708D">
      <w:pPr>
        <w:pStyle w:val="Podnadpis"/>
        <w:numPr>
          <w:ilvl w:val="0"/>
          <w:numId w:val="0"/>
        </w:numPr>
        <w:jc w:val="both"/>
        <w:rPr>
          <w:color w:val="auto"/>
        </w:rPr>
      </w:pPr>
      <w:bookmarkStart w:id="1391" w:name="_Toc144104230"/>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118</w:t>
      </w:r>
      <w:r w:rsidRPr="00F15667">
        <w:rPr>
          <w:color w:val="auto"/>
        </w:rPr>
        <w:fldChar w:fldCharType="end"/>
      </w:r>
      <w:r w:rsidRPr="00F15667">
        <w:rPr>
          <w:color w:val="auto"/>
        </w:rPr>
        <w:t>: Index mezi průměrným hrubým ročním platem soudce na vrcholu profesní kariéry (*) a začínajícím soudcem v zemích EU, 2020</w:t>
      </w:r>
      <w:bookmarkEnd w:id="1391"/>
    </w:p>
    <w:p w14:paraId="67B99563" w14:textId="77777777" w:rsidR="00391586" w:rsidRPr="00F15667" w:rsidRDefault="00391586" w:rsidP="00391586">
      <w:pPr>
        <w:jc w:val="left"/>
      </w:pPr>
      <w:r w:rsidRPr="00F15667">
        <w:rPr>
          <w:noProof/>
          <w:lang w:eastAsia="cs-CZ"/>
        </w:rPr>
        <w:drawing>
          <wp:inline distT="0" distB="0" distL="0" distR="0" wp14:anchorId="5C9CA053" wp14:editId="7FBF79F3">
            <wp:extent cx="5759450" cy="2280920"/>
            <wp:effectExtent l="0" t="0" r="0" b="5080"/>
            <wp:docPr id="148" name="Grafický objekt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extLst>
                        <a:ext uri="{96DAC541-7B7A-43D3-8B79-37D633B846F1}">
                          <asvg:svgBlip xmlns:asvg="http://schemas.microsoft.com/office/drawing/2016/SVG/main" r:embed="rId152"/>
                        </a:ext>
                      </a:extLst>
                    </a:blip>
                    <a:stretch>
                      <a:fillRect/>
                    </a:stretch>
                  </pic:blipFill>
                  <pic:spPr>
                    <a:xfrm>
                      <a:off x="0" y="0"/>
                      <a:ext cx="5759450" cy="2280920"/>
                    </a:xfrm>
                    <a:prstGeom prst="rect">
                      <a:avLst/>
                    </a:prstGeom>
                  </pic:spPr>
                </pic:pic>
              </a:graphicData>
            </a:graphic>
          </wp:inline>
        </w:drawing>
      </w:r>
    </w:p>
    <w:p w14:paraId="55A4D539" w14:textId="34196B00" w:rsidR="00391586" w:rsidRPr="00F15667" w:rsidRDefault="00391586" w:rsidP="00391586">
      <w:pPr>
        <w:rPr>
          <w:i/>
          <w:iCs/>
          <w:sz w:val="18"/>
          <w:szCs w:val="18"/>
        </w:rPr>
      </w:pPr>
      <w:r w:rsidRPr="00F15667">
        <w:rPr>
          <w:i/>
          <w:iCs/>
          <w:sz w:val="18"/>
          <w:szCs w:val="18"/>
        </w:rPr>
        <w:t xml:space="preserve">Zdroj: </w:t>
      </w:r>
      <w:r w:rsidRPr="00F15667">
        <w:rPr>
          <w:i/>
          <w:iCs/>
          <w:noProof/>
          <w:sz w:val="18"/>
          <w:szCs w:val="18"/>
        </w:rPr>
        <w:t>Study on the functioning of judicial systems in the EU Member States, Strasburg 06</w:t>
      </w:r>
      <w:r w:rsidRPr="00F15667">
        <w:rPr>
          <w:i/>
          <w:iCs/>
          <w:sz w:val="18"/>
          <w:szCs w:val="18"/>
        </w:rPr>
        <w:t>/04/2022, pořadí států dle indexu, výpočet i zpracování vlastní, (NL) chybí hodnota pro výpočet indexu</w:t>
      </w:r>
      <w:r w:rsidR="00880E37" w:rsidRPr="00F15667">
        <w:rPr>
          <w:i/>
          <w:iCs/>
          <w:sz w:val="18"/>
          <w:szCs w:val="18"/>
        </w:rPr>
        <w:t>, Nizozemí – data pro nejvyšší soudy nebyla uvedena</w:t>
      </w:r>
    </w:p>
    <w:p w14:paraId="2F94D8E1" w14:textId="77777777" w:rsidR="00391586" w:rsidRPr="00F15667" w:rsidRDefault="00391586" w:rsidP="00391586">
      <w:pPr>
        <w:rPr>
          <w:i/>
          <w:iCs/>
          <w:sz w:val="18"/>
          <w:szCs w:val="18"/>
        </w:rPr>
      </w:pPr>
      <w:r w:rsidRPr="00F15667">
        <w:rPr>
          <w:i/>
          <w:iCs/>
          <w:sz w:val="18"/>
          <w:szCs w:val="18"/>
        </w:rPr>
        <w:t>(*) the Supreme Court or the Highest Appellate Court</w:t>
      </w:r>
    </w:p>
    <w:p w14:paraId="7C50FC29" w14:textId="77777777" w:rsidR="00391586" w:rsidRPr="00F15667" w:rsidRDefault="00391586" w:rsidP="00391586">
      <w:pPr>
        <w:jc w:val="left"/>
      </w:pPr>
    </w:p>
    <w:p w14:paraId="49E6BB96" w14:textId="154DA658" w:rsidR="00391586" w:rsidRDefault="00391586" w:rsidP="00DC17A0">
      <w:pPr>
        <w:pStyle w:val="OdstavecASR"/>
      </w:pPr>
      <w:r w:rsidRPr="00F15667">
        <w:t xml:space="preserve">Na závěr této části uvádíme </w:t>
      </w:r>
      <w:r w:rsidR="00880E37" w:rsidRPr="00F15667">
        <w:t xml:space="preserve">dvě </w:t>
      </w:r>
      <w:r w:rsidRPr="00F15667">
        <w:t xml:space="preserve">mapy samostatně porovnávající platy začínajících soudců a samostatně soudců na vrcholu kariéry. Upozorňujeme, že odstín barvy není mezi oběma grafy provázán, tedy opticky stejný odstín nezobrazuje stejnou hodnotu a je nutné porovnávat pouze v rámci daného grafu/mapy. Například hrubý roční plat soudce na vrcholu kariéry v Irsku (IE) činí </w:t>
      </w:r>
      <w:r w:rsidR="00A43125" w:rsidRPr="00F15667">
        <w:t>1,6násobek</w:t>
      </w:r>
      <w:r w:rsidRPr="00F15667">
        <w:t xml:space="preserve"> začínajícího soudce (viz předchozí sloupcový graf), ale odstín barev v obou mapách je </w:t>
      </w:r>
      <w:r w:rsidR="00F12F5C" w:rsidRPr="00F15667">
        <w:t xml:space="preserve">pro Irsko </w:t>
      </w:r>
      <w:r w:rsidRPr="00F15667">
        <w:t>obdobný. Naopak hrubý roční plat soudce na vrcholu kariéry v CZ či RO je obdobný jako v DE, a proto jsou tyto státy na stejné mapě vykresleny obdobným barevným odstínem.</w:t>
      </w:r>
    </w:p>
    <w:p w14:paraId="5EF34047" w14:textId="77777777" w:rsidR="00DC17A0" w:rsidRPr="00F15667" w:rsidRDefault="00DC17A0" w:rsidP="00DC17A0">
      <w:pPr>
        <w:pStyle w:val="OdstavecASR"/>
      </w:pPr>
    </w:p>
    <w:p w14:paraId="19E0D712" w14:textId="68A5F283" w:rsidR="00391586" w:rsidRPr="00F15667" w:rsidRDefault="00391586" w:rsidP="00391586">
      <w:pPr>
        <w:pStyle w:val="Podnadpis"/>
        <w:numPr>
          <w:ilvl w:val="0"/>
          <w:numId w:val="0"/>
        </w:numPr>
        <w:rPr>
          <w:color w:val="auto"/>
        </w:rPr>
      </w:pPr>
      <w:bookmarkStart w:id="1392" w:name="_Toc144104231"/>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119</w:t>
      </w:r>
      <w:r w:rsidRPr="00F15667">
        <w:rPr>
          <w:color w:val="auto"/>
        </w:rPr>
        <w:fldChar w:fldCharType="end"/>
      </w:r>
      <w:r w:rsidRPr="00F15667">
        <w:rPr>
          <w:color w:val="auto"/>
        </w:rPr>
        <w:t>: Hrubý roční plat soudců na počátku a vrcholu (*) kariéry v zemích EU, 2020</w:t>
      </w:r>
      <w:bookmarkEnd w:id="1392"/>
    </w:p>
    <w:p w14:paraId="71CE0AF8" w14:textId="77777777" w:rsidR="00391586" w:rsidRPr="00F15667" w:rsidRDefault="00391586" w:rsidP="00391586">
      <w:r w:rsidRPr="00F15667">
        <w:rPr>
          <w:noProof/>
          <w:lang w:eastAsia="cs-CZ"/>
        </w:rPr>
        <w:drawing>
          <wp:inline distT="0" distB="0" distL="0" distR="0" wp14:anchorId="6FB64B65" wp14:editId="3F776617">
            <wp:extent cx="2834308" cy="2919600"/>
            <wp:effectExtent l="0" t="0" r="4445" b="0"/>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834308" cy="2919600"/>
                    </a:xfrm>
                    <a:prstGeom prst="rect">
                      <a:avLst/>
                    </a:prstGeom>
                  </pic:spPr>
                </pic:pic>
              </a:graphicData>
            </a:graphic>
          </wp:inline>
        </w:drawing>
      </w:r>
      <w:r w:rsidRPr="00F15667">
        <w:rPr>
          <w:noProof/>
          <w:lang w:eastAsia="cs-CZ"/>
        </w:rPr>
        <w:drawing>
          <wp:inline distT="0" distB="0" distL="0" distR="0" wp14:anchorId="629458B2" wp14:editId="701B846B">
            <wp:extent cx="2846492" cy="2919600"/>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846492" cy="2919600"/>
                    </a:xfrm>
                    <a:prstGeom prst="rect">
                      <a:avLst/>
                    </a:prstGeom>
                  </pic:spPr>
                </pic:pic>
              </a:graphicData>
            </a:graphic>
          </wp:inline>
        </w:drawing>
      </w:r>
      <w:r w:rsidRPr="00F15667">
        <w:t xml:space="preserve">    </w:t>
      </w:r>
    </w:p>
    <w:p w14:paraId="0887B36C" w14:textId="77777777" w:rsidR="00391586" w:rsidRPr="00F15667" w:rsidRDefault="00391586" w:rsidP="00391586">
      <w:pPr>
        <w:rPr>
          <w:i/>
          <w:iCs/>
          <w:sz w:val="18"/>
          <w:szCs w:val="18"/>
        </w:rPr>
      </w:pPr>
      <w:r w:rsidRPr="00F15667">
        <w:rPr>
          <w:i/>
          <w:iCs/>
          <w:sz w:val="18"/>
          <w:szCs w:val="18"/>
        </w:rPr>
        <w:t xml:space="preserve">Zdroj: </w:t>
      </w:r>
      <w:r w:rsidRPr="00F15667">
        <w:rPr>
          <w:i/>
          <w:iCs/>
          <w:noProof/>
          <w:sz w:val="18"/>
          <w:szCs w:val="18"/>
        </w:rPr>
        <w:t>Study on the functioning of judicial systems in the EU Member States, Strasburg 06</w:t>
      </w:r>
      <w:r w:rsidRPr="00F15667">
        <w:rPr>
          <w:i/>
          <w:iCs/>
          <w:sz w:val="18"/>
          <w:szCs w:val="18"/>
        </w:rPr>
        <w:t>/04/2022, zpracování vlastní</w:t>
      </w:r>
    </w:p>
    <w:p w14:paraId="3DEEA20F" w14:textId="77777777" w:rsidR="00C62C52" w:rsidRPr="00F15667" w:rsidRDefault="00C62C52" w:rsidP="00391586"/>
    <w:p w14:paraId="58FAFC4B" w14:textId="64890AAD" w:rsidR="00391586" w:rsidRPr="00F15667" w:rsidRDefault="00391586" w:rsidP="00DC17A0">
      <w:pPr>
        <w:pStyle w:val="OdstavecASR"/>
      </w:pPr>
      <w:r w:rsidRPr="00F15667">
        <w:lastRenderedPageBreak/>
        <w:t xml:space="preserve">Intuitivně máme tendenci okamžitě srovnávat kdo „si vydělá“ více a kdo méně, důrazně však upozorňujeme, že činit závěry z uvedeného přehledu je nutno s maximální opatrností. Je třeba mít v patrnosti, že platy nejsou jediným kritériem nezávislosti soudů či podpory soudců ze strany státu, nemohou být hodnoceny samostatně, a že na úroveň platů soudců má vliv mnoho skutečností, které je nutno brát v úvahu – od definice pojmu „gross salary“ přes například počet stupňů soudní soustavy v dané zemi, až po systém profesionálních vs. neprofesionálních soudců více či méně uplatňovaný v různých státech EU nebo různý systém dalších podpor nezávislosti soudců ze strany státu, kdy platy jsou pouze jednou z jeho částí. V neposlední řadě srovnání ovlivňuje i přepočítací kurz na euro, existuje také značný rozdíl mezi „gross salary“ a „net salary“ mezi jednotlivými zeměmi, takže například čistý roční plat soudce na vrcholu kariéry v Itálii je stejný jako soudce ve Francii (přes značně odlišné barvy těchto zemí v mapě hrubých ročních </w:t>
      </w:r>
      <w:r w:rsidR="00CF32FA" w:rsidRPr="00F15667">
        <w:t>platů – část</w:t>
      </w:r>
      <w:r w:rsidR="007C6C86" w:rsidRPr="00F15667">
        <w:t xml:space="preserve"> zemí však data o „net salary“ neposkytlo, včetně ČR, takže mapu neuveřejňujeme</w:t>
      </w:r>
      <w:r w:rsidRPr="00F15667">
        <w:t>). Přesto považujeme přehled za zajímavý a užitečný.</w:t>
      </w:r>
    </w:p>
    <w:p w14:paraId="2FAD9CB8" w14:textId="77777777" w:rsidR="00391586" w:rsidRPr="00F15667" w:rsidRDefault="00391586" w:rsidP="00391586">
      <w:pPr>
        <w:pStyle w:val="Nadpis3"/>
        <w:numPr>
          <w:ilvl w:val="2"/>
          <w:numId w:val="1"/>
        </w:numPr>
        <w:rPr>
          <w:color w:val="auto"/>
        </w:rPr>
      </w:pPr>
      <w:bookmarkStart w:id="1393" w:name="_Toc144104445"/>
      <w:bookmarkStart w:id="1394" w:name="_Toc75952295"/>
      <w:r w:rsidRPr="00F15667">
        <w:rPr>
          <w:color w:val="auto"/>
          <w:lang w:eastAsia="cs-CZ"/>
        </w:rPr>
        <w:t>Podíl žen</w:t>
      </w:r>
      <w:bookmarkEnd w:id="1393"/>
    </w:p>
    <w:p w14:paraId="3261FFA8" w14:textId="77777777" w:rsidR="00391586" w:rsidRPr="00F15667" w:rsidRDefault="00391586" w:rsidP="00391586">
      <w:pPr>
        <w:pStyle w:val="OdstavecASR"/>
      </w:pPr>
      <w:r w:rsidRPr="00F15667">
        <w:t>Protože podíl žen na soudech je ukazatelem poměrně stálým, v letošní zprávě doplňujeme pro zajímavost také podíl žen u „nesoudcovského“ personálu soudů a mezi státními zástupci. Opět se omezujeme na nejbližší sousedy, tentokrát ve formě přehledné tabulky. Data pro celou Evropu lze nalézt přímo na webových stránkách uvedených pod grafem. Bohužel ne všechny země poskytují kompletní informace, což srovnání ztěžuje a ovlivňuje.</w:t>
      </w:r>
      <w:bookmarkEnd w:id="1394"/>
      <w:r w:rsidRPr="00F15667">
        <w:t xml:space="preserve"> Protože nejsou dostupná data všech zemí či skupin zemí, neuvádíme ani medián, ani průměr za EU.</w:t>
      </w:r>
    </w:p>
    <w:p w14:paraId="7499AE70" w14:textId="08EB704F" w:rsidR="00391586" w:rsidRPr="00F15667" w:rsidRDefault="00391586" w:rsidP="00391586">
      <w:pPr>
        <w:pStyle w:val="Podnadpis"/>
        <w:numPr>
          <w:ilvl w:val="0"/>
          <w:numId w:val="0"/>
        </w:numPr>
        <w:rPr>
          <w:color w:val="auto"/>
        </w:rPr>
      </w:pPr>
      <w:bookmarkStart w:id="1395" w:name="_Toc144104326"/>
      <w:r w:rsidRPr="00F15667">
        <w:rPr>
          <w:color w:val="auto"/>
        </w:rPr>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87</w:t>
      </w:r>
      <w:r w:rsidRPr="00F15667">
        <w:rPr>
          <w:color w:val="auto"/>
        </w:rPr>
        <w:fldChar w:fldCharType="end"/>
      </w:r>
      <w:r w:rsidRPr="00F15667">
        <w:rPr>
          <w:color w:val="auto"/>
        </w:rPr>
        <w:t>: podíl žen, střední Evropa, 2020</w:t>
      </w:r>
      <w:bookmarkEnd w:id="1395"/>
    </w:p>
    <w:p w14:paraId="279A9C5C" w14:textId="00CECDBE" w:rsidR="00174895" w:rsidRPr="00F15667" w:rsidRDefault="00371DB0" w:rsidP="00391586">
      <w:r w:rsidRPr="00F15667">
        <w:rPr>
          <w:noProof/>
          <w:lang w:eastAsia="cs-CZ"/>
        </w:rPr>
        <w:drawing>
          <wp:inline distT="0" distB="0" distL="0" distR="0" wp14:anchorId="474F2549" wp14:editId="069C4F58">
            <wp:extent cx="5759450" cy="158115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b="9124"/>
                    <a:stretch/>
                  </pic:blipFill>
                  <pic:spPr bwMode="auto">
                    <a:xfrm>
                      <a:off x="0" y="0"/>
                      <a:ext cx="5759450" cy="1581150"/>
                    </a:xfrm>
                    <a:prstGeom prst="rect">
                      <a:avLst/>
                    </a:prstGeom>
                    <a:noFill/>
                    <a:ln>
                      <a:noFill/>
                    </a:ln>
                    <a:extLst>
                      <a:ext uri="{53640926-AAD7-44D8-BBD7-CCE9431645EC}">
                        <a14:shadowObscured xmlns:a14="http://schemas.microsoft.com/office/drawing/2010/main"/>
                      </a:ext>
                    </a:extLst>
                  </pic:spPr>
                </pic:pic>
              </a:graphicData>
            </a:graphic>
          </wp:inline>
        </w:drawing>
      </w:r>
    </w:p>
    <w:p w14:paraId="69E2C131" w14:textId="77777777" w:rsidR="00391586" w:rsidRPr="00F15667" w:rsidRDefault="00391586" w:rsidP="00391586">
      <w:pPr>
        <w:rPr>
          <w:i/>
          <w:iCs/>
          <w:sz w:val="18"/>
          <w:szCs w:val="18"/>
        </w:rPr>
      </w:pPr>
      <w:r w:rsidRPr="00F15667">
        <w:rPr>
          <w:i/>
          <w:iCs/>
          <w:sz w:val="18"/>
          <w:szCs w:val="18"/>
        </w:rPr>
        <w:t xml:space="preserve">Zdroj: </w:t>
      </w:r>
      <w:r w:rsidRPr="00F15667">
        <w:rPr>
          <w:i/>
          <w:iCs/>
          <w:noProof/>
          <w:sz w:val="18"/>
          <w:szCs w:val="18"/>
        </w:rPr>
        <w:t>Study on the functioning of judicial systems in the EU Member States, Strasburg 06</w:t>
      </w:r>
      <w:r w:rsidRPr="00F15667">
        <w:rPr>
          <w:i/>
          <w:iCs/>
          <w:sz w:val="18"/>
          <w:szCs w:val="18"/>
        </w:rPr>
        <w:t>/04/2022, prázdná buňka = data nebyla uvedena</w:t>
      </w:r>
      <w:r w:rsidR="00202725" w:rsidRPr="00F15667">
        <w:rPr>
          <w:i/>
          <w:iCs/>
          <w:sz w:val="18"/>
          <w:szCs w:val="18"/>
        </w:rPr>
        <w:t>,</w:t>
      </w:r>
      <w:r w:rsidRPr="00F15667">
        <w:rPr>
          <w:i/>
          <w:iCs/>
          <w:sz w:val="18"/>
          <w:szCs w:val="18"/>
        </w:rPr>
        <w:t xml:space="preserve"> zpracování vlastní</w:t>
      </w:r>
    </w:p>
    <w:p w14:paraId="38476FD1" w14:textId="77777777" w:rsidR="00391586" w:rsidRPr="00F15667" w:rsidRDefault="00391586" w:rsidP="00391586">
      <w:pPr>
        <w:pStyle w:val="Nadpis3"/>
        <w:numPr>
          <w:ilvl w:val="2"/>
          <w:numId w:val="1"/>
        </w:numPr>
        <w:rPr>
          <w:color w:val="auto"/>
        </w:rPr>
      </w:pPr>
      <w:bookmarkStart w:id="1396" w:name="_Toc144104446"/>
      <w:r w:rsidRPr="00F15667">
        <w:rPr>
          <w:color w:val="auto"/>
          <w:lang w:eastAsia="cs-CZ"/>
        </w:rPr>
        <w:t>Účinnost soudní ochrany</w:t>
      </w:r>
      <w:bookmarkEnd w:id="1396"/>
    </w:p>
    <w:p w14:paraId="279964EB" w14:textId="77777777" w:rsidR="00391586" w:rsidRPr="00F15667" w:rsidRDefault="00391586" w:rsidP="00391586">
      <w:pPr>
        <w:pStyle w:val="OdstavecASR"/>
      </w:pPr>
      <w:r w:rsidRPr="00F15667">
        <w:t>Vedle dostupnosti spravedlnosti pro občany je neméně důležité, zda daná země svým občanům zajišťuje také účinnou soudní ochranu, tedy zda občané a podnikatelé svému soudnímu systému důvěřují. Doplňujeme jednak tabulkový přehled států střední Evropy z minulé zprávy a nově nabízíme graf za celou EU s tím, že celkové vnímání nezávislosti soudnictví občany EU, kteří se průzkumu Eurobarometr FL503 zúčastnili, se oproti roku 2021 nijak zásadně nezměnilo (vyznačeno trojúhelníky v legendě grafu, číslovka vyjadřuje změnu v procentních bodech).</w:t>
      </w:r>
    </w:p>
    <w:p w14:paraId="42C14EF5" w14:textId="70218136" w:rsidR="00391586" w:rsidRPr="00F15667" w:rsidRDefault="00391586" w:rsidP="00391586">
      <w:pPr>
        <w:pStyle w:val="Podnadpis"/>
        <w:numPr>
          <w:ilvl w:val="0"/>
          <w:numId w:val="0"/>
        </w:numPr>
        <w:rPr>
          <w:color w:val="auto"/>
        </w:rPr>
      </w:pPr>
      <w:bookmarkStart w:id="1397" w:name="_Toc144104232"/>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120</w:t>
      </w:r>
      <w:r w:rsidRPr="00F15667">
        <w:rPr>
          <w:color w:val="auto"/>
        </w:rPr>
        <w:fldChar w:fldCharType="end"/>
      </w:r>
      <w:r w:rsidRPr="00F15667">
        <w:rPr>
          <w:color w:val="auto"/>
        </w:rPr>
        <w:t>: Účinnost soudní ochrany v zemích EU celkem (*), 2022</w:t>
      </w:r>
      <w:bookmarkEnd w:id="1397"/>
    </w:p>
    <w:p w14:paraId="0CFEE0B4" w14:textId="77777777" w:rsidR="00391586" w:rsidRPr="00F15667" w:rsidRDefault="00391586" w:rsidP="00391586">
      <w:pPr>
        <w:pStyle w:val="OdstavecASR"/>
      </w:pPr>
      <w:r w:rsidRPr="00F15667">
        <w:rPr>
          <w:noProof/>
          <w:lang w:eastAsia="cs-CZ"/>
        </w:rPr>
        <w:drawing>
          <wp:inline distT="0" distB="0" distL="0" distR="0" wp14:anchorId="566E1C02" wp14:editId="59355D0E">
            <wp:extent cx="3306339" cy="1545996"/>
            <wp:effectExtent l="0" t="0" r="8890" b="0"/>
            <wp:docPr id="210" name="Obráze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372308" cy="1576842"/>
                    </a:xfrm>
                    <a:prstGeom prst="rect">
                      <a:avLst/>
                    </a:prstGeom>
                  </pic:spPr>
                </pic:pic>
              </a:graphicData>
            </a:graphic>
          </wp:inline>
        </w:drawing>
      </w:r>
    </w:p>
    <w:p w14:paraId="28FF08BF" w14:textId="77777777" w:rsidR="00391586" w:rsidRPr="00F15667" w:rsidRDefault="00391586" w:rsidP="00391586">
      <w:pPr>
        <w:rPr>
          <w:i/>
          <w:iCs/>
          <w:sz w:val="18"/>
          <w:szCs w:val="18"/>
        </w:rPr>
      </w:pPr>
      <w:bookmarkStart w:id="1398" w:name="_Toc75952297"/>
      <w:bookmarkStart w:id="1399" w:name="_Toc106106842"/>
      <w:bookmarkStart w:id="1400" w:name="_Toc106194295"/>
      <w:r w:rsidRPr="00F15667">
        <w:rPr>
          <w:i/>
          <w:iCs/>
          <w:sz w:val="18"/>
          <w:szCs w:val="18"/>
        </w:rPr>
        <w:t>Zdroj: Průzkum Eurobarometr FL503, který se uskutečnil v období od 17.  do 24. ledna 2022, přetisknutý graf , 25 767 respondentů z 27 států EU, změna je vs. Eurobarometr FL489 z 29.3.až 9.4.2021</w:t>
      </w:r>
    </w:p>
    <w:p w14:paraId="5AFF596F" w14:textId="77777777" w:rsidR="00391586" w:rsidRPr="00F15667" w:rsidRDefault="00391586" w:rsidP="00391586">
      <w:pPr>
        <w:rPr>
          <w:i/>
          <w:iCs/>
          <w:sz w:val="18"/>
          <w:szCs w:val="18"/>
        </w:rPr>
      </w:pPr>
      <w:r w:rsidRPr="00F15667">
        <w:rPr>
          <w:i/>
          <w:iCs/>
          <w:sz w:val="18"/>
          <w:szCs w:val="18"/>
        </w:rPr>
        <w:t>(*) Odpověď na otázku: „Jak byste na základě toho, co je vám známo, ohodnotili systém soudnictví (ve vaší zemi), pokud jde o nezávislost soudů a soudců? Řekli byste, že je velmi dobrá, poměrně dobrá, poměrně špatná, nebo velmi špatná?“</w:t>
      </w:r>
    </w:p>
    <w:p w14:paraId="1116CD32" w14:textId="179E2D14" w:rsidR="00391586" w:rsidRPr="0013286A" w:rsidRDefault="00391586" w:rsidP="005D25EA">
      <w:pPr>
        <w:tabs>
          <w:tab w:val="left" w:pos="5850"/>
        </w:tabs>
        <w:rPr>
          <w:i/>
          <w:iCs/>
          <w:sz w:val="18"/>
          <w:szCs w:val="18"/>
        </w:rPr>
      </w:pPr>
      <w:r w:rsidRPr="0013286A">
        <w:rPr>
          <w:i/>
          <w:iCs/>
          <w:sz w:val="18"/>
          <w:szCs w:val="18"/>
        </w:rPr>
        <w:t xml:space="preserve">Detailní informace viz </w:t>
      </w:r>
      <w:hyperlink r:id="rId157" w:history="1">
        <w:r w:rsidRPr="0013286A">
          <w:rPr>
            <w:rStyle w:val="Hypertextovodkaz"/>
            <w:sz w:val="18"/>
            <w:szCs w:val="18"/>
          </w:rPr>
          <w:t>https://europa.eu/eurobarometer/surveys/detail/2752</w:t>
        </w:r>
      </w:hyperlink>
    </w:p>
    <w:p w14:paraId="32CAB0C9" w14:textId="77777777" w:rsidR="00391586" w:rsidRPr="00F15667" w:rsidRDefault="00391586" w:rsidP="00391586"/>
    <w:p w14:paraId="24ECDCA6" w14:textId="77777777" w:rsidR="00391586" w:rsidRPr="00F15667" w:rsidRDefault="00391586" w:rsidP="00DC17A0">
      <w:pPr>
        <w:pStyle w:val="OdstavecASR"/>
      </w:pPr>
      <w:r w:rsidRPr="00F15667">
        <w:t>Z grafu například vyplývá, že pro celkové hodnocení je nejdůležitější podíl občanů hodnotících nezávislost soudnictví ve své zemi jako „dostatečně dobrou“, přičemž ke krajnímu hodnocení (pozitivnímu nebo negativnímu) se přiklání necelá čtvrtina respondentů.</w:t>
      </w:r>
    </w:p>
    <w:p w14:paraId="0D10616F" w14:textId="77777777" w:rsidR="00391586" w:rsidRPr="00F15667" w:rsidRDefault="00391586" w:rsidP="00DC17A0">
      <w:pPr>
        <w:pStyle w:val="OdstavecASR"/>
      </w:pPr>
      <w:r w:rsidRPr="00F15667">
        <w:t>Pro zajímavost či zamyšlení přetiskujeme ze stejné publikace grafy dle sociodemografického pohledu (*) agregovaně za všechny země EU. Zajímavý může být například pohled na to, kteří respondenti v roce 2022 spíše (ne)byli schopni zaujmout jednoznačný postoj (šedá barva), nebo jak vnímají nezávislost soudnictví účastníci sporů („involved in a court dispute“):</w:t>
      </w:r>
    </w:p>
    <w:p w14:paraId="487696D9" w14:textId="77777777" w:rsidR="00391586" w:rsidRPr="00F15667" w:rsidRDefault="00391586" w:rsidP="00391586">
      <w:r w:rsidRPr="00F15667">
        <w:rPr>
          <w:noProof/>
          <w:lang w:eastAsia="cs-CZ"/>
        </w:rPr>
        <w:drawing>
          <wp:inline distT="0" distB="0" distL="0" distR="0" wp14:anchorId="6F3FC43D" wp14:editId="6A0EBF09">
            <wp:extent cx="5838825" cy="2906538"/>
            <wp:effectExtent l="0" t="0" r="0" b="8255"/>
            <wp:docPr id="209" name="Obráze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936497" cy="2955158"/>
                    </a:xfrm>
                    <a:prstGeom prst="rect">
                      <a:avLst/>
                    </a:prstGeom>
                  </pic:spPr>
                </pic:pic>
              </a:graphicData>
            </a:graphic>
          </wp:inline>
        </w:drawing>
      </w:r>
    </w:p>
    <w:p w14:paraId="0885CD2A" w14:textId="77777777" w:rsidR="00391586" w:rsidRPr="00F15667" w:rsidRDefault="00391586" w:rsidP="00391586">
      <w:pPr>
        <w:rPr>
          <w:i/>
          <w:iCs/>
          <w:sz w:val="18"/>
          <w:szCs w:val="20"/>
        </w:rPr>
      </w:pPr>
      <w:r w:rsidRPr="00F15667">
        <w:rPr>
          <w:i/>
          <w:iCs/>
          <w:sz w:val="18"/>
          <w:szCs w:val="20"/>
        </w:rPr>
        <w:t xml:space="preserve">Education / vzdělání: jedná se o věk, kdy bylo vzdělání ukončeno. </w:t>
      </w:r>
    </w:p>
    <w:p w14:paraId="101C7EEE" w14:textId="77777777" w:rsidR="00391586" w:rsidRPr="00F15667" w:rsidRDefault="00391586" w:rsidP="00391586">
      <w:pPr>
        <w:rPr>
          <w:i/>
          <w:iCs/>
          <w:sz w:val="18"/>
          <w:szCs w:val="20"/>
        </w:rPr>
      </w:pPr>
      <w:r w:rsidRPr="00F15667">
        <w:rPr>
          <w:i/>
          <w:iCs/>
          <w:sz w:val="18"/>
          <w:szCs w:val="20"/>
        </w:rPr>
        <w:t>Involved in a court dispute / účastníci sporu: respondenti, kteří byli zapojeni do sporu, který byl projednán u soudu v posledních dvou letech.</w:t>
      </w:r>
    </w:p>
    <w:p w14:paraId="303E2C8E" w14:textId="77777777" w:rsidR="00391586" w:rsidRPr="00F15667" w:rsidRDefault="00391586" w:rsidP="00391586">
      <w:pPr>
        <w:rPr>
          <w:i/>
          <w:iCs/>
          <w:sz w:val="18"/>
          <w:szCs w:val="20"/>
        </w:rPr>
      </w:pPr>
      <w:r w:rsidRPr="00F15667">
        <w:rPr>
          <w:i/>
          <w:iCs/>
          <w:sz w:val="18"/>
          <w:szCs w:val="20"/>
        </w:rPr>
        <w:t xml:space="preserve">(*) Odpověď na otázku: </w:t>
      </w:r>
      <w:r w:rsidRPr="00F15667">
        <w:rPr>
          <w:i/>
          <w:iCs/>
          <w:sz w:val="18"/>
          <w:szCs w:val="16"/>
        </w:rPr>
        <w:t>„Jak byste na základě toho, co je vám známo, ohodnotili systém soudnictví (ve vaší zemi), pokud jde o nezávislost soudů a soudců? Řekli byste, že je velmi dobrá, poměrně dobrá, poměrně špatná, nebo velmi špatná?“</w:t>
      </w:r>
    </w:p>
    <w:p w14:paraId="73C5F511" w14:textId="77777777" w:rsidR="00391586" w:rsidRPr="00F15667" w:rsidRDefault="00391586" w:rsidP="00DC17A0">
      <w:pPr>
        <w:pStyle w:val="OdstavecASR"/>
      </w:pPr>
    </w:p>
    <w:p w14:paraId="0C578870" w14:textId="59D9E52C" w:rsidR="00391586" w:rsidRPr="00F15667" w:rsidRDefault="00391586" w:rsidP="00391586">
      <w:pPr>
        <w:pStyle w:val="Podnadpis"/>
        <w:rPr>
          <w:color w:val="auto"/>
        </w:rPr>
      </w:pPr>
      <w:bookmarkStart w:id="1401" w:name="_Toc144104327"/>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88</w:t>
      </w:r>
      <w:r w:rsidRPr="00F15667">
        <w:rPr>
          <w:color w:val="auto"/>
        </w:rPr>
        <w:fldChar w:fldCharType="end"/>
      </w:r>
      <w:r w:rsidRPr="00F15667">
        <w:rPr>
          <w:color w:val="auto"/>
        </w:rPr>
        <w:t>: EU – Vnímaná nezávislost soudů a soudců ze strany veřejnosti</w:t>
      </w:r>
      <w:bookmarkEnd w:id="1398"/>
      <w:bookmarkEnd w:id="1399"/>
      <w:bookmarkEnd w:id="1400"/>
      <w:r w:rsidRPr="00F15667">
        <w:rPr>
          <w:color w:val="auto"/>
        </w:rPr>
        <w:t>, střední Evropa, 2022</w:t>
      </w:r>
      <w:bookmarkEnd w:id="1401"/>
    </w:p>
    <w:p w14:paraId="1C2DBE20" w14:textId="77777777" w:rsidR="00391586" w:rsidRPr="00F15667" w:rsidRDefault="00391586" w:rsidP="00391586">
      <w:r w:rsidRPr="00F15667">
        <w:rPr>
          <w:noProof/>
          <w:lang w:eastAsia="cs-CZ"/>
        </w:rPr>
        <w:drawing>
          <wp:inline distT="0" distB="0" distL="0" distR="0" wp14:anchorId="63F7FCE4" wp14:editId="3BADB5AF">
            <wp:extent cx="5759450" cy="852805"/>
            <wp:effectExtent l="0" t="0" r="0" b="4445"/>
            <wp:docPr id="204" name="Obráze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59450" cy="852805"/>
                    </a:xfrm>
                    <a:prstGeom prst="rect">
                      <a:avLst/>
                    </a:prstGeom>
                    <a:noFill/>
                    <a:ln>
                      <a:noFill/>
                    </a:ln>
                  </pic:spPr>
                </pic:pic>
              </a:graphicData>
            </a:graphic>
          </wp:inline>
        </w:drawing>
      </w:r>
    </w:p>
    <w:p w14:paraId="21E38301" w14:textId="77777777" w:rsidR="00391586" w:rsidRPr="00F15667" w:rsidRDefault="00391586" w:rsidP="00391586"/>
    <w:p w14:paraId="30258BBD" w14:textId="77777777" w:rsidR="00391586" w:rsidRPr="00F15667" w:rsidRDefault="00391586" w:rsidP="00391586">
      <w:r w:rsidRPr="00F15667">
        <w:rPr>
          <w:noProof/>
          <w:lang w:eastAsia="cs-CZ"/>
        </w:rPr>
        <w:drawing>
          <wp:inline distT="0" distB="0" distL="0" distR="0" wp14:anchorId="121FC1E9" wp14:editId="675EB81F">
            <wp:extent cx="5759450" cy="852805"/>
            <wp:effectExtent l="0" t="0" r="0" b="4445"/>
            <wp:docPr id="207" name="Obráze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59450" cy="852805"/>
                    </a:xfrm>
                    <a:prstGeom prst="rect">
                      <a:avLst/>
                    </a:prstGeom>
                    <a:noFill/>
                    <a:ln>
                      <a:noFill/>
                    </a:ln>
                  </pic:spPr>
                </pic:pic>
              </a:graphicData>
            </a:graphic>
          </wp:inline>
        </w:drawing>
      </w:r>
    </w:p>
    <w:p w14:paraId="2B6EAB5A" w14:textId="77777777" w:rsidR="00391586" w:rsidRPr="00F15667" w:rsidRDefault="00391586" w:rsidP="00391586">
      <w:pPr>
        <w:rPr>
          <w:i/>
          <w:iCs/>
          <w:sz w:val="18"/>
          <w:szCs w:val="18"/>
        </w:rPr>
      </w:pPr>
      <w:r w:rsidRPr="00F15667">
        <w:rPr>
          <w:i/>
          <w:iCs/>
          <w:sz w:val="18"/>
          <w:szCs w:val="18"/>
        </w:rPr>
        <w:t>(*) Odpovědi na otázku: „Jak byste na základě toho, co je vám známo, ohodnotili systém soudnictví (ve vaší zemi), pokud jde o nezávislost soudů a soudců? Řekli byste, že je velmi dobrá, poměrně dobrá, poměrně špatná, nebo velmi špatná?“ V přehledu výše jsou odpovědi sumarizovány. Zdroj: stejný jako u grafu výše.</w:t>
      </w:r>
    </w:p>
    <w:p w14:paraId="4FB05F6E" w14:textId="77777777" w:rsidR="00391586" w:rsidRPr="00F15667" w:rsidRDefault="00391586" w:rsidP="00391586"/>
    <w:p w14:paraId="3C49E098" w14:textId="77777777" w:rsidR="00391586" w:rsidRPr="00F15667" w:rsidRDefault="00391586" w:rsidP="00DC17A0">
      <w:pPr>
        <w:pStyle w:val="OdstavecASR"/>
      </w:pPr>
      <w:r w:rsidRPr="00F15667">
        <w:t xml:space="preserve">Za povšimnutí stojí, že v lednu roku 2022, kdy výzkum probíhal, to byly v rámci střední Evropy pouze Česká republika a Maďarsko, kde došlo k nárůstu vnímání „dobrá“ ze strany veřejnosti.  </w:t>
      </w:r>
    </w:p>
    <w:p w14:paraId="3F6D2376" w14:textId="77777777" w:rsidR="00391586" w:rsidRPr="00F15667" w:rsidRDefault="00391586" w:rsidP="00DC17A0">
      <w:pPr>
        <w:pStyle w:val="OdstavecASR"/>
      </w:pPr>
      <w:r w:rsidRPr="00F15667">
        <w:t>V roce 2022 pokračoval u podnikatelů pozitivní trend hodnocení nezávislosti české justice, na druhou stranu přibylo podnikatelů, kteří nebyli připraveni poskytnout jasný názor (řádek „neví“).</w:t>
      </w:r>
    </w:p>
    <w:p w14:paraId="58F634C4" w14:textId="77777777" w:rsidR="00391586" w:rsidRPr="00F15667" w:rsidRDefault="00391586" w:rsidP="00391586"/>
    <w:p w14:paraId="7853274E" w14:textId="77777777" w:rsidR="00391586" w:rsidRPr="00F15667" w:rsidRDefault="00391586" w:rsidP="00391586">
      <w:r w:rsidRPr="00F15667">
        <w:rPr>
          <w:noProof/>
          <w:lang w:eastAsia="cs-CZ"/>
        </w:rPr>
        <w:drawing>
          <wp:inline distT="0" distB="0" distL="0" distR="0" wp14:anchorId="37CA6B1B" wp14:editId="6B7BCF96">
            <wp:extent cx="3708400" cy="965200"/>
            <wp:effectExtent l="0" t="0" r="6350" b="6350"/>
            <wp:docPr id="211" name="Obráze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708400" cy="965200"/>
                    </a:xfrm>
                    <a:prstGeom prst="rect">
                      <a:avLst/>
                    </a:prstGeom>
                    <a:noFill/>
                    <a:ln>
                      <a:noFill/>
                    </a:ln>
                  </pic:spPr>
                </pic:pic>
              </a:graphicData>
            </a:graphic>
          </wp:inline>
        </w:drawing>
      </w:r>
    </w:p>
    <w:p w14:paraId="2917CEF4" w14:textId="77777777" w:rsidR="00391586" w:rsidRPr="00F15667" w:rsidRDefault="00391586" w:rsidP="00391586">
      <w:pPr>
        <w:rPr>
          <w:i/>
          <w:iCs/>
          <w:sz w:val="18"/>
          <w:szCs w:val="20"/>
        </w:rPr>
      </w:pPr>
      <w:r w:rsidRPr="00F15667">
        <w:rPr>
          <w:i/>
          <w:iCs/>
          <w:sz w:val="18"/>
          <w:szCs w:val="20"/>
        </w:rPr>
        <w:t>Zdroj: Průzkum Eurobarometr FL504, který se uskutečnil v období od 17.  do 24. ledna 2022, vlastní zpracování, 502 společností-respondentů z 27 států EU</w:t>
      </w:r>
    </w:p>
    <w:p w14:paraId="116B249C" w14:textId="77777777" w:rsidR="00391586" w:rsidRPr="00F15667" w:rsidRDefault="00391586" w:rsidP="00391586"/>
    <w:p w14:paraId="56683077" w14:textId="735F458B" w:rsidR="00391586" w:rsidRPr="00F15667" w:rsidRDefault="00391586" w:rsidP="00DC17A0">
      <w:pPr>
        <w:pStyle w:val="OdstavecASR"/>
      </w:pPr>
      <w:r w:rsidRPr="00F15667">
        <w:t>Vzhledem k mnoha bezprecedentním událostem v průběhu celého roku 2022 bude velmi zajímavé, podívat se na vývoj důvěry/výsledky dalšího Eurobarometru z roku 2023.</w:t>
      </w:r>
    </w:p>
    <w:p w14:paraId="16220A94" w14:textId="28FBED31" w:rsidR="00391586" w:rsidRPr="00F15667" w:rsidRDefault="00391586" w:rsidP="00DC17A0">
      <w:pPr>
        <w:pStyle w:val="OdstavecASR"/>
      </w:pPr>
      <w:r w:rsidRPr="00F15667">
        <w:t>Na závěr této důležité kapitoly</w:t>
      </w:r>
      <w:r w:rsidR="002437B3" w:rsidRPr="00F15667">
        <w:t xml:space="preserve"> nově</w:t>
      </w:r>
      <w:r w:rsidRPr="00F15667">
        <w:t xml:space="preserve"> přetiskujeme graf znázorňující, jak společnosti vnímají účinnost ochrany investic právními předpisy a účinnost ochrany ze strany soudů, pokud jde podle nich o neodůvodněná rozhodnutí nebo nečinnost státu – řazeno podle celkové důvěry (modré části sloupce):</w:t>
      </w:r>
    </w:p>
    <w:p w14:paraId="32FC7ADA" w14:textId="72DCD236" w:rsidR="00391586" w:rsidRPr="00F15667" w:rsidRDefault="00391586" w:rsidP="00391586">
      <w:pPr>
        <w:pStyle w:val="Podnadpis"/>
        <w:pageBreakBefore/>
        <w:numPr>
          <w:ilvl w:val="0"/>
          <w:numId w:val="0"/>
        </w:numPr>
        <w:rPr>
          <w:color w:val="auto"/>
        </w:rPr>
      </w:pPr>
      <w:bookmarkStart w:id="1402" w:name="_Toc144104233"/>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121</w:t>
      </w:r>
      <w:r w:rsidRPr="00F15667">
        <w:rPr>
          <w:color w:val="auto"/>
        </w:rPr>
        <w:fldChar w:fldCharType="end"/>
      </w:r>
      <w:r w:rsidRPr="00F15667">
        <w:rPr>
          <w:color w:val="auto"/>
        </w:rPr>
        <w:t>: Jak společnosti vnímají účinnost ochrany investic právními předpisy a ze strany soudů v zemích EU, 2020 (*)</w:t>
      </w:r>
      <w:bookmarkEnd w:id="1402"/>
    </w:p>
    <w:p w14:paraId="2D700ACD" w14:textId="77777777" w:rsidR="00391586" w:rsidRPr="00F15667" w:rsidRDefault="00391586" w:rsidP="00391586">
      <w:r w:rsidRPr="00F15667">
        <w:rPr>
          <w:noProof/>
          <w:lang w:eastAsia="cs-CZ"/>
        </w:rPr>
        <w:drawing>
          <wp:inline distT="0" distB="0" distL="0" distR="0" wp14:anchorId="07D79319" wp14:editId="7432E53E">
            <wp:extent cx="5759450" cy="2368550"/>
            <wp:effectExtent l="0" t="0" r="0" b="0"/>
            <wp:docPr id="213" name="Obráze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759450" cy="2368550"/>
                    </a:xfrm>
                    <a:prstGeom prst="rect">
                      <a:avLst/>
                    </a:prstGeom>
                  </pic:spPr>
                </pic:pic>
              </a:graphicData>
            </a:graphic>
          </wp:inline>
        </w:drawing>
      </w:r>
    </w:p>
    <w:p w14:paraId="3E5B251A" w14:textId="77777777" w:rsidR="00391586" w:rsidRPr="00F15667" w:rsidRDefault="00391586" w:rsidP="00391586">
      <w:pPr>
        <w:rPr>
          <w:i/>
          <w:iCs/>
          <w:sz w:val="18"/>
          <w:szCs w:val="20"/>
        </w:rPr>
      </w:pPr>
      <w:r w:rsidRPr="00F15667">
        <w:rPr>
          <w:i/>
          <w:iCs/>
          <w:sz w:val="18"/>
          <w:szCs w:val="20"/>
        </w:rPr>
        <w:t>Zdroj: Evropská komise, Srovnávací přehled EU o soudnictví 2022, soudci Fig(54), převzatý graf</w:t>
      </w:r>
    </w:p>
    <w:p w14:paraId="49AB2CFD" w14:textId="33118254" w:rsidR="00391586" w:rsidRDefault="00391586" w:rsidP="00391586">
      <w:pPr>
        <w:rPr>
          <w:i/>
          <w:iCs/>
          <w:sz w:val="18"/>
          <w:szCs w:val="20"/>
        </w:rPr>
      </w:pPr>
      <w:r w:rsidRPr="00F15667">
        <w:rPr>
          <w:i/>
          <w:iCs/>
          <w:sz w:val="18"/>
          <w:szCs w:val="20"/>
        </w:rPr>
        <w:t>(*) Členské státy jsou seřazeny podle celkového procenta respondentů, kteří uvedli, že mají velkou nebo značnou důvěru v ochranu investic ze strany práva a soudů (celková důvěra). Průzkum Eurobarometr FL504; odpovědi na otázku: „Do jaké míry jste přesvědčeni, že v případě problémů jsou vaše investice chráněny zákonem a soudy ve vaší zemi?“ Pro účely průzkumu byla investice definována tak, že zahrnuje jakýkoli druh aktiv, který společnost vlastní nebo ovládá, a který se vyznačuje závazkem kapitálu nebo jiných zdrojů, očekáváním výdělku či zisku nebo převzetím rizika.</w:t>
      </w:r>
    </w:p>
    <w:p w14:paraId="41C1AF73" w14:textId="77777777" w:rsidR="00DC17A0" w:rsidRPr="00DC17A0" w:rsidRDefault="00DC17A0" w:rsidP="00DC17A0">
      <w:pPr>
        <w:pStyle w:val="OdstavecASR"/>
      </w:pPr>
    </w:p>
    <w:p w14:paraId="46E9B7E2" w14:textId="77777777" w:rsidR="00391586" w:rsidRPr="00F15667" w:rsidRDefault="00391586" w:rsidP="00DC17A0">
      <w:pPr>
        <w:pStyle w:val="Nadpis3"/>
        <w:numPr>
          <w:ilvl w:val="2"/>
          <w:numId w:val="1"/>
        </w:numPr>
        <w:rPr>
          <w:color w:val="auto"/>
        </w:rPr>
      </w:pPr>
      <w:bookmarkStart w:id="1403" w:name="_Toc144104447"/>
      <w:r w:rsidRPr="00F15667">
        <w:rPr>
          <w:color w:val="auto"/>
          <w:lang w:eastAsia="cs-CZ"/>
        </w:rPr>
        <w:t>Efektivnost soudního systému</w:t>
      </w:r>
      <w:bookmarkEnd w:id="1403"/>
    </w:p>
    <w:p w14:paraId="0F402801" w14:textId="37D7912B" w:rsidR="00391586" w:rsidRPr="00F15667" w:rsidRDefault="00391586" w:rsidP="00391586">
      <w:r w:rsidRPr="00F15667">
        <w:t>Již tradičně ji demonstrujeme na datech týkajících se sporných občanských a obchodních věcí, protože se jedná o důležitou agendu, která je celkem dobře srovnatelná mezi státy EU. Tentokrát jsme se podívali na vývoj za delší období ve formě tabulky, která může být pro detailnější pohled vhodnější a přesnější než graf a také dobře ukazuje vývoj v </w:t>
      </w:r>
      <w:r w:rsidR="002437B3" w:rsidRPr="00F15667">
        <w:t>c</w:t>
      </w:r>
      <w:r w:rsidRPr="00F15667">
        <w:t>ovidovém roce 2020 vs. rok 2019. Vidíme z ní například, že Česká republika je mezi pěti zeměmi EU, ve kterých nápad v roce 2020 klesal nejvíce, a tak se</w:t>
      </w:r>
      <w:r w:rsidR="002437B3" w:rsidRPr="00F15667">
        <w:t xml:space="preserve"> v roce 2020</w:t>
      </w:r>
      <w:r w:rsidRPr="00F15667">
        <w:t xml:space="preserve"> z pozice země s třetím nejvyšším nápadem ve sporných občanských a obchodních věcech v roce 2019 zařadila na místo páté</w:t>
      </w:r>
      <w:r w:rsidR="002437B3" w:rsidRPr="00F15667">
        <w:t>.</w:t>
      </w:r>
    </w:p>
    <w:p w14:paraId="2B4B6C1B" w14:textId="49210FAB" w:rsidR="00391586" w:rsidRPr="00F15667" w:rsidRDefault="00391586" w:rsidP="00391586">
      <w:pPr>
        <w:pStyle w:val="Podnadpis"/>
        <w:rPr>
          <w:color w:val="auto"/>
        </w:rPr>
      </w:pPr>
      <w:bookmarkStart w:id="1404" w:name="_Toc75952298"/>
      <w:bookmarkStart w:id="1405" w:name="_Toc106106754"/>
      <w:bookmarkStart w:id="1406" w:name="_Toc106194415"/>
      <w:bookmarkStart w:id="1407" w:name="_Toc144104328"/>
      <w:r w:rsidRPr="00F15667">
        <w:rPr>
          <w:color w:val="auto"/>
        </w:rPr>
        <w:lastRenderedPageBreak/>
        <w:t xml:space="preserve">Tabulka </w:t>
      </w:r>
      <w:r w:rsidRPr="00F15667">
        <w:rPr>
          <w:color w:val="auto"/>
        </w:rPr>
        <w:fldChar w:fldCharType="begin"/>
      </w:r>
      <w:r w:rsidRPr="00F15667">
        <w:rPr>
          <w:color w:val="auto"/>
        </w:rPr>
        <w:instrText xml:space="preserve"> SEQ Tabulka \* ARABIC </w:instrText>
      </w:r>
      <w:r w:rsidRPr="00F15667">
        <w:rPr>
          <w:color w:val="auto"/>
        </w:rPr>
        <w:fldChar w:fldCharType="separate"/>
      </w:r>
      <w:r w:rsidR="001E1A67">
        <w:rPr>
          <w:noProof/>
          <w:color w:val="auto"/>
        </w:rPr>
        <w:t>89</w:t>
      </w:r>
      <w:r w:rsidRPr="00F15667">
        <w:rPr>
          <w:color w:val="auto"/>
        </w:rPr>
        <w:fldChar w:fldCharType="end"/>
      </w:r>
      <w:r w:rsidRPr="00F15667">
        <w:rPr>
          <w:color w:val="auto"/>
        </w:rPr>
        <w:t>: EU – nápad sporných občanských a obch. věcí na 100 obyvatel</w:t>
      </w:r>
      <w:bookmarkEnd w:id="1404"/>
      <w:bookmarkEnd w:id="1405"/>
      <w:bookmarkEnd w:id="1406"/>
      <w:r w:rsidRPr="00F15667">
        <w:rPr>
          <w:color w:val="auto"/>
        </w:rPr>
        <w:t xml:space="preserve"> v zemích EU, soudy 1. stupně</w:t>
      </w:r>
      <w:bookmarkEnd w:id="1407"/>
    </w:p>
    <w:p w14:paraId="077F1510" w14:textId="77777777" w:rsidR="00391586" w:rsidRPr="00F15667" w:rsidRDefault="00391586" w:rsidP="00391586">
      <w:pPr>
        <w:keepNext/>
        <w:spacing w:before="120" w:after="120" w:line="240" w:lineRule="auto"/>
        <w:rPr>
          <w:sz w:val="20"/>
        </w:rPr>
      </w:pPr>
      <w:r w:rsidRPr="00F15667">
        <w:rPr>
          <w:noProof/>
          <w:lang w:eastAsia="cs-CZ"/>
        </w:rPr>
        <w:drawing>
          <wp:inline distT="0" distB="0" distL="0" distR="0" wp14:anchorId="5F918072" wp14:editId="6BF9783E">
            <wp:extent cx="5759450" cy="6012180"/>
            <wp:effectExtent l="0" t="0" r="0" b="7620"/>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59450" cy="6012180"/>
                    </a:xfrm>
                    <a:prstGeom prst="rect">
                      <a:avLst/>
                    </a:prstGeom>
                    <a:noFill/>
                    <a:ln>
                      <a:noFill/>
                    </a:ln>
                  </pic:spPr>
                </pic:pic>
              </a:graphicData>
            </a:graphic>
          </wp:inline>
        </w:drawing>
      </w:r>
    </w:p>
    <w:p w14:paraId="2C7C1B67" w14:textId="5B3DAC0E" w:rsidR="00391586" w:rsidRDefault="00391586" w:rsidP="002274ED">
      <w:pPr>
        <w:spacing w:line="240" w:lineRule="auto"/>
        <w:rPr>
          <w:i/>
          <w:iCs/>
          <w:sz w:val="18"/>
          <w:szCs w:val="20"/>
        </w:rPr>
      </w:pPr>
      <w:r w:rsidRPr="00F15667">
        <w:rPr>
          <w:i/>
          <w:iCs/>
          <w:sz w:val="18"/>
          <w:szCs w:val="20"/>
        </w:rPr>
        <w:t xml:space="preserve">Zdroj: Evropská komise, Srovnávací přehled EU o soudnictví za rok 2022, Fig.(4), státy jsou seřazeny dle hodnot roku 2020. NL: zahrnuty i nesporné věci, šipky vyjadřují absolutní změnu mezi roky 2020 vs. 2019, pomlčka vyjadřuje změnu pohybující se v rámci definované tolerance, </w:t>
      </w:r>
      <w:bookmarkStart w:id="1408" w:name="_Hlk134102653"/>
      <w:r w:rsidRPr="00F15667">
        <w:rPr>
          <w:i/>
          <w:iCs/>
          <w:sz w:val="18"/>
          <w:szCs w:val="20"/>
        </w:rPr>
        <w:t>prázdná buňka = data nebyla uvedena</w:t>
      </w:r>
      <w:bookmarkEnd w:id="1408"/>
      <w:r w:rsidRPr="00F15667">
        <w:rPr>
          <w:i/>
          <w:iCs/>
          <w:sz w:val="18"/>
          <w:szCs w:val="20"/>
        </w:rPr>
        <w:t>. POZOR – hodnota v posledním sloupci není změna v %, ale prostý rozdíl hodnoty v roce 2020 mínus hodnota v roce 2019.</w:t>
      </w:r>
    </w:p>
    <w:p w14:paraId="67FE8208" w14:textId="77777777" w:rsidR="00892B2B" w:rsidRPr="00892B2B" w:rsidRDefault="00892B2B" w:rsidP="00892B2B">
      <w:pPr>
        <w:pStyle w:val="OdstavecASR"/>
      </w:pPr>
    </w:p>
    <w:p w14:paraId="30341782" w14:textId="77777777" w:rsidR="00391586" w:rsidRPr="00F15667" w:rsidRDefault="00391586" w:rsidP="00391586">
      <w:pPr>
        <w:pStyle w:val="OdstavecASR"/>
      </w:pPr>
      <w:r w:rsidRPr="00F15667">
        <w:t xml:space="preserve">Nápad klesal v roce 2020 ve všech státech EU kromě Irska (IE) a je na zvážení, zda tento vývoj dávat do souvislosti s pandemií Covid-19, protože vývoj a dopad pandemie byl v různé době a různých zemích odlišný a zřejmě bude správné počkat na data za rok 2021. Nicméně pro tento specifický zájem (vliv pandemie Covid-19) je možno si alespoň částečně pomoci trendem vývoje za delší období, za celou EU a také ne pouze za sporné občanské a obchodní věci. </w:t>
      </w:r>
    </w:p>
    <w:p w14:paraId="66EF42FA" w14:textId="2D01C9EF" w:rsidR="00D4102B" w:rsidRPr="00D4102B" w:rsidRDefault="00D4102B" w:rsidP="00D4102B">
      <w:pPr>
        <w:pStyle w:val="Podnadpis"/>
        <w:rPr>
          <w:color w:val="auto"/>
        </w:rPr>
      </w:pPr>
      <w:bookmarkStart w:id="1409" w:name="_Toc135646439"/>
      <w:bookmarkStart w:id="1410" w:name="_Toc144104234"/>
      <w:r w:rsidRPr="00D4102B">
        <w:rPr>
          <w:color w:val="auto"/>
        </w:rPr>
        <w:lastRenderedPageBreak/>
        <w:t xml:space="preserve">Graf </w:t>
      </w:r>
      <w:r w:rsidRPr="00D4102B">
        <w:rPr>
          <w:color w:val="auto"/>
        </w:rPr>
        <w:fldChar w:fldCharType="begin"/>
      </w:r>
      <w:r w:rsidRPr="00D4102B">
        <w:rPr>
          <w:color w:val="auto"/>
        </w:rPr>
        <w:instrText xml:space="preserve"> SEQ Graf \* ARABIC </w:instrText>
      </w:r>
      <w:r w:rsidRPr="00D4102B">
        <w:rPr>
          <w:color w:val="auto"/>
        </w:rPr>
        <w:fldChar w:fldCharType="separate"/>
      </w:r>
      <w:r w:rsidR="001E1A67">
        <w:rPr>
          <w:noProof/>
          <w:color w:val="auto"/>
        </w:rPr>
        <w:t>122</w:t>
      </w:r>
      <w:r w:rsidRPr="00D4102B">
        <w:rPr>
          <w:color w:val="auto"/>
        </w:rPr>
        <w:fldChar w:fldCharType="end"/>
      </w:r>
      <w:r w:rsidRPr="00D4102B">
        <w:rPr>
          <w:color w:val="auto"/>
        </w:rPr>
        <w:t>: EU – medián a průměrný nápad občanských, obchodních, správních a jiných věcí na 100 obyvatel v zemích EU, soudy 1. stupně (*)</w:t>
      </w:r>
      <w:bookmarkEnd w:id="1409"/>
      <w:bookmarkEnd w:id="1410"/>
    </w:p>
    <w:p w14:paraId="03E964BD" w14:textId="77777777" w:rsidR="00D4102B" w:rsidRPr="003518EE" w:rsidRDefault="00D4102B" w:rsidP="00D4102B">
      <w:pPr>
        <w:pStyle w:val="OdstavecASR"/>
        <w:rPr>
          <w:color w:val="0070C0"/>
        </w:rPr>
      </w:pPr>
      <w:r w:rsidRPr="003518EE">
        <w:rPr>
          <w:noProof/>
          <w:color w:val="0070C0"/>
        </w:rPr>
        <w:drawing>
          <wp:inline distT="0" distB="0" distL="0" distR="0" wp14:anchorId="1D17BF77" wp14:editId="33190615">
            <wp:extent cx="5760720" cy="2291080"/>
            <wp:effectExtent l="0" t="0" r="0" b="0"/>
            <wp:docPr id="135" name="Grafický objekt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extLst>
                        <a:ext uri="{96DAC541-7B7A-43D3-8B79-37D633B846F1}">
                          <asvg:svgBlip xmlns:asvg="http://schemas.microsoft.com/office/drawing/2016/SVG/main" r:embed="rId165"/>
                        </a:ext>
                      </a:extLst>
                    </a:blip>
                    <a:stretch>
                      <a:fillRect/>
                    </a:stretch>
                  </pic:blipFill>
                  <pic:spPr>
                    <a:xfrm>
                      <a:off x="0" y="0"/>
                      <a:ext cx="5760720" cy="2291080"/>
                    </a:xfrm>
                    <a:prstGeom prst="rect">
                      <a:avLst/>
                    </a:prstGeom>
                  </pic:spPr>
                </pic:pic>
              </a:graphicData>
            </a:graphic>
          </wp:inline>
        </w:drawing>
      </w:r>
    </w:p>
    <w:p w14:paraId="2BCA5A10" w14:textId="77777777" w:rsidR="00D4102B" w:rsidRPr="00D4102B" w:rsidRDefault="00D4102B" w:rsidP="00D4102B">
      <w:pPr>
        <w:spacing w:line="240" w:lineRule="auto"/>
        <w:rPr>
          <w:i/>
          <w:iCs/>
          <w:sz w:val="18"/>
          <w:szCs w:val="20"/>
        </w:rPr>
      </w:pPr>
      <w:r w:rsidRPr="00D4102B">
        <w:rPr>
          <w:i/>
          <w:iCs/>
          <w:sz w:val="18"/>
          <w:szCs w:val="20"/>
        </w:rPr>
        <w:t>Zdroj: Evropská komise, Srovnávací přehled EU o soudnictví za rok 2022, Fig.(3)</w:t>
      </w:r>
    </w:p>
    <w:p w14:paraId="0CEDE285" w14:textId="77777777" w:rsidR="00D4102B" w:rsidRPr="00D4102B" w:rsidRDefault="00D4102B" w:rsidP="00D4102B">
      <w:pPr>
        <w:spacing w:line="240" w:lineRule="auto"/>
        <w:rPr>
          <w:i/>
          <w:iCs/>
          <w:sz w:val="18"/>
          <w:szCs w:val="20"/>
        </w:rPr>
      </w:pPr>
      <w:r w:rsidRPr="00D4102B">
        <w:rPr>
          <w:i/>
          <w:iCs/>
          <w:sz w:val="18"/>
          <w:szCs w:val="20"/>
        </w:rPr>
        <w:t>(*) Podle metodiky CEPEJ zahrnuje tato kategorie všechny sporné a nesporné občanské a obchodní věci, nesporné věci týkající se katastru nemovitostí a obchodního rejstříku, věci týkající se jiných rejstříků, jiné nesporné věci, věci správního práva a jiné netrestní věci.</w:t>
      </w:r>
    </w:p>
    <w:p w14:paraId="42E69AC3" w14:textId="77777777" w:rsidR="00D4102B" w:rsidRDefault="00D4102B" w:rsidP="00391586">
      <w:pPr>
        <w:pStyle w:val="OdstavecASR"/>
      </w:pPr>
    </w:p>
    <w:p w14:paraId="2FE30C28" w14:textId="22B989C2" w:rsidR="00391586" w:rsidRPr="00F15667" w:rsidRDefault="00391586" w:rsidP="00391586">
      <w:pPr>
        <w:pStyle w:val="OdstavecASR"/>
      </w:pPr>
      <w:r w:rsidRPr="00F15667">
        <w:t xml:space="preserve">Zdá se, že pokles nápadu v roce 2020 může být spíše pokračováním dlouhodobějšího </w:t>
      </w:r>
      <w:r w:rsidR="00A43125" w:rsidRPr="00F15667">
        <w:t>trendu</w:t>
      </w:r>
      <w:r w:rsidRPr="00F15667">
        <w:t xml:space="preserve"> než náhlou událostí jediného roku. Data za rok 2021 budou ale z tohoto pohledu zajímavá.</w:t>
      </w:r>
    </w:p>
    <w:p w14:paraId="34563785" w14:textId="4DA7DC57" w:rsidR="00391586" w:rsidRDefault="00391586" w:rsidP="00391586">
      <w:pPr>
        <w:pStyle w:val="OdstavecASR"/>
      </w:pPr>
      <w:r w:rsidRPr="00F15667">
        <w:t>Při dalším hodnocení efektivity justice se však vracíme ke sporným občanským a obchodním věcem a hodnotíme ji pomoci „disposition time“ a počtu nevyřízených věcí.  ČR i v roce 2020 řešila vysoký nápad velmi efektivně, neboť stále zaujímá třetí místo mezi 27 členskými státy EU při hodnocení pomocí dispozičního času za celou soudní soustavu.</w:t>
      </w:r>
    </w:p>
    <w:p w14:paraId="3BBCD477" w14:textId="77777777" w:rsidR="00892B2B" w:rsidRPr="00F15667" w:rsidRDefault="00892B2B" w:rsidP="00391586">
      <w:pPr>
        <w:pStyle w:val="OdstavecASR"/>
      </w:pPr>
    </w:p>
    <w:p w14:paraId="6A9CACC0" w14:textId="763211D1" w:rsidR="00391586" w:rsidRPr="00F15667" w:rsidRDefault="00391586" w:rsidP="00391586">
      <w:pPr>
        <w:pStyle w:val="Podnadpis"/>
        <w:rPr>
          <w:color w:val="auto"/>
        </w:rPr>
      </w:pPr>
      <w:bookmarkStart w:id="1411" w:name="_Toc106106755"/>
      <w:bookmarkStart w:id="1412" w:name="_Toc106194416"/>
      <w:bookmarkStart w:id="1413" w:name="_Toc144104235"/>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123</w:t>
      </w:r>
      <w:r w:rsidRPr="00F15667">
        <w:rPr>
          <w:noProof/>
          <w:color w:val="auto"/>
        </w:rPr>
        <w:fldChar w:fldCharType="end"/>
      </w:r>
      <w:r w:rsidRPr="00F15667">
        <w:rPr>
          <w:color w:val="auto"/>
        </w:rPr>
        <w:t>: EU – disposition time sporných obč. a obch. věcí</w:t>
      </w:r>
      <w:bookmarkEnd w:id="1411"/>
      <w:bookmarkEnd w:id="1412"/>
      <w:r w:rsidRPr="00F15667">
        <w:rPr>
          <w:color w:val="auto"/>
        </w:rPr>
        <w:t xml:space="preserve"> v zemích EU (kal. dny), 2020</w:t>
      </w:r>
      <w:r w:rsidR="00CF32FA">
        <w:rPr>
          <w:color w:val="auto"/>
        </w:rPr>
        <w:t> </w:t>
      </w:r>
      <w:r w:rsidRPr="00F15667">
        <w:rPr>
          <w:color w:val="auto"/>
        </w:rPr>
        <w:t>(*)</w:t>
      </w:r>
      <w:bookmarkEnd w:id="1413"/>
    </w:p>
    <w:p w14:paraId="179C2DE0" w14:textId="77777777" w:rsidR="00391586" w:rsidRPr="00F15667" w:rsidRDefault="00391586" w:rsidP="00391586">
      <w:r w:rsidRPr="00F15667">
        <w:rPr>
          <w:noProof/>
          <w:lang w:eastAsia="cs-CZ"/>
        </w:rPr>
        <w:drawing>
          <wp:inline distT="0" distB="0" distL="0" distR="0" wp14:anchorId="16B1AD5D" wp14:editId="395476DE">
            <wp:extent cx="5759450" cy="2622550"/>
            <wp:effectExtent l="0" t="0" r="0" b="6350"/>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759450" cy="2622550"/>
                    </a:xfrm>
                    <a:prstGeom prst="rect">
                      <a:avLst/>
                    </a:prstGeom>
                  </pic:spPr>
                </pic:pic>
              </a:graphicData>
            </a:graphic>
          </wp:inline>
        </w:drawing>
      </w:r>
    </w:p>
    <w:p w14:paraId="5D98A1F8" w14:textId="77777777" w:rsidR="00391586" w:rsidRPr="00F15667" w:rsidRDefault="00391586" w:rsidP="00391586">
      <w:pPr>
        <w:spacing w:before="120" w:line="360" w:lineRule="auto"/>
        <w:rPr>
          <w:i/>
          <w:iCs/>
          <w:sz w:val="18"/>
          <w:szCs w:val="20"/>
        </w:rPr>
      </w:pPr>
      <w:r w:rsidRPr="00F15667">
        <w:rPr>
          <w:i/>
          <w:iCs/>
          <w:sz w:val="18"/>
          <w:szCs w:val="20"/>
        </w:rPr>
        <w:t>Zdroj: Evropská komise, Srovnávací přehled EU o soudnictví za rok 2022, Fig.(8)</w:t>
      </w:r>
    </w:p>
    <w:p w14:paraId="438A9EC1" w14:textId="77777777" w:rsidR="00391586" w:rsidRPr="00F15667" w:rsidRDefault="00391586" w:rsidP="00391586">
      <w:pPr>
        <w:spacing w:line="240" w:lineRule="auto"/>
        <w:rPr>
          <w:i/>
          <w:iCs/>
          <w:sz w:val="18"/>
          <w:szCs w:val="20"/>
        </w:rPr>
      </w:pPr>
      <w:r w:rsidRPr="00F15667">
        <w:rPr>
          <w:i/>
          <w:iCs/>
          <w:sz w:val="18"/>
          <w:szCs w:val="20"/>
        </w:rPr>
        <w:t>(*) státy jsou seřazeny dle soudu s nejdelším časem, NL: dle doprovodných vysvětlivek v publikaci Evropské komise zahrnuje do výpočtu dispozičního času pro soudy 1. stupně také nesporné věci</w:t>
      </w:r>
    </w:p>
    <w:p w14:paraId="37F92F06" w14:textId="77777777" w:rsidR="00391586" w:rsidRPr="00F15667" w:rsidRDefault="00391586" w:rsidP="00391586">
      <w:pPr>
        <w:pStyle w:val="OdstavecASR"/>
      </w:pPr>
    </w:p>
    <w:p w14:paraId="6D8DDC02" w14:textId="36828396" w:rsidR="00391586" w:rsidRPr="00F15667" w:rsidRDefault="00391586" w:rsidP="00391586">
      <w:pPr>
        <w:pStyle w:val="OdstavecASR"/>
      </w:pPr>
      <w:r w:rsidRPr="00F15667">
        <w:lastRenderedPageBreak/>
        <w:t>Graf vyjadřuje stav disposition time v roce 2020 a pokud bychom jej srovnali s rokem 2019 (srovnání neuveřejňujeme) můžeme konstatovat dvě skutečnosti: (i.) pořadí zemí je ovlivněno dostupností/poskytováním dat jednotlivými zeměmi EU</w:t>
      </w:r>
      <w:r w:rsidR="00496552" w:rsidRPr="00F15667">
        <w:t>,</w:t>
      </w:r>
      <w:r w:rsidR="009E4AFE" w:rsidRPr="00F15667">
        <w:t xml:space="preserve"> </w:t>
      </w:r>
      <w:r w:rsidRPr="00F15667">
        <w:t>kdy data nejsou dostupná buď za celou zemi nebo za některý stupeň soudní soustavy</w:t>
      </w:r>
      <w:r w:rsidR="00496552" w:rsidRPr="00F15667">
        <w:t xml:space="preserve"> </w:t>
      </w:r>
      <w:r w:rsidR="00CF32FA">
        <w:t>–</w:t>
      </w:r>
      <w:r w:rsidR="00496552" w:rsidRPr="00F15667">
        <w:t xml:space="preserve"> pokud data poskytnou 3 země, nikdo nemůže být horší než třetí, </w:t>
      </w:r>
      <w:r w:rsidRPr="00F15667">
        <w:t>a (ii.) u 86</w:t>
      </w:r>
      <w:r w:rsidR="002437B3" w:rsidRPr="00F15667">
        <w:t xml:space="preserve"> </w:t>
      </w:r>
      <w:r w:rsidRPr="00F15667">
        <w:t>% zemí došlo k nárůstu disposition time na prvním stupni, u</w:t>
      </w:r>
      <w:r w:rsidR="00CF32FA">
        <w:t> </w:t>
      </w:r>
      <w:r w:rsidRPr="00F15667">
        <w:t>50</w:t>
      </w:r>
      <w:r w:rsidR="00CF32FA">
        <w:t> </w:t>
      </w:r>
      <w:r w:rsidRPr="00F15667">
        <w:t>% na druhém stupni a u 60</w:t>
      </w:r>
      <w:r w:rsidR="002437B3" w:rsidRPr="00F15667">
        <w:t xml:space="preserve"> </w:t>
      </w:r>
      <w:r w:rsidRPr="00F15667">
        <w:t xml:space="preserve">% na třetím stupni (pohyb udáváme v % zemí právě z důvodu absence dat jak za některý stupeň soudní soustavy tak meziročně; počítáno z počtu zemí, které poskytly data za daný stupeň soudní soustavy jak v roce 2019 tak 2020). </w:t>
      </w:r>
    </w:p>
    <w:p w14:paraId="763E28F7" w14:textId="782BF138" w:rsidR="00391586" w:rsidRPr="00F15667" w:rsidRDefault="00391586" w:rsidP="00391586">
      <w:pPr>
        <w:pStyle w:val="OdstavecASR"/>
      </w:pPr>
      <w:r w:rsidRPr="00F15667">
        <w:t>Dalším ukazatelem efektivnosti, který používáme při srovnání efektivnosti soudní soustavy je počet nevyřízených sporných občanských a obchodních věcí na 100 obyvatel. Graf níže ukazuje, že pořadí zemí EU se nijak zásadně z roku na rok nemění. Proto tento již tradiční graf doplňujeme dalším grafem, ukazujícím poněkud zřetelněji, jakého pokroku jednotlivé země EU dosáhly ve snižování počtu nevyřízených</w:t>
      </w:r>
      <w:r w:rsidR="003F2970" w:rsidRPr="00F15667">
        <w:t xml:space="preserve"> věcí</w:t>
      </w:r>
      <w:r w:rsidRPr="00F15667">
        <w:t xml:space="preserve"> za 10 let, tedy při srovnání roku 2020 s rokem 2010, a to v</w:t>
      </w:r>
      <w:r w:rsidR="00CF32FA">
        <w:t> </w:t>
      </w:r>
      <w:r w:rsidRPr="00F15667">
        <w:t>% zvýšení (snížení) k základně roku 2010.</w:t>
      </w:r>
    </w:p>
    <w:p w14:paraId="49B68FD4" w14:textId="3D83FED0" w:rsidR="00391586" w:rsidRPr="00F15667" w:rsidRDefault="00391586" w:rsidP="00391586">
      <w:pPr>
        <w:pStyle w:val="Podnadpis"/>
        <w:rPr>
          <w:color w:val="auto"/>
          <w:sz w:val="20"/>
        </w:rPr>
      </w:pPr>
      <w:bookmarkStart w:id="1414" w:name="_Toc106106756"/>
      <w:bookmarkStart w:id="1415" w:name="_Toc106194417"/>
      <w:bookmarkStart w:id="1416" w:name="_Toc144104236"/>
      <w:r w:rsidRPr="00F15667">
        <w:rPr>
          <w:color w:val="auto"/>
        </w:rPr>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124</w:t>
      </w:r>
      <w:r w:rsidRPr="00F15667">
        <w:rPr>
          <w:noProof/>
          <w:color w:val="auto"/>
        </w:rPr>
        <w:fldChar w:fldCharType="end"/>
      </w:r>
      <w:r w:rsidRPr="00F15667">
        <w:rPr>
          <w:color w:val="auto"/>
        </w:rPr>
        <w:t xml:space="preserve">: Počet nevyřízených </w:t>
      </w:r>
      <w:bookmarkStart w:id="1417" w:name="_Hlk92907271"/>
      <w:r w:rsidRPr="00F15667">
        <w:rPr>
          <w:color w:val="auto"/>
        </w:rPr>
        <w:t>sporných obč. a obch. věcí</w:t>
      </w:r>
      <w:bookmarkEnd w:id="1417"/>
      <w:r w:rsidRPr="00F15667">
        <w:rPr>
          <w:color w:val="auto"/>
        </w:rPr>
        <w:t xml:space="preserve"> na 100 obyvatel</w:t>
      </w:r>
      <w:bookmarkEnd w:id="1414"/>
      <w:bookmarkEnd w:id="1415"/>
      <w:r w:rsidRPr="00F15667">
        <w:rPr>
          <w:color w:val="auto"/>
        </w:rPr>
        <w:t>, země EU, soudy 1. stupně, 2020</w:t>
      </w:r>
      <w:bookmarkEnd w:id="1416"/>
    </w:p>
    <w:p w14:paraId="7BB89AD8" w14:textId="77777777" w:rsidR="00391586" w:rsidRPr="00F15667" w:rsidRDefault="00391586" w:rsidP="00391586">
      <w:pPr>
        <w:keepNext/>
        <w:spacing w:before="120" w:after="120" w:line="240" w:lineRule="auto"/>
        <w:rPr>
          <w:sz w:val="20"/>
        </w:rPr>
      </w:pPr>
      <w:r w:rsidRPr="00F15667">
        <w:rPr>
          <w:noProof/>
          <w:sz w:val="20"/>
          <w:lang w:eastAsia="cs-CZ"/>
        </w:rPr>
        <w:drawing>
          <wp:inline distT="0" distB="0" distL="0" distR="0" wp14:anchorId="7860F152" wp14:editId="3A16CC5A">
            <wp:extent cx="5760000" cy="2446932"/>
            <wp:effectExtent l="0" t="0" r="0" b="0"/>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760000" cy="2446932"/>
                    </a:xfrm>
                    <a:prstGeom prst="rect">
                      <a:avLst/>
                    </a:prstGeom>
                  </pic:spPr>
                </pic:pic>
              </a:graphicData>
            </a:graphic>
          </wp:inline>
        </w:drawing>
      </w:r>
    </w:p>
    <w:p w14:paraId="741940B5" w14:textId="77777777" w:rsidR="00391586" w:rsidRPr="00F15667" w:rsidRDefault="00391586" w:rsidP="00391586">
      <w:pPr>
        <w:keepNext/>
        <w:spacing w:before="120" w:after="120" w:line="240" w:lineRule="auto"/>
        <w:rPr>
          <w:i/>
          <w:iCs/>
          <w:sz w:val="18"/>
          <w:szCs w:val="20"/>
        </w:rPr>
      </w:pPr>
      <w:r w:rsidRPr="00F15667">
        <w:rPr>
          <w:i/>
          <w:iCs/>
          <w:sz w:val="18"/>
          <w:szCs w:val="20"/>
        </w:rPr>
        <w:t>Zdroj: Evropská komise, Srovnávací přehled EU o soudnictví za rok 2022, Fig.(15)</w:t>
      </w:r>
    </w:p>
    <w:p w14:paraId="07D463DB" w14:textId="77777777" w:rsidR="00391586" w:rsidRPr="00F15667" w:rsidRDefault="00391586" w:rsidP="00892B2B">
      <w:pPr>
        <w:pStyle w:val="OdstavecASR"/>
      </w:pPr>
    </w:p>
    <w:p w14:paraId="7A078506" w14:textId="5D6C81A6" w:rsidR="00391586" w:rsidRPr="00F15667" w:rsidRDefault="00391586" w:rsidP="00391586">
      <w:pPr>
        <w:pStyle w:val="Podnadpis"/>
        <w:rPr>
          <w:color w:val="auto"/>
          <w:sz w:val="20"/>
        </w:rPr>
      </w:pPr>
      <w:bookmarkStart w:id="1418" w:name="_Toc144104237"/>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125</w:t>
      </w:r>
      <w:r w:rsidRPr="00F15667">
        <w:rPr>
          <w:noProof/>
          <w:color w:val="auto"/>
        </w:rPr>
        <w:fldChar w:fldCharType="end"/>
      </w:r>
      <w:r w:rsidRPr="00F15667">
        <w:rPr>
          <w:color w:val="auto"/>
        </w:rPr>
        <w:t>: % změna počtu nevyřízených sporných obč. a obch. věcí na 100 obyvatel, soudy 1. stupně, vybrané země EU 2020 vs. 2010</w:t>
      </w:r>
      <w:bookmarkEnd w:id="1418"/>
    </w:p>
    <w:p w14:paraId="0D87276D" w14:textId="77777777" w:rsidR="00391586" w:rsidRPr="00F15667" w:rsidRDefault="00391586" w:rsidP="00391586">
      <w:pPr>
        <w:pStyle w:val="OdstavecASR"/>
      </w:pPr>
      <w:r w:rsidRPr="00F15667">
        <w:rPr>
          <w:noProof/>
          <w:lang w:eastAsia="cs-CZ"/>
        </w:rPr>
        <w:drawing>
          <wp:inline distT="0" distB="0" distL="0" distR="0" wp14:anchorId="17AA7263" wp14:editId="00F303B4">
            <wp:extent cx="5759450" cy="2879725"/>
            <wp:effectExtent l="0" t="0" r="0" b="0"/>
            <wp:docPr id="232" name="Grafický objekt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extLst>
                        <a:ext uri="{96DAC541-7B7A-43D3-8B79-37D633B846F1}">
                          <asvg:svgBlip xmlns:asvg="http://schemas.microsoft.com/office/drawing/2016/SVG/main" r:embed="rId169"/>
                        </a:ext>
                      </a:extLst>
                    </a:blip>
                    <a:stretch>
                      <a:fillRect/>
                    </a:stretch>
                  </pic:blipFill>
                  <pic:spPr>
                    <a:xfrm>
                      <a:off x="0" y="0"/>
                      <a:ext cx="5759450" cy="2879725"/>
                    </a:xfrm>
                    <a:prstGeom prst="rect">
                      <a:avLst/>
                    </a:prstGeom>
                  </pic:spPr>
                </pic:pic>
              </a:graphicData>
            </a:graphic>
          </wp:inline>
        </w:drawing>
      </w:r>
    </w:p>
    <w:p w14:paraId="150037F9" w14:textId="77777777" w:rsidR="00391586" w:rsidRPr="00F15667" w:rsidRDefault="00391586" w:rsidP="00391586">
      <w:pPr>
        <w:keepNext/>
        <w:spacing w:before="120" w:after="120" w:line="240" w:lineRule="auto"/>
        <w:rPr>
          <w:i/>
          <w:iCs/>
          <w:sz w:val="18"/>
          <w:szCs w:val="20"/>
        </w:rPr>
      </w:pPr>
      <w:r w:rsidRPr="00F15667">
        <w:rPr>
          <w:i/>
          <w:iCs/>
          <w:sz w:val="18"/>
          <w:szCs w:val="20"/>
        </w:rPr>
        <w:t>Zdroj: Evropská komise, Srovnávací přehled EU o soudnictví za rok 2022, Fig.(15), zobrazeny pouze státy EU, u kterých jsou k dispozici data za rok 2010 i rok 2020, vlastní zpracování</w:t>
      </w:r>
    </w:p>
    <w:p w14:paraId="447007D9" w14:textId="77777777" w:rsidR="00391586" w:rsidRPr="00F15667" w:rsidRDefault="00391586" w:rsidP="00391586">
      <w:pPr>
        <w:pStyle w:val="OdstavecASR"/>
      </w:pPr>
      <w:r w:rsidRPr="00F15667">
        <w:t>Na opačných koncích srovnání se ocitli naši sousedé Polsko (PL) a Slovensko (SK). Průměr za v grafu zobrazené státy = - 8%, Medián = - 20% platí pro Českou republiku (CZ) a Švédsko (SE).</w:t>
      </w:r>
    </w:p>
    <w:p w14:paraId="18E9F91C" w14:textId="77777777" w:rsidR="00391586" w:rsidRPr="00F15667" w:rsidRDefault="00391586" w:rsidP="00391586">
      <w:pPr>
        <w:pStyle w:val="OdstavecASR"/>
      </w:pPr>
      <w:r w:rsidRPr="00F15667">
        <w:rPr>
          <w:b/>
          <w:bCs/>
        </w:rPr>
        <w:t>Pokud jde o správní agendu,</w:t>
      </w:r>
      <w:r w:rsidRPr="00F15667">
        <w:t xml:space="preserve"> udržela se Česká republika i v roce 2020 mezi 6 státy EU s nejnižším počtem nevyřízených správních věcí na 100 obyvatel, a to díky pokračující vysoké míře vyřizování správní agendy, viz kapitoly o vnitrostátních datech. Vysoká míra vyřizování byla vykázána i v roce 2021 a tedy opět vyjadřujeme očekávání dobrého umístění ČR mezi státy EU v další hodnotící zprávě Evropské komise. Více o správním soudnictví v ČR v kapitole 3.6.</w:t>
      </w:r>
    </w:p>
    <w:p w14:paraId="63066283" w14:textId="7F9E9D28" w:rsidR="00391586" w:rsidRPr="00F15667" w:rsidRDefault="00391586" w:rsidP="00391586">
      <w:pPr>
        <w:pStyle w:val="OdstavecASR"/>
      </w:pPr>
      <w:r w:rsidRPr="00F15667">
        <w:t xml:space="preserve">Srovnávací přehled EU o soudnictví (EU Justice Scoreboard) samozřejmě obsahuje mnoho dalších dat. Stáhnout ho lze na stránkách Evropské unie </w:t>
      </w:r>
      <w:hyperlink r:id="rId170" w:history="1">
        <w:r w:rsidRPr="0013286A">
          <w:rPr>
            <w:rStyle w:val="Hypertextovodkaz"/>
          </w:rPr>
          <w:t>https://commission.europa.eu/strategy-and-policy/policies/justice-and-fundamental-rights/upholding-rule-law/eu-justice-scoreboard_en</w:t>
        </w:r>
      </w:hyperlink>
      <w:r w:rsidRPr="00F15667">
        <w:t>.</w:t>
      </w:r>
    </w:p>
    <w:p w14:paraId="6179B5BA" w14:textId="77777777" w:rsidR="00391586" w:rsidRPr="00F15667" w:rsidRDefault="00391586" w:rsidP="00391586">
      <w:pPr>
        <w:pStyle w:val="Nadpis3"/>
        <w:numPr>
          <w:ilvl w:val="2"/>
          <w:numId w:val="1"/>
        </w:numPr>
        <w:rPr>
          <w:color w:val="auto"/>
        </w:rPr>
      </w:pPr>
      <w:bookmarkStart w:id="1419" w:name="_Toc144104448"/>
      <w:r w:rsidRPr="00F15667">
        <w:rPr>
          <w:color w:val="auto"/>
          <w:lang w:eastAsia="cs-CZ"/>
        </w:rPr>
        <w:t>Rozvodovost</w:t>
      </w:r>
      <w:bookmarkEnd w:id="1419"/>
    </w:p>
    <w:p w14:paraId="153D9623" w14:textId="05C70BFA" w:rsidR="00391586" w:rsidRPr="00F15667" w:rsidRDefault="00391586" w:rsidP="00391586">
      <w:pPr>
        <w:pStyle w:val="OdstavecASR"/>
      </w:pPr>
      <w:r w:rsidRPr="00F15667">
        <w:t>V letošním vydání výroční statistické zprávy upouštíme od statistických dat kriminality a k datům o rozvodovém řízení uvedeným v kapitole o okresních soudech uvádíme data o rozvodovosti za celou EU(*) pro získání celkového pohledu na postavení ČR. Používáme ukazatel Hrubá míra rozvodovosti, (</w:t>
      </w:r>
      <w:r w:rsidRPr="002734FA">
        <w:t xml:space="preserve">Crude </w:t>
      </w:r>
      <w:r w:rsidR="005F5119" w:rsidRPr="002734FA">
        <w:t xml:space="preserve">divorce </w:t>
      </w:r>
      <w:r w:rsidRPr="002734FA">
        <w:t>rate</w:t>
      </w:r>
      <w:r w:rsidRPr="00F15667">
        <w:t>) tj. počet rozvodů na 1</w:t>
      </w:r>
      <w:r w:rsidR="00E75398">
        <w:t> </w:t>
      </w:r>
      <w:r w:rsidRPr="00F15667">
        <w:t>000 obyvatel středního stavu a využíváme v grafu data, která jsou k dispozici na webových stránkách ČSÚ a Eurostatu.</w:t>
      </w:r>
    </w:p>
    <w:p w14:paraId="76B56FF6" w14:textId="46502D1C" w:rsidR="00391586" w:rsidRPr="00F15667" w:rsidRDefault="00391586" w:rsidP="00391586">
      <w:pPr>
        <w:pStyle w:val="OdstavecASR"/>
      </w:pPr>
      <w:r w:rsidRPr="00F15667">
        <w:t>Česká republika má dlouhodobě výrazně vyšší hrubou míru rozvodovosti než je průměr EU (šestá příčka v roce 2020 s hodnotou 2,0) , ale nejvyšších hodnot 2,7 dosáhly v rámci EU v roce 2020 shodně Dánsko, Lotyšsko a Litva následovány Švédskem a Finskem (2,5 a 2,4). Na opačném konci EU jsou Malta a Slovinsko (0,5 a 0,8). Dobře je situace vidět na mapě Evropy s vynesenými daty za rok 2020. Pro zajímavost jsme do mapy zahrnuli všechny státy Evropy, které data poskytly a je opravdu škoda, že údaje za některé státy chybí.</w:t>
      </w:r>
    </w:p>
    <w:p w14:paraId="299539DD" w14:textId="18EB7A33" w:rsidR="00391586" w:rsidRPr="00F15667" w:rsidRDefault="00391586" w:rsidP="00391586">
      <w:pPr>
        <w:pStyle w:val="Podnadpis"/>
        <w:rPr>
          <w:color w:val="auto"/>
        </w:rPr>
      </w:pPr>
      <w:bookmarkStart w:id="1420" w:name="_Toc144104238"/>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126</w:t>
      </w:r>
      <w:r w:rsidRPr="00F15667">
        <w:rPr>
          <w:noProof/>
          <w:color w:val="auto"/>
        </w:rPr>
        <w:fldChar w:fldCharType="end"/>
      </w:r>
      <w:r w:rsidRPr="00F15667">
        <w:rPr>
          <w:color w:val="auto"/>
        </w:rPr>
        <w:t>: Hrubá míra rozvodovosti, 2020</w:t>
      </w:r>
      <w:bookmarkEnd w:id="1420"/>
    </w:p>
    <w:p w14:paraId="21DFA3D2" w14:textId="77777777" w:rsidR="00391586" w:rsidRPr="00F15667" w:rsidRDefault="00391586" w:rsidP="00391586">
      <w:r w:rsidRPr="00F15667">
        <w:rPr>
          <w:noProof/>
          <w:lang w:eastAsia="cs-CZ"/>
        </w:rPr>
        <w:drawing>
          <wp:inline distT="0" distB="0" distL="0" distR="0" wp14:anchorId="05E1CBAA" wp14:editId="424EDFDF">
            <wp:extent cx="5760000" cy="3936108"/>
            <wp:effectExtent l="0" t="0" r="0" b="7620"/>
            <wp:docPr id="260" name="Obráze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760000" cy="3936108"/>
                    </a:xfrm>
                    <a:prstGeom prst="rect">
                      <a:avLst/>
                    </a:prstGeom>
                  </pic:spPr>
                </pic:pic>
              </a:graphicData>
            </a:graphic>
          </wp:inline>
        </w:drawing>
      </w:r>
    </w:p>
    <w:p w14:paraId="1B9C817D" w14:textId="77777777" w:rsidR="00391586" w:rsidRPr="00F15667" w:rsidRDefault="00391586" w:rsidP="00391586">
      <w:pPr>
        <w:rPr>
          <w:i/>
          <w:iCs/>
          <w:sz w:val="18"/>
          <w:szCs w:val="18"/>
        </w:rPr>
      </w:pPr>
      <w:r w:rsidRPr="00F15667">
        <w:rPr>
          <w:i/>
          <w:iCs/>
          <w:sz w:val="18"/>
          <w:szCs w:val="18"/>
        </w:rPr>
        <w:t>Zdroj: viz konec kapitoly</w:t>
      </w:r>
    </w:p>
    <w:p w14:paraId="5E2055DA" w14:textId="77777777" w:rsidR="00391586" w:rsidRPr="00F15667" w:rsidRDefault="00391586" w:rsidP="00391586">
      <w:pPr>
        <w:pStyle w:val="OdstavecASR"/>
      </w:pPr>
    </w:p>
    <w:p w14:paraId="6D28BC8F" w14:textId="1B4E99DB" w:rsidR="00391586" w:rsidRPr="00F15667" w:rsidRDefault="00391586" w:rsidP="00391586">
      <w:pPr>
        <w:pStyle w:val="OdstavecASR"/>
      </w:pPr>
      <w:r w:rsidRPr="00F15667">
        <w:t>Modrá křivka na dalším grafu se zdá vykazovat velmi výrazný pokles hrubé míry rozvodovosti v celé EU</w:t>
      </w:r>
      <w:r w:rsidR="0092033A" w:rsidRPr="00F15667">
        <w:t xml:space="preserve"> v</w:t>
      </w:r>
      <w:r w:rsidR="0002013C" w:rsidRPr="00F15667">
        <w:t> roce 2020</w:t>
      </w:r>
      <w:r w:rsidRPr="00F15667">
        <w:t xml:space="preserve">, přičemž pokles vykazují také všechny státy střední Evropy </w:t>
      </w:r>
      <w:r w:rsidRPr="00F15667">
        <w:rPr>
          <w:rStyle w:val="Znakapoznpodarou"/>
        </w:rPr>
        <w:footnoteReference w:id="20"/>
      </w:r>
      <w:r w:rsidRPr="00F15667">
        <w:t>. Podobných poklesů je však možno na znázorněných křivkách nalézt více, takže je otázkou, zda existuje nějaká souvislost s pandemií Covid-19.</w:t>
      </w:r>
    </w:p>
    <w:p w14:paraId="4ED6BA00" w14:textId="77777777" w:rsidR="00391586" w:rsidRPr="00F15667" w:rsidRDefault="00391586" w:rsidP="00391586">
      <w:pPr>
        <w:pStyle w:val="OdstavecASR"/>
      </w:pPr>
      <w:r w:rsidRPr="00F15667">
        <w:rPr>
          <w:noProof/>
          <w:lang w:eastAsia="cs-CZ"/>
        </w:rPr>
        <w:lastRenderedPageBreak/>
        <w:drawing>
          <wp:inline distT="0" distB="0" distL="0" distR="0" wp14:anchorId="66EF4C4D" wp14:editId="054F2235">
            <wp:extent cx="5759450" cy="2280920"/>
            <wp:effectExtent l="0" t="0" r="0" b="5080"/>
            <wp:docPr id="246" name="Grafický objekt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extLst>
                        <a:ext uri="{96DAC541-7B7A-43D3-8B79-37D633B846F1}">
                          <asvg:svgBlip xmlns:asvg="http://schemas.microsoft.com/office/drawing/2016/SVG/main" r:embed="rId173"/>
                        </a:ext>
                      </a:extLst>
                    </a:blip>
                    <a:stretch>
                      <a:fillRect/>
                    </a:stretch>
                  </pic:blipFill>
                  <pic:spPr>
                    <a:xfrm>
                      <a:off x="0" y="0"/>
                      <a:ext cx="5759450" cy="2280920"/>
                    </a:xfrm>
                    <a:prstGeom prst="rect">
                      <a:avLst/>
                    </a:prstGeom>
                  </pic:spPr>
                </pic:pic>
              </a:graphicData>
            </a:graphic>
          </wp:inline>
        </w:drawing>
      </w:r>
    </w:p>
    <w:p w14:paraId="1EAA7C2D" w14:textId="77777777" w:rsidR="00391586" w:rsidRPr="00F15667" w:rsidRDefault="00391586" w:rsidP="00391586">
      <w:pPr>
        <w:rPr>
          <w:i/>
          <w:iCs/>
          <w:sz w:val="18"/>
          <w:szCs w:val="18"/>
        </w:rPr>
      </w:pPr>
      <w:r w:rsidRPr="00F15667">
        <w:rPr>
          <w:i/>
          <w:iCs/>
          <w:sz w:val="18"/>
          <w:szCs w:val="18"/>
        </w:rPr>
        <w:t>Zdroj: viz konec kapitoly, (*) data EU jsou přepočítána pro 27 států tvořících EU v roce 2020</w:t>
      </w:r>
    </w:p>
    <w:p w14:paraId="0D6A8C96" w14:textId="77777777" w:rsidR="00391586" w:rsidRPr="00892B2B" w:rsidRDefault="00391586" w:rsidP="00892B2B">
      <w:pPr>
        <w:pStyle w:val="OdstavecASR"/>
      </w:pPr>
    </w:p>
    <w:p w14:paraId="4BA01FD9" w14:textId="189851F5" w:rsidR="00391586" w:rsidRPr="00F15667" w:rsidRDefault="00391586" w:rsidP="00391586">
      <w:pPr>
        <w:pStyle w:val="OdstavecASR"/>
        <w:rPr>
          <w:i/>
          <w:iCs/>
          <w:sz w:val="18"/>
          <w:szCs w:val="16"/>
        </w:rPr>
      </w:pPr>
      <w:r w:rsidRPr="00F15667">
        <w:t>Naši sousedé se po 20 letech „sjednotil</w:t>
      </w:r>
      <w:r w:rsidR="00105367" w:rsidRPr="00F15667">
        <w:t>i</w:t>
      </w:r>
      <w:r w:rsidRPr="00F15667">
        <w:t>“ mezi hodnotami 1,4 – 1,7 rozvodu na 1 000 obyvatel. ČR se k nim postupně přibližuje s hodnotou 2,0 v roce 2020.</w:t>
      </w:r>
    </w:p>
    <w:p w14:paraId="58F29B00" w14:textId="77777777" w:rsidR="00391586" w:rsidRPr="00F15667" w:rsidRDefault="00391586" w:rsidP="00391586">
      <w:pPr>
        <w:pStyle w:val="OdstavecASR"/>
      </w:pPr>
      <w:r w:rsidRPr="00F15667">
        <w:rPr>
          <w:noProof/>
          <w:lang w:eastAsia="cs-CZ"/>
        </w:rPr>
        <w:drawing>
          <wp:inline distT="0" distB="0" distL="0" distR="0" wp14:anchorId="47E004E0" wp14:editId="7827D2FF">
            <wp:extent cx="5759450" cy="2280920"/>
            <wp:effectExtent l="0" t="0" r="0" b="5080"/>
            <wp:docPr id="253" name="Grafický objekt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extLst>
                        <a:ext uri="{96DAC541-7B7A-43D3-8B79-37D633B846F1}">
                          <asvg:svgBlip xmlns:asvg="http://schemas.microsoft.com/office/drawing/2016/SVG/main" r:embed="rId175"/>
                        </a:ext>
                      </a:extLst>
                    </a:blip>
                    <a:stretch>
                      <a:fillRect/>
                    </a:stretch>
                  </pic:blipFill>
                  <pic:spPr>
                    <a:xfrm>
                      <a:off x="0" y="0"/>
                      <a:ext cx="5759450" cy="2280920"/>
                    </a:xfrm>
                    <a:prstGeom prst="rect">
                      <a:avLst/>
                    </a:prstGeom>
                  </pic:spPr>
                </pic:pic>
              </a:graphicData>
            </a:graphic>
          </wp:inline>
        </w:drawing>
      </w:r>
    </w:p>
    <w:p w14:paraId="6E3140AA" w14:textId="77777777" w:rsidR="00391586" w:rsidRPr="00F15667" w:rsidRDefault="00391586" w:rsidP="00391586">
      <w:pPr>
        <w:rPr>
          <w:i/>
          <w:iCs/>
          <w:sz w:val="18"/>
          <w:szCs w:val="18"/>
        </w:rPr>
      </w:pPr>
      <w:r w:rsidRPr="00F15667">
        <w:rPr>
          <w:i/>
          <w:iCs/>
          <w:sz w:val="18"/>
          <w:szCs w:val="18"/>
        </w:rPr>
        <w:t>Zdroj: viz konec kapitoly</w:t>
      </w:r>
    </w:p>
    <w:p w14:paraId="728AA8A6" w14:textId="77777777" w:rsidR="00391586" w:rsidRPr="00F15667" w:rsidRDefault="00391586" w:rsidP="00391586">
      <w:pPr>
        <w:pStyle w:val="OdstavecASR"/>
      </w:pPr>
    </w:p>
    <w:p w14:paraId="4C74E1EA" w14:textId="6DA41D6E" w:rsidR="00391586" w:rsidRDefault="00391586" w:rsidP="00391586">
      <w:pPr>
        <w:pStyle w:val="OdstavecASR"/>
      </w:pPr>
      <w:r w:rsidRPr="00F15667">
        <w:t>Ukazatel hrubé míry rozvodovosti je však přinejmenším ovlivněn například i tím, kolik manželství v dané zemi v daný rok existuje, tedy kolik se jich může ve skutečnosti rozvést. Doplnění ukazatele rozvodovosti, jako podílu rozvedených manželství z celkem existujících v daném roce a dané zemi se však ukázalo jako poněkud obtížné vzhledem k až překvapujícímu množství absencí dat o počtu manželství za mnoho států v databázích Eurostatu. Tomu odpovídá i dosti prořídlá mapa Evropy.  U zemí, kde data jsou k dispozici lze však konstatovat, že v roce 2020 se rozvedlo od 4,6 (Slovinsko) do 15,2 (Švédsko) manželství z tisíce existujících a geografické rozložení v zásadě odpovídá mapě s hrubou mírou rozvodovosti.</w:t>
      </w:r>
    </w:p>
    <w:p w14:paraId="2D749C7C" w14:textId="77777777" w:rsidR="00892B2B" w:rsidRPr="00F15667" w:rsidRDefault="00892B2B" w:rsidP="00391586">
      <w:pPr>
        <w:pStyle w:val="OdstavecASR"/>
      </w:pPr>
    </w:p>
    <w:p w14:paraId="3B0BA05B" w14:textId="171B8F45" w:rsidR="00391586" w:rsidRPr="00F15667" w:rsidRDefault="00391586" w:rsidP="00391586">
      <w:pPr>
        <w:pStyle w:val="Podnadpis"/>
        <w:rPr>
          <w:color w:val="auto"/>
        </w:rPr>
      </w:pPr>
      <w:bookmarkStart w:id="1421" w:name="_Toc144104239"/>
      <w:r w:rsidRPr="00F15667">
        <w:rPr>
          <w:color w:val="auto"/>
        </w:rPr>
        <w:lastRenderedPageBreak/>
        <w:t xml:space="preserve">Graf </w:t>
      </w:r>
      <w:r w:rsidRPr="00F15667">
        <w:rPr>
          <w:color w:val="auto"/>
        </w:rPr>
        <w:fldChar w:fldCharType="begin"/>
      </w:r>
      <w:r w:rsidRPr="00F15667">
        <w:rPr>
          <w:color w:val="auto"/>
        </w:rPr>
        <w:instrText xml:space="preserve"> SEQ Graf \* ARABIC </w:instrText>
      </w:r>
      <w:r w:rsidRPr="00F15667">
        <w:rPr>
          <w:color w:val="auto"/>
        </w:rPr>
        <w:fldChar w:fldCharType="separate"/>
      </w:r>
      <w:r w:rsidR="001E1A67">
        <w:rPr>
          <w:noProof/>
          <w:color w:val="auto"/>
        </w:rPr>
        <w:t>127</w:t>
      </w:r>
      <w:r w:rsidRPr="00F15667">
        <w:rPr>
          <w:noProof/>
          <w:color w:val="auto"/>
        </w:rPr>
        <w:fldChar w:fldCharType="end"/>
      </w:r>
      <w:r w:rsidRPr="00F15667">
        <w:rPr>
          <w:color w:val="auto"/>
        </w:rPr>
        <w:t>: Podíl rozvedených manželství z celkem existujících (*), 2020</w:t>
      </w:r>
      <w:bookmarkEnd w:id="1421"/>
    </w:p>
    <w:p w14:paraId="2602BF93" w14:textId="614F1983" w:rsidR="0002013C" w:rsidRPr="00F15667" w:rsidRDefault="0002013C" w:rsidP="00391586">
      <w:pPr>
        <w:pStyle w:val="OdstavecASR"/>
      </w:pPr>
      <w:r w:rsidRPr="00F15667">
        <w:rPr>
          <w:noProof/>
          <w:lang w:eastAsia="cs-CZ"/>
        </w:rPr>
        <w:drawing>
          <wp:inline distT="0" distB="0" distL="0" distR="0" wp14:anchorId="3292B30C" wp14:editId="6D1D26FA">
            <wp:extent cx="5759450" cy="3904615"/>
            <wp:effectExtent l="0" t="0" r="0" b="635"/>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759450" cy="3904615"/>
                    </a:xfrm>
                    <a:prstGeom prst="rect">
                      <a:avLst/>
                    </a:prstGeom>
                  </pic:spPr>
                </pic:pic>
              </a:graphicData>
            </a:graphic>
          </wp:inline>
        </w:drawing>
      </w:r>
    </w:p>
    <w:p w14:paraId="5294B690" w14:textId="1FA34230" w:rsidR="00391586" w:rsidRPr="0013286A" w:rsidRDefault="00391586" w:rsidP="00391586">
      <w:pPr>
        <w:pStyle w:val="OdstavecASR"/>
        <w:jc w:val="left"/>
        <w:rPr>
          <w:sz w:val="18"/>
          <w:szCs w:val="18"/>
        </w:rPr>
      </w:pPr>
      <w:r w:rsidRPr="00F15667">
        <w:rPr>
          <w:sz w:val="18"/>
          <w:szCs w:val="18"/>
        </w:rPr>
        <w:t xml:space="preserve">Zdroj: Eurostat, interaktivní data: </w:t>
      </w:r>
      <w:hyperlink r:id="rId177" w:history="1">
        <w:r w:rsidRPr="0013286A">
          <w:rPr>
            <w:rStyle w:val="Hypertextovodkaz"/>
            <w:sz w:val="18"/>
            <w:szCs w:val="18"/>
          </w:rPr>
          <w:t>https://www.czso.cz/staticke/cz/app_estat/demografie_evropy_2021/CZ_CS_demography_final_core/CZ_CS_demography_final_core/bloc-1a.html?lang=cs</w:t>
        </w:r>
      </w:hyperlink>
    </w:p>
    <w:p w14:paraId="2E2C84F6" w14:textId="552F0161" w:rsidR="00391586" w:rsidRPr="0013286A" w:rsidRDefault="00391586" w:rsidP="00391586">
      <w:pPr>
        <w:pStyle w:val="OdstavecASR"/>
        <w:jc w:val="left"/>
        <w:rPr>
          <w:sz w:val="18"/>
          <w:szCs w:val="18"/>
        </w:rPr>
      </w:pPr>
      <w:r w:rsidRPr="0013286A">
        <w:rPr>
          <w:sz w:val="18"/>
          <w:szCs w:val="18"/>
        </w:rPr>
        <w:t xml:space="preserve">Přístup k datovému souboru rozvodovosti: </w:t>
      </w:r>
      <w:hyperlink r:id="rId178" w:history="1">
        <w:r w:rsidRPr="0013286A">
          <w:rPr>
            <w:rStyle w:val="Hypertextovodkaz"/>
            <w:sz w:val="18"/>
            <w:szCs w:val="18"/>
          </w:rPr>
          <w:t>https://ec.europa.eu/eurostat/databrowser/view/DEMO_NDIVIND__custom_685155/bookmark/table?lang=en&amp;bookmarkId=cc90d043-4364-4937-99df-d356174f973b</w:t>
        </w:r>
      </w:hyperlink>
    </w:p>
    <w:p w14:paraId="7CF59240" w14:textId="0754CD32" w:rsidR="00391586" w:rsidRPr="0013286A" w:rsidRDefault="00391586" w:rsidP="00391586">
      <w:pPr>
        <w:pStyle w:val="OdstavecASR"/>
        <w:jc w:val="left"/>
        <w:rPr>
          <w:rStyle w:val="Hypertextovodkaz"/>
          <w:sz w:val="18"/>
          <w:szCs w:val="18"/>
        </w:rPr>
      </w:pPr>
      <w:r w:rsidRPr="0013286A">
        <w:rPr>
          <w:sz w:val="18"/>
          <w:szCs w:val="18"/>
        </w:rPr>
        <w:t xml:space="preserve">(*) Přístup k datovému souboru rodinný stav (počet vdaných žen) – počet vdaných žen je použit jako počet existujících manželství, protože počet vdaných žen a ženatých mužů není v žádné roce stejný): </w:t>
      </w:r>
      <w:hyperlink r:id="rId179" w:history="1">
        <w:r w:rsidRPr="0013286A">
          <w:rPr>
            <w:rStyle w:val="Hypertextovodkaz"/>
            <w:sz w:val="18"/>
            <w:szCs w:val="18"/>
          </w:rPr>
          <w:t>https://ec.europa.eu/eurostat/databrowser/view/DEMO_PJANMARSTA__custom_5324008/default/table</w:t>
        </w:r>
      </w:hyperlink>
    </w:p>
    <w:p w14:paraId="21B4DCFD" w14:textId="77777777" w:rsidR="00B416C4" w:rsidRPr="00892B2B" w:rsidRDefault="00B416C4" w:rsidP="00892B2B">
      <w:pPr>
        <w:pStyle w:val="OdstavecASR"/>
      </w:pPr>
      <w:bookmarkStart w:id="1422" w:name="_Toc487791314"/>
      <w:bookmarkStart w:id="1423" w:name="_Toc106092832"/>
      <w:r w:rsidRPr="00F15667">
        <w:br w:type="page"/>
      </w:r>
    </w:p>
    <w:p w14:paraId="45BF9F08" w14:textId="29AAAA16" w:rsidR="008430BD" w:rsidRPr="00F15667" w:rsidRDefault="008430BD" w:rsidP="005D25EA">
      <w:pPr>
        <w:pStyle w:val="Nadpis1"/>
        <w:tabs>
          <w:tab w:val="left" w:pos="3105"/>
        </w:tabs>
      </w:pPr>
      <w:bookmarkStart w:id="1424" w:name="_Toc144104449"/>
      <w:r w:rsidRPr="00F15667">
        <w:lastRenderedPageBreak/>
        <w:t>Seznam grafů</w:t>
      </w:r>
      <w:bookmarkEnd w:id="1422"/>
      <w:bookmarkEnd w:id="1423"/>
      <w:bookmarkEnd w:id="1424"/>
    </w:p>
    <w:p w14:paraId="6ECF05EA" w14:textId="232522A0" w:rsidR="00D4102B" w:rsidRDefault="008430BD">
      <w:pPr>
        <w:pStyle w:val="Seznamobrzk"/>
        <w:tabs>
          <w:tab w:val="right" w:leader="dot" w:pos="9062"/>
        </w:tabs>
        <w:rPr>
          <w:rFonts w:asciiTheme="minorHAnsi" w:eastAsiaTheme="minorEastAsia" w:hAnsiTheme="minorHAnsi" w:cstheme="minorBidi"/>
          <w:noProof/>
          <w:sz w:val="22"/>
          <w:lang w:eastAsia="cs-CZ"/>
        </w:rPr>
      </w:pPr>
      <w:r w:rsidRPr="00F15667">
        <w:fldChar w:fldCharType="begin"/>
      </w:r>
      <w:r w:rsidRPr="00F15667">
        <w:instrText xml:space="preserve"> TOC \h \z \c "Graf" </w:instrText>
      </w:r>
      <w:r w:rsidRPr="00F15667">
        <w:fldChar w:fldCharType="separate"/>
      </w:r>
      <w:hyperlink w:anchor="_Toc144104113" w:history="1">
        <w:r w:rsidR="00D4102B" w:rsidRPr="00C22AE8">
          <w:rPr>
            <w:rStyle w:val="Hypertextovodkaz"/>
            <w:noProof/>
          </w:rPr>
          <w:t>Graf 1: OS – počet soudců v letech 2008–2022</w:t>
        </w:r>
        <w:r w:rsidR="00D4102B">
          <w:rPr>
            <w:noProof/>
            <w:webHidden/>
          </w:rPr>
          <w:tab/>
        </w:r>
        <w:r w:rsidR="00D4102B">
          <w:rPr>
            <w:noProof/>
            <w:webHidden/>
          </w:rPr>
          <w:fldChar w:fldCharType="begin"/>
        </w:r>
        <w:r w:rsidR="00D4102B">
          <w:rPr>
            <w:noProof/>
            <w:webHidden/>
          </w:rPr>
          <w:instrText xml:space="preserve"> PAGEREF _Toc144104113 \h </w:instrText>
        </w:r>
        <w:r w:rsidR="00D4102B">
          <w:rPr>
            <w:noProof/>
            <w:webHidden/>
          </w:rPr>
        </w:r>
        <w:r w:rsidR="00D4102B">
          <w:rPr>
            <w:noProof/>
            <w:webHidden/>
          </w:rPr>
          <w:fldChar w:fldCharType="separate"/>
        </w:r>
        <w:r w:rsidR="001E1A67">
          <w:rPr>
            <w:noProof/>
            <w:webHidden/>
          </w:rPr>
          <w:t>11</w:t>
        </w:r>
        <w:r w:rsidR="00D4102B">
          <w:rPr>
            <w:noProof/>
            <w:webHidden/>
          </w:rPr>
          <w:fldChar w:fldCharType="end"/>
        </w:r>
      </w:hyperlink>
    </w:p>
    <w:p w14:paraId="1722CCC9" w14:textId="49D3ABB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14" w:history="1">
        <w:r w:rsidR="00D4102B" w:rsidRPr="00C22AE8">
          <w:rPr>
            <w:rStyle w:val="Hypertextovodkaz"/>
            <w:noProof/>
          </w:rPr>
          <w:t>Graf 2: OS – evidenční počet soudců dle soudních úseků v letech 2008–2022</w:t>
        </w:r>
        <w:r w:rsidR="00D4102B">
          <w:rPr>
            <w:noProof/>
            <w:webHidden/>
          </w:rPr>
          <w:tab/>
        </w:r>
        <w:r w:rsidR="00D4102B">
          <w:rPr>
            <w:noProof/>
            <w:webHidden/>
          </w:rPr>
          <w:fldChar w:fldCharType="begin"/>
        </w:r>
        <w:r w:rsidR="00D4102B">
          <w:rPr>
            <w:noProof/>
            <w:webHidden/>
          </w:rPr>
          <w:instrText xml:space="preserve"> PAGEREF _Toc144104114 \h </w:instrText>
        </w:r>
        <w:r w:rsidR="00D4102B">
          <w:rPr>
            <w:noProof/>
            <w:webHidden/>
          </w:rPr>
        </w:r>
        <w:r w:rsidR="00D4102B">
          <w:rPr>
            <w:noProof/>
            <w:webHidden/>
          </w:rPr>
          <w:fldChar w:fldCharType="separate"/>
        </w:r>
        <w:r w:rsidR="001E1A67">
          <w:rPr>
            <w:noProof/>
            <w:webHidden/>
          </w:rPr>
          <w:t>13</w:t>
        </w:r>
        <w:r w:rsidR="00D4102B">
          <w:rPr>
            <w:noProof/>
            <w:webHidden/>
          </w:rPr>
          <w:fldChar w:fldCharType="end"/>
        </w:r>
      </w:hyperlink>
    </w:p>
    <w:p w14:paraId="2D16E85A" w14:textId="32C5995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15" w:history="1">
        <w:r w:rsidR="00D4102B" w:rsidRPr="00C22AE8">
          <w:rPr>
            <w:rStyle w:val="Hypertextovodkaz"/>
            <w:noProof/>
          </w:rPr>
          <w:t>Graf 3: OS – evidenční počet soudců u jednotlivých soudů</w:t>
        </w:r>
        <w:r w:rsidR="00D4102B">
          <w:rPr>
            <w:noProof/>
            <w:webHidden/>
          </w:rPr>
          <w:tab/>
        </w:r>
        <w:r w:rsidR="00D4102B">
          <w:rPr>
            <w:noProof/>
            <w:webHidden/>
          </w:rPr>
          <w:fldChar w:fldCharType="begin"/>
        </w:r>
        <w:r w:rsidR="00D4102B">
          <w:rPr>
            <w:noProof/>
            <w:webHidden/>
          </w:rPr>
          <w:instrText xml:space="preserve"> PAGEREF _Toc144104115 \h </w:instrText>
        </w:r>
        <w:r w:rsidR="00D4102B">
          <w:rPr>
            <w:noProof/>
            <w:webHidden/>
          </w:rPr>
        </w:r>
        <w:r w:rsidR="00D4102B">
          <w:rPr>
            <w:noProof/>
            <w:webHidden/>
          </w:rPr>
          <w:fldChar w:fldCharType="separate"/>
        </w:r>
        <w:r w:rsidR="001E1A67">
          <w:rPr>
            <w:noProof/>
            <w:webHidden/>
          </w:rPr>
          <w:t>14</w:t>
        </w:r>
        <w:r w:rsidR="00D4102B">
          <w:rPr>
            <w:noProof/>
            <w:webHidden/>
          </w:rPr>
          <w:fldChar w:fldCharType="end"/>
        </w:r>
      </w:hyperlink>
    </w:p>
    <w:p w14:paraId="62DC9A69" w14:textId="09E8050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16" w:history="1">
        <w:r w:rsidR="00D4102B" w:rsidRPr="00C22AE8">
          <w:rPr>
            <w:rStyle w:val="Hypertextovodkaz"/>
            <w:noProof/>
          </w:rPr>
          <w:t>Graf 4: OS – evidenční počet soudců dle pohlaví v letech 2008–2022</w:t>
        </w:r>
        <w:r w:rsidR="00D4102B">
          <w:rPr>
            <w:noProof/>
            <w:webHidden/>
          </w:rPr>
          <w:tab/>
        </w:r>
        <w:r w:rsidR="00D4102B">
          <w:rPr>
            <w:noProof/>
            <w:webHidden/>
          </w:rPr>
          <w:fldChar w:fldCharType="begin"/>
        </w:r>
        <w:r w:rsidR="00D4102B">
          <w:rPr>
            <w:noProof/>
            <w:webHidden/>
          </w:rPr>
          <w:instrText xml:space="preserve"> PAGEREF _Toc144104116 \h </w:instrText>
        </w:r>
        <w:r w:rsidR="00D4102B">
          <w:rPr>
            <w:noProof/>
            <w:webHidden/>
          </w:rPr>
        </w:r>
        <w:r w:rsidR="00D4102B">
          <w:rPr>
            <w:noProof/>
            <w:webHidden/>
          </w:rPr>
          <w:fldChar w:fldCharType="separate"/>
        </w:r>
        <w:r w:rsidR="001E1A67">
          <w:rPr>
            <w:noProof/>
            <w:webHidden/>
          </w:rPr>
          <w:t>14</w:t>
        </w:r>
        <w:r w:rsidR="00D4102B">
          <w:rPr>
            <w:noProof/>
            <w:webHidden/>
          </w:rPr>
          <w:fldChar w:fldCharType="end"/>
        </w:r>
      </w:hyperlink>
    </w:p>
    <w:p w14:paraId="441CA68E" w14:textId="41E2FE1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17" w:history="1">
        <w:r w:rsidR="00D4102B" w:rsidRPr="00C22AE8">
          <w:rPr>
            <w:rStyle w:val="Hypertextovodkaz"/>
            <w:noProof/>
          </w:rPr>
          <w:t>Graf 5: OS – věková struktura soudců v letech 2008–2022</w:t>
        </w:r>
        <w:r w:rsidR="00D4102B">
          <w:rPr>
            <w:noProof/>
            <w:webHidden/>
          </w:rPr>
          <w:tab/>
        </w:r>
        <w:r w:rsidR="00D4102B">
          <w:rPr>
            <w:noProof/>
            <w:webHidden/>
          </w:rPr>
          <w:fldChar w:fldCharType="begin"/>
        </w:r>
        <w:r w:rsidR="00D4102B">
          <w:rPr>
            <w:noProof/>
            <w:webHidden/>
          </w:rPr>
          <w:instrText xml:space="preserve"> PAGEREF _Toc144104117 \h </w:instrText>
        </w:r>
        <w:r w:rsidR="00D4102B">
          <w:rPr>
            <w:noProof/>
            <w:webHidden/>
          </w:rPr>
        </w:r>
        <w:r w:rsidR="00D4102B">
          <w:rPr>
            <w:noProof/>
            <w:webHidden/>
          </w:rPr>
          <w:fldChar w:fldCharType="separate"/>
        </w:r>
        <w:r w:rsidR="001E1A67">
          <w:rPr>
            <w:noProof/>
            <w:webHidden/>
          </w:rPr>
          <w:t>16</w:t>
        </w:r>
        <w:r w:rsidR="00D4102B">
          <w:rPr>
            <w:noProof/>
            <w:webHidden/>
          </w:rPr>
          <w:fldChar w:fldCharType="end"/>
        </w:r>
      </w:hyperlink>
    </w:p>
    <w:p w14:paraId="1A2E6B75" w14:textId="5559D4F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18" w:history="1">
        <w:r w:rsidR="00D4102B" w:rsidRPr="00C22AE8">
          <w:rPr>
            <w:rStyle w:val="Hypertextovodkaz"/>
            <w:noProof/>
          </w:rPr>
          <w:t>Graf 6: OS – délka civilního řízení v letech 2008–2022</w:t>
        </w:r>
        <w:r w:rsidR="00D4102B">
          <w:rPr>
            <w:noProof/>
            <w:webHidden/>
          </w:rPr>
          <w:tab/>
        </w:r>
        <w:r w:rsidR="00D4102B">
          <w:rPr>
            <w:noProof/>
            <w:webHidden/>
          </w:rPr>
          <w:fldChar w:fldCharType="begin"/>
        </w:r>
        <w:r w:rsidR="00D4102B">
          <w:rPr>
            <w:noProof/>
            <w:webHidden/>
          </w:rPr>
          <w:instrText xml:space="preserve"> PAGEREF _Toc144104118 \h </w:instrText>
        </w:r>
        <w:r w:rsidR="00D4102B">
          <w:rPr>
            <w:noProof/>
            <w:webHidden/>
          </w:rPr>
        </w:r>
        <w:r w:rsidR="00D4102B">
          <w:rPr>
            <w:noProof/>
            <w:webHidden/>
          </w:rPr>
          <w:fldChar w:fldCharType="separate"/>
        </w:r>
        <w:r w:rsidR="001E1A67">
          <w:rPr>
            <w:noProof/>
            <w:webHidden/>
          </w:rPr>
          <w:t>23</w:t>
        </w:r>
        <w:r w:rsidR="00D4102B">
          <w:rPr>
            <w:noProof/>
            <w:webHidden/>
          </w:rPr>
          <w:fldChar w:fldCharType="end"/>
        </w:r>
      </w:hyperlink>
    </w:p>
    <w:p w14:paraId="01DD2121" w14:textId="3AB04CA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19" w:history="1">
        <w:r w:rsidR="00D4102B" w:rsidRPr="00C22AE8">
          <w:rPr>
            <w:rStyle w:val="Hypertextovodkaz"/>
            <w:noProof/>
          </w:rPr>
          <w:t>Graf 7: OS – mediánové délky civilního řízení u jednotlivých soudů</w:t>
        </w:r>
        <w:r w:rsidR="00D4102B">
          <w:rPr>
            <w:noProof/>
            <w:webHidden/>
          </w:rPr>
          <w:tab/>
        </w:r>
        <w:r w:rsidR="00D4102B">
          <w:rPr>
            <w:noProof/>
            <w:webHidden/>
          </w:rPr>
          <w:fldChar w:fldCharType="begin"/>
        </w:r>
        <w:r w:rsidR="00D4102B">
          <w:rPr>
            <w:noProof/>
            <w:webHidden/>
          </w:rPr>
          <w:instrText xml:space="preserve"> PAGEREF _Toc144104119 \h </w:instrText>
        </w:r>
        <w:r w:rsidR="00D4102B">
          <w:rPr>
            <w:noProof/>
            <w:webHidden/>
          </w:rPr>
        </w:r>
        <w:r w:rsidR="00D4102B">
          <w:rPr>
            <w:noProof/>
            <w:webHidden/>
          </w:rPr>
          <w:fldChar w:fldCharType="separate"/>
        </w:r>
        <w:r w:rsidR="001E1A67">
          <w:rPr>
            <w:noProof/>
            <w:webHidden/>
          </w:rPr>
          <w:t>24</w:t>
        </w:r>
        <w:r w:rsidR="00D4102B">
          <w:rPr>
            <w:noProof/>
            <w:webHidden/>
          </w:rPr>
          <w:fldChar w:fldCharType="end"/>
        </w:r>
      </w:hyperlink>
    </w:p>
    <w:p w14:paraId="1B4C9641" w14:textId="19DB076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0" w:history="1">
        <w:r w:rsidR="00D4102B" w:rsidRPr="00C22AE8">
          <w:rPr>
            <w:rStyle w:val="Hypertextovodkaz"/>
            <w:noProof/>
          </w:rPr>
          <w:t>Graf 8: OS – krabicové grafy, mediánové délky civilního řízení</w:t>
        </w:r>
        <w:r w:rsidR="00D4102B">
          <w:rPr>
            <w:noProof/>
            <w:webHidden/>
          </w:rPr>
          <w:tab/>
        </w:r>
        <w:r w:rsidR="00D4102B">
          <w:rPr>
            <w:noProof/>
            <w:webHidden/>
          </w:rPr>
          <w:fldChar w:fldCharType="begin"/>
        </w:r>
        <w:r w:rsidR="00D4102B">
          <w:rPr>
            <w:noProof/>
            <w:webHidden/>
          </w:rPr>
          <w:instrText xml:space="preserve"> PAGEREF _Toc144104120 \h </w:instrText>
        </w:r>
        <w:r w:rsidR="00D4102B">
          <w:rPr>
            <w:noProof/>
            <w:webHidden/>
          </w:rPr>
        </w:r>
        <w:r w:rsidR="00D4102B">
          <w:rPr>
            <w:noProof/>
            <w:webHidden/>
          </w:rPr>
          <w:fldChar w:fldCharType="separate"/>
        </w:r>
        <w:r w:rsidR="001E1A67">
          <w:rPr>
            <w:noProof/>
            <w:webHidden/>
          </w:rPr>
          <w:t>25</w:t>
        </w:r>
        <w:r w:rsidR="00D4102B">
          <w:rPr>
            <w:noProof/>
            <w:webHidden/>
          </w:rPr>
          <w:fldChar w:fldCharType="end"/>
        </w:r>
      </w:hyperlink>
    </w:p>
    <w:p w14:paraId="642CF5FC" w14:textId="4FE3C29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1" w:history="1">
        <w:r w:rsidR="00D4102B" w:rsidRPr="00C22AE8">
          <w:rPr>
            <w:rStyle w:val="Hypertextovodkaz"/>
            <w:noProof/>
          </w:rPr>
          <w:t>Graf 9: OS – distribuce délek civilního řízení</w:t>
        </w:r>
        <w:r w:rsidR="00D4102B">
          <w:rPr>
            <w:noProof/>
            <w:webHidden/>
          </w:rPr>
          <w:tab/>
        </w:r>
        <w:r w:rsidR="00D4102B">
          <w:rPr>
            <w:noProof/>
            <w:webHidden/>
          </w:rPr>
          <w:fldChar w:fldCharType="begin"/>
        </w:r>
        <w:r w:rsidR="00D4102B">
          <w:rPr>
            <w:noProof/>
            <w:webHidden/>
          </w:rPr>
          <w:instrText xml:space="preserve"> PAGEREF _Toc144104121 \h </w:instrText>
        </w:r>
        <w:r w:rsidR="00D4102B">
          <w:rPr>
            <w:noProof/>
            <w:webHidden/>
          </w:rPr>
        </w:r>
        <w:r w:rsidR="00D4102B">
          <w:rPr>
            <w:noProof/>
            <w:webHidden/>
          </w:rPr>
          <w:fldChar w:fldCharType="separate"/>
        </w:r>
        <w:r w:rsidR="001E1A67">
          <w:rPr>
            <w:noProof/>
            <w:webHidden/>
          </w:rPr>
          <w:t>26</w:t>
        </w:r>
        <w:r w:rsidR="00D4102B">
          <w:rPr>
            <w:noProof/>
            <w:webHidden/>
          </w:rPr>
          <w:fldChar w:fldCharType="end"/>
        </w:r>
      </w:hyperlink>
    </w:p>
    <w:p w14:paraId="2BE5A222" w14:textId="06BF2CC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2" w:history="1">
        <w:r w:rsidR="00D4102B" w:rsidRPr="00C22AE8">
          <w:rPr>
            <w:rStyle w:val="Hypertextovodkaz"/>
            <w:noProof/>
          </w:rPr>
          <w:t>Graf 10: OS – vyřizování civilních věcí v letech 2008–2022</w:t>
        </w:r>
        <w:r w:rsidR="00D4102B">
          <w:rPr>
            <w:noProof/>
            <w:webHidden/>
          </w:rPr>
          <w:tab/>
        </w:r>
        <w:r w:rsidR="00D4102B">
          <w:rPr>
            <w:noProof/>
            <w:webHidden/>
          </w:rPr>
          <w:fldChar w:fldCharType="begin"/>
        </w:r>
        <w:r w:rsidR="00D4102B">
          <w:rPr>
            <w:noProof/>
            <w:webHidden/>
          </w:rPr>
          <w:instrText xml:space="preserve"> PAGEREF _Toc144104122 \h </w:instrText>
        </w:r>
        <w:r w:rsidR="00D4102B">
          <w:rPr>
            <w:noProof/>
            <w:webHidden/>
          </w:rPr>
        </w:r>
        <w:r w:rsidR="00D4102B">
          <w:rPr>
            <w:noProof/>
            <w:webHidden/>
          </w:rPr>
          <w:fldChar w:fldCharType="separate"/>
        </w:r>
        <w:r w:rsidR="001E1A67">
          <w:rPr>
            <w:noProof/>
            <w:webHidden/>
          </w:rPr>
          <w:t>27</w:t>
        </w:r>
        <w:r w:rsidR="00D4102B">
          <w:rPr>
            <w:noProof/>
            <w:webHidden/>
          </w:rPr>
          <w:fldChar w:fldCharType="end"/>
        </w:r>
      </w:hyperlink>
    </w:p>
    <w:p w14:paraId="2389C72C" w14:textId="29F9A5C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3" w:history="1">
        <w:r w:rsidR="00D4102B" w:rsidRPr="00C22AE8">
          <w:rPr>
            <w:rStyle w:val="Hypertextovodkaz"/>
            <w:noProof/>
          </w:rPr>
          <w:t>Graf 11: OS – počet nevyříz. civilních věcí na úvazek u jednotlivých soudů</w:t>
        </w:r>
        <w:r w:rsidR="00D4102B">
          <w:rPr>
            <w:noProof/>
            <w:webHidden/>
          </w:rPr>
          <w:tab/>
        </w:r>
        <w:r w:rsidR="00D4102B">
          <w:rPr>
            <w:noProof/>
            <w:webHidden/>
          </w:rPr>
          <w:fldChar w:fldCharType="begin"/>
        </w:r>
        <w:r w:rsidR="00D4102B">
          <w:rPr>
            <w:noProof/>
            <w:webHidden/>
          </w:rPr>
          <w:instrText xml:space="preserve"> PAGEREF _Toc144104123 \h </w:instrText>
        </w:r>
        <w:r w:rsidR="00D4102B">
          <w:rPr>
            <w:noProof/>
            <w:webHidden/>
          </w:rPr>
        </w:r>
        <w:r w:rsidR="00D4102B">
          <w:rPr>
            <w:noProof/>
            <w:webHidden/>
          </w:rPr>
          <w:fldChar w:fldCharType="separate"/>
        </w:r>
        <w:r w:rsidR="001E1A67">
          <w:rPr>
            <w:noProof/>
            <w:webHidden/>
          </w:rPr>
          <w:t>29</w:t>
        </w:r>
        <w:r w:rsidR="00D4102B">
          <w:rPr>
            <w:noProof/>
            <w:webHidden/>
          </w:rPr>
          <w:fldChar w:fldCharType="end"/>
        </w:r>
      </w:hyperlink>
    </w:p>
    <w:p w14:paraId="77AAAE22" w14:textId="518BD8CD"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4" w:history="1">
        <w:r w:rsidR="00D4102B" w:rsidRPr="00C22AE8">
          <w:rPr>
            <w:rStyle w:val="Hypertextovodkaz"/>
            <w:noProof/>
          </w:rPr>
          <w:t>Graf 12: OS – disposition time civilního řízení v letech 2008–2022</w:t>
        </w:r>
        <w:r w:rsidR="00D4102B">
          <w:rPr>
            <w:noProof/>
            <w:webHidden/>
          </w:rPr>
          <w:tab/>
        </w:r>
        <w:r w:rsidR="00D4102B">
          <w:rPr>
            <w:noProof/>
            <w:webHidden/>
          </w:rPr>
          <w:fldChar w:fldCharType="begin"/>
        </w:r>
        <w:r w:rsidR="00D4102B">
          <w:rPr>
            <w:noProof/>
            <w:webHidden/>
          </w:rPr>
          <w:instrText xml:space="preserve"> PAGEREF _Toc144104124 \h </w:instrText>
        </w:r>
        <w:r w:rsidR="00D4102B">
          <w:rPr>
            <w:noProof/>
            <w:webHidden/>
          </w:rPr>
        </w:r>
        <w:r w:rsidR="00D4102B">
          <w:rPr>
            <w:noProof/>
            <w:webHidden/>
          </w:rPr>
          <w:fldChar w:fldCharType="separate"/>
        </w:r>
        <w:r w:rsidR="001E1A67">
          <w:rPr>
            <w:noProof/>
            <w:webHidden/>
          </w:rPr>
          <w:t>31</w:t>
        </w:r>
        <w:r w:rsidR="00D4102B">
          <w:rPr>
            <w:noProof/>
            <w:webHidden/>
          </w:rPr>
          <w:fldChar w:fldCharType="end"/>
        </w:r>
      </w:hyperlink>
    </w:p>
    <w:p w14:paraId="69E755AB" w14:textId="6047A07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5" w:history="1">
        <w:r w:rsidR="00D4102B" w:rsidRPr="00C22AE8">
          <w:rPr>
            <w:rStyle w:val="Hypertextovodkaz"/>
            <w:noProof/>
          </w:rPr>
          <w:t>Graf 13: OS – disposition time civilního řízení u jednotlivých soudů</w:t>
        </w:r>
        <w:r w:rsidR="00D4102B">
          <w:rPr>
            <w:noProof/>
            <w:webHidden/>
          </w:rPr>
          <w:tab/>
        </w:r>
        <w:r w:rsidR="00D4102B">
          <w:rPr>
            <w:noProof/>
            <w:webHidden/>
          </w:rPr>
          <w:fldChar w:fldCharType="begin"/>
        </w:r>
        <w:r w:rsidR="00D4102B">
          <w:rPr>
            <w:noProof/>
            <w:webHidden/>
          </w:rPr>
          <w:instrText xml:space="preserve"> PAGEREF _Toc144104125 \h </w:instrText>
        </w:r>
        <w:r w:rsidR="00D4102B">
          <w:rPr>
            <w:noProof/>
            <w:webHidden/>
          </w:rPr>
        </w:r>
        <w:r w:rsidR="00D4102B">
          <w:rPr>
            <w:noProof/>
            <w:webHidden/>
          </w:rPr>
          <w:fldChar w:fldCharType="separate"/>
        </w:r>
        <w:r w:rsidR="001E1A67">
          <w:rPr>
            <w:noProof/>
            <w:webHidden/>
          </w:rPr>
          <w:t>32</w:t>
        </w:r>
        <w:r w:rsidR="00D4102B">
          <w:rPr>
            <w:noProof/>
            <w:webHidden/>
          </w:rPr>
          <w:fldChar w:fldCharType="end"/>
        </w:r>
      </w:hyperlink>
    </w:p>
    <w:p w14:paraId="6ACE831F" w14:textId="36E868B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6" w:history="1">
        <w:r w:rsidR="00D4102B" w:rsidRPr="00C22AE8">
          <w:rPr>
            <w:rStyle w:val="Hypertextovodkaz"/>
            <w:noProof/>
          </w:rPr>
          <w:t>Graf 14: OS – krabicové grafy, DT civilního řízení</w:t>
        </w:r>
        <w:r w:rsidR="00D4102B">
          <w:rPr>
            <w:noProof/>
            <w:webHidden/>
          </w:rPr>
          <w:tab/>
        </w:r>
        <w:r w:rsidR="00D4102B">
          <w:rPr>
            <w:noProof/>
            <w:webHidden/>
          </w:rPr>
          <w:fldChar w:fldCharType="begin"/>
        </w:r>
        <w:r w:rsidR="00D4102B">
          <w:rPr>
            <w:noProof/>
            <w:webHidden/>
          </w:rPr>
          <w:instrText xml:space="preserve"> PAGEREF _Toc144104126 \h </w:instrText>
        </w:r>
        <w:r w:rsidR="00D4102B">
          <w:rPr>
            <w:noProof/>
            <w:webHidden/>
          </w:rPr>
        </w:r>
        <w:r w:rsidR="00D4102B">
          <w:rPr>
            <w:noProof/>
            <w:webHidden/>
          </w:rPr>
          <w:fldChar w:fldCharType="separate"/>
        </w:r>
        <w:r w:rsidR="001E1A67">
          <w:rPr>
            <w:noProof/>
            <w:webHidden/>
          </w:rPr>
          <w:t>33</w:t>
        </w:r>
        <w:r w:rsidR="00D4102B">
          <w:rPr>
            <w:noProof/>
            <w:webHidden/>
          </w:rPr>
          <w:fldChar w:fldCharType="end"/>
        </w:r>
      </w:hyperlink>
    </w:p>
    <w:p w14:paraId="0F891BB9" w14:textId="37022F4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7" w:history="1">
        <w:r w:rsidR="00D4102B" w:rsidRPr="00C22AE8">
          <w:rPr>
            <w:rStyle w:val="Hypertextovodkaz"/>
            <w:noProof/>
          </w:rPr>
          <w:t>Graf 15: OS – míra odvolání u jednotlivých soudů v civilním řízení</w:t>
        </w:r>
        <w:r w:rsidR="00D4102B">
          <w:rPr>
            <w:noProof/>
            <w:webHidden/>
          </w:rPr>
          <w:tab/>
        </w:r>
        <w:r w:rsidR="00D4102B">
          <w:rPr>
            <w:noProof/>
            <w:webHidden/>
          </w:rPr>
          <w:fldChar w:fldCharType="begin"/>
        </w:r>
        <w:r w:rsidR="00D4102B">
          <w:rPr>
            <w:noProof/>
            <w:webHidden/>
          </w:rPr>
          <w:instrText xml:space="preserve"> PAGEREF _Toc144104127 \h </w:instrText>
        </w:r>
        <w:r w:rsidR="00D4102B">
          <w:rPr>
            <w:noProof/>
            <w:webHidden/>
          </w:rPr>
        </w:r>
        <w:r w:rsidR="00D4102B">
          <w:rPr>
            <w:noProof/>
            <w:webHidden/>
          </w:rPr>
          <w:fldChar w:fldCharType="separate"/>
        </w:r>
        <w:r w:rsidR="001E1A67">
          <w:rPr>
            <w:noProof/>
            <w:webHidden/>
          </w:rPr>
          <w:t>35</w:t>
        </w:r>
        <w:r w:rsidR="00D4102B">
          <w:rPr>
            <w:noProof/>
            <w:webHidden/>
          </w:rPr>
          <w:fldChar w:fldCharType="end"/>
        </w:r>
      </w:hyperlink>
    </w:p>
    <w:p w14:paraId="19F94B92" w14:textId="4F93D247"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8" w:history="1">
        <w:r w:rsidR="00D4102B" w:rsidRPr="00C22AE8">
          <w:rPr>
            <w:rStyle w:val="Hypertextovodkaz"/>
            <w:noProof/>
          </w:rPr>
          <w:t>Graf 16: OS – míra změny rozsudku u jednotlivých soudů v civilním řízení</w:t>
        </w:r>
        <w:r w:rsidR="00D4102B">
          <w:rPr>
            <w:noProof/>
            <w:webHidden/>
          </w:rPr>
          <w:tab/>
        </w:r>
        <w:r w:rsidR="00D4102B">
          <w:rPr>
            <w:noProof/>
            <w:webHidden/>
          </w:rPr>
          <w:fldChar w:fldCharType="begin"/>
        </w:r>
        <w:r w:rsidR="00D4102B">
          <w:rPr>
            <w:noProof/>
            <w:webHidden/>
          </w:rPr>
          <w:instrText xml:space="preserve"> PAGEREF _Toc144104128 \h </w:instrText>
        </w:r>
        <w:r w:rsidR="00D4102B">
          <w:rPr>
            <w:noProof/>
            <w:webHidden/>
          </w:rPr>
        </w:r>
        <w:r w:rsidR="00D4102B">
          <w:rPr>
            <w:noProof/>
            <w:webHidden/>
          </w:rPr>
          <w:fldChar w:fldCharType="separate"/>
        </w:r>
        <w:r w:rsidR="001E1A67">
          <w:rPr>
            <w:noProof/>
            <w:webHidden/>
          </w:rPr>
          <w:t>36</w:t>
        </w:r>
        <w:r w:rsidR="00D4102B">
          <w:rPr>
            <w:noProof/>
            <w:webHidden/>
          </w:rPr>
          <w:fldChar w:fldCharType="end"/>
        </w:r>
      </w:hyperlink>
    </w:p>
    <w:p w14:paraId="0BD4DED5" w14:textId="3D4681A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29" w:history="1">
        <w:r w:rsidR="00D4102B" w:rsidRPr="00C22AE8">
          <w:rPr>
            <w:rStyle w:val="Hypertextovodkaz"/>
            <w:noProof/>
          </w:rPr>
          <w:t>Graf 17: OS – délka civilního el. rozkazního řízení v letech 2013–2022</w:t>
        </w:r>
        <w:r w:rsidR="00D4102B">
          <w:rPr>
            <w:noProof/>
            <w:webHidden/>
          </w:rPr>
          <w:tab/>
        </w:r>
        <w:r w:rsidR="00D4102B">
          <w:rPr>
            <w:noProof/>
            <w:webHidden/>
          </w:rPr>
          <w:fldChar w:fldCharType="begin"/>
        </w:r>
        <w:r w:rsidR="00D4102B">
          <w:rPr>
            <w:noProof/>
            <w:webHidden/>
          </w:rPr>
          <w:instrText xml:space="preserve"> PAGEREF _Toc144104129 \h </w:instrText>
        </w:r>
        <w:r w:rsidR="00D4102B">
          <w:rPr>
            <w:noProof/>
            <w:webHidden/>
          </w:rPr>
        </w:r>
        <w:r w:rsidR="00D4102B">
          <w:rPr>
            <w:noProof/>
            <w:webHidden/>
          </w:rPr>
          <w:fldChar w:fldCharType="separate"/>
        </w:r>
        <w:r w:rsidR="001E1A67">
          <w:rPr>
            <w:noProof/>
            <w:webHidden/>
          </w:rPr>
          <w:t>38</w:t>
        </w:r>
        <w:r w:rsidR="00D4102B">
          <w:rPr>
            <w:noProof/>
            <w:webHidden/>
          </w:rPr>
          <w:fldChar w:fldCharType="end"/>
        </w:r>
      </w:hyperlink>
    </w:p>
    <w:p w14:paraId="00754D1A" w14:textId="6D95C6E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0" w:history="1">
        <w:r w:rsidR="00D4102B" w:rsidRPr="00C22AE8">
          <w:rPr>
            <w:rStyle w:val="Hypertextovodkaz"/>
            <w:noProof/>
          </w:rPr>
          <w:t>Graf 18: OS – vyřizování věcí v rejstříku EPR v letech 2013–2022</w:t>
        </w:r>
        <w:r w:rsidR="00D4102B">
          <w:rPr>
            <w:noProof/>
            <w:webHidden/>
          </w:rPr>
          <w:tab/>
        </w:r>
        <w:r w:rsidR="00D4102B">
          <w:rPr>
            <w:noProof/>
            <w:webHidden/>
          </w:rPr>
          <w:fldChar w:fldCharType="begin"/>
        </w:r>
        <w:r w:rsidR="00D4102B">
          <w:rPr>
            <w:noProof/>
            <w:webHidden/>
          </w:rPr>
          <w:instrText xml:space="preserve"> PAGEREF _Toc144104130 \h </w:instrText>
        </w:r>
        <w:r w:rsidR="00D4102B">
          <w:rPr>
            <w:noProof/>
            <w:webHidden/>
          </w:rPr>
        </w:r>
        <w:r w:rsidR="00D4102B">
          <w:rPr>
            <w:noProof/>
            <w:webHidden/>
          </w:rPr>
          <w:fldChar w:fldCharType="separate"/>
        </w:r>
        <w:r w:rsidR="001E1A67">
          <w:rPr>
            <w:noProof/>
            <w:webHidden/>
          </w:rPr>
          <w:t>40</w:t>
        </w:r>
        <w:r w:rsidR="00D4102B">
          <w:rPr>
            <w:noProof/>
            <w:webHidden/>
          </w:rPr>
          <w:fldChar w:fldCharType="end"/>
        </w:r>
      </w:hyperlink>
    </w:p>
    <w:p w14:paraId="2F1B8902" w14:textId="4B32378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1" w:history="1">
        <w:r w:rsidR="00D4102B" w:rsidRPr="00C22AE8">
          <w:rPr>
            <w:rStyle w:val="Hypertextovodkaz"/>
            <w:noProof/>
          </w:rPr>
          <w:t>Graf 19: OS – převedeno z rejstříku EPR v letech 2013–2022</w:t>
        </w:r>
        <w:r w:rsidR="00D4102B">
          <w:rPr>
            <w:noProof/>
            <w:webHidden/>
          </w:rPr>
          <w:tab/>
        </w:r>
        <w:r w:rsidR="00D4102B">
          <w:rPr>
            <w:noProof/>
            <w:webHidden/>
          </w:rPr>
          <w:fldChar w:fldCharType="begin"/>
        </w:r>
        <w:r w:rsidR="00D4102B">
          <w:rPr>
            <w:noProof/>
            <w:webHidden/>
          </w:rPr>
          <w:instrText xml:space="preserve"> PAGEREF _Toc144104131 \h </w:instrText>
        </w:r>
        <w:r w:rsidR="00D4102B">
          <w:rPr>
            <w:noProof/>
            <w:webHidden/>
          </w:rPr>
        </w:r>
        <w:r w:rsidR="00D4102B">
          <w:rPr>
            <w:noProof/>
            <w:webHidden/>
          </w:rPr>
          <w:fldChar w:fldCharType="separate"/>
        </w:r>
        <w:r w:rsidR="001E1A67">
          <w:rPr>
            <w:noProof/>
            <w:webHidden/>
          </w:rPr>
          <w:t>41</w:t>
        </w:r>
        <w:r w:rsidR="00D4102B">
          <w:rPr>
            <w:noProof/>
            <w:webHidden/>
          </w:rPr>
          <w:fldChar w:fldCharType="end"/>
        </w:r>
      </w:hyperlink>
    </w:p>
    <w:p w14:paraId="4E63CBCC" w14:textId="1D1AEF7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2" w:history="1">
        <w:r w:rsidR="00D4102B" w:rsidRPr="00C22AE8">
          <w:rPr>
            <w:rStyle w:val="Hypertextovodkaz"/>
            <w:noProof/>
          </w:rPr>
          <w:t>Graf 20: OS – délka trestního řízení v letech 2008–2022</w:t>
        </w:r>
        <w:r w:rsidR="00D4102B">
          <w:rPr>
            <w:noProof/>
            <w:webHidden/>
          </w:rPr>
          <w:tab/>
        </w:r>
        <w:r w:rsidR="00D4102B">
          <w:rPr>
            <w:noProof/>
            <w:webHidden/>
          </w:rPr>
          <w:fldChar w:fldCharType="begin"/>
        </w:r>
        <w:r w:rsidR="00D4102B">
          <w:rPr>
            <w:noProof/>
            <w:webHidden/>
          </w:rPr>
          <w:instrText xml:space="preserve"> PAGEREF _Toc144104132 \h </w:instrText>
        </w:r>
        <w:r w:rsidR="00D4102B">
          <w:rPr>
            <w:noProof/>
            <w:webHidden/>
          </w:rPr>
        </w:r>
        <w:r w:rsidR="00D4102B">
          <w:rPr>
            <w:noProof/>
            <w:webHidden/>
          </w:rPr>
          <w:fldChar w:fldCharType="separate"/>
        </w:r>
        <w:r w:rsidR="001E1A67">
          <w:rPr>
            <w:noProof/>
            <w:webHidden/>
          </w:rPr>
          <w:t>43</w:t>
        </w:r>
        <w:r w:rsidR="00D4102B">
          <w:rPr>
            <w:noProof/>
            <w:webHidden/>
          </w:rPr>
          <w:fldChar w:fldCharType="end"/>
        </w:r>
      </w:hyperlink>
    </w:p>
    <w:p w14:paraId="658E2DAE" w14:textId="6A301AB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3" w:history="1">
        <w:r w:rsidR="00D4102B" w:rsidRPr="00C22AE8">
          <w:rPr>
            <w:rStyle w:val="Hypertextovodkaz"/>
            <w:noProof/>
          </w:rPr>
          <w:t>Graf 21: OS – mediánové délky trestního řízení u jednotlivých soudů</w:t>
        </w:r>
        <w:r w:rsidR="00D4102B">
          <w:rPr>
            <w:noProof/>
            <w:webHidden/>
          </w:rPr>
          <w:tab/>
        </w:r>
        <w:r w:rsidR="00D4102B">
          <w:rPr>
            <w:noProof/>
            <w:webHidden/>
          </w:rPr>
          <w:fldChar w:fldCharType="begin"/>
        </w:r>
        <w:r w:rsidR="00D4102B">
          <w:rPr>
            <w:noProof/>
            <w:webHidden/>
          </w:rPr>
          <w:instrText xml:space="preserve"> PAGEREF _Toc144104133 \h </w:instrText>
        </w:r>
        <w:r w:rsidR="00D4102B">
          <w:rPr>
            <w:noProof/>
            <w:webHidden/>
          </w:rPr>
        </w:r>
        <w:r w:rsidR="00D4102B">
          <w:rPr>
            <w:noProof/>
            <w:webHidden/>
          </w:rPr>
          <w:fldChar w:fldCharType="separate"/>
        </w:r>
        <w:r w:rsidR="001E1A67">
          <w:rPr>
            <w:noProof/>
            <w:webHidden/>
          </w:rPr>
          <w:t>45</w:t>
        </w:r>
        <w:r w:rsidR="00D4102B">
          <w:rPr>
            <w:noProof/>
            <w:webHidden/>
          </w:rPr>
          <w:fldChar w:fldCharType="end"/>
        </w:r>
      </w:hyperlink>
    </w:p>
    <w:p w14:paraId="1A7B6932" w14:textId="2BF80D0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4" w:history="1">
        <w:r w:rsidR="00D4102B" w:rsidRPr="00C22AE8">
          <w:rPr>
            <w:rStyle w:val="Hypertextovodkaz"/>
            <w:noProof/>
          </w:rPr>
          <w:t>Graf 22: OS – krabicové grafy, mediánové délky trestního řízení</w:t>
        </w:r>
        <w:r w:rsidR="00D4102B">
          <w:rPr>
            <w:noProof/>
            <w:webHidden/>
          </w:rPr>
          <w:tab/>
        </w:r>
        <w:r w:rsidR="00D4102B">
          <w:rPr>
            <w:noProof/>
            <w:webHidden/>
          </w:rPr>
          <w:fldChar w:fldCharType="begin"/>
        </w:r>
        <w:r w:rsidR="00D4102B">
          <w:rPr>
            <w:noProof/>
            <w:webHidden/>
          </w:rPr>
          <w:instrText xml:space="preserve"> PAGEREF _Toc144104134 \h </w:instrText>
        </w:r>
        <w:r w:rsidR="00D4102B">
          <w:rPr>
            <w:noProof/>
            <w:webHidden/>
          </w:rPr>
        </w:r>
        <w:r w:rsidR="00D4102B">
          <w:rPr>
            <w:noProof/>
            <w:webHidden/>
          </w:rPr>
          <w:fldChar w:fldCharType="separate"/>
        </w:r>
        <w:r w:rsidR="001E1A67">
          <w:rPr>
            <w:noProof/>
            <w:webHidden/>
          </w:rPr>
          <w:t>45</w:t>
        </w:r>
        <w:r w:rsidR="00D4102B">
          <w:rPr>
            <w:noProof/>
            <w:webHidden/>
          </w:rPr>
          <w:fldChar w:fldCharType="end"/>
        </w:r>
      </w:hyperlink>
    </w:p>
    <w:p w14:paraId="0B7F55BF" w14:textId="7172523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5" w:history="1">
        <w:r w:rsidR="00D4102B" w:rsidRPr="00C22AE8">
          <w:rPr>
            <w:rStyle w:val="Hypertextovodkaz"/>
            <w:noProof/>
          </w:rPr>
          <w:t>Graf 23: OS – distribuce délek trestního řízení</w:t>
        </w:r>
        <w:r w:rsidR="00D4102B">
          <w:rPr>
            <w:noProof/>
            <w:webHidden/>
          </w:rPr>
          <w:tab/>
        </w:r>
        <w:r w:rsidR="00D4102B">
          <w:rPr>
            <w:noProof/>
            <w:webHidden/>
          </w:rPr>
          <w:fldChar w:fldCharType="begin"/>
        </w:r>
        <w:r w:rsidR="00D4102B">
          <w:rPr>
            <w:noProof/>
            <w:webHidden/>
          </w:rPr>
          <w:instrText xml:space="preserve"> PAGEREF _Toc144104135 \h </w:instrText>
        </w:r>
        <w:r w:rsidR="00D4102B">
          <w:rPr>
            <w:noProof/>
            <w:webHidden/>
          </w:rPr>
        </w:r>
        <w:r w:rsidR="00D4102B">
          <w:rPr>
            <w:noProof/>
            <w:webHidden/>
          </w:rPr>
          <w:fldChar w:fldCharType="separate"/>
        </w:r>
        <w:r w:rsidR="001E1A67">
          <w:rPr>
            <w:noProof/>
            <w:webHidden/>
          </w:rPr>
          <w:t>46</w:t>
        </w:r>
        <w:r w:rsidR="00D4102B">
          <w:rPr>
            <w:noProof/>
            <w:webHidden/>
          </w:rPr>
          <w:fldChar w:fldCharType="end"/>
        </w:r>
      </w:hyperlink>
    </w:p>
    <w:p w14:paraId="2F0924CE" w14:textId="539EC62D"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6" w:history="1">
        <w:r w:rsidR="00D4102B" w:rsidRPr="00C22AE8">
          <w:rPr>
            <w:rStyle w:val="Hypertextovodkaz"/>
            <w:noProof/>
          </w:rPr>
          <w:t>Graf 24: OS – vyřizování trestních věcí v letech 2008–2022</w:t>
        </w:r>
        <w:r w:rsidR="00D4102B">
          <w:rPr>
            <w:noProof/>
            <w:webHidden/>
          </w:rPr>
          <w:tab/>
        </w:r>
        <w:r w:rsidR="00D4102B">
          <w:rPr>
            <w:noProof/>
            <w:webHidden/>
          </w:rPr>
          <w:fldChar w:fldCharType="begin"/>
        </w:r>
        <w:r w:rsidR="00D4102B">
          <w:rPr>
            <w:noProof/>
            <w:webHidden/>
          </w:rPr>
          <w:instrText xml:space="preserve"> PAGEREF _Toc144104136 \h </w:instrText>
        </w:r>
        <w:r w:rsidR="00D4102B">
          <w:rPr>
            <w:noProof/>
            <w:webHidden/>
          </w:rPr>
        </w:r>
        <w:r w:rsidR="00D4102B">
          <w:rPr>
            <w:noProof/>
            <w:webHidden/>
          </w:rPr>
          <w:fldChar w:fldCharType="separate"/>
        </w:r>
        <w:r w:rsidR="001E1A67">
          <w:rPr>
            <w:noProof/>
            <w:webHidden/>
          </w:rPr>
          <w:t>47</w:t>
        </w:r>
        <w:r w:rsidR="00D4102B">
          <w:rPr>
            <w:noProof/>
            <w:webHidden/>
          </w:rPr>
          <w:fldChar w:fldCharType="end"/>
        </w:r>
      </w:hyperlink>
    </w:p>
    <w:p w14:paraId="0CD5B0F4" w14:textId="7443497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7" w:history="1">
        <w:r w:rsidR="00D4102B" w:rsidRPr="00C22AE8">
          <w:rPr>
            <w:rStyle w:val="Hypertextovodkaz"/>
            <w:noProof/>
          </w:rPr>
          <w:t>Graf 25: OS – počet nevyříz. trestních věcí na úvazek u jednotlivých soudů</w:t>
        </w:r>
        <w:r w:rsidR="00D4102B">
          <w:rPr>
            <w:noProof/>
            <w:webHidden/>
          </w:rPr>
          <w:tab/>
        </w:r>
        <w:r w:rsidR="00D4102B">
          <w:rPr>
            <w:noProof/>
            <w:webHidden/>
          </w:rPr>
          <w:fldChar w:fldCharType="begin"/>
        </w:r>
        <w:r w:rsidR="00D4102B">
          <w:rPr>
            <w:noProof/>
            <w:webHidden/>
          </w:rPr>
          <w:instrText xml:space="preserve"> PAGEREF _Toc144104137 \h </w:instrText>
        </w:r>
        <w:r w:rsidR="00D4102B">
          <w:rPr>
            <w:noProof/>
            <w:webHidden/>
          </w:rPr>
        </w:r>
        <w:r w:rsidR="00D4102B">
          <w:rPr>
            <w:noProof/>
            <w:webHidden/>
          </w:rPr>
          <w:fldChar w:fldCharType="separate"/>
        </w:r>
        <w:r w:rsidR="001E1A67">
          <w:rPr>
            <w:noProof/>
            <w:webHidden/>
          </w:rPr>
          <w:t>49</w:t>
        </w:r>
        <w:r w:rsidR="00D4102B">
          <w:rPr>
            <w:noProof/>
            <w:webHidden/>
          </w:rPr>
          <w:fldChar w:fldCharType="end"/>
        </w:r>
      </w:hyperlink>
    </w:p>
    <w:p w14:paraId="7CF24A5E" w14:textId="04E4D68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8" w:history="1">
        <w:r w:rsidR="00D4102B" w:rsidRPr="00C22AE8">
          <w:rPr>
            <w:rStyle w:val="Hypertextovodkaz"/>
            <w:noProof/>
          </w:rPr>
          <w:t>Graf 26: OS – disposition time trestního řízení v letech 2008–2022</w:t>
        </w:r>
        <w:r w:rsidR="00D4102B">
          <w:rPr>
            <w:noProof/>
            <w:webHidden/>
          </w:rPr>
          <w:tab/>
        </w:r>
        <w:r w:rsidR="00D4102B">
          <w:rPr>
            <w:noProof/>
            <w:webHidden/>
          </w:rPr>
          <w:fldChar w:fldCharType="begin"/>
        </w:r>
        <w:r w:rsidR="00D4102B">
          <w:rPr>
            <w:noProof/>
            <w:webHidden/>
          </w:rPr>
          <w:instrText xml:space="preserve"> PAGEREF _Toc144104138 \h </w:instrText>
        </w:r>
        <w:r w:rsidR="00D4102B">
          <w:rPr>
            <w:noProof/>
            <w:webHidden/>
          </w:rPr>
        </w:r>
        <w:r w:rsidR="00D4102B">
          <w:rPr>
            <w:noProof/>
            <w:webHidden/>
          </w:rPr>
          <w:fldChar w:fldCharType="separate"/>
        </w:r>
        <w:r w:rsidR="001E1A67">
          <w:rPr>
            <w:noProof/>
            <w:webHidden/>
          </w:rPr>
          <w:t>50</w:t>
        </w:r>
        <w:r w:rsidR="00D4102B">
          <w:rPr>
            <w:noProof/>
            <w:webHidden/>
          </w:rPr>
          <w:fldChar w:fldCharType="end"/>
        </w:r>
      </w:hyperlink>
    </w:p>
    <w:p w14:paraId="761BEE28" w14:textId="2BD5DAE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39" w:history="1">
        <w:r w:rsidR="00D4102B" w:rsidRPr="00C22AE8">
          <w:rPr>
            <w:rStyle w:val="Hypertextovodkaz"/>
            <w:noProof/>
          </w:rPr>
          <w:t>Graf 27: OS – disposition time trestního řízení u jednotlivých soudů</w:t>
        </w:r>
        <w:r w:rsidR="00D4102B">
          <w:rPr>
            <w:noProof/>
            <w:webHidden/>
          </w:rPr>
          <w:tab/>
        </w:r>
        <w:r w:rsidR="00D4102B">
          <w:rPr>
            <w:noProof/>
            <w:webHidden/>
          </w:rPr>
          <w:fldChar w:fldCharType="begin"/>
        </w:r>
        <w:r w:rsidR="00D4102B">
          <w:rPr>
            <w:noProof/>
            <w:webHidden/>
          </w:rPr>
          <w:instrText xml:space="preserve"> PAGEREF _Toc144104139 \h </w:instrText>
        </w:r>
        <w:r w:rsidR="00D4102B">
          <w:rPr>
            <w:noProof/>
            <w:webHidden/>
          </w:rPr>
        </w:r>
        <w:r w:rsidR="00D4102B">
          <w:rPr>
            <w:noProof/>
            <w:webHidden/>
          </w:rPr>
          <w:fldChar w:fldCharType="separate"/>
        </w:r>
        <w:r w:rsidR="001E1A67">
          <w:rPr>
            <w:noProof/>
            <w:webHidden/>
          </w:rPr>
          <w:t>51</w:t>
        </w:r>
        <w:r w:rsidR="00D4102B">
          <w:rPr>
            <w:noProof/>
            <w:webHidden/>
          </w:rPr>
          <w:fldChar w:fldCharType="end"/>
        </w:r>
      </w:hyperlink>
    </w:p>
    <w:p w14:paraId="288C7808" w14:textId="1709D9C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0" w:history="1">
        <w:r w:rsidR="00D4102B" w:rsidRPr="00C22AE8">
          <w:rPr>
            <w:rStyle w:val="Hypertextovodkaz"/>
            <w:noProof/>
          </w:rPr>
          <w:t>Graf 28: OS – krabicové grafy, DT trestního řízení</w:t>
        </w:r>
        <w:r w:rsidR="00D4102B">
          <w:rPr>
            <w:noProof/>
            <w:webHidden/>
          </w:rPr>
          <w:tab/>
        </w:r>
        <w:r w:rsidR="00D4102B">
          <w:rPr>
            <w:noProof/>
            <w:webHidden/>
          </w:rPr>
          <w:fldChar w:fldCharType="begin"/>
        </w:r>
        <w:r w:rsidR="00D4102B">
          <w:rPr>
            <w:noProof/>
            <w:webHidden/>
          </w:rPr>
          <w:instrText xml:space="preserve"> PAGEREF _Toc144104140 \h </w:instrText>
        </w:r>
        <w:r w:rsidR="00D4102B">
          <w:rPr>
            <w:noProof/>
            <w:webHidden/>
          </w:rPr>
        </w:r>
        <w:r w:rsidR="00D4102B">
          <w:rPr>
            <w:noProof/>
            <w:webHidden/>
          </w:rPr>
          <w:fldChar w:fldCharType="separate"/>
        </w:r>
        <w:r w:rsidR="001E1A67">
          <w:rPr>
            <w:noProof/>
            <w:webHidden/>
          </w:rPr>
          <w:t>51</w:t>
        </w:r>
        <w:r w:rsidR="00D4102B">
          <w:rPr>
            <w:noProof/>
            <w:webHidden/>
          </w:rPr>
          <w:fldChar w:fldCharType="end"/>
        </w:r>
      </w:hyperlink>
    </w:p>
    <w:p w14:paraId="2FE59C5B" w14:textId="3CD57A2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1" w:history="1">
        <w:r w:rsidR="00D4102B" w:rsidRPr="00C22AE8">
          <w:rPr>
            <w:rStyle w:val="Hypertextovodkaz"/>
            <w:noProof/>
          </w:rPr>
          <w:t>Graf 29: OS – míra odvolání u jednotlivých soudů v trestním řízení</w:t>
        </w:r>
        <w:r w:rsidR="00D4102B">
          <w:rPr>
            <w:noProof/>
            <w:webHidden/>
          </w:rPr>
          <w:tab/>
        </w:r>
        <w:r w:rsidR="00D4102B">
          <w:rPr>
            <w:noProof/>
            <w:webHidden/>
          </w:rPr>
          <w:fldChar w:fldCharType="begin"/>
        </w:r>
        <w:r w:rsidR="00D4102B">
          <w:rPr>
            <w:noProof/>
            <w:webHidden/>
          </w:rPr>
          <w:instrText xml:space="preserve"> PAGEREF _Toc144104141 \h </w:instrText>
        </w:r>
        <w:r w:rsidR="00D4102B">
          <w:rPr>
            <w:noProof/>
            <w:webHidden/>
          </w:rPr>
        </w:r>
        <w:r w:rsidR="00D4102B">
          <w:rPr>
            <w:noProof/>
            <w:webHidden/>
          </w:rPr>
          <w:fldChar w:fldCharType="separate"/>
        </w:r>
        <w:r w:rsidR="001E1A67">
          <w:rPr>
            <w:noProof/>
            <w:webHidden/>
          </w:rPr>
          <w:t>52</w:t>
        </w:r>
        <w:r w:rsidR="00D4102B">
          <w:rPr>
            <w:noProof/>
            <w:webHidden/>
          </w:rPr>
          <w:fldChar w:fldCharType="end"/>
        </w:r>
      </w:hyperlink>
    </w:p>
    <w:p w14:paraId="16AC138C" w14:textId="2AED25E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2" w:history="1">
        <w:r w:rsidR="00D4102B" w:rsidRPr="00C22AE8">
          <w:rPr>
            <w:rStyle w:val="Hypertextovodkaz"/>
            <w:noProof/>
          </w:rPr>
          <w:t>Graf 30: OS – míra změny rozsudku u jednotlivých soudů v trestním řízení</w:t>
        </w:r>
        <w:r w:rsidR="00D4102B">
          <w:rPr>
            <w:noProof/>
            <w:webHidden/>
          </w:rPr>
          <w:tab/>
        </w:r>
        <w:r w:rsidR="00D4102B">
          <w:rPr>
            <w:noProof/>
            <w:webHidden/>
          </w:rPr>
          <w:fldChar w:fldCharType="begin"/>
        </w:r>
        <w:r w:rsidR="00D4102B">
          <w:rPr>
            <w:noProof/>
            <w:webHidden/>
          </w:rPr>
          <w:instrText xml:space="preserve"> PAGEREF _Toc144104142 \h </w:instrText>
        </w:r>
        <w:r w:rsidR="00D4102B">
          <w:rPr>
            <w:noProof/>
            <w:webHidden/>
          </w:rPr>
        </w:r>
        <w:r w:rsidR="00D4102B">
          <w:rPr>
            <w:noProof/>
            <w:webHidden/>
          </w:rPr>
          <w:fldChar w:fldCharType="separate"/>
        </w:r>
        <w:r w:rsidR="001E1A67">
          <w:rPr>
            <w:noProof/>
            <w:webHidden/>
          </w:rPr>
          <w:t>54</w:t>
        </w:r>
        <w:r w:rsidR="00D4102B">
          <w:rPr>
            <w:noProof/>
            <w:webHidden/>
          </w:rPr>
          <w:fldChar w:fldCharType="end"/>
        </w:r>
      </w:hyperlink>
    </w:p>
    <w:p w14:paraId="62769615" w14:textId="464ACE2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3" w:history="1">
        <w:r w:rsidR="00D4102B" w:rsidRPr="00C22AE8">
          <w:rPr>
            <w:rStyle w:val="Hypertextovodkaz"/>
            <w:noProof/>
          </w:rPr>
          <w:t>Graf 31: OS – suma uložených peněžitých trestů</w:t>
        </w:r>
        <w:r w:rsidR="00D4102B">
          <w:rPr>
            <w:noProof/>
            <w:webHidden/>
          </w:rPr>
          <w:tab/>
        </w:r>
        <w:r w:rsidR="00D4102B">
          <w:rPr>
            <w:noProof/>
            <w:webHidden/>
          </w:rPr>
          <w:fldChar w:fldCharType="begin"/>
        </w:r>
        <w:r w:rsidR="00D4102B">
          <w:rPr>
            <w:noProof/>
            <w:webHidden/>
          </w:rPr>
          <w:instrText xml:space="preserve"> PAGEREF _Toc144104143 \h </w:instrText>
        </w:r>
        <w:r w:rsidR="00D4102B">
          <w:rPr>
            <w:noProof/>
            <w:webHidden/>
          </w:rPr>
        </w:r>
        <w:r w:rsidR="00D4102B">
          <w:rPr>
            <w:noProof/>
            <w:webHidden/>
          </w:rPr>
          <w:fldChar w:fldCharType="separate"/>
        </w:r>
        <w:r w:rsidR="001E1A67">
          <w:rPr>
            <w:noProof/>
            <w:webHidden/>
          </w:rPr>
          <w:t>55</w:t>
        </w:r>
        <w:r w:rsidR="00D4102B">
          <w:rPr>
            <w:noProof/>
            <w:webHidden/>
          </w:rPr>
          <w:fldChar w:fldCharType="end"/>
        </w:r>
      </w:hyperlink>
    </w:p>
    <w:p w14:paraId="7A68949E" w14:textId="3299C80D"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4" w:history="1">
        <w:r w:rsidR="00D4102B" w:rsidRPr="00C22AE8">
          <w:rPr>
            <w:rStyle w:val="Hypertextovodkaz"/>
            <w:noProof/>
          </w:rPr>
          <w:t>Graf 32: OS – počet a průměrná výše uložených peněžitých trestů</w:t>
        </w:r>
        <w:r w:rsidR="00D4102B">
          <w:rPr>
            <w:noProof/>
            <w:webHidden/>
          </w:rPr>
          <w:tab/>
        </w:r>
        <w:r w:rsidR="00D4102B">
          <w:rPr>
            <w:noProof/>
            <w:webHidden/>
          </w:rPr>
          <w:fldChar w:fldCharType="begin"/>
        </w:r>
        <w:r w:rsidR="00D4102B">
          <w:rPr>
            <w:noProof/>
            <w:webHidden/>
          </w:rPr>
          <w:instrText xml:space="preserve"> PAGEREF _Toc144104144 \h </w:instrText>
        </w:r>
        <w:r w:rsidR="00D4102B">
          <w:rPr>
            <w:noProof/>
            <w:webHidden/>
          </w:rPr>
        </w:r>
        <w:r w:rsidR="00D4102B">
          <w:rPr>
            <w:noProof/>
            <w:webHidden/>
          </w:rPr>
          <w:fldChar w:fldCharType="separate"/>
        </w:r>
        <w:r w:rsidR="001E1A67">
          <w:rPr>
            <w:noProof/>
            <w:webHidden/>
          </w:rPr>
          <w:t>56</w:t>
        </w:r>
        <w:r w:rsidR="00D4102B">
          <w:rPr>
            <w:noProof/>
            <w:webHidden/>
          </w:rPr>
          <w:fldChar w:fldCharType="end"/>
        </w:r>
      </w:hyperlink>
    </w:p>
    <w:p w14:paraId="191A6E4E" w14:textId="194836F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5" w:history="1">
        <w:r w:rsidR="00D4102B" w:rsidRPr="00C22AE8">
          <w:rPr>
            <w:rStyle w:val="Hypertextovodkaz"/>
            <w:noProof/>
          </w:rPr>
          <w:t>Graf 33: OS – délka řízení v opatrovnické agendě v letech 2010–2022</w:t>
        </w:r>
        <w:r w:rsidR="00D4102B">
          <w:rPr>
            <w:noProof/>
            <w:webHidden/>
          </w:rPr>
          <w:tab/>
        </w:r>
        <w:r w:rsidR="00D4102B">
          <w:rPr>
            <w:noProof/>
            <w:webHidden/>
          </w:rPr>
          <w:fldChar w:fldCharType="begin"/>
        </w:r>
        <w:r w:rsidR="00D4102B">
          <w:rPr>
            <w:noProof/>
            <w:webHidden/>
          </w:rPr>
          <w:instrText xml:space="preserve"> PAGEREF _Toc144104145 \h </w:instrText>
        </w:r>
        <w:r w:rsidR="00D4102B">
          <w:rPr>
            <w:noProof/>
            <w:webHidden/>
          </w:rPr>
        </w:r>
        <w:r w:rsidR="00D4102B">
          <w:rPr>
            <w:noProof/>
            <w:webHidden/>
          </w:rPr>
          <w:fldChar w:fldCharType="separate"/>
        </w:r>
        <w:r w:rsidR="001E1A67">
          <w:rPr>
            <w:noProof/>
            <w:webHidden/>
          </w:rPr>
          <w:t>59</w:t>
        </w:r>
        <w:r w:rsidR="00D4102B">
          <w:rPr>
            <w:noProof/>
            <w:webHidden/>
          </w:rPr>
          <w:fldChar w:fldCharType="end"/>
        </w:r>
      </w:hyperlink>
    </w:p>
    <w:p w14:paraId="26067862" w14:textId="7B3EFBD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6" w:history="1">
        <w:r w:rsidR="00D4102B" w:rsidRPr="00C22AE8">
          <w:rPr>
            <w:rStyle w:val="Hypertextovodkaz"/>
            <w:noProof/>
          </w:rPr>
          <w:t>Graf 34: OS – mediánové délky opatrovnického řízení u jednotlivých soudů</w:t>
        </w:r>
        <w:r w:rsidR="00D4102B">
          <w:rPr>
            <w:noProof/>
            <w:webHidden/>
          </w:rPr>
          <w:tab/>
        </w:r>
        <w:r w:rsidR="00D4102B">
          <w:rPr>
            <w:noProof/>
            <w:webHidden/>
          </w:rPr>
          <w:fldChar w:fldCharType="begin"/>
        </w:r>
        <w:r w:rsidR="00D4102B">
          <w:rPr>
            <w:noProof/>
            <w:webHidden/>
          </w:rPr>
          <w:instrText xml:space="preserve"> PAGEREF _Toc144104146 \h </w:instrText>
        </w:r>
        <w:r w:rsidR="00D4102B">
          <w:rPr>
            <w:noProof/>
            <w:webHidden/>
          </w:rPr>
        </w:r>
        <w:r w:rsidR="00D4102B">
          <w:rPr>
            <w:noProof/>
            <w:webHidden/>
          </w:rPr>
          <w:fldChar w:fldCharType="separate"/>
        </w:r>
        <w:r w:rsidR="001E1A67">
          <w:rPr>
            <w:noProof/>
            <w:webHidden/>
          </w:rPr>
          <w:t>61</w:t>
        </w:r>
        <w:r w:rsidR="00D4102B">
          <w:rPr>
            <w:noProof/>
            <w:webHidden/>
          </w:rPr>
          <w:fldChar w:fldCharType="end"/>
        </w:r>
      </w:hyperlink>
    </w:p>
    <w:p w14:paraId="61451D78" w14:textId="42AAC1E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7" w:history="1">
        <w:r w:rsidR="00D4102B" w:rsidRPr="00C22AE8">
          <w:rPr>
            <w:rStyle w:val="Hypertextovodkaz"/>
            <w:noProof/>
          </w:rPr>
          <w:t>Graf 35: OS – krabicové grafy, mediánové délky opatrovnického řízení</w:t>
        </w:r>
        <w:r w:rsidR="00D4102B">
          <w:rPr>
            <w:noProof/>
            <w:webHidden/>
          </w:rPr>
          <w:tab/>
        </w:r>
        <w:r w:rsidR="00D4102B">
          <w:rPr>
            <w:noProof/>
            <w:webHidden/>
          </w:rPr>
          <w:fldChar w:fldCharType="begin"/>
        </w:r>
        <w:r w:rsidR="00D4102B">
          <w:rPr>
            <w:noProof/>
            <w:webHidden/>
          </w:rPr>
          <w:instrText xml:space="preserve"> PAGEREF _Toc144104147 \h </w:instrText>
        </w:r>
        <w:r w:rsidR="00D4102B">
          <w:rPr>
            <w:noProof/>
            <w:webHidden/>
          </w:rPr>
        </w:r>
        <w:r w:rsidR="00D4102B">
          <w:rPr>
            <w:noProof/>
            <w:webHidden/>
          </w:rPr>
          <w:fldChar w:fldCharType="separate"/>
        </w:r>
        <w:r w:rsidR="001E1A67">
          <w:rPr>
            <w:noProof/>
            <w:webHidden/>
          </w:rPr>
          <w:t>62</w:t>
        </w:r>
        <w:r w:rsidR="00D4102B">
          <w:rPr>
            <w:noProof/>
            <w:webHidden/>
          </w:rPr>
          <w:fldChar w:fldCharType="end"/>
        </w:r>
      </w:hyperlink>
    </w:p>
    <w:p w14:paraId="33886494" w14:textId="4BE0186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8" w:history="1">
        <w:r w:rsidR="00D4102B" w:rsidRPr="00C22AE8">
          <w:rPr>
            <w:rStyle w:val="Hypertextovodkaz"/>
            <w:noProof/>
          </w:rPr>
          <w:t>Graf 36: OS –distribuce délky opatrovnického řízení</w:t>
        </w:r>
        <w:r w:rsidR="00D4102B">
          <w:rPr>
            <w:noProof/>
            <w:webHidden/>
          </w:rPr>
          <w:tab/>
        </w:r>
        <w:r w:rsidR="00D4102B">
          <w:rPr>
            <w:noProof/>
            <w:webHidden/>
          </w:rPr>
          <w:fldChar w:fldCharType="begin"/>
        </w:r>
        <w:r w:rsidR="00D4102B">
          <w:rPr>
            <w:noProof/>
            <w:webHidden/>
          </w:rPr>
          <w:instrText xml:space="preserve"> PAGEREF _Toc144104148 \h </w:instrText>
        </w:r>
        <w:r w:rsidR="00D4102B">
          <w:rPr>
            <w:noProof/>
            <w:webHidden/>
          </w:rPr>
        </w:r>
        <w:r w:rsidR="00D4102B">
          <w:rPr>
            <w:noProof/>
            <w:webHidden/>
          </w:rPr>
          <w:fldChar w:fldCharType="separate"/>
        </w:r>
        <w:r w:rsidR="001E1A67">
          <w:rPr>
            <w:noProof/>
            <w:webHidden/>
          </w:rPr>
          <w:t>63</w:t>
        </w:r>
        <w:r w:rsidR="00D4102B">
          <w:rPr>
            <w:noProof/>
            <w:webHidden/>
          </w:rPr>
          <w:fldChar w:fldCharType="end"/>
        </w:r>
      </w:hyperlink>
    </w:p>
    <w:p w14:paraId="12874F65" w14:textId="22010FD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49" w:history="1">
        <w:r w:rsidR="00D4102B" w:rsidRPr="00C22AE8">
          <w:rPr>
            <w:rStyle w:val="Hypertextovodkaz"/>
            <w:noProof/>
          </w:rPr>
          <w:t>Graf 37: OS – vyřizování věcí v opatrovnické agendě v letech 2008–2022</w:t>
        </w:r>
        <w:r w:rsidR="00D4102B">
          <w:rPr>
            <w:noProof/>
            <w:webHidden/>
          </w:rPr>
          <w:tab/>
        </w:r>
        <w:r w:rsidR="00D4102B">
          <w:rPr>
            <w:noProof/>
            <w:webHidden/>
          </w:rPr>
          <w:fldChar w:fldCharType="begin"/>
        </w:r>
        <w:r w:rsidR="00D4102B">
          <w:rPr>
            <w:noProof/>
            <w:webHidden/>
          </w:rPr>
          <w:instrText xml:space="preserve"> PAGEREF _Toc144104149 \h </w:instrText>
        </w:r>
        <w:r w:rsidR="00D4102B">
          <w:rPr>
            <w:noProof/>
            <w:webHidden/>
          </w:rPr>
        </w:r>
        <w:r w:rsidR="00D4102B">
          <w:rPr>
            <w:noProof/>
            <w:webHidden/>
          </w:rPr>
          <w:fldChar w:fldCharType="separate"/>
        </w:r>
        <w:r w:rsidR="001E1A67">
          <w:rPr>
            <w:noProof/>
            <w:webHidden/>
          </w:rPr>
          <w:t>64</w:t>
        </w:r>
        <w:r w:rsidR="00D4102B">
          <w:rPr>
            <w:noProof/>
            <w:webHidden/>
          </w:rPr>
          <w:fldChar w:fldCharType="end"/>
        </w:r>
      </w:hyperlink>
    </w:p>
    <w:p w14:paraId="6BFD900F" w14:textId="4449210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0" w:history="1">
        <w:r w:rsidR="00D4102B" w:rsidRPr="00C22AE8">
          <w:rPr>
            <w:rStyle w:val="Hypertextovodkaz"/>
            <w:noProof/>
          </w:rPr>
          <w:t>Graf 38: OS – počet nevyříz. opatrov. věcí na úvazek u jednotlivých soudů</w:t>
        </w:r>
        <w:r w:rsidR="00D4102B">
          <w:rPr>
            <w:noProof/>
            <w:webHidden/>
          </w:rPr>
          <w:tab/>
        </w:r>
        <w:r w:rsidR="00D4102B">
          <w:rPr>
            <w:noProof/>
            <w:webHidden/>
          </w:rPr>
          <w:fldChar w:fldCharType="begin"/>
        </w:r>
        <w:r w:rsidR="00D4102B">
          <w:rPr>
            <w:noProof/>
            <w:webHidden/>
          </w:rPr>
          <w:instrText xml:space="preserve"> PAGEREF _Toc144104150 \h </w:instrText>
        </w:r>
        <w:r w:rsidR="00D4102B">
          <w:rPr>
            <w:noProof/>
            <w:webHidden/>
          </w:rPr>
        </w:r>
        <w:r w:rsidR="00D4102B">
          <w:rPr>
            <w:noProof/>
            <w:webHidden/>
          </w:rPr>
          <w:fldChar w:fldCharType="separate"/>
        </w:r>
        <w:r w:rsidR="001E1A67">
          <w:rPr>
            <w:noProof/>
            <w:webHidden/>
          </w:rPr>
          <w:t>65</w:t>
        </w:r>
        <w:r w:rsidR="00D4102B">
          <w:rPr>
            <w:noProof/>
            <w:webHidden/>
          </w:rPr>
          <w:fldChar w:fldCharType="end"/>
        </w:r>
      </w:hyperlink>
    </w:p>
    <w:p w14:paraId="798C7C64" w14:textId="4FCDF28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1" w:history="1">
        <w:r w:rsidR="00D4102B" w:rsidRPr="00C22AE8">
          <w:rPr>
            <w:rStyle w:val="Hypertextovodkaz"/>
            <w:noProof/>
          </w:rPr>
          <w:t>Graf 39: OS – disposition time v opatrovnické agendě v letech 2008–2022</w:t>
        </w:r>
        <w:r w:rsidR="00D4102B">
          <w:rPr>
            <w:noProof/>
            <w:webHidden/>
          </w:rPr>
          <w:tab/>
        </w:r>
        <w:r w:rsidR="00D4102B">
          <w:rPr>
            <w:noProof/>
            <w:webHidden/>
          </w:rPr>
          <w:fldChar w:fldCharType="begin"/>
        </w:r>
        <w:r w:rsidR="00D4102B">
          <w:rPr>
            <w:noProof/>
            <w:webHidden/>
          </w:rPr>
          <w:instrText xml:space="preserve"> PAGEREF _Toc144104151 \h </w:instrText>
        </w:r>
        <w:r w:rsidR="00D4102B">
          <w:rPr>
            <w:noProof/>
            <w:webHidden/>
          </w:rPr>
        </w:r>
        <w:r w:rsidR="00D4102B">
          <w:rPr>
            <w:noProof/>
            <w:webHidden/>
          </w:rPr>
          <w:fldChar w:fldCharType="separate"/>
        </w:r>
        <w:r w:rsidR="001E1A67">
          <w:rPr>
            <w:noProof/>
            <w:webHidden/>
          </w:rPr>
          <w:t>66</w:t>
        </w:r>
        <w:r w:rsidR="00D4102B">
          <w:rPr>
            <w:noProof/>
            <w:webHidden/>
          </w:rPr>
          <w:fldChar w:fldCharType="end"/>
        </w:r>
      </w:hyperlink>
    </w:p>
    <w:p w14:paraId="1D8D0CBB" w14:textId="138A56E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2" w:history="1">
        <w:r w:rsidR="00D4102B" w:rsidRPr="00C22AE8">
          <w:rPr>
            <w:rStyle w:val="Hypertextovodkaz"/>
            <w:noProof/>
          </w:rPr>
          <w:t>Graf 40: OS – disposition time v opatrovnické agendě u jednotlivých soudů</w:t>
        </w:r>
        <w:r w:rsidR="00D4102B">
          <w:rPr>
            <w:noProof/>
            <w:webHidden/>
          </w:rPr>
          <w:tab/>
        </w:r>
        <w:r w:rsidR="00D4102B">
          <w:rPr>
            <w:noProof/>
            <w:webHidden/>
          </w:rPr>
          <w:fldChar w:fldCharType="begin"/>
        </w:r>
        <w:r w:rsidR="00D4102B">
          <w:rPr>
            <w:noProof/>
            <w:webHidden/>
          </w:rPr>
          <w:instrText xml:space="preserve"> PAGEREF _Toc144104152 \h </w:instrText>
        </w:r>
        <w:r w:rsidR="00D4102B">
          <w:rPr>
            <w:noProof/>
            <w:webHidden/>
          </w:rPr>
        </w:r>
        <w:r w:rsidR="00D4102B">
          <w:rPr>
            <w:noProof/>
            <w:webHidden/>
          </w:rPr>
          <w:fldChar w:fldCharType="separate"/>
        </w:r>
        <w:r w:rsidR="001E1A67">
          <w:rPr>
            <w:noProof/>
            <w:webHidden/>
          </w:rPr>
          <w:t>67</w:t>
        </w:r>
        <w:r w:rsidR="00D4102B">
          <w:rPr>
            <w:noProof/>
            <w:webHidden/>
          </w:rPr>
          <w:fldChar w:fldCharType="end"/>
        </w:r>
      </w:hyperlink>
    </w:p>
    <w:p w14:paraId="472E13E9" w14:textId="3A7B695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3" w:history="1">
        <w:r w:rsidR="00D4102B" w:rsidRPr="00C22AE8">
          <w:rPr>
            <w:rStyle w:val="Hypertextovodkaz"/>
            <w:noProof/>
          </w:rPr>
          <w:t>Graf 41: OS – krabicové grafy, DT opatrovnické agendy</w:t>
        </w:r>
        <w:r w:rsidR="00D4102B">
          <w:rPr>
            <w:noProof/>
            <w:webHidden/>
          </w:rPr>
          <w:tab/>
        </w:r>
        <w:r w:rsidR="00D4102B">
          <w:rPr>
            <w:noProof/>
            <w:webHidden/>
          </w:rPr>
          <w:fldChar w:fldCharType="begin"/>
        </w:r>
        <w:r w:rsidR="00D4102B">
          <w:rPr>
            <w:noProof/>
            <w:webHidden/>
          </w:rPr>
          <w:instrText xml:space="preserve"> PAGEREF _Toc144104153 \h </w:instrText>
        </w:r>
        <w:r w:rsidR="00D4102B">
          <w:rPr>
            <w:noProof/>
            <w:webHidden/>
          </w:rPr>
        </w:r>
        <w:r w:rsidR="00D4102B">
          <w:rPr>
            <w:noProof/>
            <w:webHidden/>
          </w:rPr>
          <w:fldChar w:fldCharType="separate"/>
        </w:r>
        <w:r w:rsidR="001E1A67">
          <w:rPr>
            <w:noProof/>
            <w:webHidden/>
          </w:rPr>
          <w:t>68</w:t>
        </w:r>
        <w:r w:rsidR="00D4102B">
          <w:rPr>
            <w:noProof/>
            <w:webHidden/>
          </w:rPr>
          <w:fldChar w:fldCharType="end"/>
        </w:r>
      </w:hyperlink>
    </w:p>
    <w:p w14:paraId="4DBEB167" w14:textId="51F13EC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4" w:history="1">
        <w:r w:rsidR="00D4102B" w:rsidRPr="00C22AE8">
          <w:rPr>
            <w:rStyle w:val="Hypertextovodkaz"/>
            <w:noProof/>
          </w:rPr>
          <w:t>Graf 42: OS – míra odvolání u jednotlivých soudů v opatrovnickém řízení</w:t>
        </w:r>
        <w:r w:rsidR="00D4102B">
          <w:rPr>
            <w:noProof/>
            <w:webHidden/>
          </w:rPr>
          <w:tab/>
        </w:r>
        <w:r w:rsidR="00D4102B">
          <w:rPr>
            <w:noProof/>
            <w:webHidden/>
          </w:rPr>
          <w:fldChar w:fldCharType="begin"/>
        </w:r>
        <w:r w:rsidR="00D4102B">
          <w:rPr>
            <w:noProof/>
            <w:webHidden/>
          </w:rPr>
          <w:instrText xml:space="preserve"> PAGEREF _Toc144104154 \h </w:instrText>
        </w:r>
        <w:r w:rsidR="00D4102B">
          <w:rPr>
            <w:noProof/>
            <w:webHidden/>
          </w:rPr>
        </w:r>
        <w:r w:rsidR="00D4102B">
          <w:rPr>
            <w:noProof/>
            <w:webHidden/>
          </w:rPr>
          <w:fldChar w:fldCharType="separate"/>
        </w:r>
        <w:r w:rsidR="001E1A67">
          <w:rPr>
            <w:noProof/>
            <w:webHidden/>
          </w:rPr>
          <w:t>69</w:t>
        </w:r>
        <w:r w:rsidR="00D4102B">
          <w:rPr>
            <w:noProof/>
            <w:webHidden/>
          </w:rPr>
          <w:fldChar w:fldCharType="end"/>
        </w:r>
      </w:hyperlink>
    </w:p>
    <w:p w14:paraId="27A89B81" w14:textId="2C822DC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5" w:history="1">
        <w:r w:rsidR="00D4102B" w:rsidRPr="00C22AE8">
          <w:rPr>
            <w:rStyle w:val="Hypertextovodkaz"/>
            <w:noProof/>
          </w:rPr>
          <w:t>Graf 43: OS – míra změny rozsudku u jednotlivých soudů v opatrov. řízení</w:t>
        </w:r>
        <w:r w:rsidR="00D4102B">
          <w:rPr>
            <w:noProof/>
            <w:webHidden/>
          </w:rPr>
          <w:tab/>
        </w:r>
        <w:r w:rsidR="00D4102B">
          <w:rPr>
            <w:noProof/>
            <w:webHidden/>
          </w:rPr>
          <w:fldChar w:fldCharType="begin"/>
        </w:r>
        <w:r w:rsidR="00D4102B">
          <w:rPr>
            <w:noProof/>
            <w:webHidden/>
          </w:rPr>
          <w:instrText xml:space="preserve"> PAGEREF _Toc144104155 \h </w:instrText>
        </w:r>
        <w:r w:rsidR="00D4102B">
          <w:rPr>
            <w:noProof/>
            <w:webHidden/>
          </w:rPr>
        </w:r>
        <w:r w:rsidR="00D4102B">
          <w:rPr>
            <w:noProof/>
            <w:webHidden/>
          </w:rPr>
          <w:fldChar w:fldCharType="separate"/>
        </w:r>
        <w:r w:rsidR="001E1A67">
          <w:rPr>
            <w:noProof/>
            <w:webHidden/>
          </w:rPr>
          <w:t>70</w:t>
        </w:r>
        <w:r w:rsidR="00D4102B">
          <w:rPr>
            <w:noProof/>
            <w:webHidden/>
          </w:rPr>
          <w:fldChar w:fldCharType="end"/>
        </w:r>
      </w:hyperlink>
    </w:p>
    <w:p w14:paraId="0A626A99" w14:textId="5342C0A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6" w:history="1">
        <w:r w:rsidR="00D4102B" w:rsidRPr="00C22AE8">
          <w:rPr>
            <w:rStyle w:val="Hypertextovodkaz"/>
            <w:noProof/>
          </w:rPr>
          <w:t>Graf 44: OS – průměrná výše výživného dle povinné osoby v letech 2012–2022</w:t>
        </w:r>
        <w:r w:rsidR="00D4102B">
          <w:rPr>
            <w:noProof/>
            <w:webHidden/>
          </w:rPr>
          <w:tab/>
        </w:r>
        <w:r w:rsidR="00D4102B">
          <w:rPr>
            <w:noProof/>
            <w:webHidden/>
          </w:rPr>
          <w:fldChar w:fldCharType="begin"/>
        </w:r>
        <w:r w:rsidR="00D4102B">
          <w:rPr>
            <w:noProof/>
            <w:webHidden/>
          </w:rPr>
          <w:instrText xml:space="preserve"> PAGEREF _Toc144104156 \h </w:instrText>
        </w:r>
        <w:r w:rsidR="00D4102B">
          <w:rPr>
            <w:noProof/>
            <w:webHidden/>
          </w:rPr>
        </w:r>
        <w:r w:rsidR="00D4102B">
          <w:rPr>
            <w:noProof/>
            <w:webHidden/>
          </w:rPr>
          <w:fldChar w:fldCharType="separate"/>
        </w:r>
        <w:r w:rsidR="001E1A67">
          <w:rPr>
            <w:noProof/>
            <w:webHidden/>
          </w:rPr>
          <w:t>71</w:t>
        </w:r>
        <w:r w:rsidR="00D4102B">
          <w:rPr>
            <w:noProof/>
            <w:webHidden/>
          </w:rPr>
          <w:fldChar w:fldCharType="end"/>
        </w:r>
      </w:hyperlink>
    </w:p>
    <w:p w14:paraId="7CA0350A" w14:textId="124806B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7" w:history="1">
        <w:r w:rsidR="00D4102B" w:rsidRPr="00C22AE8">
          <w:rPr>
            <w:rStyle w:val="Hypertextovodkaz"/>
            <w:noProof/>
          </w:rPr>
          <w:t>Graf 45: OS – podíl na příjmu povinné osoby v letech 2012–2022</w:t>
        </w:r>
        <w:r w:rsidR="00D4102B">
          <w:rPr>
            <w:noProof/>
            <w:webHidden/>
          </w:rPr>
          <w:tab/>
        </w:r>
        <w:r w:rsidR="00D4102B">
          <w:rPr>
            <w:noProof/>
            <w:webHidden/>
          </w:rPr>
          <w:fldChar w:fldCharType="begin"/>
        </w:r>
        <w:r w:rsidR="00D4102B">
          <w:rPr>
            <w:noProof/>
            <w:webHidden/>
          </w:rPr>
          <w:instrText xml:space="preserve"> PAGEREF _Toc144104157 \h </w:instrText>
        </w:r>
        <w:r w:rsidR="00D4102B">
          <w:rPr>
            <w:noProof/>
            <w:webHidden/>
          </w:rPr>
        </w:r>
        <w:r w:rsidR="00D4102B">
          <w:rPr>
            <w:noProof/>
            <w:webHidden/>
          </w:rPr>
          <w:fldChar w:fldCharType="separate"/>
        </w:r>
        <w:r w:rsidR="001E1A67">
          <w:rPr>
            <w:noProof/>
            <w:webHidden/>
          </w:rPr>
          <w:t>72</w:t>
        </w:r>
        <w:r w:rsidR="00D4102B">
          <w:rPr>
            <w:noProof/>
            <w:webHidden/>
          </w:rPr>
          <w:fldChar w:fldCharType="end"/>
        </w:r>
      </w:hyperlink>
    </w:p>
    <w:p w14:paraId="291FA916" w14:textId="5BD2971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8" w:history="1">
        <w:r w:rsidR="00D4102B" w:rsidRPr="00C22AE8">
          <w:rPr>
            <w:rStyle w:val="Hypertextovodkaz"/>
            <w:noProof/>
          </w:rPr>
          <w:t>Graf 46: OS – svěřování dítěte do péče</w:t>
        </w:r>
        <w:r w:rsidR="00D4102B">
          <w:rPr>
            <w:noProof/>
            <w:webHidden/>
          </w:rPr>
          <w:tab/>
        </w:r>
        <w:r w:rsidR="00D4102B">
          <w:rPr>
            <w:noProof/>
            <w:webHidden/>
          </w:rPr>
          <w:fldChar w:fldCharType="begin"/>
        </w:r>
        <w:r w:rsidR="00D4102B">
          <w:rPr>
            <w:noProof/>
            <w:webHidden/>
          </w:rPr>
          <w:instrText xml:space="preserve"> PAGEREF _Toc144104158 \h </w:instrText>
        </w:r>
        <w:r w:rsidR="00D4102B">
          <w:rPr>
            <w:noProof/>
            <w:webHidden/>
          </w:rPr>
        </w:r>
        <w:r w:rsidR="00D4102B">
          <w:rPr>
            <w:noProof/>
            <w:webHidden/>
          </w:rPr>
          <w:fldChar w:fldCharType="separate"/>
        </w:r>
        <w:r w:rsidR="001E1A67">
          <w:rPr>
            <w:noProof/>
            <w:webHidden/>
          </w:rPr>
          <w:t>73</w:t>
        </w:r>
        <w:r w:rsidR="00D4102B">
          <w:rPr>
            <w:noProof/>
            <w:webHidden/>
          </w:rPr>
          <w:fldChar w:fldCharType="end"/>
        </w:r>
      </w:hyperlink>
    </w:p>
    <w:p w14:paraId="3EA66C90" w14:textId="6F363AD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59" w:history="1">
        <w:r w:rsidR="00D4102B" w:rsidRPr="00C22AE8">
          <w:rPr>
            <w:rStyle w:val="Hypertextovodkaz"/>
            <w:noProof/>
          </w:rPr>
          <w:t>Graf 47: OS – podíl věcí vyřízených dohodou rodičů</w:t>
        </w:r>
        <w:r w:rsidR="00D4102B">
          <w:rPr>
            <w:noProof/>
            <w:webHidden/>
          </w:rPr>
          <w:tab/>
        </w:r>
        <w:r w:rsidR="00D4102B">
          <w:rPr>
            <w:noProof/>
            <w:webHidden/>
          </w:rPr>
          <w:fldChar w:fldCharType="begin"/>
        </w:r>
        <w:r w:rsidR="00D4102B">
          <w:rPr>
            <w:noProof/>
            <w:webHidden/>
          </w:rPr>
          <w:instrText xml:space="preserve"> PAGEREF _Toc144104159 \h </w:instrText>
        </w:r>
        <w:r w:rsidR="00D4102B">
          <w:rPr>
            <w:noProof/>
            <w:webHidden/>
          </w:rPr>
        </w:r>
        <w:r w:rsidR="00D4102B">
          <w:rPr>
            <w:noProof/>
            <w:webHidden/>
          </w:rPr>
          <w:fldChar w:fldCharType="separate"/>
        </w:r>
        <w:r w:rsidR="001E1A67">
          <w:rPr>
            <w:noProof/>
            <w:webHidden/>
          </w:rPr>
          <w:t>75</w:t>
        </w:r>
        <w:r w:rsidR="00D4102B">
          <w:rPr>
            <w:noProof/>
            <w:webHidden/>
          </w:rPr>
          <w:fldChar w:fldCharType="end"/>
        </w:r>
      </w:hyperlink>
    </w:p>
    <w:p w14:paraId="119F934D" w14:textId="2F4CD14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0" w:history="1">
        <w:r w:rsidR="00D4102B" w:rsidRPr="00C22AE8">
          <w:rPr>
            <w:rStyle w:val="Hypertextovodkaz"/>
            <w:noProof/>
          </w:rPr>
          <w:t>Graf 48: KS – počet soudců v letech 2008–2022</w:t>
        </w:r>
        <w:r w:rsidR="00D4102B">
          <w:rPr>
            <w:noProof/>
            <w:webHidden/>
          </w:rPr>
          <w:tab/>
        </w:r>
        <w:r w:rsidR="00D4102B">
          <w:rPr>
            <w:noProof/>
            <w:webHidden/>
          </w:rPr>
          <w:fldChar w:fldCharType="begin"/>
        </w:r>
        <w:r w:rsidR="00D4102B">
          <w:rPr>
            <w:noProof/>
            <w:webHidden/>
          </w:rPr>
          <w:instrText xml:space="preserve"> PAGEREF _Toc144104160 \h </w:instrText>
        </w:r>
        <w:r w:rsidR="00D4102B">
          <w:rPr>
            <w:noProof/>
            <w:webHidden/>
          </w:rPr>
        </w:r>
        <w:r w:rsidR="00D4102B">
          <w:rPr>
            <w:noProof/>
            <w:webHidden/>
          </w:rPr>
          <w:fldChar w:fldCharType="separate"/>
        </w:r>
        <w:r w:rsidR="001E1A67">
          <w:rPr>
            <w:noProof/>
            <w:webHidden/>
          </w:rPr>
          <w:t>76</w:t>
        </w:r>
        <w:r w:rsidR="00D4102B">
          <w:rPr>
            <w:noProof/>
            <w:webHidden/>
          </w:rPr>
          <w:fldChar w:fldCharType="end"/>
        </w:r>
      </w:hyperlink>
    </w:p>
    <w:p w14:paraId="31E2B349" w14:textId="2B310C4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1" w:history="1">
        <w:r w:rsidR="00D4102B" w:rsidRPr="00C22AE8">
          <w:rPr>
            <w:rStyle w:val="Hypertextovodkaz"/>
            <w:noProof/>
          </w:rPr>
          <w:t>Graf 49: KS – evidenční počet soudců dle soudních úseků v letech 2008–2022</w:t>
        </w:r>
        <w:r w:rsidR="00D4102B">
          <w:rPr>
            <w:noProof/>
            <w:webHidden/>
          </w:rPr>
          <w:tab/>
        </w:r>
        <w:r w:rsidR="00D4102B">
          <w:rPr>
            <w:noProof/>
            <w:webHidden/>
          </w:rPr>
          <w:fldChar w:fldCharType="begin"/>
        </w:r>
        <w:r w:rsidR="00D4102B">
          <w:rPr>
            <w:noProof/>
            <w:webHidden/>
          </w:rPr>
          <w:instrText xml:space="preserve"> PAGEREF _Toc144104161 \h </w:instrText>
        </w:r>
        <w:r w:rsidR="00D4102B">
          <w:rPr>
            <w:noProof/>
            <w:webHidden/>
          </w:rPr>
        </w:r>
        <w:r w:rsidR="00D4102B">
          <w:rPr>
            <w:noProof/>
            <w:webHidden/>
          </w:rPr>
          <w:fldChar w:fldCharType="separate"/>
        </w:r>
        <w:r w:rsidR="001E1A67">
          <w:rPr>
            <w:noProof/>
            <w:webHidden/>
          </w:rPr>
          <w:t>77</w:t>
        </w:r>
        <w:r w:rsidR="00D4102B">
          <w:rPr>
            <w:noProof/>
            <w:webHidden/>
          </w:rPr>
          <w:fldChar w:fldCharType="end"/>
        </w:r>
      </w:hyperlink>
    </w:p>
    <w:p w14:paraId="6104C7D7" w14:textId="7D27CC3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2" w:history="1">
        <w:r w:rsidR="00D4102B" w:rsidRPr="00C22AE8">
          <w:rPr>
            <w:rStyle w:val="Hypertextovodkaz"/>
            <w:noProof/>
          </w:rPr>
          <w:t>Graf 50: KS – evidenční počet soudců dle pohlaví v letech 2008–2022</w:t>
        </w:r>
        <w:r w:rsidR="00D4102B">
          <w:rPr>
            <w:noProof/>
            <w:webHidden/>
          </w:rPr>
          <w:tab/>
        </w:r>
        <w:r w:rsidR="00D4102B">
          <w:rPr>
            <w:noProof/>
            <w:webHidden/>
          </w:rPr>
          <w:fldChar w:fldCharType="begin"/>
        </w:r>
        <w:r w:rsidR="00D4102B">
          <w:rPr>
            <w:noProof/>
            <w:webHidden/>
          </w:rPr>
          <w:instrText xml:space="preserve"> PAGEREF _Toc144104162 \h </w:instrText>
        </w:r>
        <w:r w:rsidR="00D4102B">
          <w:rPr>
            <w:noProof/>
            <w:webHidden/>
          </w:rPr>
        </w:r>
        <w:r w:rsidR="00D4102B">
          <w:rPr>
            <w:noProof/>
            <w:webHidden/>
          </w:rPr>
          <w:fldChar w:fldCharType="separate"/>
        </w:r>
        <w:r w:rsidR="001E1A67">
          <w:rPr>
            <w:noProof/>
            <w:webHidden/>
          </w:rPr>
          <w:t>78</w:t>
        </w:r>
        <w:r w:rsidR="00D4102B">
          <w:rPr>
            <w:noProof/>
            <w:webHidden/>
          </w:rPr>
          <w:fldChar w:fldCharType="end"/>
        </w:r>
      </w:hyperlink>
    </w:p>
    <w:p w14:paraId="0F737885" w14:textId="1B9A196D"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3" w:history="1">
        <w:r w:rsidR="00D4102B" w:rsidRPr="00C22AE8">
          <w:rPr>
            <w:rStyle w:val="Hypertextovodkaz"/>
            <w:noProof/>
          </w:rPr>
          <w:t>Graf 51: KS – věkové složení soudců v letech 2008–2022</w:t>
        </w:r>
        <w:r w:rsidR="00D4102B">
          <w:rPr>
            <w:noProof/>
            <w:webHidden/>
          </w:rPr>
          <w:tab/>
        </w:r>
        <w:r w:rsidR="00D4102B">
          <w:rPr>
            <w:noProof/>
            <w:webHidden/>
          </w:rPr>
          <w:fldChar w:fldCharType="begin"/>
        </w:r>
        <w:r w:rsidR="00D4102B">
          <w:rPr>
            <w:noProof/>
            <w:webHidden/>
          </w:rPr>
          <w:instrText xml:space="preserve"> PAGEREF _Toc144104163 \h </w:instrText>
        </w:r>
        <w:r w:rsidR="00D4102B">
          <w:rPr>
            <w:noProof/>
            <w:webHidden/>
          </w:rPr>
        </w:r>
        <w:r w:rsidR="00D4102B">
          <w:rPr>
            <w:noProof/>
            <w:webHidden/>
          </w:rPr>
          <w:fldChar w:fldCharType="separate"/>
        </w:r>
        <w:r w:rsidR="001E1A67">
          <w:rPr>
            <w:noProof/>
            <w:webHidden/>
          </w:rPr>
          <w:t>80</w:t>
        </w:r>
        <w:r w:rsidR="00D4102B">
          <w:rPr>
            <w:noProof/>
            <w:webHidden/>
          </w:rPr>
          <w:fldChar w:fldCharType="end"/>
        </w:r>
      </w:hyperlink>
    </w:p>
    <w:p w14:paraId="5BE351FE" w14:textId="5C4A863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4" w:history="1">
        <w:r w:rsidR="00D4102B" w:rsidRPr="00C22AE8">
          <w:rPr>
            <w:rStyle w:val="Hypertextovodkaz"/>
            <w:noProof/>
          </w:rPr>
          <w:t>Graf 52: KS – délka prvostupňového civilního řízení v letech 2008–2022</w:t>
        </w:r>
        <w:r w:rsidR="00D4102B">
          <w:rPr>
            <w:noProof/>
            <w:webHidden/>
          </w:rPr>
          <w:tab/>
        </w:r>
        <w:r w:rsidR="00D4102B">
          <w:rPr>
            <w:noProof/>
            <w:webHidden/>
          </w:rPr>
          <w:fldChar w:fldCharType="begin"/>
        </w:r>
        <w:r w:rsidR="00D4102B">
          <w:rPr>
            <w:noProof/>
            <w:webHidden/>
          </w:rPr>
          <w:instrText xml:space="preserve"> PAGEREF _Toc144104164 \h </w:instrText>
        </w:r>
        <w:r w:rsidR="00D4102B">
          <w:rPr>
            <w:noProof/>
            <w:webHidden/>
          </w:rPr>
        </w:r>
        <w:r w:rsidR="00D4102B">
          <w:rPr>
            <w:noProof/>
            <w:webHidden/>
          </w:rPr>
          <w:fldChar w:fldCharType="separate"/>
        </w:r>
        <w:r w:rsidR="001E1A67">
          <w:rPr>
            <w:noProof/>
            <w:webHidden/>
          </w:rPr>
          <w:t>85</w:t>
        </w:r>
        <w:r w:rsidR="00D4102B">
          <w:rPr>
            <w:noProof/>
            <w:webHidden/>
          </w:rPr>
          <w:fldChar w:fldCharType="end"/>
        </w:r>
      </w:hyperlink>
    </w:p>
    <w:p w14:paraId="3ACD68A5" w14:textId="1C34D13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5" w:history="1">
        <w:r w:rsidR="00D4102B" w:rsidRPr="00C22AE8">
          <w:rPr>
            <w:rStyle w:val="Hypertextovodkaz"/>
            <w:noProof/>
          </w:rPr>
          <w:t>Graf 53: KS – distribuce délek prvostupňového civilního řízení</w:t>
        </w:r>
        <w:r w:rsidR="00D4102B">
          <w:rPr>
            <w:noProof/>
            <w:webHidden/>
          </w:rPr>
          <w:tab/>
        </w:r>
        <w:r w:rsidR="00D4102B">
          <w:rPr>
            <w:noProof/>
            <w:webHidden/>
          </w:rPr>
          <w:fldChar w:fldCharType="begin"/>
        </w:r>
        <w:r w:rsidR="00D4102B">
          <w:rPr>
            <w:noProof/>
            <w:webHidden/>
          </w:rPr>
          <w:instrText xml:space="preserve"> PAGEREF _Toc144104165 \h </w:instrText>
        </w:r>
        <w:r w:rsidR="00D4102B">
          <w:rPr>
            <w:noProof/>
            <w:webHidden/>
          </w:rPr>
        </w:r>
        <w:r w:rsidR="00D4102B">
          <w:rPr>
            <w:noProof/>
            <w:webHidden/>
          </w:rPr>
          <w:fldChar w:fldCharType="separate"/>
        </w:r>
        <w:r w:rsidR="001E1A67">
          <w:rPr>
            <w:noProof/>
            <w:webHidden/>
          </w:rPr>
          <w:t>86</w:t>
        </w:r>
        <w:r w:rsidR="00D4102B">
          <w:rPr>
            <w:noProof/>
            <w:webHidden/>
          </w:rPr>
          <w:fldChar w:fldCharType="end"/>
        </w:r>
      </w:hyperlink>
    </w:p>
    <w:p w14:paraId="753466F1" w14:textId="0993A58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6" w:history="1">
        <w:r w:rsidR="00D4102B" w:rsidRPr="00C22AE8">
          <w:rPr>
            <w:rStyle w:val="Hypertextovodkaz"/>
            <w:noProof/>
          </w:rPr>
          <w:t>Graf 54: KS – vyřizování prvostupňových civilních věcí v letech 2008–2022</w:t>
        </w:r>
        <w:r w:rsidR="00D4102B">
          <w:rPr>
            <w:noProof/>
            <w:webHidden/>
          </w:rPr>
          <w:tab/>
        </w:r>
        <w:r w:rsidR="00D4102B">
          <w:rPr>
            <w:noProof/>
            <w:webHidden/>
          </w:rPr>
          <w:fldChar w:fldCharType="begin"/>
        </w:r>
        <w:r w:rsidR="00D4102B">
          <w:rPr>
            <w:noProof/>
            <w:webHidden/>
          </w:rPr>
          <w:instrText xml:space="preserve"> PAGEREF _Toc144104166 \h </w:instrText>
        </w:r>
        <w:r w:rsidR="00D4102B">
          <w:rPr>
            <w:noProof/>
            <w:webHidden/>
          </w:rPr>
        </w:r>
        <w:r w:rsidR="00D4102B">
          <w:rPr>
            <w:noProof/>
            <w:webHidden/>
          </w:rPr>
          <w:fldChar w:fldCharType="separate"/>
        </w:r>
        <w:r w:rsidR="001E1A67">
          <w:rPr>
            <w:noProof/>
            <w:webHidden/>
          </w:rPr>
          <w:t>88</w:t>
        </w:r>
        <w:r w:rsidR="00D4102B">
          <w:rPr>
            <w:noProof/>
            <w:webHidden/>
          </w:rPr>
          <w:fldChar w:fldCharType="end"/>
        </w:r>
      </w:hyperlink>
    </w:p>
    <w:p w14:paraId="765E260E" w14:textId="1768D21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7" w:history="1">
        <w:r w:rsidR="00D4102B" w:rsidRPr="00C22AE8">
          <w:rPr>
            <w:rStyle w:val="Hypertextovodkaz"/>
            <w:noProof/>
          </w:rPr>
          <w:t>Graf 55: KS – vyřizování věcí v letech 2008–2022, pouze rejstřík Cm</w:t>
        </w:r>
        <w:r w:rsidR="00D4102B">
          <w:rPr>
            <w:noProof/>
            <w:webHidden/>
          </w:rPr>
          <w:tab/>
        </w:r>
        <w:r w:rsidR="00D4102B">
          <w:rPr>
            <w:noProof/>
            <w:webHidden/>
          </w:rPr>
          <w:fldChar w:fldCharType="begin"/>
        </w:r>
        <w:r w:rsidR="00D4102B">
          <w:rPr>
            <w:noProof/>
            <w:webHidden/>
          </w:rPr>
          <w:instrText xml:space="preserve"> PAGEREF _Toc144104167 \h </w:instrText>
        </w:r>
        <w:r w:rsidR="00D4102B">
          <w:rPr>
            <w:noProof/>
            <w:webHidden/>
          </w:rPr>
        </w:r>
        <w:r w:rsidR="00D4102B">
          <w:rPr>
            <w:noProof/>
            <w:webHidden/>
          </w:rPr>
          <w:fldChar w:fldCharType="separate"/>
        </w:r>
        <w:r w:rsidR="001E1A67">
          <w:rPr>
            <w:noProof/>
            <w:webHidden/>
          </w:rPr>
          <w:t>88</w:t>
        </w:r>
        <w:r w:rsidR="00D4102B">
          <w:rPr>
            <w:noProof/>
            <w:webHidden/>
          </w:rPr>
          <w:fldChar w:fldCharType="end"/>
        </w:r>
      </w:hyperlink>
    </w:p>
    <w:p w14:paraId="14E6E6B1" w14:textId="5441AFC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8" w:history="1">
        <w:r w:rsidR="00D4102B" w:rsidRPr="00C22AE8">
          <w:rPr>
            <w:rStyle w:val="Hypertextovodkaz"/>
            <w:noProof/>
          </w:rPr>
          <w:t>Graf 56: KS – DT prvostupňového civilního řízení v letech 2008–2022</w:t>
        </w:r>
        <w:r w:rsidR="00D4102B">
          <w:rPr>
            <w:noProof/>
            <w:webHidden/>
          </w:rPr>
          <w:tab/>
        </w:r>
        <w:r w:rsidR="00D4102B">
          <w:rPr>
            <w:noProof/>
            <w:webHidden/>
          </w:rPr>
          <w:fldChar w:fldCharType="begin"/>
        </w:r>
        <w:r w:rsidR="00D4102B">
          <w:rPr>
            <w:noProof/>
            <w:webHidden/>
          </w:rPr>
          <w:instrText xml:space="preserve"> PAGEREF _Toc144104168 \h </w:instrText>
        </w:r>
        <w:r w:rsidR="00D4102B">
          <w:rPr>
            <w:noProof/>
            <w:webHidden/>
          </w:rPr>
        </w:r>
        <w:r w:rsidR="00D4102B">
          <w:rPr>
            <w:noProof/>
            <w:webHidden/>
          </w:rPr>
          <w:fldChar w:fldCharType="separate"/>
        </w:r>
        <w:r w:rsidR="001E1A67">
          <w:rPr>
            <w:noProof/>
            <w:webHidden/>
          </w:rPr>
          <w:t>91</w:t>
        </w:r>
        <w:r w:rsidR="00D4102B">
          <w:rPr>
            <w:noProof/>
            <w:webHidden/>
          </w:rPr>
          <w:fldChar w:fldCharType="end"/>
        </w:r>
      </w:hyperlink>
    </w:p>
    <w:p w14:paraId="792CD4A9" w14:textId="7DB8EAE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69" w:history="1">
        <w:r w:rsidR="00D4102B" w:rsidRPr="00C22AE8">
          <w:rPr>
            <w:rStyle w:val="Hypertextovodkaz"/>
            <w:noProof/>
          </w:rPr>
          <w:t>Graf 57: KS – podíl vybraných předmětů sporu v letech 2014–2022</w:t>
        </w:r>
        <w:r w:rsidR="00D4102B">
          <w:rPr>
            <w:noProof/>
            <w:webHidden/>
          </w:rPr>
          <w:tab/>
        </w:r>
        <w:r w:rsidR="00D4102B">
          <w:rPr>
            <w:noProof/>
            <w:webHidden/>
          </w:rPr>
          <w:fldChar w:fldCharType="begin"/>
        </w:r>
        <w:r w:rsidR="00D4102B">
          <w:rPr>
            <w:noProof/>
            <w:webHidden/>
          </w:rPr>
          <w:instrText xml:space="preserve"> PAGEREF _Toc144104169 \h </w:instrText>
        </w:r>
        <w:r w:rsidR="00D4102B">
          <w:rPr>
            <w:noProof/>
            <w:webHidden/>
          </w:rPr>
        </w:r>
        <w:r w:rsidR="00D4102B">
          <w:rPr>
            <w:noProof/>
            <w:webHidden/>
          </w:rPr>
          <w:fldChar w:fldCharType="separate"/>
        </w:r>
        <w:r w:rsidR="001E1A67">
          <w:rPr>
            <w:noProof/>
            <w:webHidden/>
          </w:rPr>
          <w:t>94</w:t>
        </w:r>
        <w:r w:rsidR="00D4102B">
          <w:rPr>
            <w:noProof/>
            <w:webHidden/>
          </w:rPr>
          <w:fldChar w:fldCharType="end"/>
        </w:r>
      </w:hyperlink>
    </w:p>
    <w:p w14:paraId="47E758B8" w14:textId="6920942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0" w:history="1">
        <w:r w:rsidR="00D4102B" w:rsidRPr="00C22AE8">
          <w:rPr>
            <w:rStyle w:val="Hypertextovodkaz"/>
            <w:noProof/>
          </w:rPr>
          <w:t>Graf 58: KS – délka odvolacího civilního řízení v letech 2010–2022</w:t>
        </w:r>
        <w:r w:rsidR="00D4102B">
          <w:rPr>
            <w:noProof/>
            <w:webHidden/>
          </w:rPr>
          <w:tab/>
        </w:r>
        <w:r w:rsidR="00D4102B">
          <w:rPr>
            <w:noProof/>
            <w:webHidden/>
          </w:rPr>
          <w:fldChar w:fldCharType="begin"/>
        </w:r>
        <w:r w:rsidR="00D4102B">
          <w:rPr>
            <w:noProof/>
            <w:webHidden/>
          </w:rPr>
          <w:instrText xml:space="preserve"> PAGEREF _Toc144104170 \h </w:instrText>
        </w:r>
        <w:r w:rsidR="00D4102B">
          <w:rPr>
            <w:noProof/>
            <w:webHidden/>
          </w:rPr>
        </w:r>
        <w:r w:rsidR="00D4102B">
          <w:rPr>
            <w:noProof/>
            <w:webHidden/>
          </w:rPr>
          <w:fldChar w:fldCharType="separate"/>
        </w:r>
        <w:r w:rsidR="001E1A67">
          <w:rPr>
            <w:noProof/>
            <w:webHidden/>
          </w:rPr>
          <w:t>96</w:t>
        </w:r>
        <w:r w:rsidR="00D4102B">
          <w:rPr>
            <w:noProof/>
            <w:webHidden/>
          </w:rPr>
          <w:fldChar w:fldCharType="end"/>
        </w:r>
      </w:hyperlink>
    </w:p>
    <w:p w14:paraId="11437878" w14:textId="1B410B4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1" w:history="1">
        <w:r w:rsidR="00D4102B" w:rsidRPr="00C22AE8">
          <w:rPr>
            <w:rStyle w:val="Hypertextovodkaz"/>
            <w:noProof/>
          </w:rPr>
          <w:t>Graf 59: KS – distribuce délek odvolacího civilního řízení</w:t>
        </w:r>
        <w:r w:rsidR="00D4102B">
          <w:rPr>
            <w:noProof/>
            <w:webHidden/>
          </w:rPr>
          <w:tab/>
        </w:r>
        <w:r w:rsidR="00D4102B">
          <w:rPr>
            <w:noProof/>
            <w:webHidden/>
          </w:rPr>
          <w:fldChar w:fldCharType="begin"/>
        </w:r>
        <w:r w:rsidR="00D4102B">
          <w:rPr>
            <w:noProof/>
            <w:webHidden/>
          </w:rPr>
          <w:instrText xml:space="preserve"> PAGEREF _Toc144104171 \h </w:instrText>
        </w:r>
        <w:r w:rsidR="00D4102B">
          <w:rPr>
            <w:noProof/>
            <w:webHidden/>
          </w:rPr>
        </w:r>
        <w:r w:rsidR="00D4102B">
          <w:rPr>
            <w:noProof/>
            <w:webHidden/>
          </w:rPr>
          <w:fldChar w:fldCharType="separate"/>
        </w:r>
        <w:r w:rsidR="001E1A67">
          <w:rPr>
            <w:noProof/>
            <w:webHidden/>
          </w:rPr>
          <w:t>97</w:t>
        </w:r>
        <w:r w:rsidR="00D4102B">
          <w:rPr>
            <w:noProof/>
            <w:webHidden/>
          </w:rPr>
          <w:fldChar w:fldCharType="end"/>
        </w:r>
      </w:hyperlink>
    </w:p>
    <w:p w14:paraId="64713D1A" w14:textId="2AB24A6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2" w:history="1">
        <w:r w:rsidR="00D4102B" w:rsidRPr="00C22AE8">
          <w:rPr>
            <w:rStyle w:val="Hypertextovodkaz"/>
            <w:noProof/>
          </w:rPr>
          <w:t>Graf 60: KS – vyřizování odvolacích civilních věcí v letech 2008–2022</w:t>
        </w:r>
        <w:r w:rsidR="00D4102B">
          <w:rPr>
            <w:noProof/>
            <w:webHidden/>
          </w:rPr>
          <w:tab/>
        </w:r>
        <w:r w:rsidR="00D4102B">
          <w:rPr>
            <w:noProof/>
            <w:webHidden/>
          </w:rPr>
          <w:fldChar w:fldCharType="begin"/>
        </w:r>
        <w:r w:rsidR="00D4102B">
          <w:rPr>
            <w:noProof/>
            <w:webHidden/>
          </w:rPr>
          <w:instrText xml:space="preserve"> PAGEREF _Toc144104172 \h </w:instrText>
        </w:r>
        <w:r w:rsidR="00D4102B">
          <w:rPr>
            <w:noProof/>
            <w:webHidden/>
          </w:rPr>
        </w:r>
        <w:r w:rsidR="00D4102B">
          <w:rPr>
            <w:noProof/>
            <w:webHidden/>
          </w:rPr>
          <w:fldChar w:fldCharType="separate"/>
        </w:r>
        <w:r w:rsidR="001E1A67">
          <w:rPr>
            <w:noProof/>
            <w:webHidden/>
          </w:rPr>
          <w:t>98</w:t>
        </w:r>
        <w:r w:rsidR="00D4102B">
          <w:rPr>
            <w:noProof/>
            <w:webHidden/>
          </w:rPr>
          <w:fldChar w:fldCharType="end"/>
        </w:r>
      </w:hyperlink>
    </w:p>
    <w:p w14:paraId="67420069" w14:textId="72EB374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3" w:history="1">
        <w:r w:rsidR="00D4102B" w:rsidRPr="00C22AE8">
          <w:rPr>
            <w:rStyle w:val="Hypertextovodkaz"/>
            <w:noProof/>
          </w:rPr>
          <w:t>Graf 61: KS – DT odvolacího civilního řízení v letech 2008–2021</w:t>
        </w:r>
        <w:r w:rsidR="00D4102B">
          <w:rPr>
            <w:noProof/>
            <w:webHidden/>
          </w:rPr>
          <w:tab/>
        </w:r>
        <w:r w:rsidR="00D4102B">
          <w:rPr>
            <w:noProof/>
            <w:webHidden/>
          </w:rPr>
          <w:fldChar w:fldCharType="begin"/>
        </w:r>
        <w:r w:rsidR="00D4102B">
          <w:rPr>
            <w:noProof/>
            <w:webHidden/>
          </w:rPr>
          <w:instrText xml:space="preserve"> PAGEREF _Toc144104173 \h </w:instrText>
        </w:r>
        <w:r w:rsidR="00D4102B">
          <w:rPr>
            <w:noProof/>
            <w:webHidden/>
          </w:rPr>
        </w:r>
        <w:r w:rsidR="00D4102B">
          <w:rPr>
            <w:noProof/>
            <w:webHidden/>
          </w:rPr>
          <w:fldChar w:fldCharType="separate"/>
        </w:r>
        <w:r w:rsidR="001E1A67">
          <w:rPr>
            <w:noProof/>
            <w:webHidden/>
          </w:rPr>
          <w:t>101</w:t>
        </w:r>
        <w:r w:rsidR="00D4102B">
          <w:rPr>
            <w:noProof/>
            <w:webHidden/>
          </w:rPr>
          <w:fldChar w:fldCharType="end"/>
        </w:r>
      </w:hyperlink>
    </w:p>
    <w:p w14:paraId="6A16A08C" w14:textId="640D22B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4" w:history="1">
        <w:r w:rsidR="00D4102B" w:rsidRPr="00C22AE8">
          <w:rPr>
            <w:rStyle w:val="Hypertextovodkaz"/>
            <w:noProof/>
          </w:rPr>
          <w:t>Graf 62: KS – délka prvostupňového trestního řízení v letech 2008–2022</w:t>
        </w:r>
        <w:r w:rsidR="00D4102B">
          <w:rPr>
            <w:noProof/>
            <w:webHidden/>
          </w:rPr>
          <w:tab/>
        </w:r>
        <w:r w:rsidR="00D4102B">
          <w:rPr>
            <w:noProof/>
            <w:webHidden/>
          </w:rPr>
          <w:fldChar w:fldCharType="begin"/>
        </w:r>
        <w:r w:rsidR="00D4102B">
          <w:rPr>
            <w:noProof/>
            <w:webHidden/>
          </w:rPr>
          <w:instrText xml:space="preserve"> PAGEREF _Toc144104174 \h </w:instrText>
        </w:r>
        <w:r w:rsidR="00D4102B">
          <w:rPr>
            <w:noProof/>
            <w:webHidden/>
          </w:rPr>
        </w:r>
        <w:r w:rsidR="00D4102B">
          <w:rPr>
            <w:noProof/>
            <w:webHidden/>
          </w:rPr>
          <w:fldChar w:fldCharType="separate"/>
        </w:r>
        <w:r w:rsidR="001E1A67">
          <w:rPr>
            <w:noProof/>
            <w:webHidden/>
          </w:rPr>
          <w:t>102</w:t>
        </w:r>
        <w:r w:rsidR="00D4102B">
          <w:rPr>
            <w:noProof/>
            <w:webHidden/>
          </w:rPr>
          <w:fldChar w:fldCharType="end"/>
        </w:r>
      </w:hyperlink>
    </w:p>
    <w:p w14:paraId="011A03FD" w14:textId="218E22E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5" w:history="1">
        <w:r w:rsidR="00D4102B" w:rsidRPr="00C22AE8">
          <w:rPr>
            <w:rStyle w:val="Hypertextovodkaz"/>
            <w:noProof/>
          </w:rPr>
          <w:t>Graf 63: KS – distribuce délek prvostupňového trestního řízení</w:t>
        </w:r>
        <w:r w:rsidR="00D4102B">
          <w:rPr>
            <w:noProof/>
            <w:webHidden/>
          </w:rPr>
          <w:tab/>
        </w:r>
        <w:r w:rsidR="00D4102B">
          <w:rPr>
            <w:noProof/>
            <w:webHidden/>
          </w:rPr>
          <w:fldChar w:fldCharType="begin"/>
        </w:r>
        <w:r w:rsidR="00D4102B">
          <w:rPr>
            <w:noProof/>
            <w:webHidden/>
          </w:rPr>
          <w:instrText xml:space="preserve"> PAGEREF _Toc144104175 \h </w:instrText>
        </w:r>
        <w:r w:rsidR="00D4102B">
          <w:rPr>
            <w:noProof/>
            <w:webHidden/>
          </w:rPr>
        </w:r>
        <w:r w:rsidR="00D4102B">
          <w:rPr>
            <w:noProof/>
            <w:webHidden/>
          </w:rPr>
          <w:fldChar w:fldCharType="separate"/>
        </w:r>
        <w:r w:rsidR="001E1A67">
          <w:rPr>
            <w:noProof/>
            <w:webHidden/>
          </w:rPr>
          <w:t>103</w:t>
        </w:r>
        <w:r w:rsidR="00D4102B">
          <w:rPr>
            <w:noProof/>
            <w:webHidden/>
          </w:rPr>
          <w:fldChar w:fldCharType="end"/>
        </w:r>
      </w:hyperlink>
    </w:p>
    <w:p w14:paraId="5E17AE51" w14:textId="3C467E8D"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6" w:history="1">
        <w:r w:rsidR="00D4102B" w:rsidRPr="00C22AE8">
          <w:rPr>
            <w:rStyle w:val="Hypertextovodkaz"/>
            <w:noProof/>
          </w:rPr>
          <w:t>Graf 64: KS – vyřizování prvostupňových trestních věcí v letech 2008–2022</w:t>
        </w:r>
        <w:r w:rsidR="00D4102B">
          <w:rPr>
            <w:noProof/>
            <w:webHidden/>
          </w:rPr>
          <w:tab/>
        </w:r>
        <w:r w:rsidR="00D4102B">
          <w:rPr>
            <w:noProof/>
            <w:webHidden/>
          </w:rPr>
          <w:fldChar w:fldCharType="begin"/>
        </w:r>
        <w:r w:rsidR="00D4102B">
          <w:rPr>
            <w:noProof/>
            <w:webHidden/>
          </w:rPr>
          <w:instrText xml:space="preserve"> PAGEREF _Toc144104176 \h </w:instrText>
        </w:r>
        <w:r w:rsidR="00D4102B">
          <w:rPr>
            <w:noProof/>
            <w:webHidden/>
          </w:rPr>
        </w:r>
        <w:r w:rsidR="00D4102B">
          <w:rPr>
            <w:noProof/>
            <w:webHidden/>
          </w:rPr>
          <w:fldChar w:fldCharType="separate"/>
        </w:r>
        <w:r w:rsidR="001E1A67">
          <w:rPr>
            <w:noProof/>
            <w:webHidden/>
          </w:rPr>
          <w:t>104</w:t>
        </w:r>
        <w:r w:rsidR="00D4102B">
          <w:rPr>
            <w:noProof/>
            <w:webHidden/>
          </w:rPr>
          <w:fldChar w:fldCharType="end"/>
        </w:r>
      </w:hyperlink>
    </w:p>
    <w:p w14:paraId="4D87361D" w14:textId="5FF48C6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7" w:history="1">
        <w:r w:rsidR="00D4102B" w:rsidRPr="00C22AE8">
          <w:rPr>
            <w:rStyle w:val="Hypertextovodkaz"/>
            <w:noProof/>
          </w:rPr>
          <w:t>Graf 65: KS – DT prvostupňového trestního řízení v letech 2008–2022</w:t>
        </w:r>
        <w:r w:rsidR="00D4102B">
          <w:rPr>
            <w:noProof/>
            <w:webHidden/>
          </w:rPr>
          <w:tab/>
        </w:r>
        <w:r w:rsidR="00D4102B">
          <w:rPr>
            <w:noProof/>
            <w:webHidden/>
          </w:rPr>
          <w:fldChar w:fldCharType="begin"/>
        </w:r>
        <w:r w:rsidR="00D4102B">
          <w:rPr>
            <w:noProof/>
            <w:webHidden/>
          </w:rPr>
          <w:instrText xml:space="preserve"> PAGEREF _Toc144104177 \h </w:instrText>
        </w:r>
        <w:r w:rsidR="00D4102B">
          <w:rPr>
            <w:noProof/>
            <w:webHidden/>
          </w:rPr>
        </w:r>
        <w:r w:rsidR="00D4102B">
          <w:rPr>
            <w:noProof/>
            <w:webHidden/>
          </w:rPr>
          <w:fldChar w:fldCharType="separate"/>
        </w:r>
        <w:r w:rsidR="001E1A67">
          <w:rPr>
            <w:noProof/>
            <w:webHidden/>
          </w:rPr>
          <w:t>106</w:t>
        </w:r>
        <w:r w:rsidR="00D4102B">
          <w:rPr>
            <w:noProof/>
            <w:webHidden/>
          </w:rPr>
          <w:fldChar w:fldCharType="end"/>
        </w:r>
      </w:hyperlink>
    </w:p>
    <w:p w14:paraId="5733CFEC" w14:textId="08476B4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8" w:history="1">
        <w:r w:rsidR="00D4102B" w:rsidRPr="00C22AE8">
          <w:rPr>
            <w:rStyle w:val="Hypertextovodkaz"/>
            <w:noProof/>
          </w:rPr>
          <w:t>Graf 66: KS – délka odvolacího trestního řízení v letech 2008–2022</w:t>
        </w:r>
        <w:r w:rsidR="00D4102B">
          <w:rPr>
            <w:noProof/>
            <w:webHidden/>
          </w:rPr>
          <w:tab/>
        </w:r>
        <w:r w:rsidR="00D4102B">
          <w:rPr>
            <w:noProof/>
            <w:webHidden/>
          </w:rPr>
          <w:fldChar w:fldCharType="begin"/>
        </w:r>
        <w:r w:rsidR="00D4102B">
          <w:rPr>
            <w:noProof/>
            <w:webHidden/>
          </w:rPr>
          <w:instrText xml:space="preserve"> PAGEREF _Toc144104178 \h </w:instrText>
        </w:r>
        <w:r w:rsidR="00D4102B">
          <w:rPr>
            <w:noProof/>
            <w:webHidden/>
          </w:rPr>
        </w:r>
        <w:r w:rsidR="00D4102B">
          <w:rPr>
            <w:noProof/>
            <w:webHidden/>
          </w:rPr>
          <w:fldChar w:fldCharType="separate"/>
        </w:r>
        <w:r w:rsidR="001E1A67">
          <w:rPr>
            <w:noProof/>
            <w:webHidden/>
          </w:rPr>
          <w:t>110</w:t>
        </w:r>
        <w:r w:rsidR="00D4102B">
          <w:rPr>
            <w:noProof/>
            <w:webHidden/>
          </w:rPr>
          <w:fldChar w:fldCharType="end"/>
        </w:r>
      </w:hyperlink>
    </w:p>
    <w:p w14:paraId="79BC8552" w14:textId="75B9675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79" w:history="1">
        <w:r w:rsidR="00D4102B" w:rsidRPr="00C22AE8">
          <w:rPr>
            <w:rStyle w:val="Hypertextovodkaz"/>
            <w:noProof/>
          </w:rPr>
          <w:t>Graf 67: KS – distribuce délek trestního odvolacího řízení</w:t>
        </w:r>
        <w:r w:rsidR="00D4102B">
          <w:rPr>
            <w:noProof/>
            <w:webHidden/>
          </w:rPr>
          <w:tab/>
        </w:r>
        <w:r w:rsidR="00D4102B">
          <w:rPr>
            <w:noProof/>
            <w:webHidden/>
          </w:rPr>
          <w:fldChar w:fldCharType="begin"/>
        </w:r>
        <w:r w:rsidR="00D4102B">
          <w:rPr>
            <w:noProof/>
            <w:webHidden/>
          </w:rPr>
          <w:instrText xml:space="preserve"> PAGEREF _Toc144104179 \h </w:instrText>
        </w:r>
        <w:r w:rsidR="00D4102B">
          <w:rPr>
            <w:noProof/>
            <w:webHidden/>
          </w:rPr>
        </w:r>
        <w:r w:rsidR="00D4102B">
          <w:rPr>
            <w:noProof/>
            <w:webHidden/>
          </w:rPr>
          <w:fldChar w:fldCharType="separate"/>
        </w:r>
        <w:r w:rsidR="001E1A67">
          <w:rPr>
            <w:noProof/>
            <w:webHidden/>
          </w:rPr>
          <w:t>111</w:t>
        </w:r>
        <w:r w:rsidR="00D4102B">
          <w:rPr>
            <w:noProof/>
            <w:webHidden/>
          </w:rPr>
          <w:fldChar w:fldCharType="end"/>
        </w:r>
      </w:hyperlink>
    </w:p>
    <w:p w14:paraId="50538CE7" w14:textId="62EB3FE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0" w:history="1">
        <w:r w:rsidR="00D4102B" w:rsidRPr="00C22AE8">
          <w:rPr>
            <w:rStyle w:val="Hypertextovodkaz"/>
            <w:noProof/>
          </w:rPr>
          <w:t>Graf 68: KS – vyřizování odvolacích trestních věcí v letech 2008–2022</w:t>
        </w:r>
        <w:r w:rsidR="00D4102B">
          <w:rPr>
            <w:noProof/>
            <w:webHidden/>
          </w:rPr>
          <w:tab/>
        </w:r>
        <w:r w:rsidR="00D4102B">
          <w:rPr>
            <w:noProof/>
            <w:webHidden/>
          </w:rPr>
          <w:fldChar w:fldCharType="begin"/>
        </w:r>
        <w:r w:rsidR="00D4102B">
          <w:rPr>
            <w:noProof/>
            <w:webHidden/>
          </w:rPr>
          <w:instrText xml:space="preserve"> PAGEREF _Toc144104180 \h </w:instrText>
        </w:r>
        <w:r w:rsidR="00D4102B">
          <w:rPr>
            <w:noProof/>
            <w:webHidden/>
          </w:rPr>
        </w:r>
        <w:r w:rsidR="00D4102B">
          <w:rPr>
            <w:noProof/>
            <w:webHidden/>
          </w:rPr>
          <w:fldChar w:fldCharType="separate"/>
        </w:r>
        <w:r w:rsidR="001E1A67">
          <w:rPr>
            <w:noProof/>
            <w:webHidden/>
          </w:rPr>
          <w:t>112</w:t>
        </w:r>
        <w:r w:rsidR="00D4102B">
          <w:rPr>
            <w:noProof/>
            <w:webHidden/>
          </w:rPr>
          <w:fldChar w:fldCharType="end"/>
        </w:r>
      </w:hyperlink>
    </w:p>
    <w:p w14:paraId="30516C56" w14:textId="027A6C5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1" w:history="1">
        <w:r w:rsidR="00D4102B" w:rsidRPr="00C22AE8">
          <w:rPr>
            <w:rStyle w:val="Hypertextovodkaz"/>
            <w:noProof/>
          </w:rPr>
          <w:t>Graf 69: KS – DT odvolacího trestního řízení v letech 2008–2021</w:t>
        </w:r>
        <w:r w:rsidR="00D4102B">
          <w:rPr>
            <w:noProof/>
            <w:webHidden/>
          </w:rPr>
          <w:tab/>
        </w:r>
        <w:r w:rsidR="00D4102B">
          <w:rPr>
            <w:noProof/>
            <w:webHidden/>
          </w:rPr>
          <w:fldChar w:fldCharType="begin"/>
        </w:r>
        <w:r w:rsidR="00D4102B">
          <w:rPr>
            <w:noProof/>
            <w:webHidden/>
          </w:rPr>
          <w:instrText xml:space="preserve"> PAGEREF _Toc144104181 \h </w:instrText>
        </w:r>
        <w:r w:rsidR="00D4102B">
          <w:rPr>
            <w:noProof/>
            <w:webHidden/>
          </w:rPr>
        </w:r>
        <w:r w:rsidR="00D4102B">
          <w:rPr>
            <w:noProof/>
            <w:webHidden/>
          </w:rPr>
          <w:fldChar w:fldCharType="separate"/>
        </w:r>
        <w:r w:rsidR="001E1A67">
          <w:rPr>
            <w:noProof/>
            <w:webHidden/>
          </w:rPr>
          <w:t>114</w:t>
        </w:r>
        <w:r w:rsidR="00D4102B">
          <w:rPr>
            <w:noProof/>
            <w:webHidden/>
          </w:rPr>
          <w:fldChar w:fldCharType="end"/>
        </w:r>
      </w:hyperlink>
    </w:p>
    <w:p w14:paraId="3EB5E0BB" w14:textId="43B06AB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2" w:history="1">
        <w:r w:rsidR="00D4102B" w:rsidRPr="00C22AE8">
          <w:rPr>
            <w:rStyle w:val="Hypertextovodkaz"/>
            <w:noProof/>
          </w:rPr>
          <w:t>Graf 70: KS – délka správního řízení u KS v letech 2008–2022</w:t>
        </w:r>
        <w:r w:rsidR="00D4102B">
          <w:rPr>
            <w:noProof/>
            <w:webHidden/>
          </w:rPr>
          <w:tab/>
        </w:r>
        <w:r w:rsidR="00D4102B">
          <w:rPr>
            <w:noProof/>
            <w:webHidden/>
          </w:rPr>
          <w:fldChar w:fldCharType="begin"/>
        </w:r>
        <w:r w:rsidR="00D4102B">
          <w:rPr>
            <w:noProof/>
            <w:webHidden/>
          </w:rPr>
          <w:instrText xml:space="preserve"> PAGEREF _Toc144104182 \h </w:instrText>
        </w:r>
        <w:r w:rsidR="00D4102B">
          <w:rPr>
            <w:noProof/>
            <w:webHidden/>
          </w:rPr>
        </w:r>
        <w:r w:rsidR="00D4102B">
          <w:rPr>
            <w:noProof/>
            <w:webHidden/>
          </w:rPr>
          <w:fldChar w:fldCharType="separate"/>
        </w:r>
        <w:r w:rsidR="001E1A67">
          <w:rPr>
            <w:noProof/>
            <w:webHidden/>
          </w:rPr>
          <w:t>116</w:t>
        </w:r>
        <w:r w:rsidR="00D4102B">
          <w:rPr>
            <w:noProof/>
            <w:webHidden/>
          </w:rPr>
          <w:fldChar w:fldCharType="end"/>
        </w:r>
      </w:hyperlink>
    </w:p>
    <w:p w14:paraId="627B3654" w14:textId="425E0D3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3" w:history="1">
        <w:r w:rsidR="00D4102B" w:rsidRPr="00C22AE8">
          <w:rPr>
            <w:rStyle w:val="Hypertextovodkaz"/>
            <w:noProof/>
          </w:rPr>
          <w:t>Graf 71: KS – distribuce délek správního řízení</w:t>
        </w:r>
        <w:r w:rsidR="00D4102B">
          <w:rPr>
            <w:noProof/>
            <w:webHidden/>
          </w:rPr>
          <w:tab/>
        </w:r>
        <w:r w:rsidR="00D4102B">
          <w:rPr>
            <w:noProof/>
            <w:webHidden/>
          </w:rPr>
          <w:fldChar w:fldCharType="begin"/>
        </w:r>
        <w:r w:rsidR="00D4102B">
          <w:rPr>
            <w:noProof/>
            <w:webHidden/>
          </w:rPr>
          <w:instrText xml:space="preserve"> PAGEREF _Toc144104183 \h </w:instrText>
        </w:r>
        <w:r w:rsidR="00D4102B">
          <w:rPr>
            <w:noProof/>
            <w:webHidden/>
          </w:rPr>
        </w:r>
        <w:r w:rsidR="00D4102B">
          <w:rPr>
            <w:noProof/>
            <w:webHidden/>
          </w:rPr>
          <w:fldChar w:fldCharType="separate"/>
        </w:r>
        <w:r w:rsidR="001E1A67">
          <w:rPr>
            <w:noProof/>
            <w:webHidden/>
          </w:rPr>
          <w:t>117</w:t>
        </w:r>
        <w:r w:rsidR="00D4102B">
          <w:rPr>
            <w:noProof/>
            <w:webHidden/>
          </w:rPr>
          <w:fldChar w:fldCharType="end"/>
        </w:r>
      </w:hyperlink>
    </w:p>
    <w:p w14:paraId="2BE030E6" w14:textId="5642C55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4" w:history="1">
        <w:r w:rsidR="00D4102B" w:rsidRPr="00C22AE8">
          <w:rPr>
            <w:rStyle w:val="Hypertextovodkaz"/>
            <w:noProof/>
          </w:rPr>
          <w:t>Graf 72: KS – vyřizování správních věcí v letech 2008–2022</w:t>
        </w:r>
        <w:r w:rsidR="00D4102B">
          <w:rPr>
            <w:noProof/>
            <w:webHidden/>
          </w:rPr>
          <w:tab/>
        </w:r>
        <w:r w:rsidR="00D4102B">
          <w:rPr>
            <w:noProof/>
            <w:webHidden/>
          </w:rPr>
          <w:fldChar w:fldCharType="begin"/>
        </w:r>
        <w:r w:rsidR="00D4102B">
          <w:rPr>
            <w:noProof/>
            <w:webHidden/>
          </w:rPr>
          <w:instrText xml:space="preserve"> PAGEREF _Toc144104184 \h </w:instrText>
        </w:r>
        <w:r w:rsidR="00D4102B">
          <w:rPr>
            <w:noProof/>
            <w:webHidden/>
          </w:rPr>
        </w:r>
        <w:r w:rsidR="00D4102B">
          <w:rPr>
            <w:noProof/>
            <w:webHidden/>
          </w:rPr>
          <w:fldChar w:fldCharType="separate"/>
        </w:r>
        <w:r w:rsidR="001E1A67">
          <w:rPr>
            <w:noProof/>
            <w:webHidden/>
          </w:rPr>
          <w:t>118</w:t>
        </w:r>
        <w:r w:rsidR="00D4102B">
          <w:rPr>
            <w:noProof/>
            <w:webHidden/>
          </w:rPr>
          <w:fldChar w:fldCharType="end"/>
        </w:r>
      </w:hyperlink>
    </w:p>
    <w:p w14:paraId="52C0AF1C" w14:textId="369FE23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5" w:history="1">
        <w:r w:rsidR="00D4102B" w:rsidRPr="00C22AE8">
          <w:rPr>
            <w:rStyle w:val="Hypertextovodkaz"/>
            <w:noProof/>
          </w:rPr>
          <w:t>Graf 73: KS – vývoj počtu příchozích věcí dle agend správního soudnictví</w:t>
        </w:r>
        <w:r w:rsidR="00D4102B">
          <w:rPr>
            <w:noProof/>
            <w:webHidden/>
          </w:rPr>
          <w:tab/>
        </w:r>
        <w:r w:rsidR="00D4102B">
          <w:rPr>
            <w:noProof/>
            <w:webHidden/>
          </w:rPr>
          <w:fldChar w:fldCharType="begin"/>
        </w:r>
        <w:r w:rsidR="00D4102B">
          <w:rPr>
            <w:noProof/>
            <w:webHidden/>
          </w:rPr>
          <w:instrText xml:space="preserve"> PAGEREF _Toc144104185 \h </w:instrText>
        </w:r>
        <w:r w:rsidR="00D4102B">
          <w:rPr>
            <w:noProof/>
            <w:webHidden/>
          </w:rPr>
        </w:r>
        <w:r w:rsidR="00D4102B">
          <w:rPr>
            <w:noProof/>
            <w:webHidden/>
          </w:rPr>
          <w:fldChar w:fldCharType="separate"/>
        </w:r>
        <w:r w:rsidR="001E1A67">
          <w:rPr>
            <w:noProof/>
            <w:webHidden/>
          </w:rPr>
          <w:t>120</w:t>
        </w:r>
        <w:r w:rsidR="00D4102B">
          <w:rPr>
            <w:noProof/>
            <w:webHidden/>
          </w:rPr>
          <w:fldChar w:fldCharType="end"/>
        </w:r>
      </w:hyperlink>
    </w:p>
    <w:p w14:paraId="450AB0EB" w14:textId="3170DE57"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6" w:history="1">
        <w:r w:rsidR="00D4102B" w:rsidRPr="00C22AE8">
          <w:rPr>
            <w:rStyle w:val="Hypertextovodkaz"/>
            <w:noProof/>
          </w:rPr>
          <w:t>Graf 74: KS – DT správního řízení v letech 2008–2021</w:t>
        </w:r>
        <w:r w:rsidR="00D4102B">
          <w:rPr>
            <w:noProof/>
            <w:webHidden/>
          </w:rPr>
          <w:tab/>
        </w:r>
        <w:r w:rsidR="00D4102B">
          <w:rPr>
            <w:noProof/>
            <w:webHidden/>
          </w:rPr>
          <w:fldChar w:fldCharType="begin"/>
        </w:r>
        <w:r w:rsidR="00D4102B">
          <w:rPr>
            <w:noProof/>
            <w:webHidden/>
          </w:rPr>
          <w:instrText xml:space="preserve"> PAGEREF _Toc144104186 \h </w:instrText>
        </w:r>
        <w:r w:rsidR="00D4102B">
          <w:rPr>
            <w:noProof/>
            <w:webHidden/>
          </w:rPr>
        </w:r>
        <w:r w:rsidR="00D4102B">
          <w:rPr>
            <w:noProof/>
            <w:webHidden/>
          </w:rPr>
          <w:fldChar w:fldCharType="separate"/>
        </w:r>
        <w:r w:rsidR="001E1A67">
          <w:rPr>
            <w:noProof/>
            <w:webHidden/>
          </w:rPr>
          <w:t>122</w:t>
        </w:r>
        <w:r w:rsidR="00D4102B">
          <w:rPr>
            <w:noProof/>
            <w:webHidden/>
          </w:rPr>
          <w:fldChar w:fldCharType="end"/>
        </w:r>
      </w:hyperlink>
    </w:p>
    <w:p w14:paraId="463208DA" w14:textId="130F0857"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7" w:history="1">
        <w:r w:rsidR="00D4102B" w:rsidRPr="00C22AE8">
          <w:rPr>
            <w:rStyle w:val="Hypertextovodkaz"/>
            <w:noProof/>
          </w:rPr>
          <w:t>Graf 75: KS – délka insolvenčního řízení v letech 2008–2022</w:t>
        </w:r>
        <w:r w:rsidR="00D4102B">
          <w:rPr>
            <w:noProof/>
            <w:webHidden/>
          </w:rPr>
          <w:tab/>
        </w:r>
        <w:r w:rsidR="00D4102B">
          <w:rPr>
            <w:noProof/>
            <w:webHidden/>
          </w:rPr>
          <w:fldChar w:fldCharType="begin"/>
        </w:r>
        <w:r w:rsidR="00D4102B">
          <w:rPr>
            <w:noProof/>
            <w:webHidden/>
          </w:rPr>
          <w:instrText xml:space="preserve"> PAGEREF _Toc144104187 \h </w:instrText>
        </w:r>
        <w:r w:rsidR="00D4102B">
          <w:rPr>
            <w:noProof/>
            <w:webHidden/>
          </w:rPr>
        </w:r>
        <w:r w:rsidR="00D4102B">
          <w:rPr>
            <w:noProof/>
            <w:webHidden/>
          </w:rPr>
          <w:fldChar w:fldCharType="separate"/>
        </w:r>
        <w:r w:rsidR="001E1A67">
          <w:rPr>
            <w:noProof/>
            <w:webHidden/>
          </w:rPr>
          <w:t>124</w:t>
        </w:r>
        <w:r w:rsidR="00D4102B">
          <w:rPr>
            <w:noProof/>
            <w:webHidden/>
          </w:rPr>
          <w:fldChar w:fldCharType="end"/>
        </w:r>
      </w:hyperlink>
    </w:p>
    <w:p w14:paraId="088A791A" w14:textId="4C7210B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8" w:history="1">
        <w:r w:rsidR="00D4102B" w:rsidRPr="00C22AE8">
          <w:rPr>
            <w:rStyle w:val="Hypertextovodkaz"/>
            <w:noProof/>
          </w:rPr>
          <w:t>Graf 76: KS – vyřizování insolvenčních věcí v letech 2008–2022</w:t>
        </w:r>
        <w:r w:rsidR="00D4102B">
          <w:rPr>
            <w:noProof/>
            <w:webHidden/>
          </w:rPr>
          <w:tab/>
        </w:r>
        <w:r w:rsidR="00D4102B">
          <w:rPr>
            <w:noProof/>
            <w:webHidden/>
          </w:rPr>
          <w:fldChar w:fldCharType="begin"/>
        </w:r>
        <w:r w:rsidR="00D4102B">
          <w:rPr>
            <w:noProof/>
            <w:webHidden/>
          </w:rPr>
          <w:instrText xml:space="preserve"> PAGEREF _Toc144104188 \h </w:instrText>
        </w:r>
        <w:r w:rsidR="00D4102B">
          <w:rPr>
            <w:noProof/>
            <w:webHidden/>
          </w:rPr>
        </w:r>
        <w:r w:rsidR="00D4102B">
          <w:rPr>
            <w:noProof/>
            <w:webHidden/>
          </w:rPr>
          <w:fldChar w:fldCharType="separate"/>
        </w:r>
        <w:r w:rsidR="001E1A67">
          <w:rPr>
            <w:noProof/>
            <w:webHidden/>
          </w:rPr>
          <w:t>125</w:t>
        </w:r>
        <w:r w:rsidR="00D4102B">
          <w:rPr>
            <w:noProof/>
            <w:webHidden/>
          </w:rPr>
          <w:fldChar w:fldCharType="end"/>
        </w:r>
      </w:hyperlink>
    </w:p>
    <w:p w14:paraId="43548F1F" w14:textId="12D27FD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89" w:history="1">
        <w:r w:rsidR="00D4102B" w:rsidRPr="00C22AE8">
          <w:rPr>
            <w:rStyle w:val="Hypertextovodkaz"/>
            <w:noProof/>
          </w:rPr>
          <w:t>Graf 77: KS – délka incidenčních sporů řízení v letech 2011–2022</w:t>
        </w:r>
        <w:r w:rsidR="00D4102B">
          <w:rPr>
            <w:noProof/>
            <w:webHidden/>
          </w:rPr>
          <w:tab/>
        </w:r>
        <w:r w:rsidR="00D4102B">
          <w:rPr>
            <w:noProof/>
            <w:webHidden/>
          </w:rPr>
          <w:fldChar w:fldCharType="begin"/>
        </w:r>
        <w:r w:rsidR="00D4102B">
          <w:rPr>
            <w:noProof/>
            <w:webHidden/>
          </w:rPr>
          <w:instrText xml:space="preserve"> PAGEREF _Toc144104189 \h </w:instrText>
        </w:r>
        <w:r w:rsidR="00D4102B">
          <w:rPr>
            <w:noProof/>
            <w:webHidden/>
          </w:rPr>
        </w:r>
        <w:r w:rsidR="00D4102B">
          <w:rPr>
            <w:noProof/>
            <w:webHidden/>
          </w:rPr>
          <w:fldChar w:fldCharType="separate"/>
        </w:r>
        <w:r w:rsidR="001E1A67">
          <w:rPr>
            <w:noProof/>
            <w:webHidden/>
          </w:rPr>
          <w:t>129</w:t>
        </w:r>
        <w:r w:rsidR="00D4102B">
          <w:rPr>
            <w:noProof/>
            <w:webHidden/>
          </w:rPr>
          <w:fldChar w:fldCharType="end"/>
        </w:r>
      </w:hyperlink>
    </w:p>
    <w:p w14:paraId="1E036657" w14:textId="0D52388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0" w:history="1">
        <w:r w:rsidR="00D4102B" w:rsidRPr="00C22AE8">
          <w:rPr>
            <w:rStyle w:val="Hypertextovodkaz"/>
            <w:noProof/>
          </w:rPr>
          <w:t>Graf 78: KS – distribuce délek incidenčních sporů</w:t>
        </w:r>
        <w:r w:rsidR="00D4102B">
          <w:rPr>
            <w:noProof/>
            <w:webHidden/>
          </w:rPr>
          <w:tab/>
        </w:r>
        <w:r w:rsidR="00D4102B">
          <w:rPr>
            <w:noProof/>
            <w:webHidden/>
          </w:rPr>
          <w:fldChar w:fldCharType="begin"/>
        </w:r>
        <w:r w:rsidR="00D4102B">
          <w:rPr>
            <w:noProof/>
            <w:webHidden/>
          </w:rPr>
          <w:instrText xml:space="preserve"> PAGEREF _Toc144104190 \h </w:instrText>
        </w:r>
        <w:r w:rsidR="00D4102B">
          <w:rPr>
            <w:noProof/>
            <w:webHidden/>
          </w:rPr>
        </w:r>
        <w:r w:rsidR="00D4102B">
          <w:rPr>
            <w:noProof/>
            <w:webHidden/>
          </w:rPr>
          <w:fldChar w:fldCharType="separate"/>
        </w:r>
        <w:r w:rsidR="001E1A67">
          <w:rPr>
            <w:noProof/>
            <w:webHidden/>
          </w:rPr>
          <w:t>130</w:t>
        </w:r>
        <w:r w:rsidR="00D4102B">
          <w:rPr>
            <w:noProof/>
            <w:webHidden/>
          </w:rPr>
          <w:fldChar w:fldCharType="end"/>
        </w:r>
      </w:hyperlink>
    </w:p>
    <w:p w14:paraId="0379D56D" w14:textId="501F4B2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1" w:history="1">
        <w:r w:rsidR="00D4102B" w:rsidRPr="00C22AE8">
          <w:rPr>
            <w:rStyle w:val="Hypertextovodkaz"/>
            <w:noProof/>
          </w:rPr>
          <w:t>Graf 79: KS – vyřizování incidenčních sporů v letech 2011–2021</w:t>
        </w:r>
        <w:r w:rsidR="00D4102B">
          <w:rPr>
            <w:noProof/>
            <w:webHidden/>
          </w:rPr>
          <w:tab/>
        </w:r>
        <w:r w:rsidR="00D4102B">
          <w:rPr>
            <w:noProof/>
            <w:webHidden/>
          </w:rPr>
          <w:fldChar w:fldCharType="begin"/>
        </w:r>
        <w:r w:rsidR="00D4102B">
          <w:rPr>
            <w:noProof/>
            <w:webHidden/>
          </w:rPr>
          <w:instrText xml:space="preserve"> PAGEREF _Toc144104191 \h </w:instrText>
        </w:r>
        <w:r w:rsidR="00D4102B">
          <w:rPr>
            <w:noProof/>
            <w:webHidden/>
          </w:rPr>
        </w:r>
        <w:r w:rsidR="00D4102B">
          <w:rPr>
            <w:noProof/>
            <w:webHidden/>
          </w:rPr>
          <w:fldChar w:fldCharType="separate"/>
        </w:r>
        <w:r w:rsidR="001E1A67">
          <w:rPr>
            <w:noProof/>
            <w:webHidden/>
          </w:rPr>
          <w:t>131</w:t>
        </w:r>
        <w:r w:rsidR="00D4102B">
          <w:rPr>
            <w:noProof/>
            <w:webHidden/>
          </w:rPr>
          <w:fldChar w:fldCharType="end"/>
        </w:r>
      </w:hyperlink>
    </w:p>
    <w:p w14:paraId="73FD6473" w14:textId="098E7D0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2" w:history="1">
        <w:r w:rsidR="00D4102B" w:rsidRPr="00C22AE8">
          <w:rPr>
            <w:rStyle w:val="Hypertextovodkaz"/>
            <w:noProof/>
          </w:rPr>
          <w:t>Graf 80: KS – DT incidenčních sporů v letech 2011–2021</w:t>
        </w:r>
        <w:r w:rsidR="00D4102B">
          <w:rPr>
            <w:noProof/>
            <w:webHidden/>
          </w:rPr>
          <w:tab/>
        </w:r>
        <w:r w:rsidR="00D4102B">
          <w:rPr>
            <w:noProof/>
            <w:webHidden/>
          </w:rPr>
          <w:fldChar w:fldCharType="begin"/>
        </w:r>
        <w:r w:rsidR="00D4102B">
          <w:rPr>
            <w:noProof/>
            <w:webHidden/>
          </w:rPr>
          <w:instrText xml:space="preserve"> PAGEREF _Toc144104192 \h </w:instrText>
        </w:r>
        <w:r w:rsidR="00D4102B">
          <w:rPr>
            <w:noProof/>
            <w:webHidden/>
          </w:rPr>
        </w:r>
        <w:r w:rsidR="00D4102B">
          <w:rPr>
            <w:noProof/>
            <w:webHidden/>
          </w:rPr>
          <w:fldChar w:fldCharType="separate"/>
        </w:r>
        <w:r w:rsidR="001E1A67">
          <w:rPr>
            <w:noProof/>
            <w:webHidden/>
          </w:rPr>
          <w:t>133</w:t>
        </w:r>
        <w:r w:rsidR="00D4102B">
          <w:rPr>
            <w:noProof/>
            <w:webHidden/>
          </w:rPr>
          <w:fldChar w:fldCharType="end"/>
        </w:r>
      </w:hyperlink>
    </w:p>
    <w:p w14:paraId="5B039646" w14:textId="767508C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3" w:history="1">
        <w:r w:rsidR="00D4102B" w:rsidRPr="00C22AE8">
          <w:rPr>
            <w:rStyle w:val="Hypertextovodkaz"/>
            <w:noProof/>
          </w:rPr>
          <w:t>Graf 81: VS – počet soudců v letech 2008–2021</w:t>
        </w:r>
        <w:r w:rsidR="00D4102B">
          <w:rPr>
            <w:noProof/>
            <w:webHidden/>
          </w:rPr>
          <w:tab/>
        </w:r>
        <w:r w:rsidR="00D4102B">
          <w:rPr>
            <w:noProof/>
            <w:webHidden/>
          </w:rPr>
          <w:fldChar w:fldCharType="begin"/>
        </w:r>
        <w:r w:rsidR="00D4102B">
          <w:rPr>
            <w:noProof/>
            <w:webHidden/>
          </w:rPr>
          <w:instrText xml:space="preserve"> PAGEREF _Toc144104193 \h </w:instrText>
        </w:r>
        <w:r w:rsidR="00D4102B">
          <w:rPr>
            <w:noProof/>
            <w:webHidden/>
          </w:rPr>
        </w:r>
        <w:r w:rsidR="00D4102B">
          <w:rPr>
            <w:noProof/>
            <w:webHidden/>
          </w:rPr>
          <w:fldChar w:fldCharType="separate"/>
        </w:r>
        <w:r w:rsidR="001E1A67">
          <w:rPr>
            <w:noProof/>
            <w:webHidden/>
          </w:rPr>
          <w:t>135</w:t>
        </w:r>
        <w:r w:rsidR="00D4102B">
          <w:rPr>
            <w:noProof/>
            <w:webHidden/>
          </w:rPr>
          <w:fldChar w:fldCharType="end"/>
        </w:r>
      </w:hyperlink>
    </w:p>
    <w:p w14:paraId="33A8D711" w14:textId="1B5C3AB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4" w:history="1">
        <w:r w:rsidR="00D4102B" w:rsidRPr="00C22AE8">
          <w:rPr>
            <w:rStyle w:val="Hypertextovodkaz"/>
            <w:noProof/>
          </w:rPr>
          <w:t>Graf 82: VS – evidenční počet soudců dle soudních úseků v letech 2008–2022</w:t>
        </w:r>
        <w:r w:rsidR="00D4102B">
          <w:rPr>
            <w:noProof/>
            <w:webHidden/>
          </w:rPr>
          <w:tab/>
        </w:r>
        <w:r w:rsidR="00D4102B">
          <w:rPr>
            <w:noProof/>
            <w:webHidden/>
          </w:rPr>
          <w:fldChar w:fldCharType="begin"/>
        </w:r>
        <w:r w:rsidR="00D4102B">
          <w:rPr>
            <w:noProof/>
            <w:webHidden/>
          </w:rPr>
          <w:instrText xml:space="preserve"> PAGEREF _Toc144104194 \h </w:instrText>
        </w:r>
        <w:r w:rsidR="00D4102B">
          <w:rPr>
            <w:noProof/>
            <w:webHidden/>
          </w:rPr>
        </w:r>
        <w:r w:rsidR="00D4102B">
          <w:rPr>
            <w:noProof/>
            <w:webHidden/>
          </w:rPr>
          <w:fldChar w:fldCharType="separate"/>
        </w:r>
        <w:r w:rsidR="001E1A67">
          <w:rPr>
            <w:noProof/>
            <w:webHidden/>
          </w:rPr>
          <w:t>136</w:t>
        </w:r>
        <w:r w:rsidR="00D4102B">
          <w:rPr>
            <w:noProof/>
            <w:webHidden/>
          </w:rPr>
          <w:fldChar w:fldCharType="end"/>
        </w:r>
      </w:hyperlink>
    </w:p>
    <w:p w14:paraId="6F4F86A2" w14:textId="449A983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5" w:history="1">
        <w:r w:rsidR="00D4102B" w:rsidRPr="00C22AE8">
          <w:rPr>
            <w:rStyle w:val="Hypertextovodkaz"/>
            <w:noProof/>
          </w:rPr>
          <w:t>Graf 83: VS – evidenční počet soudců dle pohlaví v letech 2008–2022</w:t>
        </w:r>
        <w:r w:rsidR="00D4102B">
          <w:rPr>
            <w:noProof/>
            <w:webHidden/>
          </w:rPr>
          <w:tab/>
        </w:r>
        <w:r w:rsidR="00D4102B">
          <w:rPr>
            <w:noProof/>
            <w:webHidden/>
          </w:rPr>
          <w:fldChar w:fldCharType="begin"/>
        </w:r>
        <w:r w:rsidR="00D4102B">
          <w:rPr>
            <w:noProof/>
            <w:webHidden/>
          </w:rPr>
          <w:instrText xml:space="preserve"> PAGEREF _Toc144104195 \h </w:instrText>
        </w:r>
        <w:r w:rsidR="00D4102B">
          <w:rPr>
            <w:noProof/>
            <w:webHidden/>
          </w:rPr>
        </w:r>
        <w:r w:rsidR="00D4102B">
          <w:rPr>
            <w:noProof/>
            <w:webHidden/>
          </w:rPr>
          <w:fldChar w:fldCharType="separate"/>
        </w:r>
        <w:r w:rsidR="001E1A67">
          <w:rPr>
            <w:noProof/>
            <w:webHidden/>
          </w:rPr>
          <w:t>137</w:t>
        </w:r>
        <w:r w:rsidR="00D4102B">
          <w:rPr>
            <w:noProof/>
            <w:webHidden/>
          </w:rPr>
          <w:fldChar w:fldCharType="end"/>
        </w:r>
      </w:hyperlink>
    </w:p>
    <w:p w14:paraId="58ECDE6D" w14:textId="5466B7C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6" w:history="1">
        <w:r w:rsidR="00D4102B" w:rsidRPr="00C22AE8">
          <w:rPr>
            <w:rStyle w:val="Hypertextovodkaz"/>
            <w:noProof/>
          </w:rPr>
          <w:t>Graf 84: VS Praha – věkové složení soudců v letech 2008–2022</w:t>
        </w:r>
        <w:r w:rsidR="00D4102B">
          <w:rPr>
            <w:noProof/>
            <w:webHidden/>
          </w:rPr>
          <w:tab/>
        </w:r>
        <w:r w:rsidR="00D4102B">
          <w:rPr>
            <w:noProof/>
            <w:webHidden/>
          </w:rPr>
          <w:fldChar w:fldCharType="begin"/>
        </w:r>
        <w:r w:rsidR="00D4102B">
          <w:rPr>
            <w:noProof/>
            <w:webHidden/>
          </w:rPr>
          <w:instrText xml:space="preserve"> PAGEREF _Toc144104196 \h </w:instrText>
        </w:r>
        <w:r w:rsidR="00D4102B">
          <w:rPr>
            <w:noProof/>
            <w:webHidden/>
          </w:rPr>
        </w:r>
        <w:r w:rsidR="00D4102B">
          <w:rPr>
            <w:noProof/>
            <w:webHidden/>
          </w:rPr>
          <w:fldChar w:fldCharType="separate"/>
        </w:r>
        <w:r w:rsidR="001E1A67">
          <w:rPr>
            <w:noProof/>
            <w:webHidden/>
          </w:rPr>
          <w:t>138</w:t>
        </w:r>
        <w:r w:rsidR="00D4102B">
          <w:rPr>
            <w:noProof/>
            <w:webHidden/>
          </w:rPr>
          <w:fldChar w:fldCharType="end"/>
        </w:r>
      </w:hyperlink>
    </w:p>
    <w:p w14:paraId="121DD2E4" w14:textId="6AFBE42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7" w:history="1">
        <w:r w:rsidR="00D4102B" w:rsidRPr="00C22AE8">
          <w:rPr>
            <w:rStyle w:val="Hypertextovodkaz"/>
            <w:noProof/>
          </w:rPr>
          <w:t>Graf 85: VS Olomouc – věkové složení soudců v letech 2008–2021</w:t>
        </w:r>
        <w:r w:rsidR="00D4102B">
          <w:rPr>
            <w:noProof/>
            <w:webHidden/>
          </w:rPr>
          <w:tab/>
        </w:r>
        <w:r w:rsidR="00D4102B">
          <w:rPr>
            <w:noProof/>
            <w:webHidden/>
          </w:rPr>
          <w:fldChar w:fldCharType="begin"/>
        </w:r>
        <w:r w:rsidR="00D4102B">
          <w:rPr>
            <w:noProof/>
            <w:webHidden/>
          </w:rPr>
          <w:instrText xml:space="preserve"> PAGEREF _Toc144104197 \h </w:instrText>
        </w:r>
        <w:r w:rsidR="00D4102B">
          <w:rPr>
            <w:noProof/>
            <w:webHidden/>
          </w:rPr>
        </w:r>
        <w:r w:rsidR="00D4102B">
          <w:rPr>
            <w:noProof/>
            <w:webHidden/>
          </w:rPr>
          <w:fldChar w:fldCharType="separate"/>
        </w:r>
        <w:r w:rsidR="001E1A67">
          <w:rPr>
            <w:noProof/>
            <w:webHidden/>
          </w:rPr>
          <w:t>138</w:t>
        </w:r>
        <w:r w:rsidR="00D4102B">
          <w:rPr>
            <w:noProof/>
            <w:webHidden/>
          </w:rPr>
          <w:fldChar w:fldCharType="end"/>
        </w:r>
      </w:hyperlink>
    </w:p>
    <w:p w14:paraId="1D303FC2" w14:textId="658FD33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8" w:history="1">
        <w:r w:rsidR="00D4102B" w:rsidRPr="00C22AE8">
          <w:rPr>
            <w:rStyle w:val="Hypertextovodkaz"/>
            <w:noProof/>
          </w:rPr>
          <w:t>Graf 86: VS – délka civilního odvolacího řízení u VS v letech 2010–2022</w:t>
        </w:r>
        <w:r w:rsidR="00D4102B">
          <w:rPr>
            <w:noProof/>
            <w:webHidden/>
          </w:rPr>
          <w:tab/>
        </w:r>
        <w:r w:rsidR="00D4102B">
          <w:rPr>
            <w:noProof/>
            <w:webHidden/>
          </w:rPr>
          <w:fldChar w:fldCharType="begin"/>
        </w:r>
        <w:r w:rsidR="00D4102B">
          <w:rPr>
            <w:noProof/>
            <w:webHidden/>
          </w:rPr>
          <w:instrText xml:space="preserve"> PAGEREF _Toc144104198 \h </w:instrText>
        </w:r>
        <w:r w:rsidR="00D4102B">
          <w:rPr>
            <w:noProof/>
            <w:webHidden/>
          </w:rPr>
        </w:r>
        <w:r w:rsidR="00D4102B">
          <w:rPr>
            <w:noProof/>
            <w:webHidden/>
          </w:rPr>
          <w:fldChar w:fldCharType="separate"/>
        </w:r>
        <w:r w:rsidR="001E1A67">
          <w:rPr>
            <w:noProof/>
            <w:webHidden/>
          </w:rPr>
          <w:t>140</w:t>
        </w:r>
        <w:r w:rsidR="00D4102B">
          <w:rPr>
            <w:noProof/>
            <w:webHidden/>
          </w:rPr>
          <w:fldChar w:fldCharType="end"/>
        </w:r>
      </w:hyperlink>
    </w:p>
    <w:p w14:paraId="5F0AC187" w14:textId="1AE89EA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199" w:history="1">
        <w:r w:rsidR="00D4102B" w:rsidRPr="00C22AE8">
          <w:rPr>
            <w:rStyle w:val="Hypertextovodkaz"/>
            <w:noProof/>
          </w:rPr>
          <w:t>Graf 87: VS – distribuce délek civilního odvolacího řízení</w:t>
        </w:r>
        <w:r w:rsidR="00D4102B">
          <w:rPr>
            <w:noProof/>
            <w:webHidden/>
          </w:rPr>
          <w:tab/>
        </w:r>
        <w:r w:rsidR="00D4102B">
          <w:rPr>
            <w:noProof/>
            <w:webHidden/>
          </w:rPr>
          <w:fldChar w:fldCharType="begin"/>
        </w:r>
        <w:r w:rsidR="00D4102B">
          <w:rPr>
            <w:noProof/>
            <w:webHidden/>
          </w:rPr>
          <w:instrText xml:space="preserve"> PAGEREF _Toc144104199 \h </w:instrText>
        </w:r>
        <w:r w:rsidR="00D4102B">
          <w:rPr>
            <w:noProof/>
            <w:webHidden/>
          </w:rPr>
        </w:r>
        <w:r w:rsidR="00D4102B">
          <w:rPr>
            <w:noProof/>
            <w:webHidden/>
          </w:rPr>
          <w:fldChar w:fldCharType="separate"/>
        </w:r>
        <w:r w:rsidR="001E1A67">
          <w:rPr>
            <w:noProof/>
            <w:webHidden/>
          </w:rPr>
          <w:t>141</w:t>
        </w:r>
        <w:r w:rsidR="00D4102B">
          <w:rPr>
            <w:noProof/>
            <w:webHidden/>
          </w:rPr>
          <w:fldChar w:fldCharType="end"/>
        </w:r>
      </w:hyperlink>
    </w:p>
    <w:p w14:paraId="3AAF3FE5" w14:textId="35B753A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0" w:history="1">
        <w:r w:rsidR="00D4102B" w:rsidRPr="00C22AE8">
          <w:rPr>
            <w:rStyle w:val="Hypertextovodkaz"/>
            <w:noProof/>
          </w:rPr>
          <w:t>Graf 88: VS – vyřizování odvolacích civilních věcí v letech 2008–2022</w:t>
        </w:r>
        <w:r w:rsidR="00D4102B">
          <w:rPr>
            <w:noProof/>
            <w:webHidden/>
          </w:rPr>
          <w:tab/>
        </w:r>
        <w:r w:rsidR="00D4102B">
          <w:rPr>
            <w:noProof/>
            <w:webHidden/>
          </w:rPr>
          <w:fldChar w:fldCharType="begin"/>
        </w:r>
        <w:r w:rsidR="00D4102B">
          <w:rPr>
            <w:noProof/>
            <w:webHidden/>
          </w:rPr>
          <w:instrText xml:space="preserve"> PAGEREF _Toc144104200 \h </w:instrText>
        </w:r>
        <w:r w:rsidR="00D4102B">
          <w:rPr>
            <w:noProof/>
            <w:webHidden/>
          </w:rPr>
        </w:r>
        <w:r w:rsidR="00D4102B">
          <w:rPr>
            <w:noProof/>
            <w:webHidden/>
          </w:rPr>
          <w:fldChar w:fldCharType="separate"/>
        </w:r>
        <w:r w:rsidR="001E1A67">
          <w:rPr>
            <w:noProof/>
            <w:webHidden/>
          </w:rPr>
          <w:t>141</w:t>
        </w:r>
        <w:r w:rsidR="00D4102B">
          <w:rPr>
            <w:noProof/>
            <w:webHidden/>
          </w:rPr>
          <w:fldChar w:fldCharType="end"/>
        </w:r>
      </w:hyperlink>
    </w:p>
    <w:p w14:paraId="70330496" w14:textId="60948D7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1" w:history="1">
        <w:r w:rsidR="00D4102B" w:rsidRPr="00C22AE8">
          <w:rPr>
            <w:rStyle w:val="Hypertextovodkaz"/>
            <w:noProof/>
          </w:rPr>
          <w:t>Graf 89: VS – DT civilního odvolacího řízení v letech 2008–2022</w:t>
        </w:r>
        <w:r w:rsidR="00D4102B">
          <w:rPr>
            <w:noProof/>
            <w:webHidden/>
          </w:rPr>
          <w:tab/>
        </w:r>
        <w:r w:rsidR="00D4102B">
          <w:rPr>
            <w:noProof/>
            <w:webHidden/>
          </w:rPr>
          <w:fldChar w:fldCharType="begin"/>
        </w:r>
        <w:r w:rsidR="00D4102B">
          <w:rPr>
            <w:noProof/>
            <w:webHidden/>
          </w:rPr>
          <w:instrText xml:space="preserve"> PAGEREF _Toc144104201 \h </w:instrText>
        </w:r>
        <w:r w:rsidR="00D4102B">
          <w:rPr>
            <w:noProof/>
            <w:webHidden/>
          </w:rPr>
        </w:r>
        <w:r w:rsidR="00D4102B">
          <w:rPr>
            <w:noProof/>
            <w:webHidden/>
          </w:rPr>
          <w:fldChar w:fldCharType="separate"/>
        </w:r>
        <w:r w:rsidR="001E1A67">
          <w:rPr>
            <w:noProof/>
            <w:webHidden/>
          </w:rPr>
          <w:t>143</w:t>
        </w:r>
        <w:r w:rsidR="00D4102B">
          <w:rPr>
            <w:noProof/>
            <w:webHidden/>
          </w:rPr>
          <w:fldChar w:fldCharType="end"/>
        </w:r>
      </w:hyperlink>
    </w:p>
    <w:p w14:paraId="7043EADF" w14:textId="4E2060E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2" w:history="1">
        <w:r w:rsidR="00D4102B" w:rsidRPr="00C22AE8">
          <w:rPr>
            <w:rStyle w:val="Hypertextovodkaz"/>
            <w:noProof/>
          </w:rPr>
          <w:t>Graf 90: VS – délka trestního odvolacího řízení v letech 2010–2022</w:t>
        </w:r>
        <w:r w:rsidR="00D4102B">
          <w:rPr>
            <w:noProof/>
            <w:webHidden/>
          </w:rPr>
          <w:tab/>
        </w:r>
        <w:r w:rsidR="00D4102B">
          <w:rPr>
            <w:noProof/>
            <w:webHidden/>
          </w:rPr>
          <w:fldChar w:fldCharType="begin"/>
        </w:r>
        <w:r w:rsidR="00D4102B">
          <w:rPr>
            <w:noProof/>
            <w:webHidden/>
          </w:rPr>
          <w:instrText xml:space="preserve"> PAGEREF _Toc144104202 \h </w:instrText>
        </w:r>
        <w:r w:rsidR="00D4102B">
          <w:rPr>
            <w:noProof/>
            <w:webHidden/>
          </w:rPr>
        </w:r>
        <w:r w:rsidR="00D4102B">
          <w:rPr>
            <w:noProof/>
            <w:webHidden/>
          </w:rPr>
          <w:fldChar w:fldCharType="separate"/>
        </w:r>
        <w:r w:rsidR="001E1A67">
          <w:rPr>
            <w:noProof/>
            <w:webHidden/>
          </w:rPr>
          <w:t>144</w:t>
        </w:r>
        <w:r w:rsidR="00D4102B">
          <w:rPr>
            <w:noProof/>
            <w:webHidden/>
          </w:rPr>
          <w:fldChar w:fldCharType="end"/>
        </w:r>
      </w:hyperlink>
    </w:p>
    <w:p w14:paraId="78965AEE" w14:textId="5990671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3" w:history="1">
        <w:r w:rsidR="00D4102B" w:rsidRPr="00C22AE8">
          <w:rPr>
            <w:rStyle w:val="Hypertextovodkaz"/>
            <w:noProof/>
          </w:rPr>
          <w:t>Graf 91: VS – distribuce délek trestního odvolacího řízení</w:t>
        </w:r>
        <w:r w:rsidR="00D4102B">
          <w:rPr>
            <w:noProof/>
            <w:webHidden/>
          </w:rPr>
          <w:tab/>
        </w:r>
        <w:r w:rsidR="00D4102B">
          <w:rPr>
            <w:noProof/>
            <w:webHidden/>
          </w:rPr>
          <w:fldChar w:fldCharType="begin"/>
        </w:r>
        <w:r w:rsidR="00D4102B">
          <w:rPr>
            <w:noProof/>
            <w:webHidden/>
          </w:rPr>
          <w:instrText xml:space="preserve"> PAGEREF _Toc144104203 \h </w:instrText>
        </w:r>
        <w:r w:rsidR="00D4102B">
          <w:rPr>
            <w:noProof/>
            <w:webHidden/>
          </w:rPr>
        </w:r>
        <w:r w:rsidR="00D4102B">
          <w:rPr>
            <w:noProof/>
            <w:webHidden/>
          </w:rPr>
          <w:fldChar w:fldCharType="separate"/>
        </w:r>
        <w:r w:rsidR="001E1A67">
          <w:rPr>
            <w:noProof/>
            <w:webHidden/>
          </w:rPr>
          <w:t>145</w:t>
        </w:r>
        <w:r w:rsidR="00D4102B">
          <w:rPr>
            <w:noProof/>
            <w:webHidden/>
          </w:rPr>
          <w:fldChar w:fldCharType="end"/>
        </w:r>
      </w:hyperlink>
    </w:p>
    <w:p w14:paraId="3B2B4849" w14:textId="05513D4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4" w:history="1">
        <w:r w:rsidR="00D4102B" w:rsidRPr="00C22AE8">
          <w:rPr>
            <w:rStyle w:val="Hypertextovodkaz"/>
            <w:noProof/>
          </w:rPr>
          <w:t>Graf 92: VS – vyřizování odvolacích trestních věcí v letech 2008–2022</w:t>
        </w:r>
        <w:r w:rsidR="00D4102B">
          <w:rPr>
            <w:noProof/>
            <w:webHidden/>
          </w:rPr>
          <w:tab/>
        </w:r>
        <w:r w:rsidR="00D4102B">
          <w:rPr>
            <w:noProof/>
            <w:webHidden/>
          </w:rPr>
          <w:fldChar w:fldCharType="begin"/>
        </w:r>
        <w:r w:rsidR="00D4102B">
          <w:rPr>
            <w:noProof/>
            <w:webHidden/>
          </w:rPr>
          <w:instrText xml:space="preserve"> PAGEREF _Toc144104204 \h </w:instrText>
        </w:r>
        <w:r w:rsidR="00D4102B">
          <w:rPr>
            <w:noProof/>
            <w:webHidden/>
          </w:rPr>
        </w:r>
        <w:r w:rsidR="00D4102B">
          <w:rPr>
            <w:noProof/>
            <w:webHidden/>
          </w:rPr>
          <w:fldChar w:fldCharType="separate"/>
        </w:r>
        <w:r w:rsidR="001E1A67">
          <w:rPr>
            <w:noProof/>
            <w:webHidden/>
          </w:rPr>
          <w:t>146</w:t>
        </w:r>
        <w:r w:rsidR="00D4102B">
          <w:rPr>
            <w:noProof/>
            <w:webHidden/>
          </w:rPr>
          <w:fldChar w:fldCharType="end"/>
        </w:r>
      </w:hyperlink>
    </w:p>
    <w:p w14:paraId="0680DAAF" w14:textId="1F70FCF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5" w:history="1">
        <w:r w:rsidR="00D4102B" w:rsidRPr="00C22AE8">
          <w:rPr>
            <w:rStyle w:val="Hypertextovodkaz"/>
            <w:noProof/>
          </w:rPr>
          <w:t>Graf 93: VS – DT trestního odvolacího řízení v letech 2008–2022</w:t>
        </w:r>
        <w:r w:rsidR="00D4102B">
          <w:rPr>
            <w:noProof/>
            <w:webHidden/>
          </w:rPr>
          <w:tab/>
        </w:r>
        <w:r w:rsidR="00D4102B">
          <w:rPr>
            <w:noProof/>
            <w:webHidden/>
          </w:rPr>
          <w:fldChar w:fldCharType="begin"/>
        </w:r>
        <w:r w:rsidR="00D4102B">
          <w:rPr>
            <w:noProof/>
            <w:webHidden/>
          </w:rPr>
          <w:instrText xml:space="preserve"> PAGEREF _Toc144104205 \h </w:instrText>
        </w:r>
        <w:r w:rsidR="00D4102B">
          <w:rPr>
            <w:noProof/>
            <w:webHidden/>
          </w:rPr>
        </w:r>
        <w:r w:rsidR="00D4102B">
          <w:rPr>
            <w:noProof/>
            <w:webHidden/>
          </w:rPr>
          <w:fldChar w:fldCharType="separate"/>
        </w:r>
        <w:r w:rsidR="001E1A67">
          <w:rPr>
            <w:noProof/>
            <w:webHidden/>
          </w:rPr>
          <w:t>147</w:t>
        </w:r>
        <w:r w:rsidR="00D4102B">
          <w:rPr>
            <w:noProof/>
            <w:webHidden/>
          </w:rPr>
          <w:fldChar w:fldCharType="end"/>
        </w:r>
      </w:hyperlink>
    </w:p>
    <w:p w14:paraId="18522DF7" w14:textId="57CB502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6" w:history="1">
        <w:r w:rsidR="00D4102B" w:rsidRPr="00C22AE8">
          <w:rPr>
            <w:rStyle w:val="Hypertextovodkaz"/>
            <w:noProof/>
          </w:rPr>
          <w:t>Graf 94: VS – vyřizování insolvenční agendy v letech 2010–2022</w:t>
        </w:r>
        <w:r w:rsidR="00D4102B">
          <w:rPr>
            <w:noProof/>
            <w:webHidden/>
          </w:rPr>
          <w:tab/>
        </w:r>
        <w:r w:rsidR="00D4102B">
          <w:rPr>
            <w:noProof/>
            <w:webHidden/>
          </w:rPr>
          <w:fldChar w:fldCharType="begin"/>
        </w:r>
        <w:r w:rsidR="00D4102B">
          <w:rPr>
            <w:noProof/>
            <w:webHidden/>
          </w:rPr>
          <w:instrText xml:space="preserve"> PAGEREF _Toc144104206 \h </w:instrText>
        </w:r>
        <w:r w:rsidR="00D4102B">
          <w:rPr>
            <w:noProof/>
            <w:webHidden/>
          </w:rPr>
        </w:r>
        <w:r w:rsidR="00D4102B">
          <w:rPr>
            <w:noProof/>
            <w:webHidden/>
          </w:rPr>
          <w:fldChar w:fldCharType="separate"/>
        </w:r>
        <w:r w:rsidR="001E1A67">
          <w:rPr>
            <w:noProof/>
            <w:webHidden/>
          </w:rPr>
          <w:t>149</w:t>
        </w:r>
        <w:r w:rsidR="00D4102B">
          <w:rPr>
            <w:noProof/>
            <w:webHidden/>
          </w:rPr>
          <w:fldChar w:fldCharType="end"/>
        </w:r>
      </w:hyperlink>
    </w:p>
    <w:p w14:paraId="23BA0DA9" w14:textId="5B43E6B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7" w:history="1">
        <w:r w:rsidR="00D4102B" w:rsidRPr="00C22AE8">
          <w:rPr>
            <w:rStyle w:val="Hypertextovodkaz"/>
            <w:noProof/>
          </w:rPr>
          <w:t>Graf 95: VS – DT v insolvenční agendě v letech 2010–2022</w:t>
        </w:r>
        <w:r w:rsidR="00D4102B">
          <w:rPr>
            <w:noProof/>
            <w:webHidden/>
          </w:rPr>
          <w:tab/>
        </w:r>
        <w:r w:rsidR="00D4102B">
          <w:rPr>
            <w:noProof/>
            <w:webHidden/>
          </w:rPr>
          <w:fldChar w:fldCharType="begin"/>
        </w:r>
        <w:r w:rsidR="00D4102B">
          <w:rPr>
            <w:noProof/>
            <w:webHidden/>
          </w:rPr>
          <w:instrText xml:space="preserve"> PAGEREF _Toc144104207 \h </w:instrText>
        </w:r>
        <w:r w:rsidR="00D4102B">
          <w:rPr>
            <w:noProof/>
            <w:webHidden/>
          </w:rPr>
        </w:r>
        <w:r w:rsidR="00D4102B">
          <w:rPr>
            <w:noProof/>
            <w:webHidden/>
          </w:rPr>
          <w:fldChar w:fldCharType="separate"/>
        </w:r>
        <w:r w:rsidR="001E1A67">
          <w:rPr>
            <w:noProof/>
            <w:webHidden/>
          </w:rPr>
          <w:t>149</w:t>
        </w:r>
        <w:r w:rsidR="00D4102B">
          <w:rPr>
            <w:noProof/>
            <w:webHidden/>
          </w:rPr>
          <w:fldChar w:fldCharType="end"/>
        </w:r>
      </w:hyperlink>
    </w:p>
    <w:p w14:paraId="33AAD753" w14:textId="04092FF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8" w:history="1">
        <w:r w:rsidR="00D4102B" w:rsidRPr="00C22AE8">
          <w:rPr>
            <w:rStyle w:val="Hypertextovodkaz"/>
            <w:noProof/>
          </w:rPr>
          <w:t>Graf 96: VS – délka odvolacího řízení incidenčních sporů v letech 2011–2022</w:t>
        </w:r>
        <w:r w:rsidR="00D4102B">
          <w:rPr>
            <w:noProof/>
            <w:webHidden/>
          </w:rPr>
          <w:tab/>
        </w:r>
        <w:r w:rsidR="00D4102B">
          <w:rPr>
            <w:noProof/>
            <w:webHidden/>
          </w:rPr>
          <w:fldChar w:fldCharType="begin"/>
        </w:r>
        <w:r w:rsidR="00D4102B">
          <w:rPr>
            <w:noProof/>
            <w:webHidden/>
          </w:rPr>
          <w:instrText xml:space="preserve"> PAGEREF _Toc144104208 \h </w:instrText>
        </w:r>
        <w:r w:rsidR="00D4102B">
          <w:rPr>
            <w:noProof/>
            <w:webHidden/>
          </w:rPr>
        </w:r>
        <w:r w:rsidR="00D4102B">
          <w:rPr>
            <w:noProof/>
            <w:webHidden/>
          </w:rPr>
          <w:fldChar w:fldCharType="separate"/>
        </w:r>
        <w:r w:rsidR="001E1A67">
          <w:rPr>
            <w:noProof/>
            <w:webHidden/>
          </w:rPr>
          <w:t>151</w:t>
        </w:r>
        <w:r w:rsidR="00D4102B">
          <w:rPr>
            <w:noProof/>
            <w:webHidden/>
          </w:rPr>
          <w:fldChar w:fldCharType="end"/>
        </w:r>
      </w:hyperlink>
    </w:p>
    <w:p w14:paraId="3C135735" w14:textId="43675C4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09" w:history="1">
        <w:r w:rsidR="00D4102B" w:rsidRPr="00C22AE8">
          <w:rPr>
            <w:rStyle w:val="Hypertextovodkaz"/>
            <w:noProof/>
          </w:rPr>
          <w:t>Graf 97: VS – distribuce délek odvolacího řízení v incidenčních sporech</w:t>
        </w:r>
        <w:r w:rsidR="00D4102B">
          <w:rPr>
            <w:noProof/>
            <w:webHidden/>
          </w:rPr>
          <w:tab/>
        </w:r>
        <w:r w:rsidR="00D4102B">
          <w:rPr>
            <w:noProof/>
            <w:webHidden/>
          </w:rPr>
          <w:fldChar w:fldCharType="begin"/>
        </w:r>
        <w:r w:rsidR="00D4102B">
          <w:rPr>
            <w:noProof/>
            <w:webHidden/>
          </w:rPr>
          <w:instrText xml:space="preserve"> PAGEREF _Toc144104209 \h </w:instrText>
        </w:r>
        <w:r w:rsidR="00D4102B">
          <w:rPr>
            <w:noProof/>
            <w:webHidden/>
          </w:rPr>
        </w:r>
        <w:r w:rsidR="00D4102B">
          <w:rPr>
            <w:noProof/>
            <w:webHidden/>
          </w:rPr>
          <w:fldChar w:fldCharType="separate"/>
        </w:r>
        <w:r w:rsidR="001E1A67">
          <w:rPr>
            <w:noProof/>
            <w:webHidden/>
          </w:rPr>
          <w:t>152</w:t>
        </w:r>
        <w:r w:rsidR="00D4102B">
          <w:rPr>
            <w:noProof/>
            <w:webHidden/>
          </w:rPr>
          <w:fldChar w:fldCharType="end"/>
        </w:r>
      </w:hyperlink>
    </w:p>
    <w:p w14:paraId="4D054DBE" w14:textId="5AEDAC2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0" w:history="1">
        <w:r w:rsidR="00D4102B" w:rsidRPr="00C22AE8">
          <w:rPr>
            <w:rStyle w:val="Hypertextovodkaz"/>
            <w:noProof/>
          </w:rPr>
          <w:t>Graf 98: VS – vyřizování odvolacího řízení v incidenčních sporech</w:t>
        </w:r>
        <w:r w:rsidR="00D4102B">
          <w:rPr>
            <w:noProof/>
            <w:webHidden/>
          </w:rPr>
          <w:tab/>
        </w:r>
        <w:r w:rsidR="00D4102B">
          <w:rPr>
            <w:noProof/>
            <w:webHidden/>
          </w:rPr>
          <w:fldChar w:fldCharType="begin"/>
        </w:r>
        <w:r w:rsidR="00D4102B">
          <w:rPr>
            <w:noProof/>
            <w:webHidden/>
          </w:rPr>
          <w:instrText xml:space="preserve"> PAGEREF _Toc144104210 \h </w:instrText>
        </w:r>
        <w:r w:rsidR="00D4102B">
          <w:rPr>
            <w:noProof/>
            <w:webHidden/>
          </w:rPr>
        </w:r>
        <w:r w:rsidR="00D4102B">
          <w:rPr>
            <w:noProof/>
            <w:webHidden/>
          </w:rPr>
          <w:fldChar w:fldCharType="separate"/>
        </w:r>
        <w:r w:rsidR="001E1A67">
          <w:rPr>
            <w:noProof/>
            <w:webHidden/>
          </w:rPr>
          <w:t>153</w:t>
        </w:r>
        <w:r w:rsidR="00D4102B">
          <w:rPr>
            <w:noProof/>
            <w:webHidden/>
          </w:rPr>
          <w:fldChar w:fldCharType="end"/>
        </w:r>
      </w:hyperlink>
    </w:p>
    <w:p w14:paraId="5F84426B" w14:textId="74CB3F6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1" w:history="1">
        <w:r w:rsidR="00D4102B" w:rsidRPr="00C22AE8">
          <w:rPr>
            <w:rStyle w:val="Hypertextovodkaz"/>
            <w:noProof/>
          </w:rPr>
          <w:t>Graf 99: VS – DT odvolacího řízení v incidenčních sporech</w:t>
        </w:r>
        <w:r w:rsidR="00D4102B">
          <w:rPr>
            <w:noProof/>
            <w:webHidden/>
          </w:rPr>
          <w:tab/>
        </w:r>
        <w:r w:rsidR="00D4102B">
          <w:rPr>
            <w:noProof/>
            <w:webHidden/>
          </w:rPr>
          <w:fldChar w:fldCharType="begin"/>
        </w:r>
        <w:r w:rsidR="00D4102B">
          <w:rPr>
            <w:noProof/>
            <w:webHidden/>
          </w:rPr>
          <w:instrText xml:space="preserve"> PAGEREF _Toc144104211 \h </w:instrText>
        </w:r>
        <w:r w:rsidR="00D4102B">
          <w:rPr>
            <w:noProof/>
            <w:webHidden/>
          </w:rPr>
        </w:r>
        <w:r w:rsidR="00D4102B">
          <w:rPr>
            <w:noProof/>
            <w:webHidden/>
          </w:rPr>
          <w:fldChar w:fldCharType="separate"/>
        </w:r>
        <w:r w:rsidR="001E1A67">
          <w:rPr>
            <w:noProof/>
            <w:webHidden/>
          </w:rPr>
          <w:t>154</w:t>
        </w:r>
        <w:r w:rsidR="00D4102B">
          <w:rPr>
            <w:noProof/>
            <w:webHidden/>
          </w:rPr>
          <w:fldChar w:fldCharType="end"/>
        </w:r>
      </w:hyperlink>
    </w:p>
    <w:p w14:paraId="6FF4FF40" w14:textId="7BEE5B0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2" w:history="1">
        <w:r w:rsidR="00D4102B" w:rsidRPr="00C22AE8">
          <w:rPr>
            <w:rStyle w:val="Hypertextovodkaz"/>
            <w:noProof/>
          </w:rPr>
          <w:t>Graf 100: NS – počet soudců v letech 2008–2022</w:t>
        </w:r>
        <w:r w:rsidR="00D4102B">
          <w:rPr>
            <w:noProof/>
            <w:webHidden/>
          </w:rPr>
          <w:tab/>
        </w:r>
        <w:r w:rsidR="00D4102B">
          <w:rPr>
            <w:noProof/>
            <w:webHidden/>
          </w:rPr>
          <w:fldChar w:fldCharType="begin"/>
        </w:r>
        <w:r w:rsidR="00D4102B">
          <w:rPr>
            <w:noProof/>
            <w:webHidden/>
          </w:rPr>
          <w:instrText xml:space="preserve"> PAGEREF _Toc144104212 \h </w:instrText>
        </w:r>
        <w:r w:rsidR="00D4102B">
          <w:rPr>
            <w:noProof/>
            <w:webHidden/>
          </w:rPr>
        </w:r>
        <w:r w:rsidR="00D4102B">
          <w:rPr>
            <w:noProof/>
            <w:webHidden/>
          </w:rPr>
          <w:fldChar w:fldCharType="separate"/>
        </w:r>
        <w:r w:rsidR="001E1A67">
          <w:rPr>
            <w:noProof/>
            <w:webHidden/>
          </w:rPr>
          <w:t>156</w:t>
        </w:r>
        <w:r w:rsidR="00D4102B">
          <w:rPr>
            <w:noProof/>
            <w:webHidden/>
          </w:rPr>
          <w:fldChar w:fldCharType="end"/>
        </w:r>
      </w:hyperlink>
    </w:p>
    <w:p w14:paraId="24F1282C" w14:textId="41C2238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3" w:history="1">
        <w:r w:rsidR="00D4102B" w:rsidRPr="00C22AE8">
          <w:rPr>
            <w:rStyle w:val="Hypertextovodkaz"/>
            <w:noProof/>
          </w:rPr>
          <w:t>Graf 101: NS – evidenční počet soudců dle soudních úseků v letech 2008–2022</w:t>
        </w:r>
        <w:r w:rsidR="00D4102B">
          <w:rPr>
            <w:noProof/>
            <w:webHidden/>
          </w:rPr>
          <w:tab/>
        </w:r>
        <w:r w:rsidR="00D4102B">
          <w:rPr>
            <w:noProof/>
            <w:webHidden/>
          </w:rPr>
          <w:fldChar w:fldCharType="begin"/>
        </w:r>
        <w:r w:rsidR="00D4102B">
          <w:rPr>
            <w:noProof/>
            <w:webHidden/>
          </w:rPr>
          <w:instrText xml:space="preserve"> PAGEREF _Toc144104213 \h </w:instrText>
        </w:r>
        <w:r w:rsidR="00D4102B">
          <w:rPr>
            <w:noProof/>
            <w:webHidden/>
          </w:rPr>
        </w:r>
        <w:r w:rsidR="00D4102B">
          <w:rPr>
            <w:noProof/>
            <w:webHidden/>
          </w:rPr>
          <w:fldChar w:fldCharType="separate"/>
        </w:r>
        <w:r w:rsidR="001E1A67">
          <w:rPr>
            <w:noProof/>
            <w:webHidden/>
          </w:rPr>
          <w:t>156</w:t>
        </w:r>
        <w:r w:rsidR="00D4102B">
          <w:rPr>
            <w:noProof/>
            <w:webHidden/>
          </w:rPr>
          <w:fldChar w:fldCharType="end"/>
        </w:r>
      </w:hyperlink>
    </w:p>
    <w:p w14:paraId="529EE571" w14:textId="698500F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4" w:history="1">
        <w:r w:rsidR="00D4102B" w:rsidRPr="00C22AE8">
          <w:rPr>
            <w:rStyle w:val="Hypertextovodkaz"/>
            <w:noProof/>
          </w:rPr>
          <w:t>Graf 102: NS – evidenční počet soudců dle soudních úseků v letech 2008–2022</w:t>
        </w:r>
        <w:r w:rsidR="00D4102B">
          <w:rPr>
            <w:noProof/>
            <w:webHidden/>
          </w:rPr>
          <w:tab/>
        </w:r>
        <w:r w:rsidR="00D4102B">
          <w:rPr>
            <w:noProof/>
            <w:webHidden/>
          </w:rPr>
          <w:fldChar w:fldCharType="begin"/>
        </w:r>
        <w:r w:rsidR="00D4102B">
          <w:rPr>
            <w:noProof/>
            <w:webHidden/>
          </w:rPr>
          <w:instrText xml:space="preserve"> PAGEREF _Toc144104214 \h </w:instrText>
        </w:r>
        <w:r w:rsidR="00D4102B">
          <w:rPr>
            <w:noProof/>
            <w:webHidden/>
          </w:rPr>
        </w:r>
        <w:r w:rsidR="00D4102B">
          <w:rPr>
            <w:noProof/>
            <w:webHidden/>
          </w:rPr>
          <w:fldChar w:fldCharType="separate"/>
        </w:r>
        <w:r w:rsidR="001E1A67">
          <w:rPr>
            <w:noProof/>
            <w:webHidden/>
          </w:rPr>
          <w:t>157</w:t>
        </w:r>
        <w:r w:rsidR="00D4102B">
          <w:rPr>
            <w:noProof/>
            <w:webHidden/>
          </w:rPr>
          <w:fldChar w:fldCharType="end"/>
        </w:r>
      </w:hyperlink>
    </w:p>
    <w:p w14:paraId="34D50880" w14:textId="5944E47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5" w:history="1">
        <w:r w:rsidR="00D4102B" w:rsidRPr="00C22AE8">
          <w:rPr>
            <w:rStyle w:val="Hypertextovodkaz"/>
            <w:noProof/>
          </w:rPr>
          <w:t>Graf 103: NS – věková struktura soudců v letech 2008–2021</w:t>
        </w:r>
        <w:r w:rsidR="00D4102B">
          <w:rPr>
            <w:noProof/>
            <w:webHidden/>
          </w:rPr>
          <w:tab/>
        </w:r>
        <w:r w:rsidR="00D4102B">
          <w:rPr>
            <w:noProof/>
            <w:webHidden/>
          </w:rPr>
          <w:fldChar w:fldCharType="begin"/>
        </w:r>
        <w:r w:rsidR="00D4102B">
          <w:rPr>
            <w:noProof/>
            <w:webHidden/>
          </w:rPr>
          <w:instrText xml:space="preserve"> PAGEREF _Toc144104215 \h </w:instrText>
        </w:r>
        <w:r w:rsidR="00D4102B">
          <w:rPr>
            <w:noProof/>
            <w:webHidden/>
          </w:rPr>
        </w:r>
        <w:r w:rsidR="00D4102B">
          <w:rPr>
            <w:noProof/>
            <w:webHidden/>
          </w:rPr>
          <w:fldChar w:fldCharType="separate"/>
        </w:r>
        <w:r w:rsidR="001E1A67">
          <w:rPr>
            <w:noProof/>
            <w:webHidden/>
          </w:rPr>
          <w:t>158</w:t>
        </w:r>
        <w:r w:rsidR="00D4102B">
          <w:rPr>
            <w:noProof/>
            <w:webHidden/>
          </w:rPr>
          <w:fldChar w:fldCharType="end"/>
        </w:r>
      </w:hyperlink>
    </w:p>
    <w:p w14:paraId="6BB3F847" w14:textId="4297B27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6" w:history="1">
        <w:r w:rsidR="00D4102B" w:rsidRPr="00C22AE8">
          <w:rPr>
            <w:rStyle w:val="Hypertextovodkaz"/>
            <w:noProof/>
          </w:rPr>
          <w:t>Graf 104: NS – vyřizování civilní dovolací agendy v letech 2008–2022</w:t>
        </w:r>
        <w:r w:rsidR="00D4102B">
          <w:rPr>
            <w:noProof/>
            <w:webHidden/>
          </w:rPr>
          <w:tab/>
        </w:r>
        <w:r w:rsidR="00D4102B">
          <w:rPr>
            <w:noProof/>
            <w:webHidden/>
          </w:rPr>
          <w:fldChar w:fldCharType="begin"/>
        </w:r>
        <w:r w:rsidR="00D4102B">
          <w:rPr>
            <w:noProof/>
            <w:webHidden/>
          </w:rPr>
          <w:instrText xml:space="preserve"> PAGEREF _Toc144104216 \h </w:instrText>
        </w:r>
        <w:r w:rsidR="00D4102B">
          <w:rPr>
            <w:noProof/>
            <w:webHidden/>
          </w:rPr>
        </w:r>
        <w:r w:rsidR="00D4102B">
          <w:rPr>
            <w:noProof/>
            <w:webHidden/>
          </w:rPr>
          <w:fldChar w:fldCharType="separate"/>
        </w:r>
        <w:r w:rsidR="001E1A67">
          <w:rPr>
            <w:noProof/>
            <w:webHidden/>
          </w:rPr>
          <w:t>160</w:t>
        </w:r>
        <w:r w:rsidR="00D4102B">
          <w:rPr>
            <w:noProof/>
            <w:webHidden/>
          </w:rPr>
          <w:fldChar w:fldCharType="end"/>
        </w:r>
      </w:hyperlink>
    </w:p>
    <w:p w14:paraId="7248BD91" w14:textId="236FDD9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7" w:history="1">
        <w:r w:rsidR="00D4102B" w:rsidRPr="00C22AE8">
          <w:rPr>
            <w:rStyle w:val="Hypertextovodkaz"/>
            <w:noProof/>
          </w:rPr>
          <w:t>Graf 105: NS – vyřizování trestní dovolací agendy v letech 2008–2022</w:t>
        </w:r>
        <w:r w:rsidR="00D4102B">
          <w:rPr>
            <w:noProof/>
            <w:webHidden/>
          </w:rPr>
          <w:tab/>
        </w:r>
        <w:r w:rsidR="00D4102B">
          <w:rPr>
            <w:noProof/>
            <w:webHidden/>
          </w:rPr>
          <w:fldChar w:fldCharType="begin"/>
        </w:r>
        <w:r w:rsidR="00D4102B">
          <w:rPr>
            <w:noProof/>
            <w:webHidden/>
          </w:rPr>
          <w:instrText xml:space="preserve"> PAGEREF _Toc144104217 \h </w:instrText>
        </w:r>
        <w:r w:rsidR="00D4102B">
          <w:rPr>
            <w:noProof/>
            <w:webHidden/>
          </w:rPr>
        </w:r>
        <w:r w:rsidR="00D4102B">
          <w:rPr>
            <w:noProof/>
            <w:webHidden/>
          </w:rPr>
          <w:fldChar w:fldCharType="separate"/>
        </w:r>
        <w:r w:rsidR="001E1A67">
          <w:rPr>
            <w:noProof/>
            <w:webHidden/>
          </w:rPr>
          <w:t>161</w:t>
        </w:r>
        <w:r w:rsidR="00D4102B">
          <w:rPr>
            <w:noProof/>
            <w:webHidden/>
          </w:rPr>
          <w:fldChar w:fldCharType="end"/>
        </w:r>
      </w:hyperlink>
    </w:p>
    <w:p w14:paraId="6B9D5497" w14:textId="71D48AC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8" w:history="1">
        <w:r w:rsidR="00D4102B" w:rsidRPr="00C22AE8">
          <w:rPr>
            <w:rStyle w:val="Hypertextovodkaz"/>
            <w:noProof/>
          </w:rPr>
          <w:t>Graf 106: NS – vyřizování stížností pro porušení zákona v letech 2010–2021</w:t>
        </w:r>
        <w:r w:rsidR="00D4102B">
          <w:rPr>
            <w:noProof/>
            <w:webHidden/>
          </w:rPr>
          <w:tab/>
        </w:r>
        <w:r w:rsidR="00D4102B">
          <w:rPr>
            <w:noProof/>
            <w:webHidden/>
          </w:rPr>
          <w:fldChar w:fldCharType="begin"/>
        </w:r>
        <w:r w:rsidR="00D4102B">
          <w:rPr>
            <w:noProof/>
            <w:webHidden/>
          </w:rPr>
          <w:instrText xml:space="preserve"> PAGEREF _Toc144104218 \h </w:instrText>
        </w:r>
        <w:r w:rsidR="00D4102B">
          <w:rPr>
            <w:noProof/>
            <w:webHidden/>
          </w:rPr>
        </w:r>
        <w:r w:rsidR="00D4102B">
          <w:rPr>
            <w:noProof/>
            <w:webHidden/>
          </w:rPr>
          <w:fldChar w:fldCharType="separate"/>
        </w:r>
        <w:r w:rsidR="001E1A67">
          <w:rPr>
            <w:noProof/>
            <w:webHidden/>
          </w:rPr>
          <w:t>162</w:t>
        </w:r>
        <w:r w:rsidR="00D4102B">
          <w:rPr>
            <w:noProof/>
            <w:webHidden/>
          </w:rPr>
          <w:fldChar w:fldCharType="end"/>
        </w:r>
      </w:hyperlink>
    </w:p>
    <w:p w14:paraId="0DC31ADF" w14:textId="2AE37D4D"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19" w:history="1">
        <w:r w:rsidR="00D4102B" w:rsidRPr="00C22AE8">
          <w:rPr>
            <w:rStyle w:val="Hypertextovodkaz"/>
            <w:noProof/>
          </w:rPr>
          <w:t>Graf 107: NS – vyřizování insolvenční dovolací agendy v letech 2010–2021</w:t>
        </w:r>
        <w:r w:rsidR="00D4102B">
          <w:rPr>
            <w:noProof/>
            <w:webHidden/>
          </w:rPr>
          <w:tab/>
        </w:r>
        <w:r w:rsidR="00D4102B">
          <w:rPr>
            <w:noProof/>
            <w:webHidden/>
          </w:rPr>
          <w:fldChar w:fldCharType="begin"/>
        </w:r>
        <w:r w:rsidR="00D4102B">
          <w:rPr>
            <w:noProof/>
            <w:webHidden/>
          </w:rPr>
          <w:instrText xml:space="preserve"> PAGEREF _Toc144104219 \h </w:instrText>
        </w:r>
        <w:r w:rsidR="00D4102B">
          <w:rPr>
            <w:noProof/>
            <w:webHidden/>
          </w:rPr>
        </w:r>
        <w:r w:rsidR="00D4102B">
          <w:rPr>
            <w:noProof/>
            <w:webHidden/>
          </w:rPr>
          <w:fldChar w:fldCharType="separate"/>
        </w:r>
        <w:r w:rsidR="001E1A67">
          <w:rPr>
            <w:noProof/>
            <w:webHidden/>
          </w:rPr>
          <w:t>163</w:t>
        </w:r>
        <w:r w:rsidR="00D4102B">
          <w:rPr>
            <w:noProof/>
            <w:webHidden/>
          </w:rPr>
          <w:fldChar w:fldCharType="end"/>
        </w:r>
      </w:hyperlink>
    </w:p>
    <w:p w14:paraId="10EA93CA" w14:textId="74E24D4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0" w:history="1">
        <w:r w:rsidR="00D4102B" w:rsidRPr="00C22AE8">
          <w:rPr>
            <w:rStyle w:val="Hypertextovodkaz"/>
            <w:noProof/>
          </w:rPr>
          <w:t>Graf 108: NSS – počet soudců v letech 2008–2022</w:t>
        </w:r>
        <w:r w:rsidR="00D4102B">
          <w:rPr>
            <w:noProof/>
            <w:webHidden/>
          </w:rPr>
          <w:tab/>
        </w:r>
        <w:r w:rsidR="00D4102B">
          <w:rPr>
            <w:noProof/>
            <w:webHidden/>
          </w:rPr>
          <w:fldChar w:fldCharType="begin"/>
        </w:r>
        <w:r w:rsidR="00D4102B">
          <w:rPr>
            <w:noProof/>
            <w:webHidden/>
          </w:rPr>
          <w:instrText xml:space="preserve"> PAGEREF _Toc144104220 \h </w:instrText>
        </w:r>
        <w:r w:rsidR="00D4102B">
          <w:rPr>
            <w:noProof/>
            <w:webHidden/>
          </w:rPr>
        </w:r>
        <w:r w:rsidR="00D4102B">
          <w:rPr>
            <w:noProof/>
            <w:webHidden/>
          </w:rPr>
          <w:fldChar w:fldCharType="separate"/>
        </w:r>
        <w:r w:rsidR="001E1A67">
          <w:rPr>
            <w:noProof/>
            <w:webHidden/>
          </w:rPr>
          <w:t>164</w:t>
        </w:r>
        <w:r w:rsidR="00D4102B">
          <w:rPr>
            <w:noProof/>
            <w:webHidden/>
          </w:rPr>
          <w:fldChar w:fldCharType="end"/>
        </w:r>
      </w:hyperlink>
    </w:p>
    <w:p w14:paraId="12345765" w14:textId="2561ECD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1" w:history="1">
        <w:r w:rsidR="00D4102B" w:rsidRPr="00C22AE8">
          <w:rPr>
            <w:rStyle w:val="Hypertextovodkaz"/>
            <w:noProof/>
          </w:rPr>
          <w:t>Graf 109: NSS – evidenční počet soudců dle pohlaví v letech 2008–2022</w:t>
        </w:r>
        <w:r w:rsidR="00D4102B">
          <w:rPr>
            <w:noProof/>
            <w:webHidden/>
          </w:rPr>
          <w:tab/>
        </w:r>
        <w:r w:rsidR="00D4102B">
          <w:rPr>
            <w:noProof/>
            <w:webHidden/>
          </w:rPr>
          <w:fldChar w:fldCharType="begin"/>
        </w:r>
        <w:r w:rsidR="00D4102B">
          <w:rPr>
            <w:noProof/>
            <w:webHidden/>
          </w:rPr>
          <w:instrText xml:space="preserve"> PAGEREF _Toc144104221 \h </w:instrText>
        </w:r>
        <w:r w:rsidR="00D4102B">
          <w:rPr>
            <w:noProof/>
            <w:webHidden/>
          </w:rPr>
        </w:r>
        <w:r w:rsidR="00D4102B">
          <w:rPr>
            <w:noProof/>
            <w:webHidden/>
          </w:rPr>
          <w:fldChar w:fldCharType="separate"/>
        </w:r>
        <w:r w:rsidR="001E1A67">
          <w:rPr>
            <w:noProof/>
            <w:webHidden/>
          </w:rPr>
          <w:t>165</w:t>
        </w:r>
        <w:r w:rsidR="00D4102B">
          <w:rPr>
            <w:noProof/>
            <w:webHidden/>
          </w:rPr>
          <w:fldChar w:fldCharType="end"/>
        </w:r>
      </w:hyperlink>
    </w:p>
    <w:p w14:paraId="7D097B34" w14:textId="5CBD049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2" w:history="1">
        <w:r w:rsidR="00D4102B" w:rsidRPr="00C22AE8">
          <w:rPr>
            <w:rStyle w:val="Hypertextovodkaz"/>
            <w:noProof/>
          </w:rPr>
          <w:t>Graf 110: NSS – věková struktura soudců v letech 2008</w:t>
        </w:r>
        <w:r w:rsidR="00D4102B" w:rsidRPr="00C22AE8">
          <w:rPr>
            <w:rStyle w:val="Hypertextovodkaz"/>
            <w:noProof/>
          </w:rPr>
          <w:sym w:font="Symbol" w:char="F02D"/>
        </w:r>
        <w:r w:rsidR="00D4102B" w:rsidRPr="00C22AE8">
          <w:rPr>
            <w:rStyle w:val="Hypertextovodkaz"/>
            <w:noProof/>
          </w:rPr>
          <w:t>2022</w:t>
        </w:r>
        <w:r w:rsidR="00D4102B">
          <w:rPr>
            <w:noProof/>
            <w:webHidden/>
          </w:rPr>
          <w:tab/>
        </w:r>
        <w:r w:rsidR="00D4102B">
          <w:rPr>
            <w:noProof/>
            <w:webHidden/>
          </w:rPr>
          <w:fldChar w:fldCharType="begin"/>
        </w:r>
        <w:r w:rsidR="00D4102B">
          <w:rPr>
            <w:noProof/>
            <w:webHidden/>
          </w:rPr>
          <w:instrText xml:space="preserve"> PAGEREF _Toc144104222 \h </w:instrText>
        </w:r>
        <w:r w:rsidR="00D4102B">
          <w:rPr>
            <w:noProof/>
            <w:webHidden/>
          </w:rPr>
        </w:r>
        <w:r w:rsidR="00D4102B">
          <w:rPr>
            <w:noProof/>
            <w:webHidden/>
          </w:rPr>
          <w:fldChar w:fldCharType="separate"/>
        </w:r>
        <w:r w:rsidR="001E1A67">
          <w:rPr>
            <w:noProof/>
            <w:webHidden/>
          </w:rPr>
          <w:t>166</w:t>
        </w:r>
        <w:r w:rsidR="00D4102B">
          <w:rPr>
            <w:noProof/>
            <w:webHidden/>
          </w:rPr>
          <w:fldChar w:fldCharType="end"/>
        </w:r>
      </w:hyperlink>
    </w:p>
    <w:p w14:paraId="6FC87EF6" w14:textId="1032FA7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3" w:history="1">
        <w:r w:rsidR="00D4102B" w:rsidRPr="00C22AE8">
          <w:rPr>
            <w:rStyle w:val="Hypertextovodkaz"/>
            <w:noProof/>
          </w:rPr>
          <w:t>Graf 111: NSS – vyřizování kasačních věcí v letech 2008–2022</w:t>
        </w:r>
        <w:r w:rsidR="00D4102B">
          <w:rPr>
            <w:noProof/>
            <w:webHidden/>
          </w:rPr>
          <w:tab/>
        </w:r>
        <w:r w:rsidR="00D4102B">
          <w:rPr>
            <w:noProof/>
            <w:webHidden/>
          </w:rPr>
          <w:fldChar w:fldCharType="begin"/>
        </w:r>
        <w:r w:rsidR="00D4102B">
          <w:rPr>
            <w:noProof/>
            <w:webHidden/>
          </w:rPr>
          <w:instrText xml:space="preserve"> PAGEREF _Toc144104223 \h </w:instrText>
        </w:r>
        <w:r w:rsidR="00D4102B">
          <w:rPr>
            <w:noProof/>
            <w:webHidden/>
          </w:rPr>
        </w:r>
        <w:r w:rsidR="00D4102B">
          <w:rPr>
            <w:noProof/>
            <w:webHidden/>
          </w:rPr>
          <w:fldChar w:fldCharType="separate"/>
        </w:r>
        <w:r w:rsidR="001E1A67">
          <w:rPr>
            <w:noProof/>
            <w:webHidden/>
          </w:rPr>
          <w:t>167</w:t>
        </w:r>
        <w:r w:rsidR="00D4102B">
          <w:rPr>
            <w:noProof/>
            <w:webHidden/>
          </w:rPr>
          <w:fldChar w:fldCharType="end"/>
        </w:r>
      </w:hyperlink>
    </w:p>
    <w:p w14:paraId="79BB93FB" w14:textId="046B894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4" w:history="1">
        <w:r w:rsidR="00D4102B" w:rsidRPr="00C22AE8">
          <w:rPr>
            <w:rStyle w:val="Hypertextovodkaz"/>
            <w:noProof/>
          </w:rPr>
          <w:t>Graf 112: NSS – vyřizování řízení ve věcech soudců v letech 2008–2021</w:t>
        </w:r>
        <w:r w:rsidR="00D4102B">
          <w:rPr>
            <w:noProof/>
            <w:webHidden/>
          </w:rPr>
          <w:tab/>
        </w:r>
        <w:r w:rsidR="00D4102B">
          <w:rPr>
            <w:noProof/>
            <w:webHidden/>
          </w:rPr>
          <w:fldChar w:fldCharType="begin"/>
        </w:r>
        <w:r w:rsidR="00D4102B">
          <w:rPr>
            <w:noProof/>
            <w:webHidden/>
          </w:rPr>
          <w:instrText xml:space="preserve"> PAGEREF _Toc144104224 \h </w:instrText>
        </w:r>
        <w:r w:rsidR="00D4102B">
          <w:rPr>
            <w:noProof/>
            <w:webHidden/>
          </w:rPr>
        </w:r>
        <w:r w:rsidR="00D4102B">
          <w:rPr>
            <w:noProof/>
            <w:webHidden/>
          </w:rPr>
          <w:fldChar w:fldCharType="separate"/>
        </w:r>
        <w:r w:rsidR="001E1A67">
          <w:rPr>
            <w:noProof/>
            <w:webHidden/>
          </w:rPr>
          <w:t>168</w:t>
        </w:r>
        <w:r w:rsidR="00D4102B">
          <w:rPr>
            <w:noProof/>
            <w:webHidden/>
          </w:rPr>
          <w:fldChar w:fldCharType="end"/>
        </w:r>
      </w:hyperlink>
    </w:p>
    <w:p w14:paraId="2C2904B0" w14:textId="6A298E6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5" w:history="1">
        <w:r w:rsidR="00D4102B" w:rsidRPr="00C22AE8">
          <w:rPr>
            <w:rStyle w:val="Hypertextovodkaz"/>
            <w:noProof/>
          </w:rPr>
          <w:t>Graf 113: Počet obyvatel připadající na jeden soud v zemích EU, 2020</w:t>
        </w:r>
        <w:r w:rsidR="00D4102B">
          <w:rPr>
            <w:noProof/>
            <w:webHidden/>
          </w:rPr>
          <w:tab/>
        </w:r>
        <w:r w:rsidR="00D4102B">
          <w:rPr>
            <w:noProof/>
            <w:webHidden/>
          </w:rPr>
          <w:fldChar w:fldCharType="begin"/>
        </w:r>
        <w:r w:rsidR="00D4102B">
          <w:rPr>
            <w:noProof/>
            <w:webHidden/>
          </w:rPr>
          <w:instrText xml:space="preserve"> PAGEREF _Toc144104225 \h </w:instrText>
        </w:r>
        <w:r w:rsidR="00D4102B">
          <w:rPr>
            <w:noProof/>
            <w:webHidden/>
          </w:rPr>
        </w:r>
        <w:r w:rsidR="00D4102B">
          <w:rPr>
            <w:noProof/>
            <w:webHidden/>
          </w:rPr>
          <w:fldChar w:fldCharType="separate"/>
        </w:r>
        <w:r w:rsidR="001E1A67">
          <w:rPr>
            <w:noProof/>
            <w:webHidden/>
          </w:rPr>
          <w:t>174</w:t>
        </w:r>
        <w:r w:rsidR="00D4102B">
          <w:rPr>
            <w:noProof/>
            <w:webHidden/>
          </w:rPr>
          <w:fldChar w:fldCharType="end"/>
        </w:r>
      </w:hyperlink>
    </w:p>
    <w:p w14:paraId="3CA59B32" w14:textId="14E56BB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6" w:history="1">
        <w:r w:rsidR="00D4102B" w:rsidRPr="00C22AE8">
          <w:rPr>
            <w:rStyle w:val="Hypertextovodkaz"/>
            <w:noProof/>
          </w:rPr>
          <w:t>Graf 114: Počet soudců a advokátů (*) na 100 000 obyvatel v zemích EU, 2020</w:t>
        </w:r>
        <w:r w:rsidR="00D4102B">
          <w:rPr>
            <w:noProof/>
            <w:webHidden/>
          </w:rPr>
          <w:tab/>
        </w:r>
        <w:r w:rsidR="00D4102B">
          <w:rPr>
            <w:noProof/>
            <w:webHidden/>
          </w:rPr>
          <w:fldChar w:fldCharType="begin"/>
        </w:r>
        <w:r w:rsidR="00D4102B">
          <w:rPr>
            <w:noProof/>
            <w:webHidden/>
          </w:rPr>
          <w:instrText xml:space="preserve"> PAGEREF _Toc144104226 \h </w:instrText>
        </w:r>
        <w:r w:rsidR="00D4102B">
          <w:rPr>
            <w:noProof/>
            <w:webHidden/>
          </w:rPr>
        </w:r>
        <w:r w:rsidR="00D4102B">
          <w:rPr>
            <w:noProof/>
            <w:webHidden/>
          </w:rPr>
          <w:fldChar w:fldCharType="separate"/>
        </w:r>
        <w:r w:rsidR="001E1A67">
          <w:rPr>
            <w:noProof/>
            <w:webHidden/>
          </w:rPr>
          <w:t>175</w:t>
        </w:r>
        <w:r w:rsidR="00D4102B">
          <w:rPr>
            <w:noProof/>
            <w:webHidden/>
          </w:rPr>
          <w:fldChar w:fldCharType="end"/>
        </w:r>
      </w:hyperlink>
    </w:p>
    <w:p w14:paraId="383F9D0A" w14:textId="6E7AF157"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7" w:history="1">
        <w:r w:rsidR="00D4102B" w:rsidRPr="00C22AE8">
          <w:rPr>
            <w:rStyle w:val="Hypertextovodkaz"/>
            <w:noProof/>
          </w:rPr>
          <w:t>Graf 115: Počet advokátů na 100 000 obyvatel v zemích EU, 2010–2020</w:t>
        </w:r>
        <w:r w:rsidR="00D4102B">
          <w:rPr>
            <w:noProof/>
            <w:webHidden/>
          </w:rPr>
          <w:tab/>
        </w:r>
        <w:r w:rsidR="00D4102B">
          <w:rPr>
            <w:noProof/>
            <w:webHidden/>
          </w:rPr>
          <w:fldChar w:fldCharType="begin"/>
        </w:r>
        <w:r w:rsidR="00D4102B">
          <w:rPr>
            <w:noProof/>
            <w:webHidden/>
          </w:rPr>
          <w:instrText xml:space="preserve"> PAGEREF _Toc144104227 \h </w:instrText>
        </w:r>
        <w:r w:rsidR="00D4102B">
          <w:rPr>
            <w:noProof/>
            <w:webHidden/>
          </w:rPr>
        </w:r>
        <w:r w:rsidR="00D4102B">
          <w:rPr>
            <w:noProof/>
            <w:webHidden/>
          </w:rPr>
          <w:fldChar w:fldCharType="separate"/>
        </w:r>
        <w:r w:rsidR="001E1A67">
          <w:rPr>
            <w:noProof/>
            <w:webHidden/>
          </w:rPr>
          <w:t>176</w:t>
        </w:r>
        <w:r w:rsidR="00D4102B">
          <w:rPr>
            <w:noProof/>
            <w:webHidden/>
          </w:rPr>
          <w:fldChar w:fldCharType="end"/>
        </w:r>
      </w:hyperlink>
    </w:p>
    <w:p w14:paraId="7B78543B" w14:textId="2273F4A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8" w:history="1">
        <w:r w:rsidR="00D4102B" w:rsidRPr="00C22AE8">
          <w:rPr>
            <w:rStyle w:val="Hypertextovodkaz"/>
            <w:noProof/>
          </w:rPr>
          <w:t>Graf 116: Počet celkem zaměstnanců soudů na soudce v zemích EU, 2012 a 2020</w:t>
        </w:r>
        <w:r w:rsidR="00D4102B">
          <w:rPr>
            <w:noProof/>
            <w:webHidden/>
          </w:rPr>
          <w:tab/>
        </w:r>
        <w:r w:rsidR="00D4102B">
          <w:rPr>
            <w:noProof/>
            <w:webHidden/>
          </w:rPr>
          <w:fldChar w:fldCharType="begin"/>
        </w:r>
        <w:r w:rsidR="00D4102B">
          <w:rPr>
            <w:noProof/>
            <w:webHidden/>
          </w:rPr>
          <w:instrText xml:space="preserve"> PAGEREF _Toc144104228 \h </w:instrText>
        </w:r>
        <w:r w:rsidR="00D4102B">
          <w:rPr>
            <w:noProof/>
            <w:webHidden/>
          </w:rPr>
        </w:r>
        <w:r w:rsidR="00D4102B">
          <w:rPr>
            <w:noProof/>
            <w:webHidden/>
          </w:rPr>
          <w:fldChar w:fldCharType="separate"/>
        </w:r>
        <w:r w:rsidR="001E1A67">
          <w:rPr>
            <w:noProof/>
            <w:webHidden/>
          </w:rPr>
          <w:t>177</w:t>
        </w:r>
        <w:r w:rsidR="00D4102B">
          <w:rPr>
            <w:noProof/>
            <w:webHidden/>
          </w:rPr>
          <w:fldChar w:fldCharType="end"/>
        </w:r>
      </w:hyperlink>
    </w:p>
    <w:p w14:paraId="52446633" w14:textId="2EC089E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29" w:history="1">
        <w:r w:rsidR="00D4102B" w:rsidRPr="00C22AE8">
          <w:rPr>
            <w:rStyle w:val="Hypertextovodkaz"/>
            <w:noProof/>
          </w:rPr>
          <w:t>Graf 117: Počet zaměstnanců soudů ve výkonu (*) na soudce v zemích EU, 2020</w:t>
        </w:r>
        <w:r w:rsidR="00D4102B">
          <w:rPr>
            <w:noProof/>
            <w:webHidden/>
          </w:rPr>
          <w:tab/>
        </w:r>
        <w:r w:rsidR="00D4102B">
          <w:rPr>
            <w:noProof/>
            <w:webHidden/>
          </w:rPr>
          <w:fldChar w:fldCharType="begin"/>
        </w:r>
        <w:r w:rsidR="00D4102B">
          <w:rPr>
            <w:noProof/>
            <w:webHidden/>
          </w:rPr>
          <w:instrText xml:space="preserve"> PAGEREF _Toc144104229 \h </w:instrText>
        </w:r>
        <w:r w:rsidR="00D4102B">
          <w:rPr>
            <w:noProof/>
            <w:webHidden/>
          </w:rPr>
        </w:r>
        <w:r w:rsidR="00D4102B">
          <w:rPr>
            <w:noProof/>
            <w:webHidden/>
          </w:rPr>
          <w:fldChar w:fldCharType="separate"/>
        </w:r>
        <w:r w:rsidR="001E1A67">
          <w:rPr>
            <w:noProof/>
            <w:webHidden/>
          </w:rPr>
          <w:t>177</w:t>
        </w:r>
        <w:r w:rsidR="00D4102B">
          <w:rPr>
            <w:noProof/>
            <w:webHidden/>
          </w:rPr>
          <w:fldChar w:fldCharType="end"/>
        </w:r>
      </w:hyperlink>
    </w:p>
    <w:p w14:paraId="25119BA7" w14:textId="19EF5E4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0" w:history="1">
        <w:r w:rsidR="00D4102B" w:rsidRPr="00C22AE8">
          <w:rPr>
            <w:rStyle w:val="Hypertextovodkaz"/>
            <w:noProof/>
          </w:rPr>
          <w:t>Graf 118: Index mezi průměrným hrubým ročním platem soudce na vrcholu profesní kariéry (*) a začínajícím soudcem v zemích EU, 2020</w:t>
        </w:r>
        <w:r w:rsidR="00D4102B">
          <w:rPr>
            <w:noProof/>
            <w:webHidden/>
          </w:rPr>
          <w:tab/>
        </w:r>
        <w:r w:rsidR="00D4102B">
          <w:rPr>
            <w:noProof/>
            <w:webHidden/>
          </w:rPr>
          <w:fldChar w:fldCharType="begin"/>
        </w:r>
        <w:r w:rsidR="00D4102B">
          <w:rPr>
            <w:noProof/>
            <w:webHidden/>
          </w:rPr>
          <w:instrText xml:space="preserve"> PAGEREF _Toc144104230 \h </w:instrText>
        </w:r>
        <w:r w:rsidR="00D4102B">
          <w:rPr>
            <w:noProof/>
            <w:webHidden/>
          </w:rPr>
        </w:r>
        <w:r w:rsidR="00D4102B">
          <w:rPr>
            <w:noProof/>
            <w:webHidden/>
          </w:rPr>
          <w:fldChar w:fldCharType="separate"/>
        </w:r>
        <w:r w:rsidR="001E1A67">
          <w:rPr>
            <w:noProof/>
            <w:webHidden/>
          </w:rPr>
          <w:t>180</w:t>
        </w:r>
        <w:r w:rsidR="00D4102B">
          <w:rPr>
            <w:noProof/>
            <w:webHidden/>
          </w:rPr>
          <w:fldChar w:fldCharType="end"/>
        </w:r>
      </w:hyperlink>
    </w:p>
    <w:p w14:paraId="2F8D2970" w14:textId="4A02375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1" w:history="1">
        <w:r w:rsidR="00D4102B" w:rsidRPr="00C22AE8">
          <w:rPr>
            <w:rStyle w:val="Hypertextovodkaz"/>
            <w:noProof/>
          </w:rPr>
          <w:t>Graf 119: Hrubý roční plat soudců na počátku a vrcholu (*) kariéry v zemích EU, 2020</w:t>
        </w:r>
        <w:r w:rsidR="00D4102B">
          <w:rPr>
            <w:noProof/>
            <w:webHidden/>
          </w:rPr>
          <w:tab/>
        </w:r>
        <w:r w:rsidR="00D4102B">
          <w:rPr>
            <w:noProof/>
            <w:webHidden/>
          </w:rPr>
          <w:fldChar w:fldCharType="begin"/>
        </w:r>
        <w:r w:rsidR="00D4102B">
          <w:rPr>
            <w:noProof/>
            <w:webHidden/>
          </w:rPr>
          <w:instrText xml:space="preserve"> PAGEREF _Toc144104231 \h </w:instrText>
        </w:r>
        <w:r w:rsidR="00D4102B">
          <w:rPr>
            <w:noProof/>
            <w:webHidden/>
          </w:rPr>
        </w:r>
        <w:r w:rsidR="00D4102B">
          <w:rPr>
            <w:noProof/>
            <w:webHidden/>
          </w:rPr>
          <w:fldChar w:fldCharType="separate"/>
        </w:r>
        <w:r w:rsidR="001E1A67">
          <w:rPr>
            <w:noProof/>
            <w:webHidden/>
          </w:rPr>
          <w:t>180</w:t>
        </w:r>
        <w:r w:rsidR="00D4102B">
          <w:rPr>
            <w:noProof/>
            <w:webHidden/>
          </w:rPr>
          <w:fldChar w:fldCharType="end"/>
        </w:r>
      </w:hyperlink>
    </w:p>
    <w:p w14:paraId="557B8A5F" w14:textId="4059BDB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2" w:history="1">
        <w:r w:rsidR="00D4102B" w:rsidRPr="00C22AE8">
          <w:rPr>
            <w:rStyle w:val="Hypertextovodkaz"/>
            <w:noProof/>
          </w:rPr>
          <w:t>Graf 120: Účinnost soudní ochrany v zemích EU celkem (*), 2022</w:t>
        </w:r>
        <w:r w:rsidR="00D4102B">
          <w:rPr>
            <w:noProof/>
            <w:webHidden/>
          </w:rPr>
          <w:tab/>
        </w:r>
        <w:r w:rsidR="00D4102B">
          <w:rPr>
            <w:noProof/>
            <w:webHidden/>
          </w:rPr>
          <w:fldChar w:fldCharType="begin"/>
        </w:r>
        <w:r w:rsidR="00D4102B">
          <w:rPr>
            <w:noProof/>
            <w:webHidden/>
          </w:rPr>
          <w:instrText xml:space="preserve"> PAGEREF _Toc144104232 \h </w:instrText>
        </w:r>
        <w:r w:rsidR="00D4102B">
          <w:rPr>
            <w:noProof/>
            <w:webHidden/>
          </w:rPr>
        </w:r>
        <w:r w:rsidR="00D4102B">
          <w:rPr>
            <w:noProof/>
            <w:webHidden/>
          </w:rPr>
          <w:fldChar w:fldCharType="separate"/>
        </w:r>
        <w:r w:rsidR="001E1A67">
          <w:rPr>
            <w:noProof/>
            <w:webHidden/>
          </w:rPr>
          <w:t>182</w:t>
        </w:r>
        <w:r w:rsidR="00D4102B">
          <w:rPr>
            <w:noProof/>
            <w:webHidden/>
          </w:rPr>
          <w:fldChar w:fldCharType="end"/>
        </w:r>
      </w:hyperlink>
    </w:p>
    <w:p w14:paraId="7F7852CC" w14:textId="1FEB3EB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3" w:history="1">
        <w:r w:rsidR="00D4102B" w:rsidRPr="00C22AE8">
          <w:rPr>
            <w:rStyle w:val="Hypertextovodkaz"/>
            <w:noProof/>
          </w:rPr>
          <w:t>Graf 121: Jak společnosti vnímají účinnost ochrany investic právními předpisy a ze strany soudů v zemích EU, 2020 (*)</w:t>
        </w:r>
        <w:r w:rsidR="00D4102B">
          <w:rPr>
            <w:noProof/>
            <w:webHidden/>
          </w:rPr>
          <w:tab/>
        </w:r>
        <w:r w:rsidR="00D4102B">
          <w:rPr>
            <w:noProof/>
            <w:webHidden/>
          </w:rPr>
          <w:fldChar w:fldCharType="begin"/>
        </w:r>
        <w:r w:rsidR="00D4102B">
          <w:rPr>
            <w:noProof/>
            <w:webHidden/>
          </w:rPr>
          <w:instrText xml:space="preserve"> PAGEREF _Toc144104233 \h </w:instrText>
        </w:r>
        <w:r w:rsidR="00D4102B">
          <w:rPr>
            <w:noProof/>
            <w:webHidden/>
          </w:rPr>
        </w:r>
        <w:r w:rsidR="00D4102B">
          <w:rPr>
            <w:noProof/>
            <w:webHidden/>
          </w:rPr>
          <w:fldChar w:fldCharType="separate"/>
        </w:r>
        <w:r w:rsidR="001E1A67">
          <w:rPr>
            <w:noProof/>
            <w:webHidden/>
          </w:rPr>
          <w:t>184</w:t>
        </w:r>
        <w:r w:rsidR="00D4102B">
          <w:rPr>
            <w:noProof/>
            <w:webHidden/>
          </w:rPr>
          <w:fldChar w:fldCharType="end"/>
        </w:r>
      </w:hyperlink>
    </w:p>
    <w:p w14:paraId="460D58B7" w14:textId="67BC690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4" w:history="1">
        <w:r w:rsidR="00D4102B" w:rsidRPr="00C22AE8">
          <w:rPr>
            <w:rStyle w:val="Hypertextovodkaz"/>
            <w:noProof/>
          </w:rPr>
          <w:t>Graf 122: EU – medián a průměrný nápad občanských, obchodních, správních a jiných věcí na 100 obyvatel v zemích EU, soudy 1. stupně (*)</w:t>
        </w:r>
        <w:r w:rsidR="00D4102B">
          <w:rPr>
            <w:noProof/>
            <w:webHidden/>
          </w:rPr>
          <w:tab/>
        </w:r>
        <w:r w:rsidR="00D4102B">
          <w:rPr>
            <w:noProof/>
            <w:webHidden/>
          </w:rPr>
          <w:fldChar w:fldCharType="begin"/>
        </w:r>
        <w:r w:rsidR="00D4102B">
          <w:rPr>
            <w:noProof/>
            <w:webHidden/>
          </w:rPr>
          <w:instrText xml:space="preserve"> PAGEREF _Toc144104234 \h </w:instrText>
        </w:r>
        <w:r w:rsidR="00D4102B">
          <w:rPr>
            <w:noProof/>
            <w:webHidden/>
          </w:rPr>
        </w:r>
        <w:r w:rsidR="00D4102B">
          <w:rPr>
            <w:noProof/>
            <w:webHidden/>
          </w:rPr>
          <w:fldChar w:fldCharType="separate"/>
        </w:r>
        <w:r w:rsidR="001E1A67">
          <w:rPr>
            <w:noProof/>
            <w:webHidden/>
          </w:rPr>
          <w:t>186</w:t>
        </w:r>
        <w:r w:rsidR="00D4102B">
          <w:rPr>
            <w:noProof/>
            <w:webHidden/>
          </w:rPr>
          <w:fldChar w:fldCharType="end"/>
        </w:r>
      </w:hyperlink>
    </w:p>
    <w:p w14:paraId="09114105" w14:textId="47C1372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5" w:history="1">
        <w:r w:rsidR="00D4102B" w:rsidRPr="00C22AE8">
          <w:rPr>
            <w:rStyle w:val="Hypertextovodkaz"/>
            <w:noProof/>
          </w:rPr>
          <w:t>Graf 123: EU – disposition time sporných obč. a obch. věcí v zemích EU (kal. dny), 2020 (*)</w:t>
        </w:r>
        <w:r w:rsidR="00D4102B">
          <w:rPr>
            <w:noProof/>
            <w:webHidden/>
          </w:rPr>
          <w:tab/>
        </w:r>
        <w:r w:rsidR="00D4102B">
          <w:rPr>
            <w:noProof/>
            <w:webHidden/>
          </w:rPr>
          <w:fldChar w:fldCharType="begin"/>
        </w:r>
        <w:r w:rsidR="00D4102B">
          <w:rPr>
            <w:noProof/>
            <w:webHidden/>
          </w:rPr>
          <w:instrText xml:space="preserve"> PAGEREF _Toc144104235 \h </w:instrText>
        </w:r>
        <w:r w:rsidR="00D4102B">
          <w:rPr>
            <w:noProof/>
            <w:webHidden/>
          </w:rPr>
        </w:r>
        <w:r w:rsidR="00D4102B">
          <w:rPr>
            <w:noProof/>
            <w:webHidden/>
          </w:rPr>
          <w:fldChar w:fldCharType="separate"/>
        </w:r>
        <w:r w:rsidR="001E1A67">
          <w:rPr>
            <w:noProof/>
            <w:webHidden/>
          </w:rPr>
          <w:t>186</w:t>
        </w:r>
        <w:r w:rsidR="00D4102B">
          <w:rPr>
            <w:noProof/>
            <w:webHidden/>
          </w:rPr>
          <w:fldChar w:fldCharType="end"/>
        </w:r>
      </w:hyperlink>
    </w:p>
    <w:p w14:paraId="75F81CCD" w14:textId="5AA4DD1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6" w:history="1">
        <w:r w:rsidR="00D4102B" w:rsidRPr="00C22AE8">
          <w:rPr>
            <w:rStyle w:val="Hypertextovodkaz"/>
            <w:noProof/>
          </w:rPr>
          <w:t>Graf 124: Počet nevyřízených sporných obč. a obch. věcí na 100 obyvatel, země EU, soudy 1. stupně, 2020</w:t>
        </w:r>
        <w:r w:rsidR="00D4102B">
          <w:rPr>
            <w:noProof/>
            <w:webHidden/>
          </w:rPr>
          <w:tab/>
        </w:r>
        <w:r w:rsidR="00D4102B">
          <w:rPr>
            <w:noProof/>
            <w:webHidden/>
          </w:rPr>
          <w:fldChar w:fldCharType="begin"/>
        </w:r>
        <w:r w:rsidR="00D4102B">
          <w:rPr>
            <w:noProof/>
            <w:webHidden/>
          </w:rPr>
          <w:instrText xml:space="preserve"> PAGEREF _Toc144104236 \h </w:instrText>
        </w:r>
        <w:r w:rsidR="00D4102B">
          <w:rPr>
            <w:noProof/>
            <w:webHidden/>
          </w:rPr>
        </w:r>
        <w:r w:rsidR="00D4102B">
          <w:rPr>
            <w:noProof/>
            <w:webHidden/>
          </w:rPr>
          <w:fldChar w:fldCharType="separate"/>
        </w:r>
        <w:r w:rsidR="001E1A67">
          <w:rPr>
            <w:noProof/>
            <w:webHidden/>
          </w:rPr>
          <w:t>187</w:t>
        </w:r>
        <w:r w:rsidR="00D4102B">
          <w:rPr>
            <w:noProof/>
            <w:webHidden/>
          </w:rPr>
          <w:fldChar w:fldCharType="end"/>
        </w:r>
      </w:hyperlink>
    </w:p>
    <w:p w14:paraId="4A75E952" w14:textId="7A702BA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7" w:history="1">
        <w:r w:rsidR="00D4102B" w:rsidRPr="00C22AE8">
          <w:rPr>
            <w:rStyle w:val="Hypertextovodkaz"/>
            <w:noProof/>
          </w:rPr>
          <w:t>Graf 125: % změna počtu nevyřízených sporných obč. a obch. věcí na 100 obyvatel, soudy 1. stupně, vybrané země EU 2020 vs. 2010</w:t>
        </w:r>
        <w:r w:rsidR="00D4102B">
          <w:rPr>
            <w:noProof/>
            <w:webHidden/>
          </w:rPr>
          <w:tab/>
        </w:r>
        <w:r w:rsidR="00D4102B">
          <w:rPr>
            <w:noProof/>
            <w:webHidden/>
          </w:rPr>
          <w:fldChar w:fldCharType="begin"/>
        </w:r>
        <w:r w:rsidR="00D4102B">
          <w:rPr>
            <w:noProof/>
            <w:webHidden/>
          </w:rPr>
          <w:instrText xml:space="preserve"> PAGEREF _Toc144104237 \h </w:instrText>
        </w:r>
        <w:r w:rsidR="00D4102B">
          <w:rPr>
            <w:noProof/>
            <w:webHidden/>
          </w:rPr>
        </w:r>
        <w:r w:rsidR="00D4102B">
          <w:rPr>
            <w:noProof/>
            <w:webHidden/>
          </w:rPr>
          <w:fldChar w:fldCharType="separate"/>
        </w:r>
        <w:r w:rsidR="001E1A67">
          <w:rPr>
            <w:noProof/>
            <w:webHidden/>
          </w:rPr>
          <w:t>188</w:t>
        </w:r>
        <w:r w:rsidR="00D4102B">
          <w:rPr>
            <w:noProof/>
            <w:webHidden/>
          </w:rPr>
          <w:fldChar w:fldCharType="end"/>
        </w:r>
      </w:hyperlink>
    </w:p>
    <w:p w14:paraId="2884CA94" w14:textId="170E964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8" w:history="1">
        <w:r w:rsidR="00D4102B" w:rsidRPr="00C22AE8">
          <w:rPr>
            <w:rStyle w:val="Hypertextovodkaz"/>
            <w:noProof/>
          </w:rPr>
          <w:t>Graf 126: Hrubá míra rozvodovosti, 2020</w:t>
        </w:r>
        <w:r w:rsidR="00D4102B">
          <w:rPr>
            <w:noProof/>
            <w:webHidden/>
          </w:rPr>
          <w:tab/>
        </w:r>
        <w:r w:rsidR="00D4102B">
          <w:rPr>
            <w:noProof/>
            <w:webHidden/>
          </w:rPr>
          <w:fldChar w:fldCharType="begin"/>
        </w:r>
        <w:r w:rsidR="00D4102B">
          <w:rPr>
            <w:noProof/>
            <w:webHidden/>
          </w:rPr>
          <w:instrText xml:space="preserve"> PAGEREF _Toc144104238 \h </w:instrText>
        </w:r>
        <w:r w:rsidR="00D4102B">
          <w:rPr>
            <w:noProof/>
            <w:webHidden/>
          </w:rPr>
        </w:r>
        <w:r w:rsidR="00D4102B">
          <w:rPr>
            <w:noProof/>
            <w:webHidden/>
          </w:rPr>
          <w:fldChar w:fldCharType="separate"/>
        </w:r>
        <w:r w:rsidR="001E1A67">
          <w:rPr>
            <w:noProof/>
            <w:webHidden/>
          </w:rPr>
          <w:t>189</w:t>
        </w:r>
        <w:r w:rsidR="00D4102B">
          <w:rPr>
            <w:noProof/>
            <w:webHidden/>
          </w:rPr>
          <w:fldChar w:fldCharType="end"/>
        </w:r>
      </w:hyperlink>
    </w:p>
    <w:p w14:paraId="095C56CD" w14:textId="64BEE91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39" w:history="1">
        <w:r w:rsidR="00D4102B" w:rsidRPr="00C22AE8">
          <w:rPr>
            <w:rStyle w:val="Hypertextovodkaz"/>
            <w:noProof/>
          </w:rPr>
          <w:t>Graf 127: Podíl rozvedených manželství z celkem existujících (*), 2020</w:t>
        </w:r>
        <w:r w:rsidR="00D4102B">
          <w:rPr>
            <w:noProof/>
            <w:webHidden/>
          </w:rPr>
          <w:tab/>
        </w:r>
        <w:r w:rsidR="00D4102B">
          <w:rPr>
            <w:noProof/>
            <w:webHidden/>
          </w:rPr>
          <w:fldChar w:fldCharType="begin"/>
        </w:r>
        <w:r w:rsidR="00D4102B">
          <w:rPr>
            <w:noProof/>
            <w:webHidden/>
          </w:rPr>
          <w:instrText xml:space="preserve"> PAGEREF _Toc144104239 \h </w:instrText>
        </w:r>
        <w:r w:rsidR="00D4102B">
          <w:rPr>
            <w:noProof/>
            <w:webHidden/>
          </w:rPr>
        </w:r>
        <w:r w:rsidR="00D4102B">
          <w:rPr>
            <w:noProof/>
            <w:webHidden/>
          </w:rPr>
          <w:fldChar w:fldCharType="separate"/>
        </w:r>
        <w:r w:rsidR="001E1A67">
          <w:rPr>
            <w:noProof/>
            <w:webHidden/>
          </w:rPr>
          <w:t>191</w:t>
        </w:r>
        <w:r w:rsidR="00D4102B">
          <w:rPr>
            <w:noProof/>
            <w:webHidden/>
          </w:rPr>
          <w:fldChar w:fldCharType="end"/>
        </w:r>
      </w:hyperlink>
    </w:p>
    <w:p w14:paraId="6B012A64" w14:textId="1FEEF7FD" w:rsidR="008430BD" w:rsidRPr="00D4102B" w:rsidRDefault="008430BD" w:rsidP="008430BD">
      <w:pPr>
        <w:spacing w:line="240" w:lineRule="auto"/>
        <w:jc w:val="left"/>
        <w:rPr>
          <w:sz w:val="2"/>
          <w:szCs w:val="2"/>
        </w:rPr>
      </w:pPr>
      <w:r w:rsidRPr="00F15667">
        <w:lastRenderedPageBreak/>
        <w:fldChar w:fldCharType="end"/>
      </w:r>
    </w:p>
    <w:p w14:paraId="26C437B7" w14:textId="77777777" w:rsidR="008430BD" w:rsidRPr="00F15667" w:rsidRDefault="008430BD" w:rsidP="008430BD">
      <w:pPr>
        <w:pStyle w:val="Nadpis1"/>
        <w:ind w:left="432" w:hanging="432"/>
      </w:pPr>
      <w:bookmarkStart w:id="1425" w:name="_Toc487791315"/>
      <w:bookmarkStart w:id="1426" w:name="_Toc106092833"/>
      <w:bookmarkStart w:id="1427" w:name="_Toc144104450"/>
      <w:r w:rsidRPr="00F15667">
        <w:t>Seznam tabulek</w:t>
      </w:r>
      <w:bookmarkEnd w:id="1425"/>
      <w:bookmarkEnd w:id="1426"/>
      <w:bookmarkEnd w:id="1427"/>
    </w:p>
    <w:p w14:paraId="260A518E" w14:textId="272A4616" w:rsidR="00D4102B" w:rsidRDefault="008430BD">
      <w:pPr>
        <w:pStyle w:val="Seznamobrzk"/>
        <w:tabs>
          <w:tab w:val="right" w:leader="dot" w:pos="9062"/>
        </w:tabs>
        <w:rPr>
          <w:rFonts w:asciiTheme="minorHAnsi" w:eastAsiaTheme="minorEastAsia" w:hAnsiTheme="minorHAnsi" w:cstheme="minorBidi"/>
          <w:noProof/>
          <w:sz w:val="22"/>
          <w:lang w:eastAsia="cs-CZ"/>
        </w:rPr>
      </w:pPr>
      <w:r w:rsidRPr="00F15667">
        <w:rPr>
          <w:b/>
          <w:bCs/>
          <w:noProof/>
        </w:rPr>
        <w:fldChar w:fldCharType="begin"/>
      </w:r>
      <w:r w:rsidRPr="00F15667">
        <w:rPr>
          <w:b/>
          <w:bCs/>
          <w:noProof/>
        </w:rPr>
        <w:instrText xml:space="preserve"> TOC \h \z \c "Tabulka" </w:instrText>
      </w:r>
      <w:r w:rsidRPr="00F15667">
        <w:rPr>
          <w:b/>
          <w:bCs/>
          <w:noProof/>
        </w:rPr>
        <w:fldChar w:fldCharType="separate"/>
      </w:r>
      <w:hyperlink w:anchor="_Toc144104240" w:history="1">
        <w:r w:rsidR="00D4102B" w:rsidRPr="00C211AD">
          <w:rPr>
            <w:rStyle w:val="Hypertextovodkaz"/>
            <w:noProof/>
          </w:rPr>
          <w:t>Tabulka 1: OS – počet soudců dle krajů</w:t>
        </w:r>
        <w:r w:rsidR="00D4102B">
          <w:rPr>
            <w:noProof/>
            <w:webHidden/>
          </w:rPr>
          <w:tab/>
        </w:r>
        <w:r w:rsidR="00D4102B">
          <w:rPr>
            <w:noProof/>
            <w:webHidden/>
          </w:rPr>
          <w:fldChar w:fldCharType="begin"/>
        </w:r>
        <w:r w:rsidR="00D4102B">
          <w:rPr>
            <w:noProof/>
            <w:webHidden/>
          </w:rPr>
          <w:instrText xml:space="preserve"> PAGEREF _Toc144104240 \h </w:instrText>
        </w:r>
        <w:r w:rsidR="00D4102B">
          <w:rPr>
            <w:noProof/>
            <w:webHidden/>
          </w:rPr>
        </w:r>
        <w:r w:rsidR="00D4102B">
          <w:rPr>
            <w:noProof/>
            <w:webHidden/>
          </w:rPr>
          <w:fldChar w:fldCharType="separate"/>
        </w:r>
        <w:r w:rsidR="001E1A67">
          <w:rPr>
            <w:noProof/>
            <w:webHidden/>
          </w:rPr>
          <w:t>13</w:t>
        </w:r>
        <w:r w:rsidR="00D4102B">
          <w:rPr>
            <w:noProof/>
            <w:webHidden/>
          </w:rPr>
          <w:fldChar w:fldCharType="end"/>
        </w:r>
      </w:hyperlink>
    </w:p>
    <w:p w14:paraId="74E77E03" w14:textId="017071B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41" w:history="1">
        <w:r w:rsidR="00D4102B" w:rsidRPr="00C211AD">
          <w:rPr>
            <w:rStyle w:val="Hypertextovodkaz"/>
            <w:noProof/>
          </w:rPr>
          <w:t>Tabulka 2: OS – evidenční počet soudců dle pohlaví a krajů</w:t>
        </w:r>
        <w:r w:rsidR="00D4102B">
          <w:rPr>
            <w:noProof/>
            <w:webHidden/>
          </w:rPr>
          <w:tab/>
        </w:r>
        <w:r w:rsidR="00D4102B">
          <w:rPr>
            <w:noProof/>
            <w:webHidden/>
          </w:rPr>
          <w:fldChar w:fldCharType="begin"/>
        </w:r>
        <w:r w:rsidR="00D4102B">
          <w:rPr>
            <w:noProof/>
            <w:webHidden/>
          </w:rPr>
          <w:instrText xml:space="preserve"> PAGEREF _Toc144104241 \h </w:instrText>
        </w:r>
        <w:r w:rsidR="00D4102B">
          <w:rPr>
            <w:noProof/>
            <w:webHidden/>
          </w:rPr>
        </w:r>
        <w:r w:rsidR="00D4102B">
          <w:rPr>
            <w:noProof/>
            <w:webHidden/>
          </w:rPr>
          <w:fldChar w:fldCharType="separate"/>
        </w:r>
        <w:r w:rsidR="001E1A67">
          <w:rPr>
            <w:noProof/>
            <w:webHidden/>
          </w:rPr>
          <w:t>15</w:t>
        </w:r>
        <w:r w:rsidR="00D4102B">
          <w:rPr>
            <w:noProof/>
            <w:webHidden/>
          </w:rPr>
          <w:fldChar w:fldCharType="end"/>
        </w:r>
      </w:hyperlink>
    </w:p>
    <w:p w14:paraId="6FDA3997" w14:textId="550DEF2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42" w:history="1">
        <w:r w:rsidR="00D4102B" w:rsidRPr="00C211AD">
          <w:rPr>
            <w:rStyle w:val="Hypertextovodkaz"/>
            <w:noProof/>
          </w:rPr>
          <w:t>Tabulka 3: OS – předsedové a místopředsedové okresních soudů</w:t>
        </w:r>
        <w:r w:rsidR="00D4102B">
          <w:rPr>
            <w:noProof/>
            <w:webHidden/>
          </w:rPr>
          <w:tab/>
        </w:r>
        <w:r w:rsidR="00D4102B">
          <w:rPr>
            <w:noProof/>
            <w:webHidden/>
          </w:rPr>
          <w:fldChar w:fldCharType="begin"/>
        </w:r>
        <w:r w:rsidR="00D4102B">
          <w:rPr>
            <w:noProof/>
            <w:webHidden/>
          </w:rPr>
          <w:instrText xml:space="preserve"> PAGEREF _Toc144104242 \h </w:instrText>
        </w:r>
        <w:r w:rsidR="00D4102B">
          <w:rPr>
            <w:noProof/>
            <w:webHidden/>
          </w:rPr>
        </w:r>
        <w:r w:rsidR="00D4102B">
          <w:rPr>
            <w:noProof/>
            <w:webHidden/>
          </w:rPr>
          <w:fldChar w:fldCharType="separate"/>
        </w:r>
        <w:r w:rsidR="001E1A67">
          <w:rPr>
            <w:noProof/>
            <w:webHidden/>
          </w:rPr>
          <w:t>15</w:t>
        </w:r>
        <w:r w:rsidR="00D4102B">
          <w:rPr>
            <w:noProof/>
            <w:webHidden/>
          </w:rPr>
          <w:fldChar w:fldCharType="end"/>
        </w:r>
      </w:hyperlink>
    </w:p>
    <w:p w14:paraId="21E0437A" w14:textId="4993C76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43" w:history="1">
        <w:r w:rsidR="00D4102B" w:rsidRPr="00C211AD">
          <w:rPr>
            <w:rStyle w:val="Hypertextovodkaz"/>
            <w:noProof/>
          </w:rPr>
          <w:t>Tabulka 4: OS – věková struktura soudců dle krajů v %</w:t>
        </w:r>
        <w:r w:rsidR="00D4102B">
          <w:rPr>
            <w:noProof/>
            <w:webHidden/>
          </w:rPr>
          <w:tab/>
        </w:r>
        <w:r w:rsidR="00D4102B">
          <w:rPr>
            <w:noProof/>
            <w:webHidden/>
          </w:rPr>
          <w:fldChar w:fldCharType="begin"/>
        </w:r>
        <w:r w:rsidR="00D4102B">
          <w:rPr>
            <w:noProof/>
            <w:webHidden/>
          </w:rPr>
          <w:instrText xml:space="preserve"> PAGEREF _Toc144104243 \h </w:instrText>
        </w:r>
        <w:r w:rsidR="00D4102B">
          <w:rPr>
            <w:noProof/>
            <w:webHidden/>
          </w:rPr>
        </w:r>
        <w:r w:rsidR="00D4102B">
          <w:rPr>
            <w:noProof/>
            <w:webHidden/>
          </w:rPr>
          <w:fldChar w:fldCharType="separate"/>
        </w:r>
        <w:r w:rsidR="001E1A67">
          <w:rPr>
            <w:noProof/>
            <w:webHidden/>
          </w:rPr>
          <w:t>17</w:t>
        </w:r>
        <w:r w:rsidR="00D4102B">
          <w:rPr>
            <w:noProof/>
            <w:webHidden/>
          </w:rPr>
          <w:fldChar w:fldCharType="end"/>
        </w:r>
      </w:hyperlink>
    </w:p>
    <w:p w14:paraId="33896F45" w14:textId="3014860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44" w:history="1">
        <w:r w:rsidR="00D4102B" w:rsidRPr="00C211AD">
          <w:rPr>
            <w:rStyle w:val="Hypertextovodkaz"/>
            <w:noProof/>
          </w:rPr>
          <w:t>Tabulka 5: OS – srovnání evidenčního a plánovaného počtu soudců za 8 let</w:t>
        </w:r>
        <w:r w:rsidR="00D4102B">
          <w:rPr>
            <w:noProof/>
            <w:webHidden/>
          </w:rPr>
          <w:tab/>
        </w:r>
        <w:r w:rsidR="00D4102B">
          <w:rPr>
            <w:noProof/>
            <w:webHidden/>
          </w:rPr>
          <w:fldChar w:fldCharType="begin"/>
        </w:r>
        <w:r w:rsidR="00D4102B">
          <w:rPr>
            <w:noProof/>
            <w:webHidden/>
          </w:rPr>
          <w:instrText xml:space="preserve"> PAGEREF _Toc144104244 \h </w:instrText>
        </w:r>
        <w:r w:rsidR="00D4102B">
          <w:rPr>
            <w:noProof/>
            <w:webHidden/>
          </w:rPr>
        </w:r>
        <w:r w:rsidR="00D4102B">
          <w:rPr>
            <w:noProof/>
            <w:webHidden/>
          </w:rPr>
          <w:fldChar w:fldCharType="separate"/>
        </w:r>
        <w:r w:rsidR="001E1A67">
          <w:rPr>
            <w:noProof/>
            <w:webHidden/>
          </w:rPr>
          <w:t>17</w:t>
        </w:r>
        <w:r w:rsidR="00D4102B">
          <w:rPr>
            <w:noProof/>
            <w:webHidden/>
          </w:rPr>
          <w:fldChar w:fldCharType="end"/>
        </w:r>
      </w:hyperlink>
    </w:p>
    <w:p w14:paraId="3A7E7CA3" w14:textId="7C30048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45" w:history="1">
        <w:r w:rsidR="00D4102B" w:rsidRPr="00C211AD">
          <w:rPr>
            <w:rStyle w:val="Hypertextovodkaz"/>
            <w:noProof/>
          </w:rPr>
          <w:t>Tabulka 6: OS – evidenční počet zaměstnanců ve výkonu dle krajů</w:t>
        </w:r>
        <w:r w:rsidR="00D4102B">
          <w:rPr>
            <w:noProof/>
            <w:webHidden/>
          </w:rPr>
          <w:tab/>
        </w:r>
        <w:r w:rsidR="00D4102B">
          <w:rPr>
            <w:noProof/>
            <w:webHidden/>
          </w:rPr>
          <w:fldChar w:fldCharType="begin"/>
        </w:r>
        <w:r w:rsidR="00D4102B">
          <w:rPr>
            <w:noProof/>
            <w:webHidden/>
          </w:rPr>
          <w:instrText xml:space="preserve"> PAGEREF _Toc144104245 \h </w:instrText>
        </w:r>
        <w:r w:rsidR="00D4102B">
          <w:rPr>
            <w:noProof/>
            <w:webHidden/>
          </w:rPr>
        </w:r>
        <w:r w:rsidR="00D4102B">
          <w:rPr>
            <w:noProof/>
            <w:webHidden/>
          </w:rPr>
          <w:fldChar w:fldCharType="separate"/>
        </w:r>
        <w:r w:rsidR="001E1A67">
          <w:rPr>
            <w:noProof/>
            <w:webHidden/>
          </w:rPr>
          <w:t>18</w:t>
        </w:r>
        <w:r w:rsidR="00D4102B">
          <w:rPr>
            <w:noProof/>
            <w:webHidden/>
          </w:rPr>
          <w:fldChar w:fldCharType="end"/>
        </w:r>
      </w:hyperlink>
    </w:p>
    <w:p w14:paraId="21805980" w14:textId="6A29A87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46" w:history="1">
        <w:r w:rsidR="00D4102B" w:rsidRPr="00C211AD">
          <w:rPr>
            <w:rStyle w:val="Hypertextovodkaz"/>
            <w:noProof/>
          </w:rPr>
          <w:t>Tabulka 7: OS – počet přísedících dle krajů a pohlaví</w:t>
        </w:r>
        <w:r w:rsidR="00D4102B">
          <w:rPr>
            <w:noProof/>
            <w:webHidden/>
          </w:rPr>
          <w:tab/>
        </w:r>
        <w:r w:rsidR="00D4102B">
          <w:rPr>
            <w:noProof/>
            <w:webHidden/>
          </w:rPr>
          <w:fldChar w:fldCharType="begin"/>
        </w:r>
        <w:r w:rsidR="00D4102B">
          <w:rPr>
            <w:noProof/>
            <w:webHidden/>
          </w:rPr>
          <w:instrText xml:space="preserve"> PAGEREF _Toc144104246 \h </w:instrText>
        </w:r>
        <w:r w:rsidR="00D4102B">
          <w:rPr>
            <w:noProof/>
            <w:webHidden/>
          </w:rPr>
        </w:r>
        <w:r w:rsidR="00D4102B">
          <w:rPr>
            <w:noProof/>
            <w:webHidden/>
          </w:rPr>
          <w:fldChar w:fldCharType="separate"/>
        </w:r>
        <w:r w:rsidR="001E1A67">
          <w:rPr>
            <w:noProof/>
            <w:webHidden/>
          </w:rPr>
          <w:t>20</w:t>
        </w:r>
        <w:r w:rsidR="00D4102B">
          <w:rPr>
            <w:noProof/>
            <w:webHidden/>
          </w:rPr>
          <w:fldChar w:fldCharType="end"/>
        </w:r>
      </w:hyperlink>
    </w:p>
    <w:p w14:paraId="53F646A3" w14:textId="60D5DD9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47" w:history="1">
        <w:r w:rsidR="00D4102B" w:rsidRPr="00C211AD">
          <w:rPr>
            <w:rStyle w:val="Hypertextovodkaz"/>
            <w:noProof/>
          </w:rPr>
          <w:t>Tabulka 8: OS – podíl přísedících dle krajů a věku</w:t>
        </w:r>
        <w:r w:rsidR="00D4102B">
          <w:rPr>
            <w:noProof/>
            <w:webHidden/>
          </w:rPr>
          <w:tab/>
        </w:r>
        <w:r w:rsidR="00D4102B">
          <w:rPr>
            <w:noProof/>
            <w:webHidden/>
          </w:rPr>
          <w:fldChar w:fldCharType="begin"/>
        </w:r>
        <w:r w:rsidR="00D4102B">
          <w:rPr>
            <w:noProof/>
            <w:webHidden/>
          </w:rPr>
          <w:instrText xml:space="preserve"> PAGEREF _Toc144104247 \h </w:instrText>
        </w:r>
        <w:r w:rsidR="00D4102B">
          <w:rPr>
            <w:noProof/>
            <w:webHidden/>
          </w:rPr>
        </w:r>
        <w:r w:rsidR="00D4102B">
          <w:rPr>
            <w:noProof/>
            <w:webHidden/>
          </w:rPr>
          <w:fldChar w:fldCharType="separate"/>
        </w:r>
        <w:r w:rsidR="001E1A67">
          <w:rPr>
            <w:noProof/>
            <w:webHidden/>
          </w:rPr>
          <w:t>21</w:t>
        </w:r>
        <w:r w:rsidR="00D4102B">
          <w:rPr>
            <w:noProof/>
            <w:webHidden/>
          </w:rPr>
          <w:fldChar w:fldCharType="end"/>
        </w:r>
      </w:hyperlink>
    </w:p>
    <w:p w14:paraId="2A00AB77" w14:textId="11A0A01D"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48" w:history="1">
        <w:r w:rsidR="00D4102B" w:rsidRPr="00C211AD">
          <w:rPr>
            <w:rStyle w:val="Hypertextovodkaz"/>
            <w:noProof/>
          </w:rPr>
          <w:t>Tabulka 9: OS – délky civilního řízení dle krajů</w:t>
        </w:r>
        <w:r w:rsidR="00D4102B">
          <w:rPr>
            <w:noProof/>
            <w:webHidden/>
          </w:rPr>
          <w:tab/>
        </w:r>
        <w:r w:rsidR="00D4102B">
          <w:rPr>
            <w:noProof/>
            <w:webHidden/>
          </w:rPr>
          <w:fldChar w:fldCharType="begin"/>
        </w:r>
        <w:r w:rsidR="00D4102B">
          <w:rPr>
            <w:noProof/>
            <w:webHidden/>
          </w:rPr>
          <w:instrText xml:space="preserve"> PAGEREF _Toc144104248 \h </w:instrText>
        </w:r>
        <w:r w:rsidR="00D4102B">
          <w:rPr>
            <w:noProof/>
            <w:webHidden/>
          </w:rPr>
        </w:r>
        <w:r w:rsidR="00D4102B">
          <w:rPr>
            <w:noProof/>
            <w:webHidden/>
          </w:rPr>
          <w:fldChar w:fldCharType="separate"/>
        </w:r>
        <w:r w:rsidR="001E1A67">
          <w:rPr>
            <w:noProof/>
            <w:webHidden/>
          </w:rPr>
          <w:t>23</w:t>
        </w:r>
        <w:r w:rsidR="00D4102B">
          <w:rPr>
            <w:noProof/>
            <w:webHidden/>
          </w:rPr>
          <w:fldChar w:fldCharType="end"/>
        </w:r>
      </w:hyperlink>
    </w:p>
    <w:p w14:paraId="76BEBC4F" w14:textId="466693B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49" w:history="1">
        <w:r w:rsidR="00D4102B" w:rsidRPr="00C211AD">
          <w:rPr>
            <w:rStyle w:val="Hypertextovodkaz"/>
            <w:noProof/>
          </w:rPr>
          <w:t>Tabulka 10: OS – vyřizování civilních věcí dle krajů</w:t>
        </w:r>
        <w:r w:rsidR="00D4102B">
          <w:rPr>
            <w:noProof/>
            <w:webHidden/>
          </w:rPr>
          <w:tab/>
        </w:r>
        <w:r w:rsidR="00D4102B">
          <w:rPr>
            <w:noProof/>
            <w:webHidden/>
          </w:rPr>
          <w:fldChar w:fldCharType="begin"/>
        </w:r>
        <w:r w:rsidR="00D4102B">
          <w:rPr>
            <w:noProof/>
            <w:webHidden/>
          </w:rPr>
          <w:instrText xml:space="preserve"> PAGEREF _Toc144104249 \h </w:instrText>
        </w:r>
        <w:r w:rsidR="00D4102B">
          <w:rPr>
            <w:noProof/>
            <w:webHidden/>
          </w:rPr>
        </w:r>
        <w:r w:rsidR="00D4102B">
          <w:rPr>
            <w:noProof/>
            <w:webHidden/>
          </w:rPr>
          <w:fldChar w:fldCharType="separate"/>
        </w:r>
        <w:r w:rsidR="001E1A67">
          <w:rPr>
            <w:noProof/>
            <w:webHidden/>
          </w:rPr>
          <w:t>28</w:t>
        </w:r>
        <w:r w:rsidR="00D4102B">
          <w:rPr>
            <w:noProof/>
            <w:webHidden/>
          </w:rPr>
          <w:fldChar w:fldCharType="end"/>
        </w:r>
      </w:hyperlink>
    </w:p>
    <w:p w14:paraId="0E4B18DD" w14:textId="0AFC142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0" w:history="1">
        <w:r w:rsidR="00D4102B" w:rsidRPr="00C211AD">
          <w:rPr>
            <w:rStyle w:val="Hypertextovodkaz"/>
            <w:noProof/>
          </w:rPr>
          <w:t>Tabulka 11: OS – vyřizování civilních věcí na skutečný úvazek dle krajů</w:t>
        </w:r>
        <w:r w:rsidR="00D4102B">
          <w:rPr>
            <w:noProof/>
            <w:webHidden/>
          </w:rPr>
          <w:tab/>
        </w:r>
        <w:r w:rsidR="00D4102B">
          <w:rPr>
            <w:noProof/>
            <w:webHidden/>
          </w:rPr>
          <w:fldChar w:fldCharType="begin"/>
        </w:r>
        <w:r w:rsidR="00D4102B">
          <w:rPr>
            <w:noProof/>
            <w:webHidden/>
          </w:rPr>
          <w:instrText xml:space="preserve"> PAGEREF _Toc144104250 \h </w:instrText>
        </w:r>
        <w:r w:rsidR="00D4102B">
          <w:rPr>
            <w:noProof/>
            <w:webHidden/>
          </w:rPr>
        </w:r>
        <w:r w:rsidR="00D4102B">
          <w:rPr>
            <w:noProof/>
            <w:webHidden/>
          </w:rPr>
          <w:fldChar w:fldCharType="separate"/>
        </w:r>
        <w:r w:rsidR="001E1A67">
          <w:rPr>
            <w:noProof/>
            <w:webHidden/>
          </w:rPr>
          <w:t>29</w:t>
        </w:r>
        <w:r w:rsidR="00D4102B">
          <w:rPr>
            <w:noProof/>
            <w:webHidden/>
          </w:rPr>
          <w:fldChar w:fldCharType="end"/>
        </w:r>
      </w:hyperlink>
    </w:p>
    <w:p w14:paraId="72059AFE" w14:textId="49084D5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1" w:history="1">
        <w:r w:rsidR="00D4102B" w:rsidRPr="00C211AD">
          <w:rPr>
            <w:rStyle w:val="Hypertextovodkaz"/>
            <w:noProof/>
          </w:rPr>
          <w:t>Tabulka 12: OS – srovnání evidenčního a skutečného počtu soudců</w:t>
        </w:r>
        <w:r w:rsidR="00D4102B">
          <w:rPr>
            <w:noProof/>
            <w:webHidden/>
          </w:rPr>
          <w:tab/>
        </w:r>
        <w:r w:rsidR="00D4102B">
          <w:rPr>
            <w:noProof/>
            <w:webHidden/>
          </w:rPr>
          <w:fldChar w:fldCharType="begin"/>
        </w:r>
        <w:r w:rsidR="00D4102B">
          <w:rPr>
            <w:noProof/>
            <w:webHidden/>
          </w:rPr>
          <w:instrText xml:space="preserve"> PAGEREF _Toc144104251 \h </w:instrText>
        </w:r>
        <w:r w:rsidR="00D4102B">
          <w:rPr>
            <w:noProof/>
            <w:webHidden/>
          </w:rPr>
        </w:r>
        <w:r w:rsidR="00D4102B">
          <w:rPr>
            <w:noProof/>
            <w:webHidden/>
          </w:rPr>
          <w:fldChar w:fldCharType="separate"/>
        </w:r>
        <w:r w:rsidR="001E1A67">
          <w:rPr>
            <w:noProof/>
            <w:webHidden/>
          </w:rPr>
          <w:t>30</w:t>
        </w:r>
        <w:r w:rsidR="00D4102B">
          <w:rPr>
            <w:noProof/>
            <w:webHidden/>
          </w:rPr>
          <w:fldChar w:fldCharType="end"/>
        </w:r>
      </w:hyperlink>
    </w:p>
    <w:p w14:paraId="5C17F1C4" w14:textId="2BBEEFE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2" w:history="1">
        <w:r w:rsidR="00D4102B" w:rsidRPr="00C211AD">
          <w:rPr>
            <w:rStyle w:val="Hypertextovodkaz"/>
            <w:noProof/>
          </w:rPr>
          <w:t>Tabulka 13: OS – disposition time v civilním řízení dle krajů</w:t>
        </w:r>
        <w:r w:rsidR="00D4102B">
          <w:rPr>
            <w:noProof/>
            <w:webHidden/>
          </w:rPr>
          <w:tab/>
        </w:r>
        <w:r w:rsidR="00D4102B">
          <w:rPr>
            <w:noProof/>
            <w:webHidden/>
          </w:rPr>
          <w:fldChar w:fldCharType="begin"/>
        </w:r>
        <w:r w:rsidR="00D4102B">
          <w:rPr>
            <w:noProof/>
            <w:webHidden/>
          </w:rPr>
          <w:instrText xml:space="preserve"> PAGEREF _Toc144104252 \h </w:instrText>
        </w:r>
        <w:r w:rsidR="00D4102B">
          <w:rPr>
            <w:noProof/>
            <w:webHidden/>
          </w:rPr>
        </w:r>
        <w:r w:rsidR="00D4102B">
          <w:rPr>
            <w:noProof/>
            <w:webHidden/>
          </w:rPr>
          <w:fldChar w:fldCharType="separate"/>
        </w:r>
        <w:r w:rsidR="001E1A67">
          <w:rPr>
            <w:noProof/>
            <w:webHidden/>
          </w:rPr>
          <w:t>32</w:t>
        </w:r>
        <w:r w:rsidR="00D4102B">
          <w:rPr>
            <w:noProof/>
            <w:webHidden/>
          </w:rPr>
          <w:fldChar w:fldCharType="end"/>
        </w:r>
      </w:hyperlink>
    </w:p>
    <w:p w14:paraId="1DA2D0D6" w14:textId="0E6D462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3" w:history="1">
        <w:r w:rsidR="00D4102B" w:rsidRPr="00C211AD">
          <w:rPr>
            <w:rStyle w:val="Hypertextovodkaz"/>
            <w:noProof/>
          </w:rPr>
          <w:t>Tabulka 14: OS – míra odvolání dle krajů v civilním řízení</w:t>
        </w:r>
        <w:r w:rsidR="00D4102B">
          <w:rPr>
            <w:noProof/>
            <w:webHidden/>
          </w:rPr>
          <w:tab/>
        </w:r>
        <w:r w:rsidR="00D4102B">
          <w:rPr>
            <w:noProof/>
            <w:webHidden/>
          </w:rPr>
          <w:fldChar w:fldCharType="begin"/>
        </w:r>
        <w:r w:rsidR="00D4102B">
          <w:rPr>
            <w:noProof/>
            <w:webHidden/>
          </w:rPr>
          <w:instrText xml:space="preserve"> PAGEREF _Toc144104253 \h </w:instrText>
        </w:r>
        <w:r w:rsidR="00D4102B">
          <w:rPr>
            <w:noProof/>
            <w:webHidden/>
          </w:rPr>
        </w:r>
        <w:r w:rsidR="00D4102B">
          <w:rPr>
            <w:noProof/>
            <w:webHidden/>
          </w:rPr>
          <w:fldChar w:fldCharType="separate"/>
        </w:r>
        <w:r w:rsidR="001E1A67">
          <w:rPr>
            <w:noProof/>
            <w:webHidden/>
          </w:rPr>
          <w:t>34</w:t>
        </w:r>
        <w:r w:rsidR="00D4102B">
          <w:rPr>
            <w:noProof/>
            <w:webHidden/>
          </w:rPr>
          <w:fldChar w:fldCharType="end"/>
        </w:r>
      </w:hyperlink>
    </w:p>
    <w:p w14:paraId="0A32530C" w14:textId="78BC8DD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4" w:history="1">
        <w:r w:rsidR="00D4102B" w:rsidRPr="00C211AD">
          <w:rPr>
            <w:rStyle w:val="Hypertextovodkaz"/>
            <w:noProof/>
          </w:rPr>
          <w:t>Tabulka 15: OS – míra změny rozsudku dle krajů v civilním řízení</w:t>
        </w:r>
        <w:r w:rsidR="00D4102B">
          <w:rPr>
            <w:noProof/>
            <w:webHidden/>
          </w:rPr>
          <w:tab/>
        </w:r>
        <w:r w:rsidR="00D4102B">
          <w:rPr>
            <w:noProof/>
            <w:webHidden/>
          </w:rPr>
          <w:fldChar w:fldCharType="begin"/>
        </w:r>
        <w:r w:rsidR="00D4102B">
          <w:rPr>
            <w:noProof/>
            <w:webHidden/>
          </w:rPr>
          <w:instrText xml:space="preserve"> PAGEREF _Toc144104254 \h </w:instrText>
        </w:r>
        <w:r w:rsidR="00D4102B">
          <w:rPr>
            <w:noProof/>
            <w:webHidden/>
          </w:rPr>
        </w:r>
        <w:r w:rsidR="00D4102B">
          <w:rPr>
            <w:noProof/>
            <w:webHidden/>
          </w:rPr>
          <w:fldChar w:fldCharType="separate"/>
        </w:r>
        <w:r w:rsidR="001E1A67">
          <w:rPr>
            <w:noProof/>
            <w:webHidden/>
          </w:rPr>
          <w:t>35</w:t>
        </w:r>
        <w:r w:rsidR="00D4102B">
          <w:rPr>
            <w:noProof/>
            <w:webHidden/>
          </w:rPr>
          <w:fldChar w:fldCharType="end"/>
        </w:r>
      </w:hyperlink>
    </w:p>
    <w:p w14:paraId="47A8BAC4" w14:textId="4D5999F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5" w:history="1">
        <w:r w:rsidR="00D4102B" w:rsidRPr="00C211AD">
          <w:rPr>
            <w:rStyle w:val="Hypertextovodkaz"/>
            <w:noProof/>
          </w:rPr>
          <w:t>Tabulka 16: OS – mediánová délka rozvodového řízení dle krajů</w:t>
        </w:r>
        <w:r w:rsidR="00D4102B">
          <w:rPr>
            <w:noProof/>
            <w:webHidden/>
          </w:rPr>
          <w:tab/>
        </w:r>
        <w:r w:rsidR="00D4102B">
          <w:rPr>
            <w:noProof/>
            <w:webHidden/>
          </w:rPr>
          <w:fldChar w:fldCharType="begin"/>
        </w:r>
        <w:r w:rsidR="00D4102B">
          <w:rPr>
            <w:noProof/>
            <w:webHidden/>
          </w:rPr>
          <w:instrText xml:space="preserve"> PAGEREF _Toc144104255 \h </w:instrText>
        </w:r>
        <w:r w:rsidR="00D4102B">
          <w:rPr>
            <w:noProof/>
            <w:webHidden/>
          </w:rPr>
        </w:r>
        <w:r w:rsidR="00D4102B">
          <w:rPr>
            <w:noProof/>
            <w:webHidden/>
          </w:rPr>
          <w:fldChar w:fldCharType="separate"/>
        </w:r>
        <w:r w:rsidR="001E1A67">
          <w:rPr>
            <w:noProof/>
            <w:webHidden/>
          </w:rPr>
          <w:t>37</w:t>
        </w:r>
        <w:r w:rsidR="00D4102B">
          <w:rPr>
            <w:noProof/>
            <w:webHidden/>
          </w:rPr>
          <w:fldChar w:fldCharType="end"/>
        </w:r>
      </w:hyperlink>
    </w:p>
    <w:p w14:paraId="2F11CF04" w14:textId="682BC17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6" w:history="1">
        <w:r w:rsidR="00D4102B" w:rsidRPr="00C211AD">
          <w:rPr>
            <w:rStyle w:val="Hypertextovodkaz"/>
            <w:noProof/>
          </w:rPr>
          <w:t>Tabulka 17: OS – „sporné“ × „nesporné“ rozvody</w:t>
        </w:r>
        <w:r w:rsidR="00D4102B">
          <w:rPr>
            <w:noProof/>
            <w:webHidden/>
          </w:rPr>
          <w:tab/>
        </w:r>
        <w:r w:rsidR="00D4102B">
          <w:rPr>
            <w:noProof/>
            <w:webHidden/>
          </w:rPr>
          <w:fldChar w:fldCharType="begin"/>
        </w:r>
        <w:r w:rsidR="00D4102B">
          <w:rPr>
            <w:noProof/>
            <w:webHidden/>
          </w:rPr>
          <w:instrText xml:space="preserve"> PAGEREF _Toc144104256 \h </w:instrText>
        </w:r>
        <w:r w:rsidR="00D4102B">
          <w:rPr>
            <w:noProof/>
            <w:webHidden/>
          </w:rPr>
        </w:r>
        <w:r w:rsidR="00D4102B">
          <w:rPr>
            <w:noProof/>
            <w:webHidden/>
          </w:rPr>
          <w:fldChar w:fldCharType="separate"/>
        </w:r>
        <w:r w:rsidR="001E1A67">
          <w:rPr>
            <w:noProof/>
            <w:webHidden/>
          </w:rPr>
          <w:t>37</w:t>
        </w:r>
        <w:r w:rsidR="00D4102B">
          <w:rPr>
            <w:noProof/>
            <w:webHidden/>
          </w:rPr>
          <w:fldChar w:fldCharType="end"/>
        </w:r>
      </w:hyperlink>
    </w:p>
    <w:p w14:paraId="593F8FD0" w14:textId="74A29A5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7" w:history="1">
        <w:r w:rsidR="00D4102B" w:rsidRPr="00C211AD">
          <w:rPr>
            <w:rStyle w:val="Hypertextovodkaz"/>
            <w:noProof/>
          </w:rPr>
          <w:t>Tabulka 18: OS – délky el. rozkazního civilního řízení dle krajů</w:t>
        </w:r>
        <w:r w:rsidR="00D4102B">
          <w:rPr>
            <w:noProof/>
            <w:webHidden/>
          </w:rPr>
          <w:tab/>
        </w:r>
        <w:r w:rsidR="00D4102B">
          <w:rPr>
            <w:noProof/>
            <w:webHidden/>
          </w:rPr>
          <w:fldChar w:fldCharType="begin"/>
        </w:r>
        <w:r w:rsidR="00D4102B">
          <w:rPr>
            <w:noProof/>
            <w:webHidden/>
          </w:rPr>
          <w:instrText xml:space="preserve"> PAGEREF _Toc144104257 \h </w:instrText>
        </w:r>
        <w:r w:rsidR="00D4102B">
          <w:rPr>
            <w:noProof/>
            <w:webHidden/>
          </w:rPr>
        </w:r>
        <w:r w:rsidR="00D4102B">
          <w:rPr>
            <w:noProof/>
            <w:webHidden/>
          </w:rPr>
          <w:fldChar w:fldCharType="separate"/>
        </w:r>
        <w:r w:rsidR="001E1A67">
          <w:rPr>
            <w:noProof/>
            <w:webHidden/>
          </w:rPr>
          <w:t>39</w:t>
        </w:r>
        <w:r w:rsidR="00D4102B">
          <w:rPr>
            <w:noProof/>
            <w:webHidden/>
          </w:rPr>
          <w:fldChar w:fldCharType="end"/>
        </w:r>
      </w:hyperlink>
    </w:p>
    <w:p w14:paraId="767D03B6" w14:textId="422F2DF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8" w:history="1">
        <w:r w:rsidR="00D4102B" w:rsidRPr="00C211AD">
          <w:rPr>
            <w:rStyle w:val="Hypertextovodkaz"/>
            <w:noProof/>
          </w:rPr>
          <w:t>Tabulka 19: OS – vyřizování věcí v rejstříku EPR dle krajů</w:t>
        </w:r>
        <w:r w:rsidR="00D4102B">
          <w:rPr>
            <w:noProof/>
            <w:webHidden/>
          </w:rPr>
          <w:tab/>
        </w:r>
        <w:r w:rsidR="00D4102B">
          <w:rPr>
            <w:noProof/>
            <w:webHidden/>
          </w:rPr>
          <w:fldChar w:fldCharType="begin"/>
        </w:r>
        <w:r w:rsidR="00D4102B">
          <w:rPr>
            <w:noProof/>
            <w:webHidden/>
          </w:rPr>
          <w:instrText xml:space="preserve"> PAGEREF _Toc144104258 \h </w:instrText>
        </w:r>
        <w:r w:rsidR="00D4102B">
          <w:rPr>
            <w:noProof/>
            <w:webHidden/>
          </w:rPr>
        </w:r>
        <w:r w:rsidR="00D4102B">
          <w:rPr>
            <w:noProof/>
            <w:webHidden/>
          </w:rPr>
          <w:fldChar w:fldCharType="separate"/>
        </w:r>
        <w:r w:rsidR="001E1A67">
          <w:rPr>
            <w:noProof/>
            <w:webHidden/>
          </w:rPr>
          <w:t>41</w:t>
        </w:r>
        <w:r w:rsidR="00D4102B">
          <w:rPr>
            <w:noProof/>
            <w:webHidden/>
          </w:rPr>
          <w:fldChar w:fldCharType="end"/>
        </w:r>
      </w:hyperlink>
    </w:p>
    <w:p w14:paraId="35046590" w14:textId="35283CC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59" w:history="1">
        <w:r w:rsidR="00D4102B" w:rsidRPr="00C211AD">
          <w:rPr>
            <w:rStyle w:val="Hypertextovodkaz"/>
            <w:noProof/>
          </w:rPr>
          <w:t>Tabulka 20: OS – převedeno z rejstříku EPR dle krajů</w:t>
        </w:r>
        <w:r w:rsidR="00D4102B">
          <w:rPr>
            <w:noProof/>
            <w:webHidden/>
          </w:rPr>
          <w:tab/>
        </w:r>
        <w:r w:rsidR="00D4102B">
          <w:rPr>
            <w:noProof/>
            <w:webHidden/>
          </w:rPr>
          <w:fldChar w:fldCharType="begin"/>
        </w:r>
        <w:r w:rsidR="00D4102B">
          <w:rPr>
            <w:noProof/>
            <w:webHidden/>
          </w:rPr>
          <w:instrText xml:space="preserve"> PAGEREF _Toc144104259 \h </w:instrText>
        </w:r>
        <w:r w:rsidR="00D4102B">
          <w:rPr>
            <w:noProof/>
            <w:webHidden/>
          </w:rPr>
        </w:r>
        <w:r w:rsidR="00D4102B">
          <w:rPr>
            <w:noProof/>
            <w:webHidden/>
          </w:rPr>
          <w:fldChar w:fldCharType="separate"/>
        </w:r>
        <w:r w:rsidR="001E1A67">
          <w:rPr>
            <w:noProof/>
            <w:webHidden/>
          </w:rPr>
          <w:t>42</w:t>
        </w:r>
        <w:r w:rsidR="00D4102B">
          <w:rPr>
            <w:noProof/>
            <w:webHidden/>
          </w:rPr>
          <w:fldChar w:fldCharType="end"/>
        </w:r>
      </w:hyperlink>
    </w:p>
    <w:p w14:paraId="04B91650" w14:textId="7A5E10D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0" w:history="1">
        <w:r w:rsidR="00D4102B" w:rsidRPr="00C211AD">
          <w:rPr>
            <w:rStyle w:val="Hypertextovodkaz"/>
            <w:noProof/>
          </w:rPr>
          <w:t>Tabulka 21: OS – délky trestního řízení dle krajů</w:t>
        </w:r>
        <w:r w:rsidR="00D4102B">
          <w:rPr>
            <w:noProof/>
            <w:webHidden/>
          </w:rPr>
          <w:tab/>
        </w:r>
        <w:r w:rsidR="00D4102B">
          <w:rPr>
            <w:noProof/>
            <w:webHidden/>
          </w:rPr>
          <w:fldChar w:fldCharType="begin"/>
        </w:r>
        <w:r w:rsidR="00D4102B">
          <w:rPr>
            <w:noProof/>
            <w:webHidden/>
          </w:rPr>
          <w:instrText xml:space="preserve"> PAGEREF _Toc144104260 \h </w:instrText>
        </w:r>
        <w:r w:rsidR="00D4102B">
          <w:rPr>
            <w:noProof/>
            <w:webHidden/>
          </w:rPr>
        </w:r>
        <w:r w:rsidR="00D4102B">
          <w:rPr>
            <w:noProof/>
            <w:webHidden/>
          </w:rPr>
          <w:fldChar w:fldCharType="separate"/>
        </w:r>
        <w:r w:rsidR="001E1A67">
          <w:rPr>
            <w:noProof/>
            <w:webHidden/>
          </w:rPr>
          <w:t>44</w:t>
        </w:r>
        <w:r w:rsidR="00D4102B">
          <w:rPr>
            <w:noProof/>
            <w:webHidden/>
          </w:rPr>
          <w:fldChar w:fldCharType="end"/>
        </w:r>
      </w:hyperlink>
    </w:p>
    <w:p w14:paraId="4B99BC1A" w14:textId="3807A67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1" w:history="1">
        <w:r w:rsidR="00D4102B" w:rsidRPr="00C211AD">
          <w:rPr>
            <w:rStyle w:val="Hypertextovodkaz"/>
            <w:noProof/>
          </w:rPr>
          <w:t>Tabulka 22: OS – vyřizování trestních věcí dle krajů</w:t>
        </w:r>
        <w:r w:rsidR="00D4102B">
          <w:rPr>
            <w:noProof/>
            <w:webHidden/>
          </w:rPr>
          <w:tab/>
        </w:r>
        <w:r w:rsidR="00D4102B">
          <w:rPr>
            <w:noProof/>
            <w:webHidden/>
          </w:rPr>
          <w:fldChar w:fldCharType="begin"/>
        </w:r>
        <w:r w:rsidR="00D4102B">
          <w:rPr>
            <w:noProof/>
            <w:webHidden/>
          </w:rPr>
          <w:instrText xml:space="preserve"> PAGEREF _Toc144104261 \h </w:instrText>
        </w:r>
        <w:r w:rsidR="00D4102B">
          <w:rPr>
            <w:noProof/>
            <w:webHidden/>
          </w:rPr>
        </w:r>
        <w:r w:rsidR="00D4102B">
          <w:rPr>
            <w:noProof/>
            <w:webHidden/>
          </w:rPr>
          <w:fldChar w:fldCharType="separate"/>
        </w:r>
        <w:r w:rsidR="001E1A67">
          <w:rPr>
            <w:noProof/>
            <w:webHidden/>
          </w:rPr>
          <w:t>48</w:t>
        </w:r>
        <w:r w:rsidR="00D4102B">
          <w:rPr>
            <w:noProof/>
            <w:webHidden/>
          </w:rPr>
          <w:fldChar w:fldCharType="end"/>
        </w:r>
      </w:hyperlink>
    </w:p>
    <w:p w14:paraId="63D1FE65" w14:textId="2ABA29A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2" w:history="1">
        <w:r w:rsidR="00D4102B" w:rsidRPr="00C211AD">
          <w:rPr>
            <w:rStyle w:val="Hypertextovodkaz"/>
            <w:noProof/>
          </w:rPr>
          <w:t>Tabulka 23: OS – vyřizování trestních věcí na skutečný úvazek dle krajů</w:t>
        </w:r>
        <w:r w:rsidR="00D4102B">
          <w:rPr>
            <w:noProof/>
            <w:webHidden/>
          </w:rPr>
          <w:tab/>
        </w:r>
        <w:r w:rsidR="00D4102B">
          <w:rPr>
            <w:noProof/>
            <w:webHidden/>
          </w:rPr>
          <w:fldChar w:fldCharType="begin"/>
        </w:r>
        <w:r w:rsidR="00D4102B">
          <w:rPr>
            <w:noProof/>
            <w:webHidden/>
          </w:rPr>
          <w:instrText xml:space="preserve"> PAGEREF _Toc144104262 \h </w:instrText>
        </w:r>
        <w:r w:rsidR="00D4102B">
          <w:rPr>
            <w:noProof/>
            <w:webHidden/>
          </w:rPr>
        </w:r>
        <w:r w:rsidR="00D4102B">
          <w:rPr>
            <w:noProof/>
            <w:webHidden/>
          </w:rPr>
          <w:fldChar w:fldCharType="separate"/>
        </w:r>
        <w:r w:rsidR="001E1A67">
          <w:rPr>
            <w:noProof/>
            <w:webHidden/>
          </w:rPr>
          <w:t>48</w:t>
        </w:r>
        <w:r w:rsidR="00D4102B">
          <w:rPr>
            <w:noProof/>
            <w:webHidden/>
          </w:rPr>
          <w:fldChar w:fldCharType="end"/>
        </w:r>
      </w:hyperlink>
    </w:p>
    <w:p w14:paraId="0A195770" w14:textId="3802A31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3" w:history="1">
        <w:r w:rsidR="00D4102B" w:rsidRPr="00C211AD">
          <w:rPr>
            <w:rStyle w:val="Hypertextovodkaz"/>
            <w:noProof/>
          </w:rPr>
          <w:t>Tabulka 24: OS – disposition time trestního řízení dle krajů</w:t>
        </w:r>
        <w:r w:rsidR="00D4102B">
          <w:rPr>
            <w:noProof/>
            <w:webHidden/>
          </w:rPr>
          <w:tab/>
        </w:r>
        <w:r w:rsidR="00D4102B">
          <w:rPr>
            <w:noProof/>
            <w:webHidden/>
          </w:rPr>
          <w:fldChar w:fldCharType="begin"/>
        </w:r>
        <w:r w:rsidR="00D4102B">
          <w:rPr>
            <w:noProof/>
            <w:webHidden/>
          </w:rPr>
          <w:instrText xml:space="preserve"> PAGEREF _Toc144104263 \h </w:instrText>
        </w:r>
        <w:r w:rsidR="00D4102B">
          <w:rPr>
            <w:noProof/>
            <w:webHidden/>
          </w:rPr>
        </w:r>
        <w:r w:rsidR="00D4102B">
          <w:rPr>
            <w:noProof/>
            <w:webHidden/>
          </w:rPr>
          <w:fldChar w:fldCharType="separate"/>
        </w:r>
        <w:r w:rsidR="001E1A67">
          <w:rPr>
            <w:noProof/>
            <w:webHidden/>
          </w:rPr>
          <w:t>50</w:t>
        </w:r>
        <w:r w:rsidR="00D4102B">
          <w:rPr>
            <w:noProof/>
            <w:webHidden/>
          </w:rPr>
          <w:fldChar w:fldCharType="end"/>
        </w:r>
      </w:hyperlink>
    </w:p>
    <w:p w14:paraId="093C2900" w14:textId="6CC3A9D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4" w:history="1">
        <w:r w:rsidR="00D4102B" w:rsidRPr="00C211AD">
          <w:rPr>
            <w:rStyle w:val="Hypertextovodkaz"/>
            <w:noProof/>
          </w:rPr>
          <w:t>Tabulka 25: OS – míra odvolání dle krajů v trestním řízení</w:t>
        </w:r>
        <w:r w:rsidR="00D4102B">
          <w:rPr>
            <w:noProof/>
            <w:webHidden/>
          </w:rPr>
          <w:tab/>
        </w:r>
        <w:r w:rsidR="00D4102B">
          <w:rPr>
            <w:noProof/>
            <w:webHidden/>
          </w:rPr>
          <w:fldChar w:fldCharType="begin"/>
        </w:r>
        <w:r w:rsidR="00D4102B">
          <w:rPr>
            <w:noProof/>
            <w:webHidden/>
          </w:rPr>
          <w:instrText xml:space="preserve"> PAGEREF _Toc144104264 \h </w:instrText>
        </w:r>
        <w:r w:rsidR="00D4102B">
          <w:rPr>
            <w:noProof/>
            <w:webHidden/>
          </w:rPr>
        </w:r>
        <w:r w:rsidR="00D4102B">
          <w:rPr>
            <w:noProof/>
            <w:webHidden/>
          </w:rPr>
          <w:fldChar w:fldCharType="separate"/>
        </w:r>
        <w:r w:rsidR="001E1A67">
          <w:rPr>
            <w:noProof/>
            <w:webHidden/>
          </w:rPr>
          <w:t>52</w:t>
        </w:r>
        <w:r w:rsidR="00D4102B">
          <w:rPr>
            <w:noProof/>
            <w:webHidden/>
          </w:rPr>
          <w:fldChar w:fldCharType="end"/>
        </w:r>
      </w:hyperlink>
    </w:p>
    <w:p w14:paraId="63FD9926" w14:textId="2B4D1D5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5" w:history="1">
        <w:r w:rsidR="00D4102B" w:rsidRPr="00C211AD">
          <w:rPr>
            <w:rStyle w:val="Hypertextovodkaz"/>
            <w:noProof/>
          </w:rPr>
          <w:t>Tabulka 26: OS – míra změny rozsudku dle krajů v trestním řízení</w:t>
        </w:r>
        <w:r w:rsidR="00D4102B">
          <w:rPr>
            <w:noProof/>
            <w:webHidden/>
          </w:rPr>
          <w:tab/>
        </w:r>
        <w:r w:rsidR="00D4102B">
          <w:rPr>
            <w:noProof/>
            <w:webHidden/>
          </w:rPr>
          <w:fldChar w:fldCharType="begin"/>
        </w:r>
        <w:r w:rsidR="00D4102B">
          <w:rPr>
            <w:noProof/>
            <w:webHidden/>
          </w:rPr>
          <w:instrText xml:space="preserve"> PAGEREF _Toc144104265 \h </w:instrText>
        </w:r>
        <w:r w:rsidR="00D4102B">
          <w:rPr>
            <w:noProof/>
            <w:webHidden/>
          </w:rPr>
        </w:r>
        <w:r w:rsidR="00D4102B">
          <w:rPr>
            <w:noProof/>
            <w:webHidden/>
          </w:rPr>
          <w:fldChar w:fldCharType="separate"/>
        </w:r>
        <w:r w:rsidR="001E1A67">
          <w:rPr>
            <w:noProof/>
            <w:webHidden/>
          </w:rPr>
          <w:t>53</w:t>
        </w:r>
        <w:r w:rsidR="00D4102B">
          <w:rPr>
            <w:noProof/>
            <w:webHidden/>
          </w:rPr>
          <w:fldChar w:fldCharType="end"/>
        </w:r>
      </w:hyperlink>
    </w:p>
    <w:p w14:paraId="12E930D5" w14:textId="024B0C07"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6" w:history="1">
        <w:r w:rsidR="00D4102B" w:rsidRPr="00C211AD">
          <w:rPr>
            <w:rStyle w:val="Hypertextovodkaz"/>
            <w:noProof/>
          </w:rPr>
          <w:t>Tabulka 27: OS – osoby pravomocně odsouzené za domácí násilí</w:t>
        </w:r>
        <w:r w:rsidR="00D4102B">
          <w:rPr>
            <w:noProof/>
            <w:webHidden/>
          </w:rPr>
          <w:tab/>
        </w:r>
        <w:r w:rsidR="00D4102B">
          <w:rPr>
            <w:noProof/>
            <w:webHidden/>
          </w:rPr>
          <w:fldChar w:fldCharType="begin"/>
        </w:r>
        <w:r w:rsidR="00D4102B">
          <w:rPr>
            <w:noProof/>
            <w:webHidden/>
          </w:rPr>
          <w:instrText xml:space="preserve"> PAGEREF _Toc144104266 \h </w:instrText>
        </w:r>
        <w:r w:rsidR="00D4102B">
          <w:rPr>
            <w:noProof/>
            <w:webHidden/>
          </w:rPr>
        </w:r>
        <w:r w:rsidR="00D4102B">
          <w:rPr>
            <w:noProof/>
            <w:webHidden/>
          </w:rPr>
          <w:fldChar w:fldCharType="separate"/>
        </w:r>
        <w:r w:rsidR="001E1A67">
          <w:rPr>
            <w:noProof/>
            <w:webHidden/>
          </w:rPr>
          <w:t>57</w:t>
        </w:r>
        <w:r w:rsidR="00D4102B">
          <w:rPr>
            <w:noProof/>
            <w:webHidden/>
          </w:rPr>
          <w:fldChar w:fldCharType="end"/>
        </w:r>
      </w:hyperlink>
    </w:p>
    <w:p w14:paraId="17030FAF" w14:textId="24010A3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7" w:history="1">
        <w:r w:rsidR="00D4102B" w:rsidRPr="00C211AD">
          <w:rPr>
            <w:rStyle w:val="Hypertextovodkaz"/>
            <w:noProof/>
          </w:rPr>
          <w:t>Tabulka 28: OS – oběti domácího násilí</w:t>
        </w:r>
        <w:r w:rsidR="00D4102B">
          <w:rPr>
            <w:noProof/>
            <w:webHidden/>
          </w:rPr>
          <w:tab/>
        </w:r>
        <w:r w:rsidR="00D4102B">
          <w:rPr>
            <w:noProof/>
            <w:webHidden/>
          </w:rPr>
          <w:fldChar w:fldCharType="begin"/>
        </w:r>
        <w:r w:rsidR="00D4102B">
          <w:rPr>
            <w:noProof/>
            <w:webHidden/>
          </w:rPr>
          <w:instrText xml:space="preserve"> PAGEREF _Toc144104267 \h </w:instrText>
        </w:r>
        <w:r w:rsidR="00D4102B">
          <w:rPr>
            <w:noProof/>
            <w:webHidden/>
          </w:rPr>
        </w:r>
        <w:r w:rsidR="00D4102B">
          <w:rPr>
            <w:noProof/>
            <w:webHidden/>
          </w:rPr>
          <w:fldChar w:fldCharType="separate"/>
        </w:r>
        <w:r w:rsidR="001E1A67">
          <w:rPr>
            <w:noProof/>
            <w:webHidden/>
          </w:rPr>
          <w:t>57</w:t>
        </w:r>
        <w:r w:rsidR="00D4102B">
          <w:rPr>
            <w:noProof/>
            <w:webHidden/>
          </w:rPr>
          <w:fldChar w:fldCharType="end"/>
        </w:r>
      </w:hyperlink>
    </w:p>
    <w:p w14:paraId="6B7D57CE" w14:textId="1B8AD63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8" w:history="1">
        <w:r w:rsidR="00D4102B" w:rsidRPr="00C211AD">
          <w:rPr>
            <w:rStyle w:val="Hypertextovodkaz"/>
            <w:noProof/>
          </w:rPr>
          <w:t>Tabulka 29: OS – TČ, za které je ukládáno NEPO</w:t>
        </w:r>
        <w:r w:rsidR="00D4102B">
          <w:rPr>
            <w:noProof/>
            <w:webHidden/>
          </w:rPr>
          <w:tab/>
        </w:r>
        <w:r w:rsidR="00D4102B">
          <w:rPr>
            <w:noProof/>
            <w:webHidden/>
          </w:rPr>
          <w:fldChar w:fldCharType="begin"/>
        </w:r>
        <w:r w:rsidR="00D4102B">
          <w:rPr>
            <w:noProof/>
            <w:webHidden/>
          </w:rPr>
          <w:instrText xml:space="preserve"> PAGEREF _Toc144104268 \h </w:instrText>
        </w:r>
        <w:r w:rsidR="00D4102B">
          <w:rPr>
            <w:noProof/>
            <w:webHidden/>
          </w:rPr>
        </w:r>
        <w:r w:rsidR="00D4102B">
          <w:rPr>
            <w:noProof/>
            <w:webHidden/>
          </w:rPr>
          <w:fldChar w:fldCharType="separate"/>
        </w:r>
        <w:r w:rsidR="001E1A67">
          <w:rPr>
            <w:noProof/>
            <w:webHidden/>
          </w:rPr>
          <w:t>58</w:t>
        </w:r>
        <w:r w:rsidR="00D4102B">
          <w:rPr>
            <w:noProof/>
            <w:webHidden/>
          </w:rPr>
          <w:fldChar w:fldCharType="end"/>
        </w:r>
      </w:hyperlink>
    </w:p>
    <w:p w14:paraId="429E729F" w14:textId="519DB0F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69" w:history="1">
        <w:r w:rsidR="00D4102B" w:rsidRPr="00C211AD">
          <w:rPr>
            <w:rStyle w:val="Hypertextovodkaz"/>
            <w:noProof/>
          </w:rPr>
          <w:t>Tabulka 30: OS – délky řízení v opatrovnické agendě dle krajů</w:t>
        </w:r>
        <w:r w:rsidR="00D4102B">
          <w:rPr>
            <w:noProof/>
            <w:webHidden/>
          </w:rPr>
          <w:tab/>
        </w:r>
        <w:r w:rsidR="00D4102B">
          <w:rPr>
            <w:noProof/>
            <w:webHidden/>
          </w:rPr>
          <w:fldChar w:fldCharType="begin"/>
        </w:r>
        <w:r w:rsidR="00D4102B">
          <w:rPr>
            <w:noProof/>
            <w:webHidden/>
          </w:rPr>
          <w:instrText xml:space="preserve"> PAGEREF _Toc144104269 \h </w:instrText>
        </w:r>
        <w:r w:rsidR="00D4102B">
          <w:rPr>
            <w:noProof/>
            <w:webHidden/>
          </w:rPr>
        </w:r>
        <w:r w:rsidR="00D4102B">
          <w:rPr>
            <w:noProof/>
            <w:webHidden/>
          </w:rPr>
          <w:fldChar w:fldCharType="separate"/>
        </w:r>
        <w:r w:rsidR="001E1A67">
          <w:rPr>
            <w:noProof/>
            <w:webHidden/>
          </w:rPr>
          <w:t>60</w:t>
        </w:r>
        <w:r w:rsidR="00D4102B">
          <w:rPr>
            <w:noProof/>
            <w:webHidden/>
          </w:rPr>
          <w:fldChar w:fldCharType="end"/>
        </w:r>
      </w:hyperlink>
    </w:p>
    <w:p w14:paraId="53A0101B" w14:textId="11E6E6A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0" w:history="1">
        <w:r w:rsidR="00D4102B" w:rsidRPr="00C211AD">
          <w:rPr>
            <w:rStyle w:val="Hypertextovodkaz"/>
            <w:noProof/>
          </w:rPr>
          <w:t>Tabulka 31: OS – vyřizování opatrovnických věcí dle krajů</w:t>
        </w:r>
        <w:r w:rsidR="00D4102B">
          <w:rPr>
            <w:noProof/>
            <w:webHidden/>
          </w:rPr>
          <w:tab/>
        </w:r>
        <w:r w:rsidR="00D4102B">
          <w:rPr>
            <w:noProof/>
            <w:webHidden/>
          </w:rPr>
          <w:fldChar w:fldCharType="begin"/>
        </w:r>
        <w:r w:rsidR="00D4102B">
          <w:rPr>
            <w:noProof/>
            <w:webHidden/>
          </w:rPr>
          <w:instrText xml:space="preserve"> PAGEREF _Toc144104270 \h </w:instrText>
        </w:r>
        <w:r w:rsidR="00D4102B">
          <w:rPr>
            <w:noProof/>
            <w:webHidden/>
          </w:rPr>
        </w:r>
        <w:r w:rsidR="00D4102B">
          <w:rPr>
            <w:noProof/>
            <w:webHidden/>
          </w:rPr>
          <w:fldChar w:fldCharType="separate"/>
        </w:r>
        <w:r w:rsidR="001E1A67">
          <w:rPr>
            <w:noProof/>
            <w:webHidden/>
          </w:rPr>
          <w:t>64</w:t>
        </w:r>
        <w:r w:rsidR="00D4102B">
          <w:rPr>
            <w:noProof/>
            <w:webHidden/>
          </w:rPr>
          <w:fldChar w:fldCharType="end"/>
        </w:r>
      </w:hyperlink>
    </w:p>
    <w:p w14:paraId="3E96CD8D" w14:textId="1EB55D5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1" w:history="1">
        <w:r w:rsidR="00D4102B" w:rsidRPr="00C211AD">
          <w:rPr>
            <w:rStyle w:val="Hypertextovodkaz"/>
            <w:noProof/>
          </w:rPr>
          <w:t>Tabulka 32: OS – vyřizování opatrovnických věcí na skutečný úvazek dle krajů</w:t>
        </w:r>
        <w:r w:rsidR="00D4102B">
          <w:rPr>
            <w:noProof/>
            <w:webHidden/>
          </w:rPr>
          <w:tab/>
        </w:r>
        <w:r w:rsidR="00D4102B">
          <w:rPr>
            <w:noProof/>
            <w:webHidden/>
          </w:rPr>
          <w:fldChar w:fldCharType="begin"/>
        </w:r>
        <w:r w:rsidR="00D4102B">
          <w:rPr>
            <w:noProof/>
            <w:webHidden/>
          </w:rPr>
          <w:instrText xml:space="preserve"> PAGEREF _Toc144104271 \h </w:instrText>
        </w:r>
        <w:r w:rsidR="00D4102B">
          <w:rPr>
            <w:noProof/>
            <w:webHidden/>
          </w:rPr>
        </w:r>
        <w:r w:rsidR="00D4102B">
          <w:rPr>
            <w:noProof/>
            <w:webHidden/>
          </w:rPr>
          <w:fldChar w:fldCharType="separate"/>
        </w:r>
        <w:r w:rsidR="001E1A67">
          <w:rPr>
            <w:noProof/>
            <w:webHidden/>
          </w:rPr>
          <w:t>65</w:t>
        </w:r>
        <w:r w:rsidR="00D4102B">
          <w:rPr>
            <w:noProof/>
            <w:webHidden/>
          </w:rPr>
          <w:fldChar w:fldCharType="end"/>
        </w:r>
      </w:hyperlink>
    </w:p>
    <w:p w14:paraId="3A5869B9" w14:textId="3975B94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2" w:history="1">
        <w:r w:rsidR="00D4102B" w:rsidRPr="00C211AD">
          <w:rPr>
            <w:rStyle w:val="Hypertextovodkaz"/>
            <w:noProof/>
          </w:rPr>
          <w:t>Tabulka 33: OS – disposition time v opatrovnické agendě dle krajů</w:t>
        </w:r>
        <w:r w:rsidR="00D4102B">
          <w:rPr>
            <w:noProof/>
            <w:webHidden/>
          </w:rPr>
          <w:tab/>
        </w:r>
        <w:r w:rsidR="00D4102B">
          <w:rPr>
            <w:noProof/>
            <w:webHidden/>
          </w:rPr>
          <w:fldChar w:fldCharType="begin"/>
        </w:r>
        <w:r w:rsidR="00D4102B">
          <w:rPr>
            <w:noProof/>
            <w:webHidden/>
          </w:rPr>
          <w:instrText xml:space="preserve"> PAGEREF _Toc144104272 \h </w:instrText>
        </w:r>
        <w:r w:rsidR="00D4102B">
          <w:rPr>
            <w:noProof/>
            <w:webHidden/>
          </w:rPr>
        </w:r>
        <w:r w:rsidR="00D4102B">
          <w:rPr>
            <w:noProof/>
            <w:webHidden/>
          </w:rPr>
          <w:fldChar w:fldCharType="separate"/>
        </w:r>
        <w:r w:rsidR="001E1A67">
          <w:rPr>
            <w:noProof/>
            <w:webHidden/>
          </w:rPr>
          <w:t>67</w:t>
        </w:r>
        <w:r w:rsidR="00D4102B">
          <w:rPr>
            <w:noProof/>
            <w:webHidden/>
          </w:rPr>
          <w:fldChar w:fldCharType="end"/>
        </w:r>
      </w:hyperlink>
    </w:p>
    <w:p w14:paraId="6CDCAD54" w14:textId="1AA9EFB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3" w:history="1">
        <w:r w:rsidR="00D4102B" w:rsidRPr="00C211AD">
          <w:rPr>
            <w:rStyle w:val="Hypertextovodkaz"/>
            <w:noProof/>
          </w:rPr>
          <w:t>Tabulka 34: OS – míra odvolání dle krajů v opatrovnickém řízení</w:t>
        </w:r>
        <w:r w:rsidR="00D4102B">
          <w:rPr>
            <w:noProof/>
            <w:webHidden/>
          </w:rPr>
          <w:tab/>
        </w:r>
        <w:r w:rsidR="00D4102B">
          <w:rPr>
            <w:noProof/>
            <w:webHidden/>
          </w:rPr>
          <w:fldChar w:fldCharType="begin"/>
        </w:r>
        <w:r w:rsidR="00D4102B">
          <w:rPr>
            <w:noProof/>
            <w:webHidden/>
          </w:rPr>
          <w:instrText xml:space="preserve"> PAGEREF _Toc144104273 \h </w:instrText>
        </w:r>
        <w:r w:rsidR="00D4102B">
          <w:rPr>
            <w:noProof/>
            <w:webHidden/>
          </w:rPr>
        </w:r>
        <w:r w:rsidR="00D4102B">
          <w:rPr>
            <w:noProof/>
            <w:webHidden/>
          </w:rPr>
          <w:fldChar w:fldCharType="separate"/>
        </w:r>
        <w:r w:rsidR="001E1A67">
          <w:rPr>
            <w:noProof/>
            <w:webHidden/>
          </w:rPr>
          <w:t>69</w:t>
        </w:r>
        <w:r w:rsidR="00D4102B">
          <w:rPr>
            <w:noProof/>
            <w:webHidden/>
          </w:rPr>
          <w:fldChar w:fldCharType="end"/>
        </w:r>
      </w:hyperlink>
    </w:p>
    <w:p w14:paraId="68F26886" w14:textId="03E4DBC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4" w:history="1">
        <w:r w:rsidR="00D4102B" w:rsidRPr="00C211AD">
          <w:rPr>
            <w:rStyle w:val="Hypertextovodkaz"/>
            <w:noProof/>
          </w:rPr>
          <w:t>Tabulka 35: OS – míra změny rozsudku dle krajů v opatrovnickém řízení</w:t>
        </w:r>
        <w:r w:rsidR="00D4102B">
          <w:rPr>
            <w:noProof/>
            <w:webHidden/>
          </w:rPr>
          <w:tab/>
        </w:r>
        <w:r w:rsidR="00D4102B">
          <w:rPr>
            <w:noProof/>
            <w:webHidden/>
          </w:rPr>
          <w:fldChar w:fldCharType="begin"/>
        </w:r>
        <w:r w:rsidR="00D4102B">
          <w:rPr>
            <w:noProof/>
            <w:webHidden/>
          </w:rPr>
          <w:instrText xml:space="preserve"> PAGEREF _Toc144104274 \h </w:instrText>
        </w:r>
        <w:r w:rsidR="00D4102B">
          <w:rPr>
            <w:noProof/>
            <w:webHidden/>
          </w:rPr>
        </w:r>
        <w:r w:rsidR="00D4102B">
          <w:rPr>
            <w:noProof/>
            <w:webHidden/>
          </w:rPr>
          <w:fldChar w:fldCharType="separate"/>
        </w:r>
        <w:r w:rsidR="001E1A67">
          <w:rPr>
            <w:noProof/>
            <w:webHidden/>
          </w:rPr>
          <w:t>70</w:t>
        </w:r>
        <w:r w:rsidR="00D4102B">
          <w:rPr>
            <w:noProof/>
            <w:webHidden/>
          </w:rPr>
          <w:fldChar w:fldCharType="end"/>
        </w:r>
      </w:hyperlink>
    </w:p>
    <w:p w14:paraId="36A0C402" w14:textId="1576AC44"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5" w:history="1">
        <w:r w:rsidR="00D4102B" w:rsidRPr="00C211AD">
          <w:rPr>
            <w:rStyle w:val="Hypertextovodkaz"/>
            <w:noProof/>
          </w:rPr>
          <w:t>Tabulka 36: OS – nařizování 1. setkání s mediátorem v opatrovnické agendě</w:t>
        </w:r>
        <w:r w:rsidR="00D4102B">
          <w:rPr>
            <w:noProof/>
            <w:webHidden/>
          </w:rPr>
          <w:tab/>
        </w:r>
        <w:r w:rsidR="00D4102B">
          <w:rPr>
            <w:noProof/>
            <w:webHidden/>
          </w:rPr>
          <w:fldChar w:fldCharType="begin"/>
        </w:r>
        <w:r w:rsidR="00D4102B">
          <w:rPr>
            <w:noProof/>
            <w:webHidden/>
          </w:rPr>
          <w:instrText xml:space="preserve"> PAGEREF _Toc144104275 \h </w:instrText>
        </w:r>
        <w:r w:rsidR="00D4102B">
          <w:rPr>
            <w:noProof/>
            <w:webHidden/>
          </w:rPr>
        </w:r>
        <w:r w:rsidR="00D4102B">
          <w:rPr>
            <w:noProof/>
            <w:webHidden/>
          </w:rPr>
          <w:fldChar w:fldCharType="separate"/>
        </w:r>
        <w:r w:rsidR="001E1A67">
          <w:rPr>
            <w:noProof/>
            <w:webHidden/>
          </w:rPr>
          <w:t>74</w:t>
        </w:r>
        <w:r w:rsidR="00D4102B">
          <w:rPr>
            <w:noProof/>
            <w:webHidden/>
          </w:rPr>
          <w:fldChar w:fldCharType="end"/>
        </w:r>
      </w:hyperlink>
    </w:p>
    <w:p w14:paraId="508C46B5" w14:textId="22FE1B0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6" w:history="1">
        <w:r w:rsidR="00D4102B" w:rsidRPr="00C211AD">
          <w:rPr>
            <w:rStyle w:val="Hypertextovodkaz"/>
            <w:noProof/>
          </w:rPr>
          <w:t>Tabulka 37: OS – jiné soudní roky v opatrovnické agendě</w:t>
        </w:r>
        <w:r w:rsidR="00D4102B">
          <w:rPr>
            <w:noProof/>
            <w:webHidden/>
          </w:rPr>
          <w:tab/>
        </w:r>
        <w:r w:rsidR="00D4102B">
          <w:rPr>
            <w:noProof/>
            <w:webHidden/>
          </w:rPr>
          <w:fldChar w:fldCharType="begin"/>
        </w:r>
        <w:r w:rsidR="00D4102B">
          <w:rPr>
            <w:noProof/>
            <w:webHidden/>
          </w:rPr>
          <w:instrText xml:space="preserve"> PAGEREF _Toc144104276 \h </w:instrText>
        </w:r>
        <w:r w:rsidR="00D4102B">
          <w:rPr>
            <w:noProof/>
            <w:webHidden/>
          </w:rPr>
        </w:r>
        <w:r w:rsidR="00D4102B">
          <w:rPr>
            <w:noProof/>
            <w:webHidden/>
          </w:rPr>
          <w:fldChar w:fldCharType="separate"/>
        </w:r>
        <w:r w:rsidR="001E1A67">
          <w:rPr>
            <w:noProof/>
            <w:webHidden/>
          </w:rPr>
          <w:t>74</w:t>
        </w:r>
        <w:r w:rsidR="00D4102B">
          <w:rPr>
            <w:noProof/>
            <w:webHidden/>
          </w:rPr>
          <w:fldChar w:fldCharType="end"/>
        </w:r>
      </w:hyperlink>
    </w:p>
    <w:p w14:paraId="3081809F" w14:textId="4828C53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7" w:history="1">
        <w:r w:rsidR="00D4102B" w:rsidRPr="00C211AD">
          <w:rPr>
            <w:rStyle w:val="Hypertextovodkaz"/>
            <w:noProof/>
          </w:rPr>
          <w:t>Tabulka 38: KS – počet soudců dle soudů</w:t>
        </w:r>
        <w:r w:rsidR="00D4102B">
          <w:rPr>
            <w:noProof/>
            <w:webHidden/>
          </w:rPr>
          <w:tab/>
        </w:r>
        <w:r w:rsidR="00D4102B">
          <w:rPr>
            <w:noProof/>
            <w:webHidden/>
          </w:rPr>
          <w:fldChar w:fldCharType="begin"/>
        </w:r>
        <w:r w:rsidR="00D4102B">
          <w:rPr>
            <w:noProof/>
            <w:webHidden/>
          </w:rPr>
          <w:instrText xml:space="preserve"> PAGEREF _Toc144104277 \h </w:instrText>
        </w:r>
        <w:r w:rsidR="00D4102B">
          <w:rPr>
            <w:noProof/>
            <w:webHidden/>
          </w:rPr>
        </w:r>
        <w:r w:rsidR="00D4102B">
          <w:rPr>
            <w:noProof/>
            <w:webHidden/>
          </w:rPr>
          <w:fldChar w:fldCharType="separate"/>
        </w:r>
        <w:r w:rsidR="001E1A67">
          <w:rPr>
            <w:noProof/>
            <w:webHidden/>
          </w:rPr>
          <w:t>78</w:t>
        </w:r>
        <w:r w:rsidR="00D4102B">
          <w:rPr>
            <w:noProof/>
            <w:webHidden/>
          </w:rPr>
          <w:fldChar w:fldCharType="end"/>
        </w:r>
      </w:hyperlink>
    </w:p>
    <w:p w14:paraId="733018B1" w14:textId="38585EF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8" w:history="1">
        <w:r w:rsidR="00D4102B" w:rsidRPr="00C211AD">
          <w:rPr>
            <w:rStyle w:val="Hypertextovodkaz"/>
            <w:noProof/>
          </w:rPr>
          <w:t>Tabulka 39: KS – evidenční počet soudců dle pohlaví a soudů</w:t>
        </w:r>
        <w:r w:rsidR="00D4102B">
          <w:rPr>
            <w:noProof/>
            <w:webHidden/>
          </w:rPr>
          <w:tab/>
        </w:r>
        <w:r w:rsidR="00D4102B">
          <w:rPr>
            <w:noProof/>
            <w:webHidden/>
          </w:rPr>
          <w:fldChar w:fldCharType="begin"/>
        </w:r>
        <w:r w:rsidR="00D4102B">
          <w:rPr>
            <w:noProof/>
            <w:webHidden/>
          </w:rPr>
          <w:instrText xml:space="preserve"> PAGEREF _Toc144104278 \h </w:instrText>
        </w:r>
        <w:r w:rsidR="00D4102B">
          <w:rPr>
            <w:noProof/>
            <w:webHidden/>
          </w:rPr>
        </w:r>
        <w:r w:rsidR="00D4102B">
          <w:rPr>
            <w:noProof/>
            <w:webHidden/>
          </w:rPr>
          <w:fldChar w:fldCharType="separate"/>
        </w:r>
        <w:r w:rsidR="001E1A67">
          <w:rPr>
            <w:noProof/>
            <w:webHidden/>
          </w:rPr>
          <w:t>79</w:t>
        </w:r>
        <w:r w:rsidR="00D4102B">
          <w:rPr>
            <w:noProof/>
            <w:webHidden/>
          </w:rPr>
          <w:fldChar w:fldCharType="end"/>
        </w:r>
      </w:hyperlink>
    </w:p>
    <w:p w14:paraId="173042B4" w14:textId="76C8F1F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79" w:history="1">
        <w:r w:rsidR="00D4102B" w:rsidRPr="00C211AD">
          <w:rPr>
            <w:rStyle w:val="Hypertextovodkaz"/>
            <w:noProof/>
          </w:rPr>
          <w:t>Tabulka 40: KS – věková struktura soudců dle krajů</w:t>
        </w:r>
        <w:r w:rsidR="00D4102B">
          <w:rPr>
            <w:noProof/>
            <w:webHidden/>
          </w:rPr>
          <w:tab/>
        </w:r>
        <w:r w:rsidR="00D4102B">
          <w:rPr>
            <w:noProof/>
            <w:webHidden/>
          </w:rPr>
          <w:fldChar w:fldCharType="begin"/>
        </w:r>
        <w:r w:rsidR="00D4102B">
          <w:rPr>
            <w:noProof/>
            <w:webHidden/>
          </w:rPr>
          <w:instrText xml:space="preserve"> PAGEREF _Toc144104279 \h </w:instrText>
        </w:r>
        <w:r w:rsidR="00D4102B">
          <w:rPr>
            <w:noProof/>
            <w:webHidden/>
          </w:rPr>
        </w:r>
        <w:r w:rsidR="00D4102B">
          <w:rPr>
            <w:noProof/>
            <w:webHidden/>
          </w:rPr>
          <w:fldChar w:fldCharType="separate"/>
        </w:r>
        <w:r w:rsidR="001E1A67">
          <w:rPr>
            <w:noProof/>
            <w:webHidden/>
          </w:rPr>
          <w:t>80</w:t>
        </w:r>
        <w:r w:rsidR="00D4102B">
          <w:rPr>
            <w:noProof/>
            <w:webHidden/>
          </w:rPr>
          <w:fldChar w:fldCharType="end"/>
        </w:r>
      </w:hyperlink>
    </w:p>
    <w:p w14:paraId="317BA55E" w14:textId="3648DA1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0" w:history="1">
        <w:r w:rsidR="00D4102B" w:rsidRPr="00C211AD">
          <w:rPr>
            <w:rStyle w:val="Hypertextovodkaz"/>
            <w:noProof/>
          </w:rPr>
          <w:t>Tabulka 41: KS – srovnání evidenčního a plánovaného počtu soudců za 7 let</w:t>
        </w:r>
        <w:r w:rsidR="00D4102B">
          <w:rPr>
            <w:noProof/>
            <w:webHidden/>
          </w:rPr>
          <w:tab/>
        </w:r>
        <w:r w:rsidR="00D4102B">
          <w:rPr>
            <w:noProof/>
            <w:webHidden/>
          </w:rPr>
          <w:fldChar w:fldCharType="begin"/>
        </w:r>
        <w:r w:rsidR="00D4102B">
          <w:rPr>
            <w:noProof/>
            <w:webHidden/>
          </w:rPr>
          <w:instrText xml:space="preserve"> PAGEREF _Toc144104280 \h </w:instrText>
        </w:r>
        <w:r w:rsidR="00D4102B">
          <w:rPr>
            <w:noProof/>
            <w:webHidden/>
          </w:rPr>
        </w:r>
        <w:r w:rsidR="00D4102B">
          <w:rPr>
            <w:noProof/>
            <w:webHidden/>
          </w:rPr>
          <w:fldChar w:fldCharType="separate"/>
        </w:r>
        <w:r w:rsidR="001E1A67">
          <w:rPr>
            <w:noProof/>
            <w:webHidden/>
          </w:rPr>
          <w:t>81</w:t>
        </w:r>
        <w:r w:rsidR="00D4102B">
          <w:rPr>
            <w:noProof/>
            <w:webHidden/>
          </w:rPr>
          <w:fldChar w:fldCharType="end"/>
        </w:r>
      </w:hyperlink>
    </w:p>
    <w:p w14:paraId="6F83E6E7" w14:textId="73CA3E77"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1" w:history="1">
        <w:r w:rsidR="00D4102B" w:rsidRPr="00C211AD">
          <w:rPr>
            <w:rStyle w:val="Hypertextovodkaz"/>
            <w:noProof/>
          </w:rPr>
          <w:t>Tabulka 42: KS – evidenční počet zaměstnanců ve výkonu dle soudů</w:t>
        </w:r>
        <w:r w:rsidR="00D4102B">
          <w:rPr>
            <w:noProof/>
            <w:webHidden/>
          </w:rPr>
          <w:tab/>
        </w:r>
        <w:r w:rsidR="00D4102B">
          <w:rPr>
            <w:noProof/>
            <w:webHidden/>
          </w:rPr>
          <w:fldChar w:fldCharType="begin"/>
        </w:r>
        <w:r w:rsidR="00D4102B">
          <w:rPr>
            <w:noProof/>
            <w:webHidden/>
          </w:rPr>
          <w:instrText xml:space="preserve"> PAGEREF _Toc144104281 \h </w:instrText>
        </w:r>
        <w:r w:rsidR="00D4102B">
          <w:rPr>
            <w:noProof/>
            <w:webHidden/>
          </w:rPr>
        </w:r>
        <w:r w:rsidR="00D4102B">
          <w:rPr>
            <w:noProof/>
            <w:webHidden/>
          </w:rPr>
          <w:fldChar w:fldCharType="separate"/>
        </w:r>
        <w:r w:rsidR="001E1A67">
          <w:rPr>
            <w:noProof/>
            <w:webHidden/>
          </w:rPr>
          <w:t>82</w:t>
        </w:r>
        <w:r w:rsidR="00D4102B">
          <w:rPr>
            <w:noProof/>
            <w:webHidden/>
          </w:rPr>
          <w:fldChar w:fldCharType="end"/>
        </w:r>
      </w:hyperlink>
    </w:p>
    <w:p w14:paraId="323E315E" w14:textId="0390EDB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2" w:history="1">
        <w:r w:rsidR="00D4102B" w:rsidRPr="00C211AD">
          <w:rPr>
            <w:rStyle w:val="Hypertextovodkaz"/>
            <w:noProof/>
          </w:rPr>
          <w:t>Tabulka 43: KS – počet přísedících dle soudů a pohlaví</w:t>
        </w:r>
        <w:r w:rsidR="00D4102B">
          <w:rPr>
            <w:noProof/>
            <w:webHidden/>
          </w:rPr>
          <w:tab/>
        </w:r>
        <w:r w:rsidR="00D4102B">
          <w:rPr>
            <w:noProof/>
            <w:webHidden/>
          </w:rPr>
          <w:fldChar w:fldCharType="begin"/>
        </w:r>
        <w:r w:rsidR="00D4102B">
          <w:rPr>
            <w:noProof/>
            <w:webHidden/>
          </w:rPr>
          <w:instrText xml:space="preserve"> PAGEREF _Toc144104282 \h </w:instrText>
        </w:r>
        <w:r w:rsidR="00D4102B">
          <w:rPr>
            <w:noProof/>
            <w:webHidden/>
          </w:rPr>
        </w:r>
        <w:r w:rsidR="00D4102B">
          <w:rPr>
            <w:noProof/>
            <w:webHidden/>
          </w:rPr>
          <w:fldChar w:fldCharType="separate"/>
        </w:r>
        <w:r w:rsidR="001E1A67">
          <w:rPr>
            <w:noProof/>
            <w:webHidden/>
          </w:rPr>
          <w:t>83</w:t>
        </w:r>
        <w:r w:rsidR="00D4102B">
          <w:rPr>
            <w:noProof/>
            <w:webHidden/>
          </w:rPr>
          <w:fldChar w:fldCharType="end"/>
        </w:r>
      </w:hyperlink>
    </w:p>
    <w:p w14:paraId="16F8A9F5" w14:textId="2853BBF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3" w:history="1">
        <w:r w:rsidR="00D4102B" w:rsidRPr="00C211AD">
          <w:rPr>
            <w:rStyle w:val="Hypertextovodkaz"/>
            <w:noProof/>
          </w:rPr>
          <w:t>Tabulka 44: KS – počet přísedících dle soudů a věků</w:t>
        </w:r>
        <w:r w:rsidR="00D4102B">
          <w:rPr>
            <w:noProof/>
            <w:webHidden/>
          </w:rPr>
          <w:tab/>
        </w:r>
        <w:r w:rsidR="00D4102B">
          <w:rPr>
            <w:noProof/>
            <w:webHidden/>
          </w:rPr>
          <w:fldChar w:fldCharType="begin"/>
        </w:r>
        <w:r w:rsidR="00D4102B">
          <w:rPr>
            <w:noProof/>
            <w:webHidden/>
          </w:rPr>
          <w:instrText xml:space="preserve"> PAGEREF _Toc144104283 \h </w:instrText>
        </w:r>
        <w:r w:rsidR="00D4102B">
          <w:rPr>
            <w:noProof/>
            <w:webHidden/>
          </w:rPr>
        </w:r>
        <w:r w:rsidR="00D4102B">
          <w:rPr>
            <w:noProof/>
            <w:webHidden/>
          </w:rPr>
          <w:fldChar w:fldCharType="separate"/>
        </w:r>
        <w:r w:rsidR="001E1A67">
          <w:rPr>
            <w:noProof/>
            <w:webHidden/>
          </w:rPr>
          <w:t>83</w:t>
        </w:r>
        <w:r w:rsidR="00D4102B">
          <w:rPr>
            <w:noProof/>
            <w:webHidden/>
          </w:rPr>
          <w:fldChar w:fldCharType="end"/>
        </w:r>
      </w:hyperlink>
    </w:p>
    <w:p w14:paraId="5C9CE86E" w14:textId="3C0F6D8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4" w:history="1">
        <w:r w:rsidR="00D4102B" w:rsidRPr="00C211AD">
          <w:rPr>
            <w:rStyle w:val="Hypertextovodkaz"/>
            <w:noProof/>
          </w:rPr>
          <w:t>Tabulka 45: KS – délky prvostupňového civilního řízení dle soudů</w:t>
        </w:r>
        <w:r w:rsidR="00D4102B">
          <w:rPr>
            <w:noProof/>
            <w:webHidden/>
          </w:rPr>
          <w:tab/>
        </w:r>
        <w:r w:rsidR="00D4102B">
          <w:rPr>
            <w:noProof/>
            <w:webHidden/>
          </w:rPr>
          <w:fldChar w:fldCharType="begin"/>
        </w:r>
        <w:r w:rsidR="00D4102B">
          <w:rPr>
            <w:noProof/>
            <w:webHidden/>
          </w:rPr>
          <w:instrText xml:space="preserve"> PAGEREF _Toc144104284 \h </w:instrText>
        </w:r>
        <w:r w:rsidR="00D4102B">
          <w:rPr>
            <w:noProof/>
            <w:webHidden/>
          </w:rPr>
        </w:r>
        <w:r w:rsidR="00D4102B">
          <w:rPr>
            <w:noProof/>
            <w:webHidden/>
          </w:rPr>
          <w:fldChar w:fldCharType="separate"/>
        </w:r>
        <w:r w:rsidR="001E1A67">
          <w:rPr>
            <w:noProof/>
            <w:webHidden/>
          </w:rPr>
          <w:t>86</w:t>
        </w:r>
        <w:r w:rsidR="00D4102B">
          <w:rPr>
            <w:noProof/>
            <w:webHidden/>
          </w:rPr>
          <w:fldChar w:fldCharType="end"/>
        </w:r>
      </w:hyperlink>
    </w:p>
    <w:p w14:paraId="0A8DA84B" w14:textId="4440DDE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5" w:history="1">
        <w:r w:rsidR="00D4102B" w:rsidRPr="00C211AD">
          <w:rPr>
            <w:rStyle w:val="Hypertextovodkaz"/>
            <w:noProof/>
          </w:rPr>
          <w:t>Tabulka 46: KS – vyřizování prvostupňových civilních věcí dle soudů</w:t>
        </w:r>
        <w:r w:rsidR="00D4102B">
          <w:rPr>
            <w:noProof/>
            <w:webHidden/>
          </w:rPr>
          <w:tab/>
        </w:r>
        <w:r w:rsidR="00D4102B">
          <w:rPr>
            <w:noProof/>
            <w:webHidden/>
          </w:rPr>
          <w:fldChar w:fldCharType="begin"/>
        </w:r>
        <w:r w:rsidR="00D4102B">
          <w:rPr>
            <w:noProof/>
            <w:webHidden/>
          </w:rPr>
          <w:instrText xml:space="preserve"> PAGEREF _Toc144104285 \h </w:instrText>
        </w:r>
        <w:r w:rsidR="00D4102B">
          <w:rPr>
            <w:noProof/>
            <w:webHidden/>
          </w:rPr>
        </w:r>
        <w:r w:rsidR="00D4102B">
          <w:rPr>
            <w:noProof/>
            <w:webHidden/>
          </w:rPr>
          <w:fldChar w:fldCharType="separate"/>
        </w:r>
        <w:r w:rsidR="001E1A67">
          <w:rPr>
            <w:noProof/>
            <w:webHidden/>
          </w:rPr>
          <w:t>89</w:t>
        </w:r>
        <w:r w:rsidR="00D4102B">
          <w:rPr>
            <w:noProof/>
            <w:webHidden/>
          </w:rPr>
          <w:fldChar w:fldCharType="end"/>
        </w:r>
      </w:hyperlink>
    </w:p>
    <w:p w14:paraId="777E0109" w14:textId="5775966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6" w:history="1">
        <w:r w:rsidR="00D4102B" w:rsidRPr="00C211AD">
          <w:rPr>
            <w:rStyle w:val="Hypertextovodkaz"/>
            <w:noProof/>
          </w:rPr>
          <w:t>Tabulka 47: KS – vyřiz. prvostupň. civil. věcí na skutečný úvazek dle soudů</w:t>
        </w:r>
        <w:r w:rsidR="00D4102B">
          <w:rPr>
            <w:noProof/>
            <w:webHidden/>
          </w:rPr>
          <w:tab/>
        </w:r>
        <w:r w:rsidR="00D4102B">
          <w:rPr>
            <w:noProof/>
            <w:webHidden/>
          </w:rPr>
          <w:fldChar w:fldCharType="begin"/>
        </w:r>
        <w:r w:rsidR="00D4102B">
          <w:rPr>
            <w:noProof/>
            <w:webHidden/>
          </w:rPr>
          <w:instrText xml:space="preserve"> PAGEREF _Toc144104286 \h </w:instrText>
        </w:r>
        <w:r w:rsidR="00D4102B">
          <w:rPr>
            <w:noProof/>
            <w:webHidden/>
          </w:rPr>
        </w:r>
        <w:r w:rsidR="00D4102B">
          <w:rPr>
            <w:noProof/>
            <w:webHidden/>
          </w:rPr>
          <w:fldChar w:fldCharType="separate"/>
        </w:r>
        <w:r w:rsidR="001E1A67">
          <w:rPr>
            <w:noProof/>
            <w:webHidden/>
          </w:rPr>
          <w:t>89</w:t>
        </w:r>
        <w:r w:rsidR="00D4102B">
          <w:rPr>
            <w:noProof/>
            <w:webHidden/>
          </w:rPr>
          <w:fldChar w:fldCharType="end"/>
        </w:r>
      </w:hyperlink>
    </w:p>
    <w:p w14:paraId="37FAB486" w14:textId="20493A1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7" w:history="1">
        <w:r w:rsidR="00D4102B" w:rsidRPr="00C211AD">
          <w:rPr>
            <w:rStyle w:val="Hypertextovodkaz"/>
            <w:noProof/>
          </w:rPr>
          <w:t>Tabulka 48: KS – DT prvostupňového civilního řízení dle soudů</w:t>
        </w:r>
        <w:r w:rsidR="00D4102B">
          <w:rPr>
            <w:noProof/>
            <w:webHidden/>
          </w:rPr>
          <w:tab/>
        </w:r>
        <w:r w:rsidR="00D4102B">
          <w:rPr>
            <w:noProof/>
            <w:webHidden/>
          </w:rPr>
          <w:fldChar w:fldCharType="begin"/>
        </w:r>
        <w:r w:rsidR="00D4102B">
          <w:rPr>
            <w:noProof/>
            <w:webHidden/>
          </w:rPr>
          <w:instrText xml:space="preserve"> PAGEREF _Toc144104287 \h </w:instrText>
        </w:r>
        <w:r w:rsidR="00D4102B">
          <w:rPr>
            <w:noProof/>
            <w:webHidden/>
          </w:rPr>
        </w:r>
        <w:r w:rsidR="00D4102B">
          <w:rPr>
            <w:noProof/>
            <w:webHidden/>
          </w:rPr>
          <w:fldChar w:fldCharType="separate"/>
        </w:r>
        <w:r w:rsidR="001E1A67">
          <w:rPr>
            <w:noProof/>
            <w:webHidden/>
          </w:rPr>
          <w:t>92</w:t>
        </w:r>
        <w:r w:rsidR="00D4102B">
          <w:rPr>
            <w:noProof/>
            <w:webHidden/>
          </w:rPr>
          <w:fldChar w:fldCharType="end"/>
        </w:r>
      </w:hyperlink>
    </w:p>
    <w:p w14:paraId="27EC5511" w14:textId="5F38496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8" w:history="1">
        <w:r w:rsidR="00D4102B" w:rsidRPr="00C211AD">
          <w:rPr>
            <w:rStyle w:val="Hypertextovodkaz"/>
            <w:noProof/>
          </w:rPr>
          <w:t>Tabulka 49: KS – míra odvolání dle soudů v civilním řízení</w:t>
        </w:r>
        <w:r w:rsidR="00D4102B">
          <w:rPr>
            <w:noProof/>
            <w:webHidden/>
          </w:rPr>
          <w:tab/>
        </w:r>
        <w:r w:rsidR="00D4102B">
          <w:rPr>
            <w:noProof/>
            <w:webHidden/>
          </w:rPr>
          <w:fldChar w:fldCharType="begin"/>
        </w:r>
        <w:r w:rsidR="00D4102B">
          <w:rPr>
            <w:noProof/>
            <w:webHidden/>
          </w:rPr>
          <w:instrText xml:space="preserve"> PAGEREF _Toc144104288 \h </w:instrText>
        </w:r>
        <w:r w:rsidR="00D4102B">
          <w:rPr>
            <w:noProof/>
            <w:webHidden/>
          </w:rPr>
        </w:r>
        <w:r w:rsidR="00D4102B">
          <w:rPr>
            <w:noProof/>
            <w:webHidden/>
          </w:rPr>
          <w:fldChar w:fldCharType="separate"/>
        </w:r>
        <w:r w:rsidR="001E1A67">
          <w:rPr>
            <w:noProof/>
            <w:webHidden/>
          </w:rPr>
          <w:t>92</w:t>
        </w:r>
        <w:r w:rsidR="00D4102B">
          <w:rPr>
            <w:noProof/>
            <w:webHidden/>
          </w:rPr>
          <w:fldChar w:fldCharType="end"/>
        </w:r>
      </w:hyperlink>
    </w:p>
    <w:p w14:paraId="30884598" w14:textId="0BCBE34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89" w:history="1">
        <w:r w:rsidR="00D4102B" w:rsidRPr="00C211AD">
          <w:rPr>
            <w:rStyle w:val="Hypertextovodkaz"/>
            <w:noProof/>
          </w:rPr>
          <w:t>Tabulka 50: KS – míra změny rozsudku dle soudů v civilním řízení</w:t>
        </w:r>
        <w:r w:rsidR="00D4102B">
          <w:rPr>
            <w:noProof/>
            <w:webHidden/>
          </w:rPr>
          <w:tab/>
        </w:r>
        <w:r w:rsidR="00D4102B">
          <w:rPr>
            <w:noProof/>
            <w:webHidden/>
          </w:rPr>
          <w:fldChar w:fldCharType="begin"/>
        </w:r>
        <w:r w:rsidR="00D4102B">
          <w:rPr>
            <w:noProof/>
            <w:webHidden/>
          </w:rPr>
          <w:instrText xml:space="preserve"> PAGEREF _Toc144104289 \h </w:instrText>
        </w:r>
        <w:r w:rsidR="00D4102B">
          <w:rPr>
            <w:noProof/>
            <w:webHidden/>
          </w:rPr>
        </w:r>
        <w:r w:rsidR="00D4102B">
          <w:rPr>
            <w:noProof/>
            <w:webHidden/>
          </w:rPr>
          <w:fldChar w:fldCharType="separate"/>
        </w:r>
        <w:r w:rsidR="001E1A67">
          <w:rPr>
            <w:noProof/>
            <w:webHidden/>
          </w:rPr>
          <w:t>93</w:t>
        </w:r>
        <w:r w:rsidR="00D4102B">
          <w:rPr>
            <w:noProof/>
            <w:webHidden/>
          </w:rPr>
          <w:fldChar w:fldCharType="end"/>
        </w:r>
      </w:hyperlink>
    </w:p>
    <w:p w14:paraId="76E29894" w14:textId="288E45B7"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0" w:history="1">
        <w:r w:rsidR="00D4102B" w:rsidRPr="00C211AD">
          <w:rPr>
            <w:rStyle w:val="Hypertextovodkaz"/>
            <w:noProof/>
          </w:rPr>
          <w:t>Tabulka 51: KS – podíl vybraných předmětů sporu v letech dle soudů</w:t>
        </w:r>
        <w:r w:rsidR="00D4102B">
          <w:rPr>
            <w:noProof/>
            <w:webHidden/>
          </w:rPr>
          <w:tab/>
        </w:r>
        <w:r w:rsidR="00D4102B">
          <w:rPr>
            <w:noProof/>
            <w:webHidden/>
          </w:rPr>
          <w:fldChar w:fldCharType="begin"/>
        </w:r>
        <w:r w:rsidR="00D4102B">
          <w:rPr>
            <w:noProof/>
            <w:webHidden/>
          </w:rPr>
          <w:instrText xml:space="preserve"> PAGEREF _Toc144104290 \h </w:instrText>
        </w:r>
        <w:r w:rsidR="00D4102B">
          <w:rPr>
            <w:noProof/>
            <w:webHidden/>
          </w:rPr>
        </w:r>
        <w:r w:rsidR="00D4102B">
          <w:rPr>
            <w:noProof/>
            <w:webHidden/>
          </w:rPr>
          <w:fldChar w:fldCharType="separate"/>
        </w:r>
        <w:r w:rsidR="001E1A67">
          <w:rPr>
            <w:noProof/>
            <w:webHidden/>
          </w:rPr>
          <w:t>94</w:t>
        </w:r>
        <w:r w:rsidR="00D4102B">
          <w:rPr>
            <w:noProof/>
            <w:webHidden/>
          </w:rPr>
          <w:fldChar w:fldCharType="end"/>
        </w:r>
      </w:hyperlink>
    </w:p>
    <w:p w14:paraId="6E046717" w14:textId="4C3CF38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1" w:history="1">
        <w:r w:rsidR="00D4102B" w:rsidRPr="00C211AD">
          <w:rPr>
            <w:rStyle w:val="Hypertextovodkaz"/>
            <w:noProof/>
          </w:rPr>
          <w:t>Tabulka 52: KS – délky odvolacího civilního řízení dle soudů</w:t>
        </w:r>
        <w:r w:rsidR="00D4102B">
          <w:rPr>
            <w:noProof/>
            <w:webHidden/>
          </w:rPr>
          <w:tab/>
        </w:r>
        <w:r w:rsidR="00D4102B">
          <w:rPr>
            <w:noProof/>
            <w:webHidden/>
          </w:rPr>
          <w:fldChar w:fldCharType="begin"/>
        </w:r>
        <w:r w:rsidR="00D4102B">
          <w:rPr>
            <w:noProof/>
            <w:webHidden/>
          </w:rPr>
          <w:instrText xml:space="preserve"> PAGEREF _Toc144104291 \h </w:instrText>
        </w:r>
        <w:r w:rsidR="00D4102B">
          <w:rPr>
            <w:noProof/>
            <w:webHidden/>
          </w:rPr>
        </w:r>
        <w:r w:rsidR="00D4102B">
          <w:rPr>
            <w:noProof/>
            <w:webHidden/>
          </w:rPr>
          <w:fldChar w:fldCharType="separate"/>
        </w:r>
        <w:r w:rsidR="001E1A67">
          <w:rPr>
            <w:noProof/>
            <w:webHidden/>
          </w:rPr>
          <w:t>97</w:t>
        </w:r>
        <w:r w:rsidR="00D4102B">
          <w:rPr>
            <w:noProof/>
            <w:webHidden/>
          </w:rPr>
          <w:fldChar w:fldCharType="end"/>
        </w:r>
      </w:hyperlink>
    </w:p>
    <w:p w14:paraId="39F3CAFA" w14:textId="3656627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2" w:history="1">
        <w:r w:rsidR="00D4102B" w:rsidRPr="00C211AD">
          <w:rPr>
            <w:rStyle w:val="Hypertextovodkaz"/>
            <w:noProof/>
          </w:rPr>
          <w:t>Tabulka 53: KS – vyřizování odvolacích civilních věcí dle soudů</w:t>
        </w:r>
        <w:r w:rsidR="00D4102B">
          <w:rPr>
            <w:noProof/>
            <w:webHidden/>
          </w:rPr>
          <w:tab/>
        </w:r>
        <w:r w:rsidR="00D4102B">
          <w:rPr>
            <w:noProof/>
            <w:webHidden/>
          </w:rPr>
          <w:fldChar w:fldCharType="begin"/>
        </w:r>
        <w:r w:rsidR="00D4102B">
          <w:rPr>
            <w:noProof/>
            <w:webHidden/>
          </w:rPr>
          <w:instrText xml:space="preserve"> PAGEREF _Toc144104292 \h </w:instrText>
        </w:r>
        <w:r w:rsidR="00D4102B">
          <w:rPr>
            <w:noProof/>
            <w:webHidden/>
          </w:rPr>
        </w:r>
        <w:r w:rsidR="00D4102B">
          <w:rPr>
            <w:noProof/>
            <w:webHidden/>
          </w:rPr>
          <w:fldChar w:fldCharType="separate"/>
        </w:r>
        <w:r w:rsidR="001E1A67">
          <w:rPr>
            <w:noProof/>
            <w:webHidden/>
          </w:rPr>
          <w:t>99</w:t>
        </w:r>
        <w:r w:rsidR="00D4102B">
          <w:rPr>
            <w:noProof/>
            <w:webHidden/>
          </w:rPr>
          <w:fldChar w:fldCharType="end"/>
        </w:r>
      </w:hyperlink>
    </w:p>
    <w:p w14:paraId="58BEA8C5" w14:textId="7B65862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3" w:history="1">
        <w:r w:rsidR="00D4102B" w:rsidRPr="00C211AD">
          <w:rPr>
            <w:rStyle w:val="Hypertextovodkaz"/>
            <w:noProof/>
          </w:rPr>
          <w:t>Tabulka 54: KS – vyřiz. odvolacích civil. věcí na skutečný úvazek dle soudů</w:t>
        </w:r>
        <w:r w:rsidR="00D4102B">
          <w:rPr>
            <w:noProof/>
            <w:webHidden/>
          </w:rPr>
          <w:tab/>
        </w:r>
        <w:r w:rsidR="00D4102B">
          <w:rPr>
            <w:noProof/>
            <w:webHidden/>
          </w:rPr>
          <w:fldChar w:fldCharType="begin"/>
        </w:r>
        <w:r w:rsidR="00D4102B">
          <w:rPr>
            <w:noProof/>
            <w:webHidden/>
          </w:rPr>
          <w:instrText xml:space="preserve"> PAGEREF _Toc144104293 \h </w:instrText>
        </w:r>
        <w:r w:rsidR="00D4102B">
          <w:rPr>
            <w:noProof/>
            <w:webHidden/>
          </w:rPr>
        </w:r>
        <w:r w:rsidR="00D4102B">
          <w:rPr>
            <w:noProof/>
            <w:webHidden/>
          </w:rPr>
          <w:fldChar w:fldCharType="separate"/>
        </w:r>
        <w:r w:rsidR="001E1A67">
          <w:rPr>
            <w:noProof/>
            <w:webHidden/>
          </w:rPr>
          <w:t>100</w:t>
        </w:r>
        <w:r w:rsidR="00D4102B">
          <w:rPr>
            <w:noProof/>
            <w:webHidden/>
          </w:rPr>
          <w:fldChar w:fldCharType="end"/>
        </w:r>
      </w:hyperlink>
    </w:p>
    <w:p w14:paraId="255D6024" w14:textId="2541EC6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4" w:history="1">
        <w:r w:rsidR="00D4102B" w:rsidRPr="00C211AD">
          <w:rPr>
            <w:rStyle w:val="Hypertextovodkaz"/>
            <w:noProof/>
          </w:rPr>
          <w:t>Tabulka 55: KS – DT v civilním odvolacím řízení dle soudů</w:t>
        </w:r>
        <w:r w:rsidR="00D4102B">
          <w:rPr>
            <w:noProof/>
            <w:webHidden/>
          </w:rPr>
          <w:tab/>
        </w:r>
        <w:r w:rsidR="00D4102B">
          <w:rPr>
            <w:noProof/>
            <w:webHidden/>
          </w:rPr>
          <w:fldChar w:fldCharType="begin"/>
        </w:r>
        <w:r w:rsidR="00D4102B">
          <w:rPr>
            <w:noProof/>
            <w:webHidden/>
          </w:rPr>
          <w:instrText xml:space="preserve"> PAGEREF _Toc144104294 \h </w:instrText>
        </w:r>
        <w:r w:rsidR="00D4102B">
          <w:rPr>
            <w:noProof/>
            <w:webHidden/>
          </w:rPr>
        </w:r>
        <w:r w:rsidR="00D4102B">
          <w:rPr>
            <w:noProof/>
            <w:webHidden/>
          </w:rPr>
          <w:fldChar w:fldCharType="separate"/>
        </w:r>
        <w:r w:rsidR="001E1A67">
          <w:rPr>
            <w:noProof/>
            <w:webHidden/>
          </w:rPr>
          <w:t>101</w:t>
        </w:r>
        <w:r w:rsidR="00D4102B">
          <w:rPr>
            <w:noProof/>
            <w:webHidden/>
          </w:rPr>
          <w:fldChar w:fldCharType="end"/>
        </w:r>
      </w:hyperlink>
    </w:p>
    <w:p w14:paraId="0A3DFF00" w14:textId="3A90131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5" w:history="1">
        <w:r w:rsidR="00D4102B" w:rsidRPr="00C211AD">
          <w:rPr>
            <w:rStyle w:val="Hypertextovodkaz"/>
            <w:noProof/>
          </w:rPr>
          <w:t>Tabulka 56: KS – délky prvostupňového trestního řízení dle soudů</w:t>
        </w:r>
        <w:r w:rsidR="00D4102B">
          <w:rPr>
            <w:noProof/>
            <w:webHidden/>
          </w:rPr>
          <w:tab/>
        </w:r>
        <w:r w:rsidR="00D4102B">
          <w:rPr>
            <w:noProof/>
            <w:webHidden/>
          </w:rPr>
          <w:fldChar w:fldCharType="begin"/>
        </w:r>
        <w:r w:rsidR="00D4102B">
          <w:rPr>
            <w:noProof/>
            <w:webHidden/>
          </w:rPr>
          <w:instrText xml:space="preserve"> PAGEREF _Toc144104295 \h </w:instrText>
        </w:r>
        <w:r w:rsidR="00D4102B">
          <w:rPr>
            <w:noProof/>
            <w:webHidden/>
          </w:rPr>
        </w:r>
        <w:r w:rsidR="00D4102B">
          <w:rPr>
            <w:noProof/>
            <w:webHidden/>
          </w:rPr>
          <w:fldChar w:fldCharType="separate"/>
        </w:r>
        <w:r w:rsidR="001E1A67">
          <w:rPr>
            <w:noProof/>
            <w:webHidden/>
          </w:rPr>
          <w:t>103</w:t>
        </w:r>
        <w:r w:rsidR="00D4102B">
          <w:rPr>
            <w:noProof/>
            <w:webHidden/>
          </w:rPr>
          <w:fldChar w:fldCharType="end"/>
        </w:r>
      </w:hyperlink>
    </w:p>
    <w:p w14:paraId="076C6624" w14:textId="399721A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6" w:history="1">
        <w:r w:rsidR="00D4102B" w:rsidRPr="00C211AD">
          <w:rPr>
            <w:rStyle w:val="Hypertextovodkaz"/>
            <w:noProof/>
          </w:rPr>
          <w:t>Tabulka 57: KS – vyřizování prvostupňových trestních věcí dle soudů</w:t>
        </w:r>
        <w:r w:rsidR="00D4102B">
          <w:rPr>
            <w:noProof/>
            <w:webHidden/>
          </w:rPr>
          <w:tab/>
        </w:r>
        <w:r w:rsidR="00D4102B">
          <w:rPr>
            <w:noProof/>
            <w:webHidden/>
          </w:rPr>
          <w:fldChar w:fldCharType="begin"/>
        </w:r>
        <w:r w:rsidR="00D4102B">
          <w:rPr>
            <w:noProof/>
            <w:webHidden/>
          </w:rPr>
          <w:instrText xml:space="preserve"> PAGEREF _Toc144104296 \h </w:instrText>
        </w:r>
        <w:r w:rsidR="00D4102B">
          <w:rPr>
            <w:noProof/>
            <w:webHidden/>
          </w:rPr>
        </w:r>
        <w:r w:rsidR="00D4102B">
          <w:rPr>
            <w:noProof/>
            <w:webHidden/>
          </w:rPr>
          <w:fldChar w:fldCharType="separate"/>
        </w:r>
        <w:r w:rsidR="001E1A67">
          <w:rPr>
            <w:noProof/>
            <w:webHidden/>
          </w:rPr>
          <w:t>105</w:t>
        </w:r>
        <w:r w:rsidR="00D4102B">
          <w:rPr>
            <w:noProof/>
            <w:webHidden/>
          </w:rPr>
          <w:fldChar w:fldCharType="end"/>
        </w:r>
      </w:hyperlink>
    </w:p>
    <w:p w14:paraId="64971CF6" w14:textId="2FD8BC2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7" w:history="1">
        <w:r w:rsidR="00D4102B" w:rsidRPr="00C211AD">
          <w:rPr>
            <w:rStyle w:val="Hypertextovodkaz"/>
            <w:noProof/>
          </w:rPr>
          <w:t>Tabulka 58: KS – vyřiz. prvostupň. trest. věcí na skutečný úvazek dle soudů</w:t>
        </w:r>
        <w:r w:rsidR="00D4102B">
          <w:rPr>
            <w:noProof/>
            <w:webHidden/>
          </w:rPr>
          <w:tab/>
        </w:r>
        <w:r w:rsidR="00D4102B">
          <w:rPr>
            <w:noProof/>
            <w:webHidden/>
          </w:rPr>
          <w:fldChar w:fldCharType="begin"/>
        </w:r>
        <w:r w:rsidR="00D4102B">
          <w:rPr>
            <w:noProof/>
            <w:webHidden/>
          </w:rPr>
          <w:instrText xml:space="preserve"> PAGEREF _Toc144104297 \h </w:instrText>
        </w:r>
        <w:r w:rsidR="00D4102B">
          <w:rPr>
            <w:noProof/>
            <w:webHidden/>
          </w:rPr>
        </w:r>
        <w:r w:rsidR="00D4102B">
          <w:rPr>
            <w:noProof/>
            <w:webHidden/>
          </w:rPr>
          <w:fldChar w:fldCharType="separate"/>
        </w:r>
        <w:r w:rsidR="001E1A67">
          <w:rPr>
            <w:noProof/>
            <w:webHidden/>
          </w:rPr>
          <w:t>105</w:t>
        </w:r>
        <w:r w:rsidR="00D4102B">
          <w:rPr>
            <w:noProof/>
            <w:webHidden/>
          </w:rPr>
          <w:fldChar w:fldCharType="end"/>
        </w:r>
      </w:hyperlink>
    </w:p>
    <w:p w14:paraId="143EF7D1" w14:textId="1C9DCA3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8" w:history="1">
        <w:r w:rsidR="00D4102B" w:rsidRPr="00C211AD">
          <w:rPr>
            <w:rStyle w:val="Hypertextovodkaz"/>
            <w:noProof/>
          </w:rPr>
          <w:t>Tabulka 59: KS – DT v prvostupňovém trestním řízení dle soudů</w:t>
        </w:r>
        <w:r w:rsidR="00D4102B">
          <w:rPr>
            <w:noProof/>
            <w:webHidden/>
          </w:rPr>
          <w:tab/>
        </w:r>
        <w:r w:rsidR="00D4102B">
          <w:rPr>
            <w:noProof/>
            <w:webHidden/>
          </w:rPr>
          <w:fldChar w:fldCharType="begin"/>
        </w:r>
        <w:r w:rsidR="00D4102B">
          <w:rPr>
            <w:noProof/>
            <w:webHidden/>
          </w:rPr>
          <w:instrText xml:space="preserve"> PAGEREF _Toc144104298 \h </w:instrText>
        </w:r>
        <w:r w:rsidR="00D4102B">
          <w:rPr>
            <w:noProof/>
            <w:webHidden/>
          </w:rPr>
        </w:r>
        <w:r w:rsidR="00D4102B">
          <w:rPr>
            <w:noProof/>
            <w:webHidden/>
          </w:rPr>
          <w:fldChar w:fldCharType="separate"/>
        </w:r>
        <w:r w:rsidR="001E1A67">
          <w:rPr>
            <w:noProof/>
            <w:webHidden/>
          </w:rPr>
          <w:t>107</w:t>
        </w:r>
        <w:r w:rsidR="00D4102B">
          <w:rPr>
            <w:noProof/>
            <w:webHidden/>
          </w:rPr>
          <w:fldChar w:fldCharType="end"/>
        </w:r>
      </w:hyperlink>
    </w:p>
    <w:p w14:paraId="4EB5B65C" w14:textId="672D335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299" w:history="1">
        <w:r w:rsidR="00D4102B" w:rsidRPr="00C211AD">
          <w:rPr>
            <w:rStyle w:val="Hypertextovodkaz"/>
            <w:noProof/>
          </w:rPr>
          <w:t>Tabulka 60: KS – míra odvolání dle soudů v trestním řízení</w:t>
        </w:r>
        <w:r w:rsidR="00D4102B">
          <w:rPr>
            <w:noProof/>
            <w:webHidden/>
          </w:rPr>
          <w:tab/>
        </w:r>
        <w:r w:rsidR="00D4102B">
          <w:rPr>
            <w:noProof/>
            <w:webHidden/>
          </w:rPr>
          <w:fldChar w:fldCharType="begin"/>
        </w:r>
        <w:r w:rsidR="00D4102B">
          <w:rPr>
            <w:noProof/>
            <w:webHidden/>
          </w:rPr>
          <w:instrText xml:space="preserve"> PAGEREF _Toc144104299 \h </w:instrText>
        </w:r>
        <w:r w:rsidR="00D4102B">
          <w:rPr>
            <w:noProof/>
            <w:webHidden/>
          </w:rPr>
        </w:r>
        <w:r w:rsidR="00D4102B">
          <w:rPr>
            <w:noProof/>
            <w:webHidden/>
          </w:rPr>
          <w:fldChar w:fldCharType="separate"/>
        </w:r>
        <w:r w:rsidR="001E1A67">
          <w:rPr>
            <w:noProof/>
            <w:webHidden/>
          </w:rPr>
          <w:t>107</w:t>
        </w:r>
        <w:r w:rsidR="00D4102B">
          <w:rPr>
            <w:noProof/>
            <w:webHidden/>
          </w:rPr>
          <w:fldChar w:fldCharType="end"/>
        </w:r>
      </w:hyperlink>
    </w:p>
    <w:p w14:paraId="2C21D26C" w14:textId="34D21D5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0" w:history="1">
        <w:r w:rsidR="00D4102B" w:rsidRPr="00C211AD">
          <w:rPr>
            <w:rStyle w:val="Hypertextovodkaz"/>
            <w:noProof/>
          </w:rPr>
          <w:t>Tabulka 61: KS – míra změny rozsudku dle soudů v trestním řízení</w:t>
        </w:r>
        <w:r w:rsidR="00D4102B">
          <w:rPr>
            <w:noProof/>
            <w:webHidden/>
          </w:rPr>
          <w:tab/>
        </w:r>
        <w:r w:rsidR="00D4102B">
          <w:rPr>
            <w:noProof/>
            <w:webHidden/>
          </w:rPr>
          <w:fldChar w:fldCharType="begin"/>
        </w:r>
        <w:r w:rsidR="00D4102B">
          <w:rPr>
            <w:noProof/>
            <w:webHidden/>
          </w:rPr>
          <w:instrText xml:space="preserve"> PAGEREF _Toc144104300 \h </w:instrText>
        </w:r>
        <w:r w:rsidR="00D4102B">
          <w:rPr>
            <w:noProof/>
            <w:webHidden/>
          </w:rPr>
        </w:r>
        <w:r w:rsidR="00D4102B">
          <w:rPr>
            <w:noProof/>
            <w:webHidden/>
          </w:rPr>
          <w:fldChar w:fldCharType="separate"/>
        </w:r>
        <w:r w:rsidR="001E1A67">
          <w:rPr>
            <w:noProof/>
            <w:webHidden/>
          </w:rPr>
          <w:t>108</w:t>
        </w:r>
        <w:r w:rsidR="00D4102B">
          <w:rPr>
            <w:noProof/>
            <w:webHidden/>
          </w:rPr>
          <w:fldChar w:fldCharType="end"/>
        </w:r>
      </w:hyperlink>
    </w:p>
    <w:p w14:paraId="28923B66" w14:textId="7D52CDE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1" w:history="1">
        <w:r w:rsidR="00D4102B" w:rsidRPr="00C211AD">
          <w:rPr>
            <w:rStyle w:val="Hypertextovodkaz"/>
            <w:noProof/>
          </w:rPr>
          <w:t>Tabulka 62: KS – TČ, za které je ukládáno NEPO</w:t>
        </w:r>
        <w:r w:rsidR="00D4102B">
          <w:rPr>
            <w:noProof/>
            <w:webHidden/>
          </w:rPr>
          <w:tab/>
        </w:r>
        <w:r w:rsidR="00D4102B">
          <w:rPr>
            <w:noProof/>
            <w:webHidden/>
          </w:rPr>
          <w:fldChar w:fldCharType="begin"/>
        </w:r>
        <w:r w:rsidR="00D4102B">
          <w:rPr>
            <w:noProof/>
            <w:webHidden/>
          </w:rPr>
          <w:instrText xml:space="preserve"> PAGEREF _Toc144104301 \h </w:instrText>
        </w:r>
        <w:r w:rsidR="00D4102B">
          <w:rPr>
            <w:noProof/>
            <w:webHidden/>
          </w:rPr>
        </w:r>
        <w:r w:rsidR="00D4102B">
          <w:rPr>
            <w:noProof/>
            <w:webHidden/>
          </w:rPr>
          <w:fldChar w:fldCharType="separate"/>
        </w:r>
        <w:r w:rsidR="001E1A67">
          <w:rPr>
            <w:noProof/>
            <w:webHidden/>
          </w:rPr>
          <w:t>109</w:t>
        </w:r>
        <w:r w:rsidR="00D4102B">
          <w:rPr>
            <w:noProof/>
            <w:webHidden/>
          </w:rPr>
          <w:fldChar w:fldCharType="end"/>
        </w:r>
      </w:hyperlink>
    </w:p>
    <w:p w14:paraId="0CFD7A72" w14:textId="0B4FA26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2" w:history="1">
        <w:r w:rsidR="00D4102B" w:rsidRPr="00C211AD">
          <w:rPr>
            <w:rStyle w:val="Hypertextovodkaz"/>
            <w:noProof/>
          </w:rPr>
          <w:t>Tabulka 63: KS – délky odvolacího trestního řízení dle soudů</w:t>
        </w:r>
        <w:r w:rsidR="00D4102B">
          <w:rPr>
            <w:noProof/>
            <w:webHidden/>
          </w:rPr>
          <w:tab/>
        </w:r>
        <w:r w:rsidR="00D4102B">
          <w:rPr>
            <w:noProof/>
            <w:webHidden/>
          </w:rPr>
          <w:fldChar w:fldCharType="begin"/>
        </w:r>
        <w:r w:rsidR="00D4102B">
          <w:rPr>
            <w:noProof/>
            <w:webHidden/>
          </w:rPr>
          <w:instrText xml:space="preserve"> PAGEREF _Toc144104302 \h </w:instrText>
        </w:r>
        <w:r w:rsidR="00D4102B">
          <w:rPr>
            <w:noProof/>
            <w:webHidden/>
          </w:rPr>
        </w:r>
        <w:r w:rsidR="00D4102B">
          <w:rPr>
            <w:noProof/>
            <w:webHidden/>
          </w:rPr>
          <w:fldChar w:fldCharType="separate"/>
        </w:r>
        <w:r w:rsidR="001E1A67">
          <w:rPr>
            <w:noProof/>
            <w:webHidden/>
          </w:rPr>
          <w:t>111</w:t>
        </w:r>
        <w:r w:rsidR="00D4102B">
          <w:rPr>
            <w:noProof/>
            <w:webHidden/>
          </w:rPr>
          <w:fldChar w:fldCharType="end"/>
        </w:r>
      </w:hyperlink>
    </w:p>
    <w:p w14:paraId="734F1857" w14:textId="46417B9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3" w:history="1">
        <w:r w:rsidR="00D4102B" w:rsidRPr="00C211AD">
          <w:rPr>
            <w:rStyle w:val="Hypertextovodkaz"/>
            <w:noProof/>
          </w:rPr>
          <w:t>Tabulka 64: KS – vyřizování odvolacích trestních věcí dle soudů</w:t>
        </w:r>
        <w:r w:rsidR="00D4102B">
          <w:rPr>
            <w:noProof/>
            <w:webHidden/>
          </w:rPr>
          <w:tab/>
        </w:r>
        <w:r w:rsidR="00D4102B">
          <w:rPr>
            <w:noProof/>
            <w:webHidden/>
          </w:rPr>
          <w:fldChar w:fldCharType="begin"/>
        </w:r>
        <w:r w:rsidR="00D4102B">
          <w:rPr>
            <w:noProof/>
            <w:webHidden/>
          </w:rPr>
          <w:instrText xml:space="preserve"> PAGEREF _Toc144104303 \h </w:instrText>
        </w:r>
        <w:r w:rsidR="00D4102B">
          <w:rPr>
            <w:noProof/>
            <w:webHidden/>
          </w:rPr>
        </w:r>
        <w:r w:rsidR="00D4102B">
          <w:rPr>
            <w:noProof/>
            <w:webHidden/>
          </w:rPr>
          <w:fldChar w:fldCharType="separate"/>
        </w:r>
        <w:r w:rsidR="001E1A67">
          <w:rPr>
            <w:noProof/>
            <w:webHidden/>
          </w:rPr>
          <w:t>113</w:t>
        </w:r>
        <w:r w:rsidR="00D4102B">
          <w:rPr>
            <w:noProof/>
            <w:webHidden/>
          </w:rPr>
          <w:fldChar w:fldCharType="end"/>
        </w:r>
      </w:hyperlink>
    </w:p>
    <w:p w14:paraId="3C65B2E6" w14:textId="7A3575D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4" w:history="1">
        <w:r w:rsidR="00D4102B" w:rsidRPr="00C211AD">
          <w:rPr>
            <w:rStyle w:val="Hypertextovodkaz"/>
            <w:noProof/>
          </w:rPr>
          <w:t>Tabulka 65: KS – vyřiz. odvolacích tr. věcí na skutečný úvazek dle soudů</w:t>
        </w:r>
        <w:r w:rsidR="00D4102B">
          <w:rPr>
            <w:noProof/>
            <w:webHidden/>
          </w:rPr>
          <w:tab/>
        </w:r>
        <w:r w:rsidR="00D4102B">
          <w:rPr>
            <w:noProof/>
            <w:webHidden/>
          </w:rPr>
          <w:fldChar w:fldCharType="begin"/>
        </w:r>
        <w:r w:rsidR="00D4102B">
          <w:rPr>
            <w:noProof/>
            <w:webHidden/>
          </w:rPr>
          <w:instrText xml:space="preserve"> PAGEREF _Toc144104304 \h </w:instrText>
        </w:r>
        <w:r w:rsidR="00D4102B">
          <w:rPr>
            <w:noProof/>
            <w:webHidden/>
          </w:rPr>
        </w:r>
        <w:r w:rsidR="00D4102B">
          <w:rPr>
            <w:noProof/>
            <w:webHidden/>
          </w:rPr>
          <w:fldChar w:fldCharType="separate"/>
        </w:r>
        <w:r w:rsidR="001E1A67">
          <w:rPr>
            <w:noProof/>
            <w:webHidden/>
          </w:rPr>
          <w:t>113</w:t>
        </w:r>
        <w:r w:rsidR="00D4102B">
          <w:rPr>
            <w:noProof/>
            <w:webHidden/>
          </w:rPr>
          <w:fldChar w:fldCharType="end"/>
        </w:r>
      </w:hyperlink>
    </w:p>
    <w:p w14:paraId="248CED9C" w14:textId="6A323AC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5" w:history="1">
        <w:r w:rsidR="00D4102B" w:rsidRPr="00C211AD">
          <w:rPr>
            <w:rStyle w:val="Hypertextovodkaz"/>
            <w:noProof/>
          </w:rPr>
          <w:t>Tabulka 66: KS – DT odvolacího trestního řízení dle soudů</w:t>
        </w:r>
        <w:r w:rsidR="00D4102B">
          <w:rPr>
            <w:noProof/>
            <w:webHidden/>
          </w:rPr>
          <w:tab/>
        </w:r>
        <w:r w:rsidR="00D4102B">
          <w:rPr>
            <w:noProof/>
            <w:webHidden/>
          </w:rPr>
          <w:fldChar w:fldCharType="begin"/>
        </w:r>
        <w:r w:rsidR="00D4102B">
          <w:rPr>
            <w:noProof/>
            <w:webHidden/>
          </w:rPr>
          <w:instrText xml:space="preserve"> PAGEREF _Toc144104305 \h </w:instrText>
        </w:r>
        <w:r w:rsidR="00D4102B">
          <w:rPr>
            <w:noProof/>
            <w:webHidden/>
          </w:rPr>
        </w:r>
        <w:r w:rsidR="00D4102B">
          <w:rPr>
            <w:noProof/>
            <w:webHidden/>
          </w:rPr>
          <w:fldChar w:fldCharType="separate"/>
        </w:r>
        <w:r w:rsidR="001E1A67">
          <w:rPr>
            <w:noProof/>
            <w:webHidden/>
          </w:rPr>
          <w:t>114</w:t>
        </w:r>
        <w:r w:rsidR="00D4102B">
          <w:rPr>
            <w:noProof/>
            <w:webHidden/>
          </w:rPr>
          <w:fldChar w:fldCharType="end"/>
        </w:r>
      </w:hyperlink>
    </w:p>
    <w:p w14:paraId="4D843B29" w14:textId="190ED24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6" w:history="1">
        <w:r w:rsidR="00D4102B" w:rsidRPr="00C211AD">
          <w:rPr>
            <w:rStyle w:val="Hypertextovodkaz"/>
            <w:noProof/>
          </w:rPr>
          <w:t>Tabulka 67: KS – délky správního řízení dle soudů</w:t>
        </w:r>
        <w:r w:rsidR="00D4102B">
          <w:rPr>
            <w:noProof/>
            <w:webHidden/>
          </w:rPr>
          <w:tab/>
        </w:r>
        <w:r w:rsidR="00D4102B">
          <w:rPr>
            <w:noProof/>
            <w:webHidden/>
          </w:rPr>
          <w:fldChar w:fldCharType="begin"/>
        </w:r>
        <w:r w:rsidR="00D4102B">
          <w:rPr>
            <w:noProof/>
            <w:webHidden/>
          </w:rPr>
          <w:instrText xml:space="preserve"> PAGEREF _Toc144104306 \h </w:instrText>
        </w:r>
        <w:r w:rsidR="00D4102B">
          <w:rPr>
            <w:noProof/>
            <w:webHidden/>
          </w:rPr>
        </w:r>
        <w:r w:rsidR="00D4102B">
          <w:rPr>
            <w:noProof/>
            <w:webHidden/>
          </w:rPr>
          <w:fldChar w:fldCharType="separate"/>
        </w:r>
        <w:r w:rsidR="001E1A67">
          <w:rPr>
            <w:noProof/>
            <w:webHidden/>
          </w:rPr>
          <w:t>117</w:t>
        </w:r>
        <w:r w:rsidR="00D4102B">
          <w:rPr>
            <w:noProof/>
            <w:webHidden/>
          </w:rPr>
          <w:fldChar w:fldCharType="end"/>
        </w:r>
      </w:hyperlink>
    </w:p>
    <w:p w14:paraId="64DE644A" w14:textId="0C88B9A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7" w:history="1">
        <w:r w:rsidR="00D4102B" w:rsidRPr="00C211AD">
          <w:rPr>
            <w:rStyle w:val="Hypertextovodkaz"/>
            <w:noProof/>
          </w:rPr>
          <w:t>Tabulka 68: KS – vyřizování správních věcí dle soudů</w:t>
        </w:r>
        <w:r w:rsidR="00D4102B">
          <w:rPr>
            <w:noProof/>
            <w:webHidden/>
          </w:rPr>
          <w:tab/>
        </w:r>
        <w:r w:rsidR="00D4102B">
          <w:rPr>
            <w:noProof/>
            <w:webHidden/>
          </w:rPr>
          <w:fldChar w:fldCharType="begin"/>
        </w:r>
        <w:r w:rsidR="00D4102B">
          <w:rPr>
            <w:noProof/>
            <w:webHidden/>
          </w:rPr>
          <w:instrText xml:space="preserve"> PAGEREF _Toc144104307 \h </w:instrText>
        </w:r>
        <w:r w:rsidR="00D4102B">
          <w:rPr>
            <w:noProof/>
            <w:webHidden/>
          </w:rPr>
        </w:r>
        <w:r w:rsidR="00D4102B">
          <w:rPr>
            <w:noProof/>
            <w:webHidden/>
          </w:rPr>
          <w:fldChar w:fldCharType="separate"/>
        </w:r>
        <w:r w:rsidR="001E1A67">
          <w:rPr>
            <w:noProof/>
            <w:webHidden/>
          </w:rPr>
          <w:t>119</w:t>
        </w:r>
        <w:r w:rsidR="00D4102B">
          <w:rPr>
            <w:noProof/>
            <w:webHidden/>
          </w:rPr>
          <w:fldChar w:fldCharType="end"/>
        </w:r>
      </w:hyperlink>
    </w:p>
    <w:p w14:paraId="42BA6744" w14:textId="52C0CC57"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8" w:history="1">
        <w:r w:rsidR="00D4102B" w:rsidRPr="00C211AD">
          <w:rPr>
            <w:rStyle w:val="Hypertextovodkaz"/>
            <w:noProof/>
          </w:rPr>
          <w:t>Tabulka 69: KS – podíl nevyřízených věcí druhů agendy správního soudnictví</w:t>
        </w:r>
        <w:r w:rsidR="00D4102B">
          <w:rPr>
            <w:noProof/>
            <w:webHidden/>
          </w:rPr>
          <w:tab/>
        </w:r>
        <w:r w:rsidR="00D4102B">
          <w:rPr>
            <w:noProof/>
            <w:webHidden/>
          </w:rPr>
          <w:fldChar w:fldCharType="begin"/>
        </w:r>
        <w:r w:rsidR="00D4102B">
          <w:rPr>
            <w:noProof/>
            <w:webHidden/>
          </w:rPr>
          <w:instrText xml:space="preserve"> PAGEREF _Toc144104308 \h </w:instrText>
        </w:r>
        <w:r w:rsidR="00D4102B">
          <w:rPr>
            <w:noProof/>
            <w:webHidden/>
          </w:rPr>
        </w:r>
        <w:r w:rsidR="00D4102B">
          <w:rPr>
            <w:noProof/>
            <w:webHidden/>
          </w:rPr>
          <w:fldChar w:fldCharType="separate"/>
        </w:r>
        <w:r w:rsidR="001E1A67">
          <w:rPr>
            <w:noProof/>
            <w:webHidden/>
          </w:rPr>
          <w:t>120</w:t>
        </w:r>
        <w:r w:rsidR="00D4102B">
          <w:rPr>
            <w:noProof/>
            <w:webHidden/>
          </w:rPr>
          <w:fldChar w:fldCharType="end"/>
        </w:r>
      </w:hyperlink>
    </w:p>
    <w:p w14:paraId="04186343" w14:textId="4DCF1A1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09" w:history="1">
        <w:r w:rsidR="00D4102B" w:rsidRPr="00C211AD">
          <w:rPr>
            <w:rStyle w:val="Hypertextovodkaz"/>
            <w:noProof/>
          </w:rPr>
          <w:t>Tabulka 70: KS – vyřizování správních věcí na skutečný úvazek dle soudů</w:t>
        </w:r>
        <w:r w:rsidR="00D4102B">
          <w:rPr>
            <w:noProof/>
            <w:webHidden/>
          </w:rPr>
          <w:tab/>
        </w:r>
        <w:r w:rsidR="00D4102B">
          <w:rPr>
            <w:noProof/>
            <w:webHidden/>
          </w:rPr>
          <w:fldChar w:fldCharType="begin"/>
        </w:r>
        <w:r w:rsidR="00D4102B">
          <w:rPr>
            <w:noProof/>
            <w:webHidden/>
          </w:rPr>
          <w:instrText xml:space="preserve"> PAGEREF _Toc144104309 \h </w:instrText>
        </w:r>
        <w:r w:rsidR="00D4102B">
          <w:rPr>
            <w:noProof/>
            <w:webHidden/>
          </w:rPr>
        </w:r>
        <w:r w:rsidR="00D4102B">
          <w:rPr>
            <w:noProof/>
            <w:webHidden/>
          </w:rPr>
          <w:fldChar w:fldCharType="separate"/>
        </w:r>
        <w:r w:rsidR="001E1A67">
          <w:rPr>
            <w:noProof/>
            <w:webHidden/>
          </w:rPr>
          <w:t>121</w:t>
        </w:r>
        <w:r w:rsidR="00D4102B">
          <w:rPr>
            <w:noProof/>
            <w:webHidden/>
          </w:rPr>
          <w:fldChar w:fldCharType="end"/>
        </w:r>
      </w:hyperlink>
    </w:p>
    <w:p w14:paraId="36A4C6B9" w14:textId="6ED96FA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0" w:history="1">
        <w:r w:rsidR="00D4102B" w:rsidRPr="00C211AD">
          <w:rPr>
            <w:rStyle w:val="Hypertextovodkaz"/>
            <w:noProof/>
          </w:rPr>
          <w:t>Tabulka 71: KS – DT správního řízení dle soudů</w:t>
        </w:r>
        <w:r w:rsidR="00D4102B">
          <w:rPr>
            <w:noProof/>
            <w:webHidden/>
          </w:rPr>
          <w:tab/>
        </w:r>
        <w:r w:rsidR="00D4102B">
          <w:rPr>
            <w:noProof/>
            <w:webHidden/>
          </w:rPr>
          <w:fldChar w:fldCharType="begin"/>
        </w:r>
        <w:r w:rsidR="00D4102B">
          <w:rPr>
            <w:noProof/>
            <w:webHidden/>
          </w:rPr>
          <w:instrText xml:space="preserve"> PAGEREF _Toc144104310 \h </w:instrText>
        </w:r>
        <w:r w:rsidR="00D4102B">
          <w:rPr>
            <w:noProof/>
            <w:webHidden/>
          </w:rPr>
        </w:r>
        <w:r w:rsidR="00D4102B">
          <w:rPr>
            <w:noProof/>
            <w:webHidden/>
          </w:rPr>
          <w:fldChar w:fldCharType="separate"/>
        </w:r>
        <w:r w:rsidR="001E1A67">
          <w:rPr>
            <w:noProof/>
            <w:webHidden/>
          </w:rPr>
          <w:t>122</w:t>
        </w:r>
        <w:r w:rsidR="00D4102B">
          <w:rPr>
            <w:noProof/>
            <w:webHidden/>
          </w:rPr>
          <w:fldChar w:fldCharType="end"/>
        </w:r>
      </w:hyperlink>
    </w:p>
    <w:p w14:paraId="6A6888B0" w14:textId="25E2C13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1" w:history="1">
        <w:r w:rsidR="00D4102B" w:rsidRPr="00C211AD">
          <w:rPr>
            <w:rStyle w:val="Hypertextovodkaz"/>
            <w:noProof/>
          </w:rPr>
          <w:t>Tabulka 72: KS – délky insolvenčního řízení dle soudů</w:t>
        </w:r>
        <w:r w:rsidR="00D4102B">
          <w:rPr>
            <w:noProof/>
            <w:webHidden/>
          </w:rPr>
          <w:tab/>
        </w:r>
        <w:r w:rsidR="00D4102B">
          <w:rPr>
            <w:noProof/>
            <w:webHidden/>
          </w:rPr>
          <w:fldChar w:fldCharType="begin"/>
        </w:r>
        <w:r w:rsidR="00D4102B">
          <w:rPr>
            <w:noProof/>
            <w:webHidden/>
          </w:rPr>
          <w:instrText xml:space="preserve"> PAGEREF _Toc144104311 \h </w:instrText>
        </w:r>
        <w:r w:rsidR="00D4102B">
          <w:rPr>
            <w:noProof/>
            <w:webHidden/>
          </w:rPr>
        </w:r>
        <w:r w:rsidR="00D4102B">
          <w:rPr>
            <w:noProof/>
            <w:webHidden/>
          </w:rPr>
          <w:fldChar w:fldCharType="separate"/>
        </w:r>
        <w:r w:rsidR="001E1A67">
          <w:rPr>
            <w:noProof/>
            <w:webHidden/>
          </w:rPr>
          <w:t>125</w:t>
        </w:r>
        <w:r w:rsidR="00D4102B">
          <w:rPr>
            <w:noProof/>
            <w:webHidden/>
          </w:rPr>
          <w:fldChar w:fldCharType="end"/>
        </w:r>
      </w:hyperlink>
    </w:p>
    <w:p w14:paraId="4750ADD7" w14:textId="414EF72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2" w:history="1">
        <w:r w:rsidR="00D4102B" w:rsidRPr="00C211AD">
          <w:rPr>
            <w:rStyle w:val="Hypertextovodkaz"/>
            <w:noProof/>
          </w:rPr>
          <w:t>Tabulka 73: KS – vyřizování insolvenčních věcí dle soudů</w:t>
        </w:r>
        <w:r w:rsidR="00D4102B">
          <w:rPr>
            <w:noProof/>
            <w:webHidden/>
          </w:rPr>
          <w:tab/>
        </w:r>
        <w:r w:rsidR="00D4102B">
          <w:rPr>
            <w:noProof/>
            <w:webHidden/>
          </w:rPr>
          <w:fldChar w:fldCharType="begin"/>
        </w:r>
        <w:r w:rsidR="00D4102B">
          <w:rPr>
            <w:noProof/>
            <w:webHidden/>
          </w:rPr>
          <w:instrText xml:space="preserve"> PAGEREF _Toc144104312 \h </w:instrText>
        </w:r>
        <w:r w:rsidR="00D4102B">
          <w:rPr>
            <w:noProof/>
            <w:webHidden/>
          </w:rPr>
        </w:r>
        <w:r w:rsidR="00D4102B">
          <w:rPr>
            <w:noProof/>
            <w:webHidden/>
          </w:rPr>
          <w:fldChar w:fldCharType="separate"/>
        </w:r>
        <w:r w:rsidR="001E1A67">
          <w:rPr>
            <w:noProof/>
            <w:webHidden/>
          </w:rPr>
          <w:t>126</w:t>
        </w:r>
        <w:r w:rsidR="00D4102B">
          <w:rPr>
            <w:noProof/>
            <w:webHidden/>
          </w:rPr>
          <w:fldChar w:fldCharType="end"/>
        </w:r>
      </w:hyperlink>
    </w:p>
    <w:p w14:paraId="7D29EC24" w14:textId="41158BC2"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3" w:history="1">
        <w:r w:rsidR="00D4102B" w:rsidRPr="00C211AD">
          <w:rPr>
            <w:rStyle w:val="Hypertextovodkaz"/>
            <w:noProof/>
          </w:rPr>
          <w:t>Tabulka 74: KS – vyřizování insolvenčních věcí na skutečný úvazek dle soudů</w:t>
        </w:r>
        <w:r w:rsidR="00D4102B">
          <w:rPr>
            <w:noProof/>
            <w:webHidden/>
          </w:rPr>
          <w:tab/>
        </w:r>
        <w:r w:rsidR="00D4102B">
          <w:rPr>
            <w:noProof/>
            <w:webHidden/>
          </w:rPr>
          <w:fldChar w:fldCharType="begin"/>
        </w:r>
        <w:r w:rsidR="00D4102B">
          <w:rPr>
            <w:noProof/>
            <w:webHidden/>
          </w:rPr>
          <w:instrText xml:space="preserve"> PAGEREF _Toc144104313 \h </w:instrText>
        </w:r>
        <w:r w:rsidR="00D4102B">
          <w:rPr>
            <w:noProof/>
            <w:webHidden/>
          </w:rPr>
        </w:r>
        <w:r w:rsidR="00D4102B">
          <w:rPr>
            <w:noProof/>
            <w:webHidden/>
          </w:rPr>
          <w:fldChar w:fldCharType="separate"/>
        </w:r>
        <w:r w:rsidR="001E1A67">
          <w:rPr>
            <w:noProof/>
            <w:webHidden/>
          </w:rPr>
          <w:t>127</w:t>
        </w:r>
        <w:r w:rsidR="00D4102B">
          <w:rPr>
            <w:noProof/>
            <w:webHidden/>
          </w:rPr>
          <w:fldChar w:fldCharType="end"/>
        </w:r>
      </w:hyperlink>
    </w:p>
    <w:p w14:paraId="4C551584" w14:textId="691B71A3"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4" w:history="1">
        <w:r w:rsidR="00D4102B" w:rsidRPr="00C211AD">
          <w:rPr>
            <w:rStyle w:val="Hypertextovodkaz"/>
            <w:noProof/>
          </w:rPr>
          <w:t>Tabulka 75: KS – podíl jednotlivých způsobů řešení úpadku v %</w:t>
        </w:r>
        <w:r w:rsidR="00D4102B">
          <w:rPr>
            <w:noProof/>
            <w:webHidden/>
          </w:rPr>
          <w:tab/>
        </w:r>
        <w:r w:rsidR="00D4102B">
          <w:rPr>
            <w:noProof/>
            <w:webHidden/>
          </w:rPr>
          <w:fldChar w:fldCharType="begin"/>
        </w:r>
        <w:r w:rsidR="00D4102B">
          <w:rPr>
            <w:noProof/>
            <w:webHidden/>
          </w:rPr>
          <w:instrText xml:space="preserve"> PAGEREF _Toc144104314 \h </w:instrText>
        </w:r>
        <w:r w:rsidR="00D4102B">
          <w:rPr>
            <w:noProof/>
            <w:webHidden/>
          </w:rPr>
        </w:r>
        <w:r w:rsidR="00D4102B">
          <w:rPr>
            <w:noProof/>
            <w:webHidden/>
          </w:rPr>
          <w:fldChar w:fldCharType="separate"/>
        </w:r>
        <w:r w:rsidR="001E1A67">
          <w:rPr>
            <w:noProof/>
            <w:webHidden/>
          </w:rPr>
          <w:t>128</w:t>
        </w:r>
        <w:r w:rsidR="00D4102B">
          <w:rPr>
            <w:noProof/>
            <w:webHidden/>
          </w:rPr>
          <w:fldChar w:fldCharType="end"/>
        </w:r>
      </w:hyperlink>
    </w:p>
    <w:p w14:paraId="77274D47" w14:textId="1D916FE8"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5" w:history="1">
        <w:r w:rsidR="00D4102B" w:rsidRPr="00C211AD">
          <w:rPr>
            <w:rStyle w:val="Hypertextovodkaz"/>
            <w:noProof/>
          </w:rPr>
          <w:t>Tabulka 76: KS – délky incidenčních sporů dle soudů</w:t>
        </w:r>
        <w:r w:rsidR="00D4102B">
          <w:rPr>
            <w:noProof/>
            <w:webHidden/>
          </w:rPr>
          <w:tab/>
        </w:r>
        <w:r w:rsidR="00D4102B">
          <w:rPr>
            <w:noProof/>
            <w:webHidden/>
          </w:rPr>
          <w:fldChar w:fldCharType="begin"/>
        </w:r>
        <w:r w:rsidR="00D4102B">
          <w:rPr>
            <w:noProof/>
            <w:webHidden/>
          </w:rPr>
          <w:instrText xml:space="preserve"> PAGEREF _Toc144104315 \h </w:instrText>
        </w:r>
        <w:r w:rsidR="00D4102B">
          <w:rPr>
            <w:noProof/>
            <w:webHidden/>
          </w:rPr>
        </w:r>
        <w:r w:rsidR="00D4102B">
          <w:rPr>
            <w:noProof/>
            <w:webHidden/>
          </w:rPr>
          <w:fldChar w:fldCharType="separate"/>
        </w:r>
        <w:r w:rsidR="001E1A67">
          <w:rPr>
            <w:noProof/>
            <w:webHidden/>
          </w:rPr>
          <w:t>130</w:t>
        </w:r>
        <w:r w:rsidR="00D4102B">
          <w:rPr>
            <w:noProof/>
            <w:webHidden/>
          </w:rPr>
          <w:fldChar w:fldCharType="end"/>
        </w:r>
      </w:hyperlink>
    </w:p>
    <w:p w14:paraId="39CCA550" w14:textId="72B3126A"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6" w:history="1">
        <w:r w:rsidR="00D4102B" w:rsidRPr="00C211AD">
          <w:rPr>
            <w:rStyle w:val="Hypertextovodkaz"/>
            <w:noProof/>
          </w:rPr>
          <w:t>Tabulka 77: KS – vyřizování incidenčních sporů dle soudů</w:t>
        </w:r>
        <w:r w:rsidR="00D4102B">
          <w:rPr>
            <w:noProof/>
            <w:webHidden/>
          </w:rPr>
          <w:tab/>
        </w:r>
        <w:r w:rsidR="00D4102B">
          <w:rPr>
            <w:noProof/>
            <w:webHidden/>
          </w:rPr>
          <w:fldChar w:fldCharType="begin"/>
        </w:r>
        <w:r w:rsidR="00D4102B">
          <w:rPr>
            <w:noProof/>
            <w:webHidden/>
          </w:rPr>
          <w:instrText xml:space="preserve"> PAGEREF _Toc144104316 \h </w:instrText>
        </w:r>
        <w:r w:rsidR="00D4102B">
          <w:rPr>
            <w:noProof/>
            <w:webHidden/>
          </w:rPr>
        </w:r>
        <w:r w:rsidR="00D4102B">
          <w:rPr>
            <w:noProof/>
            <w:webHidden/>
          </w:rPr>
          <w:fldChar w:fldCharType="separate"/>
        </w:r>
        <w:r w:rsidR="001E1A67">
          <w:rPr>
            <w:noProof/>
            <w:webHidden/>
          </w:rPr>
          <w:t>132</w:t>
        </w:r>
        <w:r w:rsidR="00D4102B">
          <w:rPr>
            <w:noProof/>
            <w:webHidden/>
          </w:rPr>
          <w:fldChar w:fldCharType="end"/>
        </w:r>
      </w:hyperlink>
    </w:p>
    <w:p w14:paraId="7AEEC61A" w14:textId="6F37D24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7" w:history="1">
        <w:r w:rsidR="00D4102B" w:rsidRPr="00C211AD">
          <w:rPr>
            <w:rStyle w:val="Hypertextovodkaz"/>
            <w:noProof/>
          </w:rPr>
          <w:t>Tabulka 78: KS – vyřizování incidenčních sporů na skutečný úvazek dle soudů</w:t>
        </w:r>
        <w:r w:rsidR="00D4102B">
          <w:rPr>
            <w:noProof/>
            <w:webHidden/>
          </w:rPr>
          <w:tab/>
        </w:r>
        <w:r w:rsidR="00D4102B">
          <w:rPr>
            <w:noProof/>
            <w:webHidden/>
          </w:rPr>
          <w:fldChar w:fldCharType="begin"/>
        </w:r>
        <w:r w:rsidR="00D4102B">
          <w:rPr>
            <w:noProof/>
            <w:webHidden/>
          </w:rPr>
          <w:instrText xml:space="preserve"> PAGEREF _Toc144104317 \h </w:instrText>
        </w:r>
        <w:r w:rsidR="00D4102B">
          <w:rPr>
            <w:noProof/>
            <w:webHidden/>
          </w:rPr>
        </w:r>
        <w:r w:rsidR="00D4102B">
          <w:rPr>
            <w:noProof/>
            <w:webHidden/>
          </w:rPr>
          <w:fldChar w:fldCharType="separate"/>
        </w:r>
        <w:r w:rsidR="001E1A67">
          <w:rPr>
            <w:noProof/>
            <w:webHidden/>
          </w:rPr>
          <w:t>132</w:t>
        </w:r>
        <w:r w:rsidR="00D4102B">
          <w:rPr>
            <w:noProof/>
            <w:webHidden/>
          </w:rPr>
          <w:fldChar w:fldCharType="end"/>
        </w:r>
      </w:hyperlink>
    </w:p>
    <w:p w14:paraId="3532BDB2" w14:textId="5927B7A1"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8" w:history="1">
        <w:r w:rsidR="00D4102B" w:rsidRPr="00C211AD">
          <w:rPr>
            <w:rStyle w:val="Hypertextovodkaz"/>
            <w:noProof/>
          </w:rPr>
          <w:t>Tabulka 79: KS – DT incidenčních sporů dle soudů</w:t>
        </w:r>
        <w:r w:rsidR="00D4102B">
          <w:rPr>
            <w:noProof/>
            <w:webHidden/>
          </w:rPr>
          <w:tab/>
        </w:r>
        <w:r w:rsidR="00D4102B">
          <w:rPr>
            <w:noProof/>
            <w:webHidden/>
          </w:rPr>
          <w:fldChar w:fldCharType="begin"/>
        </w:r>
        <w:r w:rsidR="00D4102B">
          <w:rPr>
            <w:noProof/>
            <w:webHidden/>
          </w:rPr>
          <w:instrText xml:space="preserve"> PAGEREF _Toc144104318 \h </w:instrText>
        </w:r>
        <w:r w:rsidR="00D4102B">
          <w:rPr>
            <w:noProof/>
            <w:webHidden/>
          </w:rPr>
        </w:r>
        <w:r w:rsidR="00D4102B">
          <w:rPr>
            <w:noProof/>
            <w:webHidden/>
          </w:rPr>
          <w:fldChar w:fldCharType="separate"/>
        </w:r>
        <w:r w:rsidR="001E1A67">
          <w:rPr>
            <w:noProof/>
            <w:webHidden/>
          </w:rPr>
          <w:t>134</w:t>
        </w:r>
        <w:r w:rsidR="00D4102B">
          <w:rPr>
            <w:noProof/>
            <w:webHidden/>
          </w:rPr>
          <w:fldChar w:fldCharType="end"/>
        </w:r>
      </w:hyperlink>
    </w:p>
    <w:p w14:paraId="76A41F04" w14:textId="4F610F8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19" w:history="1">
        <w:r w:rsidR="00D4102B" w:rsidRPr="00C211AD">
          <w:rPr>
            <w:rStyle w:val="Hypertextovodkaz"/>
            <w:noProof/>
          </w:rPr>
          <w:t>Tabulka 80: VS – počet zaměstnanců ve výkonu dle soudů</w:t>
        </w:r>
        <w:r w:rsidR="00D4102B">
          <w:rPr>
            <w:noProof/>
            <w:webHidden/>
          </w:rPr>
          <w:tab/>
        </w:r>
        <w:r w:rsidR="00D4102B">
          <w:rPr>
            <w:noProof/>
            <w:webHidden/>
          </w:rPr>
          <w:fldChar w:fldCharType="begin"/>
        </w:r>
        <w:r w:rsidR="00D4102B">
          <w:rPr>
            <w:noProof/>
            <w:webHidden/>
          </w:rPr>
          <w:instrText xml:space="preserve"> PAGEREF _Toc144104319 \h </w:instrText>
        </w:r>
        <w:r w:rsidR="00D4102B">
          <w:rPr>
            <w:noProof/>
            <w:webHidden/>
          </w:rPr>
        </w:r>
        <w:r w:rsidR="00D4102B">
          <w:rPr>
            <w:noProof/>
            <w:webHidden/>
          </w:rPr>
          <w:fldChar w:fldCharType="separate"/>
        </w:r>
        <w:r w:rsidR="001E1A67">
          <w:rPr>
            <w:noProof/>
            <w:webHidden/>
          </w:rPr>
          <w:t>139</w:t>
        </w:r>
        <w:r w:rsidR="00D4102B">
          <w:rPr>
            <w:noProof/>
            <w:webHidden/>
          </w:rPr>
          <w:fldChar w:fldCharType="end"/>
        </w:r>
      </w:hyperlink>
    </w:p>
    <w:p w14:paraId="1146D5FD" w14:textId="0725CC4F"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20" w:history="1">
        <w:r w:rsidR="00D4102B" w:rsidRPr="00C211AD">
          <w:rPr>
            <w:rStyle w:val="Hypertextovodkaz"/>
            <w:noProof/>
          </w:rPr>
          <w:t>Tabulka 81: VS – vyřizování odvolacích civilních věcí na evidenčního soudce</w:t>
        </w:r>
        <w:r w:rsidR="00D4102B">
          <w:rPr>
            <w:noProof/>
            <w:webHidden/>
          </w:rPr>
          <w:tab/>
        </w:r>
        <w:r w:rsidR="00D4102B">
          <w:rPr>
            <w:noProof/>
            <w:webHidden/>
          </w:rPr>
          <w:fldChar w:fldCharType="begin"/>
        </w:r>
        <w:r w:rsidR="00D4102B">
          <w:rPr>
            <w:noProof/>
            <w:webHidden/>
          </w:rPr>
          <w:instrText xml:space="preserve"> PAGEREF _Toc144104320 \h </w:instrText>
        </w:r>
        <w:r w:rsidR="00D4102B">
          <w:rPr>
            <w:noProof/>
            <w:webHidden/>
          </w:rPr>
        </w:r>
        <w:r w:rsidR="00D4102B">
          <w:rPr>
            <w:noProof/>
            <w:webHidden/>
          </w:rPr>
          <w:fldChar w:fldCharType="separate"/>
        </w:r>
        <w:r w:rsidR="001E1A67">
          <w:rPr>
            <w:noProof/>
            <w:webHidden/>
          </w:rPr>
          <w:t>142</w:t>
        </w:r>
        <w:r w:rsidR="00D4102B">
          <w:rPr>
            <w:noProof/>
            <w:webHidden/>
          </w:rPr>
          <w:fldChar w:fldCharType="end"/>
        </w:r>
      </w:hyperlink>
    </w:p>
    <w:p w14:paraId="658C165C" w14:textId="5083755B"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21" w:history="1">
        <w:r w:rsidR="00D4102B" w:rsidRPr="00C211AD">
          <w:rPr>
            <w:rStyle w:val="Hypertextovodkaz"/>
            <w:noProof/>
          </w:rPr>
          <w:t>Tabulka 82: VS – vyřizování odvolacích trestních věcí na evidenčního soudce</w:t>
        </w:r>
        <w:r w:rsidR="00D4102B">
          <w:rPr>
            <w:noProof/>
            <w:webHidden/>
          </w:rPr>
          <w:tab/>
        </w:r>
        <w:r w:rsidR="00D4102B">
          <w:rPr>
            <w:noProof/>
            <w:webHidden/>
          </w:rPr>
          <w:fldChar w:fldCharType="begin"/>
        </w:r>
        <w:r w:rsidR="00D4102B">
          <w:rPr>
            <w:noProof/>
            <w:webHidden/>
          </w:rPr>
          <w:instrText xml:space="preserve"> PAGEREF _Toc144104321 \h </w:instrText>
        </w:r>
        <w:r w:rsidR="00D4102B">
          <w:rPr>
            <w:noProof/>
            <w:webHidden/>
          </w:rPr>
        </w:r>
        <w:r w:rsidR="00D4102B">
          <w:rPr>
            <w:noProof/>
            <w:webHidden/>
          </w:rPr>
          <w:fldChar w:fldCharType="separate"/>
        </w:r>
        <w:r w:rsidR="001E1A67">
          <w:rPr>
            <w:noProof/>
            <w:webHidden/>
          </w:rPr>
          <w:t>146</w:t>
        </w:r>
        <w:r w:rsidR="00D4102B">
          <w:rPr>
            <w:noProof/>
            <w:webHidden/>
          </w:rPr>
          <w:fldChar w:fldCharType="end"/>
        </w:r>
      </w:hyperlink>
    </w:p>
    <w:p w14:paraId="4A42C441" w14:textId="709AA01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22" w:history="1">
        <w:r w:rsidR="00D4102B" w:rsidRPr="00C211AD">
          <w:rPr>
            <w:rStyle w:val="Hypertextovodkaz"/>
            <w:noProof/>
          </w:rPr>
          <w:t>Tabulka 83: NS – počet zaměstnanců ve výkonu</w:t>
        </w:r>
        <w:r w:rsidR="00D4102B">
          <w:rPr>
            <w:noProof/>
            <w:webHidden/>
          </w:rPr>
          <w:tab/>
        </w:r>
        <w:r w:rsidR="00D4102B">
          <w:rPr>
            <w:noProof/>
            <w:webHidden/>
          </w:rPr>
          <w:fldChar w:fldCharType="begin"/>
        </w:r>
        <w:r w:rsidR="00D4102B">
          <w:rPr>
            <w:noProof/>
            <w:webHidden/>
          </w:rPr>
          <w:instrText xml:space="preserve"> PAGEREF _Toc144104322 \h </w:instrText>
        </w:r>
        <w:r w:rsidR="00D4102B">
          <w:rPr>
            <w:noProof/>
            <w:webHidden/>
          </w:rPr>
        </w:r>
        <w:r w:rsidR="00D4102B">
          <w:rPr>
            <w:noProof/>
            <w:webHidden/>
          </w:rPr>
          <w:fldChar w:fldCharType="separate"/>
        </w:r>
        <w:r w:rsidR="001E1A67">
          <w:rPr>
            <w:noProof/>
            <w:webHidden/>
          </w:rPr>
          <w:t>158</w:t>
        </w:r>
        <w:r w:rsidR="00D4102B">
          <w:rPr>
            <w:noProof/>
            <w:webHidden/>
          </w:rPr>
          <w:fldChar w:fldCharType="end"/>
        </w:r>
      </w:hyperlink>
    </w:p>
    <w:p w14:paraId="7E6FBC9D" w14:textId="27575B8C"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23" w:history="1">
        <w:r w:rsidR="00D4102B" w:rsidRPr="00C211AD">
          <w:rPr>
            <w:rStyle w:val="Hypertextovodkaz"/>
            <w:noProof/>
          </w:rPr>
          <w:t>Tabulka 84: NSS – počet zaměstnanců ve výkonu</w:t>
        </w:r>
        <w:r w:rsidR="00D4102B">
          <w:rPr>
            <w:noProof/>
            <w:webHidden/>
          </w:rPr>
          <w:tab/>
        </w:r>
        <w:r w:rsidR="00D4102B">
          <w:rPr>
            <w:noProof/>
            <w:webHidden/>
          </w:rPr>
          <w:fldChar w:fldCharType="begin"/>
        </w:r>
        <w:r w:rsidR="00D4102B">
          <w:rPr>
            <w:noProof/>
            <w:webHidden/>
          </w:rPr>
          <w:instrText xml:space="preserve"> PAGEREF _Toc144104323 \h </w:instrText>
        </w:r>
        <w:r w:rsidR="00D4102B">
          <w:rPr>
            <w:noProof/>
            <w:webHidden/>
          </w:rPr>
        </w:r>
        <w:r w:rsidR="00D4102B">
          <w:rPr>
            <w:noProof/>
            <w:webHidden/>
          </w:rPr>
          <w:fldChar w:fldCharType="separate"/>
        </w:r>
        <w:r w:rsidR="001E1A67">
          <w:rPr>
            <w:noProof/>
            <w:webHidden/>
          </w:rPr>
          <w:t>166</w:t>
        </w:r>
        <w:r w:rsidR="00D4102B">
          <w:rPr>
            <w:noProof/>
            <w:webHidden/>
          </w:rPr>
          <w:fldChar w:fldCharType="end"/>
        </w:r>
      </w:hyperlink>
    </w:p>
    <w:p w14:paraId="1FA3CC6C" w14:textId="41A6A799"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24" w:history="1">
        <w:r w:rsidR="00D4102B" w:rsidRPr="00C211AD">
          <w:rPr>
            <w:rStyle w:val="Hypertextovodkaz"/>
            <w:noProof/>
          </w:rPr>
          <w:t>Tabulka 85: počet soudů, soudců a zaměstnanců soudů, střední Evropa, 2020</w:t>
        </w:r>
        <w:r w:rsidR="00D4102B">
          <w:rPr>
            <w:noProof/>
            <w:webHidden/>
          </w:rPr>
          <w:tab/>
        </w:r>
        <w:r w:rsidR="00D4102B">
          <w:rPr>
            <w:noProof/>
            <w:webHidden/>
          </w:rPr>
          <w:fldChar w:fldCharType="begin"/>
        </w:r>
        <w:r w:rsidR="00D4102B">
          <w:rPr>
            <w:noProof/>
            <w:webHidden/>
          </w:rPr>
          <w:instrText xml:space="preserve"> PAGEREF _Toc144104324 \h </w:instrText>
        </w:r>
        <w:r w:rsidR="00D4102B">
          <w:rPr>
            <w:noProof/>
            <w:webHidden/>
          </w:rPr>
        </w:r>
        <w:r w:rsidR="00D4102B">
          <w:rPr>
            <w:noProof/>
            <w:webHidden/>
          </w:rPr>
          <w:fldChar w:fldCharType="separate"/>
        </w:r>
        <w:r w:rsidR="001E1A67">
          <w:rPr>
            <w:noProof/>
            <w:webHidden/>
          </w:rPr>
          <w:t>178</w:t>
        </w:r>
        <w:r w:rsidR="00D4102B">
          <w:rPr>
            <w:noProof/>
            <w:webHidden/>
          </w:rPr>
          <w:fldChar w:fldCharType="end"/>
        </w:r>
      </w:hyperlink>
    </w:p>
    <w:p w14:paraId="69E60899" w14:textId="740CB370"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25" w:history="1">
        <w:r w:rsidR="00D4102B" w:rsidRPr="00C211AD">
          <w:rPr>
            <w:rStyle w:val="Hypertextovodkaz"/>
            <w:noProof/>
          </w:rPr>
          <w:t>Tabulka 86: Index mezi průměrným hrubý platem soudce a průměrným hrubým platem v dané zemi, 2020</w:t>
        </w:r>
        <w:r w:rsidR="00D4102B">
          <w:rPr>
            <w:noProof/>
            <w:webHidden/>
          </w:rPr>
          <w:tab/>
        </w:r>
        <w:r w:rsidR="00D4102B">
          <w:rPr>
            <w:noProof/>
            <w:webHidden/>
          </w:rPr>
          <w:fldChar w:fldCharType="begin"/>
        </w:r>
        <w:r w:rsidR="00D4102B">
          <w:rPr>
            <w:noProof/>
            <w:webHidden/>
          </w:rPr>
          <w:instrText xml:space="preserve"> PAGEREF _Toc144104325 \h </w:instrText>
        </w:r>
        <w:r w:rsidR="00D4102B">
          <w:rPr>
            <w:noProof/>
            <w:webHidden/>
          </w:rPr>
        </w:r>
        <w:r w:rsidR="00D4102B">
          <w:rPr>
            <w:noProof/>
            <w:webHidden/>
          </w:rPr>
          <w:fldChar w:fldCharType="separate"/>
        </w:r>
        <w:r w:rsidR="001E1A67">
          <w:rPr>
            <w:noProof/>
            <w:webHidden/>
          </w:rPr>
          <w:t>179</w:t>
        </w:r>
        <w:r w:rsidR="00D4102B">
          <w:rPr>
            <w:noProof/>
            <w:webHidden/>
          </w:rPr>
          <w:fldChar w:fldCharType="end"/>
        </w:r>
      </w:hyperlink>
    </w:p>
    <w:p w14:paraId="38E4CCB8" w14:textId="6C432A66"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26" w:history="1">
        <w:r w:rsidR="00D4102B" w:rsidRPr="00C211AD">
          <w:rPr>
            <w:rStyle w:val="Hypertextovodkaz"/>
            <w:noProof/>
          </w:rPr>
          <w:t>Tabulka 87: podíl žen, střední Evropa, 2020</w:t>
        </w:r>
        <w:r w:rsidR="00D4102B">
          <w:rPr>
            <w:noProof/>
            <w:webHidden/>
          </w:rPr>
          <w:tab/>
        </w:r>
        <w:r w:rsidR="00D4102B">
          <w:rPr>
            <w:noProof/>
            <w:webHidden/>
          </w:rPr>
          <w:fldChar w:fldCharType="begin"/>
        </w:r>
        <w:r w:rsidR="00D4102B">
          <w:rPr>
            <w:noProof/>
            <w:webHidden/>
          </w:rPr>
          <w:instrText xml:space="preserve"> PAGEREF _Toc144104326 \h </w:instrText>
        </w:r>
        <w:r w:rsidR="00D4102B">
          <w:rPr>
            <w:noProof/>
            <w:webHidden/>
          </w:rPr>
        </w:r>
        <w:r w:rsidR="00D4102B">
          <w:rPr>
            <w:noProof/>
            <w:webHidden/>
          </w:rPr>
          <w:fldChar w:fldCharType="separate"/>
        </w:r>
        <w:r w:rsidR="001E1A67">
          <w:rPr>
            <w:noProof/>
            <w:webHidden/>
          </w:rPr>
          <w:t>181</w:t>
        </w:r>
        <w:r w:rsidR="00D4102B">
          <w:rPr>
            <w:noProof/>
            <w:webHidden/>
          </w:rPr>
          <w:fldChar w:fldCharType="end"/>
        </w:r>
      </w:hyperlink>
    </w:p>
    <w:p w14:paraId="3C8E8157" w14:textId="13365D35"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27" w:history="1">
        <w:r w:rsidR="00D4102B" w:rsidRPr="00C211AD">
          <w:rPr>
            <w:rStyle w:val="Hypertextovodkaz"/>
            <w:noProof/>
          </w:rPr>
          <w:t>Tabulka 88: EU – Vnímaná nezávislost soudů a soudců ze strany veřejnosti, střední Evropa, 2022</w:t>
        </w:r>
        <w:r w:rsidR="00D4102B">
          <w:rPr>
            <w:noProof/>
            <w:webHidden/>
          </w:rPr>
          <w:tab/>
        </w:r>
        <w:r w:rsidR="00D4102B">
          <w:rPr>
            <w:noProof/>
            <w:webHidden/>
          </w:rPr>
          <w:fldChar w:fldCharType="begin"/>
        </w:r>
        <w:r w:rsidR="00D4102B">
          <w:rPr>
            <w:noProof/>
            <w:webHidden/>
          </w:rPr>
          <w:instrText xml:space="preserve"> PAGEREF _Toc144104327 \h </w:instrText>
        </w:r>
        <w:r w:rsidR="00D4102B">
          <w:rPr>
            <w:noProof/>
            <w:webHidden/>
          </w:rPr>
        </w:r>
        <w:r w:rsidR="00D4102B">
          <w:rPr>
            <w:noProof/>
            <w:webHidden/>
          </w:rPr>
          <w:fldChar w:fldCharType="separate"/>
        </w:r>
        <w:r w:rsidR="001E1A67">
          <w:rPr>
            <w:noProof/>
            <w:webHidden/>
          </w:rPr>
          <w:t>183</w:t>
        </w:r>
        <w:r w:rsidR="00D4102B">
          <w:rPr>
            <w:noProof/>
            <w:webHidden/>
          </w:rPr>
          <w:fldChar w:fldCharType="end"/>
        </w:r>
      </w:hyperlink>
    </w:p>
    <w:p w14:paraId="4204BFEC" w14:textId="1F43FA7E" w:rsidR="00D4102B" w:rsidRDefault="002734FA">
      <w:pPr>
        <w:pStyle w:val="Seznamobrzk"/>
        <w:tabs>
          <w:tab w:val="right" w:leader="dot" w:pos="9062"/>
        </w:tabs>
        <w:rPr>
          <w:rFonts w:asciiTheme="minorHAnsi" w:eastAsiaTheme="minorEastAsia" w:hAnsiTheme="minorHAnsi" w:cstheme="minorBidi"/>
          <w:noProof/>
          <w:sz w:val="22"/>
          <w:lang w:eastAsia="cs-CZ"/>
        </w:rPr>
      </w:pPr>
      <w:hyperlink w:anchor="_Toc144104328" w:history="1">
        <w:r w:rsidR="00D4102B" w:rsidRPr="00C211AD">
          <w:rPr>
            <w:rStyle w:val="Hypertextovodkaz"/>
            <w:noProof/>
          </w:rPr>
          <w:t>Tabulka 89: EU – nápad sporných občanských a obch. věcí na 100 obyvatel v zemích EU, soudy 1. stupně</w:t>
        </w:r>
        <w:r w:rsidR="00D4102B">
          <w:rPr>
            <w:noProof/>
            <w:webHidden/>
          </w:rPr>
          <w:tab/>
        </w:r>
        <w:r w:rsidR="00D4102B">
          <w:rPr>
            <w:noProof/>
            <w:webHidden/>
          </w:rPr>
          <w:fldChar w:fldCharType="begin"/>
        </w:r>
        <w:r w:rsidR="00D4102B">
          <w:rPr>
            <w:noProof/>
            <w:webHidden/>
          </w:rPr>
          <w:instrText xml:space="preserve"> PAGEREF _Toc144104328 \h </w:instrText>
        </w:r>
        <w:r w:rsidR="00D4102B">
          <w:rPr>
            <w:noProof/>
            <w:webHidden/>
          </w:rPr>
        </w:r>
        <w:r w:rsidR="00D4102B">
          <w:rPr>
            <w:noProof/>
            <w:webHidden/>
          </w:rPr>
          <w:fldChar w:fldCharType="separate"/>
        </w:r>
        <w:r w:rsidR="001E1A67">
          <w:rPr>
            <w:noProof/>
            <w:webHidden/>
          </w:rPr>
          <w:t>185</w:t>
        </w:r>
        <w:r w:rsidR="00D4102B">
          <w:rPr>
            <w:noProof/>
            <w:webHidden/>
          </w:rPr>
          <w:fldChar w:fldCharType="end"/>
        </w:r>
      </w:hyperlink>
    </w:p>
    <w:p w14:paraId="72A43C92" w14:textId="4B4387FE" w:rsidR="008430BD" w:rsidRPr="00F15667" w:rsidRDefault="008430BD" w:rsidP="008430BD">
      <w:pPr>
        <w:spacing w:line="240" w:lineRule="auto"/>
        <w:jc w:val="left"/>
      </w:pPr>
      <w:r w:rsidRPr="00F15667">
        <w:rPr>
          <w:b/>
          <w:bCs/>
          <w:noProof/>
        </w:rPr>
        <w:fldChar w:fldCharType="end"/>
      </w:r>
      <w:r w:rsidRPr="00F15667">
        <w:br w:type="page"/>
      </w:r>
    </w:p>
    <w:p w14:paraId="21B4A6A6" w14:textId="77777777" w:rsidR="008430BD" w:rsidRPr="00F15667" w:rsidRDefault="008430BD" w:rsidP="008430BD">
      <w:pPr>
        <w:pStyle w:val="Nadpis1"/>
      </w:pPr>
      <w:bookmarkStart w:id="1428" w:name="_Toc487791316"/>
      <w:bookmarkStart w:id="1429" w:name="_Toc106092834"/>
      <w:bookmarkStart w:id="1430" w:name="_Toc144104451"/>
      <w:r w:rsidRPr="00F15667">
        <w:lastRenderedPageBreak/>
        <w:t>Přílohy</w:t>
      </w:r>
      <w:bookmarkEnd w:id="1428"/>
      <w:bookmarkEnd w:id="1429"/>
      <w:bookmarkEnd w:id="1430"/>
    </w:p>
    <w:p w14:paraId="2A6A00A7" w14:textId="375239DF" w:rsidR="008430BD" w:rsidRPr="00F15667" w:rsidRDefault="008430BD" w:rsidP="008430BD">
      <w:pPr>
        <w:pStyle w:val="Nadpis2"/>
        <w:rPr>
          <w:color w:val="auto"/>
        </w:rPr>
      </w:pPr>
      <w:bookmarkStart w:id="1431" w:name="_Ref482901945"/>
      <w:bookmarkStart w:id="1432" w:name="_Toc487791317"/>
      <w:bookmarkStart w:id="1433" w:name="_Toc106092835"/>
      <w:bookmarkStart w:id="1434" w:name="_Toc144104452"/>
      <w:r w:rsidRPr="00F15667">
        <w:rPr>
          <w:color w:val="auto"/>
        </w:rPr>
        <w:t>Příloha</w:t>
      </w:r>
      <w:r w:rsidR="000C3B1E" w:rsidRPr="00F15667">
        <w:rPr>
          <w:color w:val="auto"/>
        </w:rPr>
        <w:t> </w:t>
      </w:r>
      <w:r w:rsidRPr="00F15667">
        <w:rPr>
          <w:color w:val="auto"/>
        </w:rPr>
        <w:t>A</w:t>
      </w:r>
      <w:r w:rsidR="000C3B1E" w:rsidRPr="00F15667">
        <w:rPr>
          <w:color w:val="auto"/>
        </w:rPr>
        <w:t xml:space="preserve"> </w:t>
      </w:r>
      <w:r w:rsidRPr="00F15667">
        <w:rPr>
          <w:color w:val="auto"/>
        </w:rPr>
        <w:t>– seznam použitých pojmů</w:t>
      </w:r>
      <w:bookmarkEnd w:id="1431"/>
      <w:bookmarkEnd w:id="1432"/>
      <w:bookmarkEnd w:id="1433"/>
      <w:bookmarkEnd w:id="1434"/>
    </w:p>
    <w:p w14:paraId="3FA7D20C" w14:textId="77777777" w:rsidR="008430BD" w:rsidRPr="00F15667" w:rsidRDefault="008430BD" w:rsidP="008430BD">
      <w:pPr>
        <w:pStyle w:val="Nadpis3"/>
        <w:ind w:left="0" w:firstLine="0"/>
        <w:rPr>
          <w:color w:val="auto"/>
        </w:rPr>
      </w:pPr>
      <w:bookmarkStart w:id="1435" w:name="_Toc487791318"/>
      <w:bookmarkStart w:id="1436" w:name="_Toc106092836"/>
      <w:bookmarkStart w:id="1437" w:name="_Toc144104453"/>
      <w:r w:rsidRPr="00F15667">
        <w:rPr>
          <w:color w:val="auto"/>
        </w:rPr>
        <w:t>Statistické pojmy a použité statistické ukazatele</w:t>
      </w:r>
      <w:bookmarkEnd w:id="1435"/>
      <w:bookmarkEnd w:id="1436"/>
      <w:bookmarkEnd w:id="1437"/>
    </w:p>
    <w:p w14:paraId="2431E5DC" w14:textId="77777777" w:rsidR="008430BD" w:rsidRPr="00F15667" w:rsidRDefault="008430BD" w:rsidP="008430BD">
      <w:pPr>
        <w:pStyle w:val="Odstavecseseznamem"/>
        <w:numPr>
          <w:ilvl w:val="0"/>
          <w:numId w:val="4"/>
        </w:numPr>
      </w:pPr>
      <w:r w:rsidRPr="00F15667">
        <w:rPr>
          <w:b/>
        </w:rPr>
        <w:t xml:space="preserve">Časová řada </w:t>
      </w:r>
      <w:r w:rsidRPr="00F15667">
        <w:t>– umožňuje sledovat vývoj daného ukazatele (např. průměrné délky řízení) v čase. Periodicita řad je v této zprávě roční, porovnáváme tedy mezi sebou jednotlivé roky. Řady jsou buď intervalové (např. počet vyřízených věcí za rok), nebo okamžikové (např. počet nevyřízených věcí k 31. 12. daného roku). Časové řady jsou vždy znázorněny v grafické podobě.</w:t>
      </w:r>
    </w:p>
    <w:p w14:paraId="41CB10A3" w14:textId="51EB3E39" w:rsidR="00DB2AA8" w:rsidRPr="00F15667" w:rsidRDefault="00DB2AA8" w:rsidP="00DB2AA8">
      <w:pPr>
        <w:pStyle w:val="Odstavecseseznamem"/>
        <w:numPr>
          <w:ilvl w:val="0"/>
          <w:numId w:val="4"/>
        </w:numPr>
        <w:rPr>
          <w:bCs/>
        </w:rPr>
      </w:pPr>
      <w:r w:rsidRPr="00F15667">
        <w:rPr>
          <w:b/>
        </w:rPr>
        <w:t xml:space="preserve">Četnost </w:t>
      </w:r>
      <w:r w:rsidRPr="00F15667">
        <w:rPr>
          <w:bCs/>
        </w:rPr>
        <w:t xml:space="preserve">– </w:t>
      </w:r>
      <w:r w:rsidR="00A8458E" w:rsidRPr="00F15667">
        <w:rPr>
          <w:bCs/>
        </w:rPr>
        <w:t xml:space="preserve">neboli počet hodnot, </w:t>
      </w:r>
      <w:r w:rsidRPr="00F15667">
        <w:rPr>
          <w:bCs/>
        </w:rPr>
        <w:t>může být absolutní</w:t>
      </w:r>
      <w:r w:rsidR="003426BF" w:rsidRPr="00F15667">
        <w:rPr>
          <w:bCs/>
        </w:rPr>
        <w:t xml:space="preserve"> nebo </w:t>
      </w:r>
      <w:r w:rsidRPr="00F15667">
        <w:rPr>
          <w:bCs/>
        </w:rPr>
        <w:t>relativní:</w:t>
      </w:r>
    </w:p>
    <w:p w14:paraId="264A0D8A" w14:textId="22C45A5E" w:rsidR="00DB2AA8" w:rsidRPr="00F15667" w:rsidRDefault="00DB2AA8" w:rsidP="00DB2AA8">
      <w:pPr>
        <w:pStyle w:val="Odstavecseseznamem"/>
        <w:numPr>
          <w:ilvl w:val="1"/>
          <w:numId w:val="4"/>
        </w:numPr>
        <w:rPr>
          <w:bCs/>
        </w:rPr>
      </w:pPr>
      <w:r w:rsidRPr="00F15667">
        <w:rPr>
          <w:b/>
        </w:rPr>
        <w:t>absolutní</w:t>
      </w:r>
      <w:r w:rsidRPr="00F15667">
        <w:rPr>
          <w:bCs/>
        </w:rPr>
        <w:t xml:space="preserve">: vyjadřuje, kolikrát se daná hodnota </w:t>
      </w:r>
      <w:r w:rsidR="00755920" w:rsidRPr="00F15667">
        <w:rPr>
          <w:bCs/>
        </w:rPr>
        <w:t>v </w:t>
      </w:r>
      <w:r w:rsidRPr="00F15667">
        <w:rPr>
          <w:bCs/>
        </w:rPr>
        <w:t xml:space="preserve">souboru </w:t>
      </w:r>
      <w:r w:rsidR="000A04FF" w:rsidRPr="00F15667">
        <w:rPr>
          <w:bCs/>
        </w:rPr>
        <w:t xml:space="preserve">/ ukazateli </w:t>
      </w:r>
      <w:r w:rsidRPr="00F15667">
        <w:rPr>
          <w:bCs/>
        </w:rPr>
        <w:t>vyskytuje; jejich součet dává celkový počet hodnot v</w:t>
      </w:r>
      <w:r w:rsidR="00A8458E" w:rsidRPr="00F15667">
        <w:rPr>
          <w:bCs/>
        </w:rPr>
        <w:t> ukazateli</w:t>
      </w:r>
      <w:r w:rsidRPr="00F15667">
        <w:rPr>
          <w:bCs/>
        </w:rPr>
        <w:t>.</w:t>
      </w:r>
    </w:p>
    <w:p w14:paraId="01F63630" w14:textId="3899C021" w:rsidR="00DB2AA8" w:rsidRPr="00F15667" w:rsidRDefault="00DB2AA8" w:rsidP="00DB2AA8">
      <w:pPr>
        <w:pStyle w:val="Odstavecseseznamem"/>
        <w:numPr>
          <w:ilvl w:val="1"/>
          <w:numId w:val="4"/>
        </w:numPr>
        <w:rPr>
          <w:bCs/>
        </w:rPr>
      </w:pPr>
      <w:r w:rsidRPr="00F15667">
        <w:rPr>
          <w:b/>
        </w:rPr>
        <w:t>relativní</w:t>
      </w:r>
      <w:r w:rsidRPr="00F15667">
        <w:rPr>
          <w:bCs/>
        </w:rPr>
        <w:t xml:space="preserve">: vyjadřuje podíl dané hodnoty na </w:t>
      </w:r>
      <w:r w:rsidR="00602009" w:rsidRPr="00F15667">
        <w:rPr>
          <w:bCs/>
        </w:rPr>
        <w:t>celkovém počtu hodnot v ukazateli</w:t>
      </w:r>
      <w:r w:rsidRPr="00F15667">
        <w:rPr>
          <w:bCs/>
        </w:rPr>
        <w:t>; po vynásobení stem se vyjádří v</w:t>
      </w:r>
      <w:r w:rsidR="00CB570A" w:rsidRPr="00F15667">
        <w:rPr>
          <w:bCs/>
        </w:rPr>
        <w:t> %</w:t>
      </w:r>
      <w:r w:rsidRPr="00F15667">
        <w:rPr>
          <w:bCs/>
        </w:rPr>
        <w:t>.</w:t>
      </w:r>
      <w:r w:rsidR="007D0235" w:rsidRPr="00F15667">
        <w:rPr>
          <w:bCs/>
        </w:rPr>
        <w:t xml:space="preserve"> </w:t>
      </w:r>
      <w:r w:rsidR="007D0235" w:rsidRPr="00F15667">
        <w:t>Máme-li například soubor, kde jsou hodnoty {1,1,2,2,3,3,3,4} potom relativní četnost hodnoty 3 v tomto souboru</w:t>
      </w:r>
      <w:r w:rsidR="00A8458E" w:rsidRPr="00F15667">
        <w:t xml:space="preserve"> je</w:t>
      </w:r>
      <w:r w:rsidR="007D0235" w:rsidRPr="00F15667">
        <w:t xml:space="preserve"> 3 : 8 </w:t>
      </w:r>
      <w:r w:rsidR="00755920" w:rsidRPr="00F15667">
        <w:t xml:space="preserve">× </w:t>
      </w:r>
      <w:r w:rsidR="007D0235" w:rsidRPr="00F15667">
        <w:t>100 = 37,5</w:t>
      </w:r>
      <w:r w:rsidR="00CB570A" w:rsidRPr="00F15667">
        <w:t> %</w:t>
      </w:r>
      <w:r w:rsidR="00A05289" w:rsidRPr="00F15667">
        <w:t xml:space="preserve"> </w:t>
      </w:r>
      <w:r w:rsidR="00CF32FA">
        <w:t>–</w:t>
      </w:r>
      <w:r w:rsidR="00A05289" w:rsidRPr="00F15667">
        <w:t xml:space="preserve"> tuto četnost hojně využíváme v grafech distribuce délek řízení</w:t>
      </w:r>
      <w:r w:rsidR="000777CE" w:rsidRPr="00F15667">
        <w:t>.</w:t>
      </w:r>
      <w:r w:rsidR="001764B8" w:rsidRPr="00F15667">
        <w:t xml:space="preserve"> Součet relativních četností v daném ukazateli musí logicky činit 100%.</w:t>
      </w:r>
    </w:p>
    <w:p w14:paraId="294BF80C" w14:textId="315D37D6" w:rsidR="008430BD" w:rsidRPr="00F15667" w:rsidRDefault="008430BD" w:rsidP="008430BD">
      <w:pPr>
        <w:pStyle w:val="Odstavecseseznamem"/>
        <w:numPr>
          <w:ilvl w:val="0"/>
          <w:numId w:val="4"/>
        </w:numPr>
        <w:rPr>
          <w:b/>
        </w:rPr>
      </w:pPr>
      <w:r w:rsidRPr="00F15667">
        <w:rPr>
          <w:b/>
        </w:rPr>
        <w:t xml:space="preserve">Délka řízení </w:t>
      </w:r>
      <w:r w:rsidRPr="00F15667">
        <w:t xml:space="preserve">– v textu je pojem často používán v množném čísle „délky řízení“. Tím jsou obvykle myšleny sledované ukazatele (průměrná délka řízení, mediánová délka řízení a devadesátý percentil). U každé podkapitoly je uvedeno, o jakou délku řízení se jedná (ode dne nápadu do dne vyřízení soudem </w:t>
      </w:r>
      <w:r w:rsidR="000C3B1E" w:rsidRPr="00F15667">
        <w:t>I. stupně</w:t>
      </w:r>
      <w:r w:rsidRPr="00F15667">
        <w:t xml:space="preserve"> apod.). Délka řízení je vždy</w:t>
      </w:r>
      <w:r w:rsidRPr="00F15667" w:rsidDel="00312547">
        <w:t xml:space="preserve"> </w:t>
      </w:r>
      <w:r w:rsidRPr="00F15667">
        <w:t>udávána v kalendářních dnech. Vypočtena je ze statistických listů a je považována za jeden z ukazatelů výkonnosti a zatíženosti soudů.</w:t>
      </w:r>
    </w:p>
    <w:p w14:paraId="47F19C83" w14:textId="12A23819" w:rsidR="00F95DAE" w:rsidRPr="00F15667" w:rsidRDefault="008430BD" w:rsidP="00245F53">
      <w:pPr>
        <w:pStyle w:val="Odstavecseseznamem"/>
        <w:numPr>
          <w:ilvl w:val="0"/>
          <w:numId w:val="4"/>
        </w:numPr>
      </w:pPr>
      <w:r w:rsidRPr="00F15667">
        <w:rPr>
          <w:b/>
        </w:rPr>
        <w:t xml:space="preserve">Disposition time (DT) </w:t>
      </w:r>
      <w:r w:rsidRPr="00F15667">
        <w:t>– je vypočítán podle metodiky CEPEJ</w:t>
      </w:r>
      <w:r w:rsidRPr="00F15667">
        <w:rPr>
          <w:rStyle w:val="Znakapoznpodarou"/>
        </w:rPr>
        <w:footnoteReference w:id="21"/>
      </w:r>
      <w:r w:rsidRPr="00F15667">
        <w:t xml:space="preserve"> jako (počet nevyřízených věcí na konci daného období) / (počet vyřízených věcí v daném období) ×</w:t>
      </w:r>
      <w:r w:rsidR="000C3B1E" w:rsidRPr="00F15667">
        <w:t xml:space="preserve"> </w:t>
      </w:r>
      <w:r w:rsidRPr="00F15667">
        <w:t xml:space="preserve">365. Tento údaj v podstatě ukazuje, za kolik dní by při stejném tempu soud dovyřídil všechny věci, které u něj dnes </w:t>
      </w:r>
      <w:r w:rsidR="0052609E" w:rsidRPr="00F15667">
        <w:t>„</w:t>
      </w:r>
      <w:r w:rsidRPr="00F15667">
        <w:t>leží</w:t>
      </w:r>
      <w:r w:rsidR="0052609E" w:rsidRPr="00F15667">
        <w:t>“</w:t>
      </w:r>
      <w:r w:rsidRPr="00F15667">
        <w:t xml:space="preserve">, kdyby k němu již žádné další nepřicházely. Nejedná se o délku řízení, přestože by se to mohlo podle názvu nabízet. Další informace k tomuto ukazateli obsahuje podkapitola 2.2.4. DT je považován za jeden z ukazatelů výkonnosti a zatíženosti soudů. Příklad interpretace: Pokud by soud vykázal za daný rok pouze </w:t>
      </w:r>
      <w:r w:rsidR="000C3B1E" w:rsidRPr="00F15667">
        <w:t>1 </w:t>
      </w:r>
      <w:r w:rsidRPr="00F15667">
        <w:t xml:space="preserve">nevyřízenou věc </w:t>
      </w:r>
      <w:r w:rsidR="000C3B1E" w:rsidRPr="00F15667">
        <w:t>a </w:t>
      </w:r>
      <w:r w:rsidRPr="00F15667">
        <w:t>100</w:t>
      </w:r>
      <w:r w:rsidR="000C3B1E" w:rsidRPr="00F15667">
        <w:t> </w:t>
      </w:r>
      <w:r w:rsidRPr="00F15667">
        <w:t>věcí vyřízených, potom ukazatel disposition time má hodnotu 3,65</w:t>
      </w:r>
      <w:r w:rsidR="000C3B1E" w:rsidRPr="00F15667">
        <w:t> </w:t>
      </w:r>
      <w:r w:rsidRPr="00F15667">
        <w:t>dní. Pokud by soud vykázal 100</w:t>
      </w:r>
      <w:r w:rsidR="000C3B1E" w:rsidRPr="00F15667">
        <w:t> </w:t>
      </w:r>
      <w:r w:rsidRPr="00F15667">
        <w:t xml:space="preserve">nevyřízených věci </w:t>
      </w:r>
      <w:r w:rsidR="00466E7F" w:rsidRPr="00F15667">
        <w:t>věcí</w:t>
      </w:r>
      <w:r w:rsidRPr="00F15667">
        <w:t xml:space="preserve"> na 100</w:t>
      </w:r>
      <w:r w:rsidR="000C3B1E" w:rsidRPr="00F15667">
        <w:t> </w:t>
      </w:r>
      <w:r w:rsidRPr="00F15667">
        <w:t xml:space="preserve">vyřízených věcí </w:t>
      </w:r>
      <w:r w:rsidR="000C3B1E" w:rsidRPr="00F15667">
        <w:t>v </w:t>
      </w:r>
      <w:r w:rsidRPr="00F15667">
        <w:t>daném roce, potom by ukazatel disposition time měl hodnotu 365</w:t>
      </w:r>
      <w:r w:rsidR="000C3B1E" w:rsidRPr="00F15667">
        <w:t> </w:t>
      </w:r>
      <w:r w:rsidRPr="00F15667">
        <w:t>dní</w:t>
      </w:r>
      <w:r w:rsidR="00FC53D6" w:rsidRPr="00F15667">
        <w:t xml:space="preserve">. </w:t>
      </w:r>
      <w:r w:rsidR="00BA1658" w:rsidRPr="00F15667">
        <w:t>V</w:t>
      </w:r>
      <w:r w:rsidR="00F5698F" w:rsidRPr="00F15667">
        <w:t xml:space="preserve">šechny agendy </w:t>
      </w:r>
      <w:r w:rsidR="000C3B1E" w:rsidRPr="00F15667">
        <w:t>a </w:t>
      </w:r>
      <w:r w:rsidR="00F5698F" w:rsidRPr="00F15667">
        <w:t>všechny soudy s</w:t>
      </w:r>
      <w:r w:rsidR="00BA1658" w:rsidRPr="00F15667">
        <w:t> DT &gt; </w:t>
      </w:r>
      <w:r w:rsidR="00F5698F" w:rsidRPr="00F15667">
        <w:t xml:space="preserve">365 mají </w:t>
      </w:r>
      <w:r w:rsidR="00BA1658" w:rsidRPr="00F15667">
        <w:t xml:space="preserve">tedy </w:t>
      </w:r>
      <w:r w:rsidR="00F5698F" w:rsidRPr="00F15667">
        <w:t xml:space="preserve">více nevyřízených věcí než vyřízených, </w:t>
      </w:r>
      <w:r w:rsidR="000C3B1E" w:rsidRPr="00F15667">
        <w:t>a </w:t>
      </w:r>
      <w:r w:rsidR="00BA1658" w:rsidRPr="00F15667">
        <w:t xml:space="preserve">pokud </w:t>
      </w:r>
      <w:r w:rsidR="005176A0" w:rsidRPr="00F15667">
        <w:t xml:space="preserve">by </w:t>
      </w:r>
      <w:r w:rsidR="00BA1658" w:rsidRPr="00F15667">
        <w:t xml:space="preserve">nepřicházel nový nápad nebo obživa, </w:t>
      </w:r>
      <w:r w:rsidR="00F5698F" w:rsidRPr="00F15667">
        <w:t>jejich vyřízení by trvalo více než jeden rok</w:t>
      </w:r>
      <w:r w:rsidR="005176A0" w:rsidRPr="00F15667">
        <w:t>.</w:t>
      </w:r>
    </w:p>
    <w:p w14:paraId="25B4889E" w14:textId="77777777" w:rsidR="008430BD" w:rsidRPr="00F15667" w:rsidRDefault="008430BD" w:rsidP="008430BD">
      <w:pPr>
        <w:pStyle w:val="Odstavecseseznamem"/>
        <w:numPr>
          <w:ilvl w:val="0"/>
          <w:numId w:val="4"/>
        </w:numPr>
        <w:rPr>
          <w:b/>
        </w:rPr>
      </w:pPr>
      <w:r w:rsidRPr="00F15667">
        <w:rPr>
          <w:b/>
        </w:rPr>
        <w:t xml:space="preserve">Evidenční počet soudců </w:t>
      </w:r>
      <w:r w:rsidRPr="00F15667">
        <w:t>– zahrnuje všechny soudce. Do čísla jsou tedy započteni i dlouhodobě nepřítomní soudci (např. na mateřské nebo rodičovské dovolené, dlouhodobě nemocní, na stáži). Uváděné počty jsou vždy k 1. 1. sledovaného roku.</w:t>
      </w:r>
    </w:p>
    <w:p w14:paraId="19E9D46A" w14:textId="17AAA9F5" w:rsidR="008430BD" w:rsidRPr="00F15667" w:rsidRDefault="008430BD" w:rsidP="008430BD">
      <w:pPr>
        <w:pStyle w:val="Odstavecseseznamem"/>
        <w:numPr>
          <w:ilvl w:val="0"/>
          <w:numId w:val="4"/>
        </w:numPr>
      </w:pPr>
      <w:r w:rsidRPr="00F15667">
        <w:rPr>
          <w:b/>
        </w:rPr>
        <w:t xml:space="preserve">Histogram </w:t>
      </w:r>
      <w:r w:rsidRPr="00F15667">
        <w:t>– používá se pro znázornění rozdělení zkoumaných dat za využití sloupcového grafu. V této zprávě je na ose </w:t>
      </w:r>
      <w:r w:rsidRPr="00F15667">
        <w:rPr>
          <w:i/>
        </w:rPr>
        <w:t>x</w:t>
      </w:r>
      <w:r w:rsidRPr="00F15667">
        <w:t xml:space="preserve"> zkoumaný ukazatel, na ose </w:t>
      </w:r>
      <w:r w:rsidRPr="00F15667">
        <w:rPr>
          <w:i/>
        </w:rPr>
        <w:t>y</w:t>
      </w:r>
      <w:r w:rsidRPr="00F15667">
        <w:t xml:space="preserve"> je relativní četnost v</w:t>
      </w:r>
      <w:r w:rsidR="00CB570A" w:rsidRPr="00F15667">
        <w:t> %</w:t>
      </w:r>
      <w:r w:rsidRPr="00F15667">
        <w:t>. Výška sloupců tedy vyjadřuje relativní četnost. Jedná se o počet pozorování, která se nacházejí v daném intervalu / celkový počet pozorování v datovém souboru ×</w:t>
      </w:r>
      <w:r w:rsidR="000C3B1E" w:rsidRPr="00F15667">
        <w:t xml:space="preserve"> </w:t>
      </w:r>
      <w:r w:rsidRPr="00F15667">
        <w:t>100.</w:t>
      </w:r>
    </w:p>
    <w:p w14:paraId="3A86B722" w14:textId="77777777" w:rsidR="008430BD" w:rsidRPr="00F15667" w:rsidRDefault="008430BD" w:rsidP="008430BD">
      <w:pPr>
        <w:pStyle w:val="Odstavecseseznamem"/>
        <w:numPr>
          <w:ilvl w:val="0"/>
          <w:numId w:val="4"/>
        </w:numPr>
      </w:pPr>
      <w:r w:rsidRPr="00F15667">
        <w:rPr>
          <w:b/>
        </w:rPr>
        <w:lastRenderedPageBreak/>
        <w:t xml:space="preserve">Kartogram </w:t>
      </w:r>
      <w:r w:rsidRPr="00F15667">
        <w:t>– v této zprávě se jedná o mapu, která znázorňuje výši zkoumaného ukazatele v soudních okresech nebo obvodech hlavního města Prahy. Tmavší odstín barvy obvykle značí vyšší hodnotu ukazatele. Například tmavší odstíny fialové barvy značí vyšší mediánovou délku řízení. U kartogramů je potřeba věnovat pozornost šíři intervalů, aby nedošlo k dezinterpretaci. Graf se vždy skládá ze dvou kartogramů – větší znázorňuje celou ČR, Praha je pak znázorněna na menším kartogramu v pravém horním rohu.</w:t>
      </w:r>
    </w:p>
    <w:p w14:paraId="5D2C57E9" w14:textId="71FF4E7C" w:rsidR="008430BD" w:rsidRPr="00F15667" w:rsidRDefault="008430BD" w:rsidP="008430BD">
      <w:pPr>
        <w:pStyle w:val="Odstavecseseznamem"/>
        <w:numPr>
          <w:ilvl w:val="0"/>
          <w:numId w:val="4"/>
        </w:numPr>
        <w:rPr>
          <w:rStyle w:val="OdstavecASRChar"/>
        </w:rPr>
      </w:pPr>
      <w:r w:rsidRPr="00F15667">
        <w:rPr>
          <w:b/>
        </w:rPr>
        <w:t xml:space="preserve">Krabicový graf </w:t>
      </w:r>
      <w:r w:rsidRPr="00F15667">
        <w:t xml:space="preserve">– </w:t>
      </w:r>
      <w:r w:rsidRPr="00F15667">
        <w:rPr>
          <w:rStyle w:val="OdstavecASRChar"/>
        </w:rPr>
        <w:t>nebo</w:t>
      </w:r>
      <w:r w:rsidR="00245596" w:rsidRPr="00F15667">
        <w:rPr>
          <w:rStyle w:val="OdstavecASRChar"/>
        </w:rPr>
        <w:t>li</w:t>
      </w:r>
      <w:r w:rsidRPr="00F15667">
        <w:rPr>
          <w:rStyle w:val="OdstavecASRChar"/>
        </w:rPr>
        <w:t xml:space="preserve"> krabicový diagram, z anglického </w:t>
      </w:r>
      <w:r w:rsidRPr="00F15667">
        <w:rPr>
          <w:rStyle w:val="OdstavecASRChar"/>
          <w:i/>
        </w:rPr>
        <w:t>box plot</w:t>
      </w:r>
      <w:r w:rsidRPr="00F15667">
        <w:rPr>
          <w:rStyle w:val="OdstavecASRChar"/>
        </w:rPr>
        <w:t xml:space="preserve">. U vybraných ukazatelů a agend je sestaven pro každý rok. Krabicové grafy jsou seřazeny za sebe do časové řady, aby bylo vidět, jak se s postupem času měnily, a jak se tedy měnila data, z nichž vychází. Na obrázku níže je zobrazen krabicový graf i s popisky jednotlivých částí. Pojmy medián a kvartil jsou vysvětleny v příslušných heslech tohoto seznamu. Přilehlé hodnoty se rovnají 1,5násobku hodnoty příslušného kvartilu. Odlehlé hodnoty (tzv. </w:t>
      </w:r>
      <w:r w:rsidRPr="00F15667">
        <w:rPr>
          <w:rStyle w:val="OdstavecASRChar"/>
          <w:i/>
        </w:rPr>
        <w:t>outliers</w:t>
      </w:r>
      <w:r w:rsidRPr="00F15667">
        <w:rPr>
          <w:rStyle w:val="OdstavecASRChar"/>
        </w:rPr>
        <w:t xml:space="preserve">) jsou pak hodnoty </w:t>
      </w:r>
      <w:r w:rsidR="00245596" w:rsidRPr="00F15667">
        <w:rPr>
          <w:rStyle w:val="OdstavecASRChar"/>
        </w:rPr>
        <w:t>vyšší nebo nižší</w:t>
      </w:r>
      <w:r w:rsidRPr="00F15667">
        <w:rPr>
          <w:rStyle w:val="OdstavecASRChar"/>
        </w:rPr>
        <w:t>, než je přilehlá hodnota.</w:t>
      </w:r>
    </w:p>
    <w:p w14:paraId="09356734" w14:textId="77777777" w:rsidR="008430BD" w:rsidRPr="00F15667" w:rsidRDefault="008430BD" w:rsidP="008430BD">
      <w:pPr>
        <w:pStyle w:val="Odstavecseseznamem"/>
      </w:pPr>
      <w:r w:rsidRPr="00F15667">
        <w:rPr>
          <w:rStyle w:val="OdstavecASRChar"/>
          <w:noProof/>
          <w:lang w:eastAsia="cs-CZ"/>
        </w:rPr>
        <w:drawing>
          <wp:inline distT="0" distB="0" distL="0" distR="0" wp14:anchorId="541574C8" wp14:editId="562E0362">
            <wp:extent cx="4985385" cy="4126865"/>
            <wp:effectExtent l="0" t="0" r="5715" b="6985"/>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985385" cy="4126865"/>
                    </a:xfrm>
                    <a:prstGeom prst="rect">
                      <a:avLst/>
                    </a:prstGeom>
                    <a:noFill/>
                    <a:ln>
                      <a:noFill/>
                    </a:ln>
                  </pic:spPr>
                </pic:pic>
              </a:graphicData>
            </a:graphic>
          </wp:inline>
        </w:drawing>
      </w:r>
    </w:p>
    <w:p w14:paraId="60C4FC65" w14:textId="77777777" w:rsidR="008430BD" w:rsidRPr="00F15667" w:rsidRDefault="008430BD" w:rsidP="008430BD">
      <w:pPr>
        <w:pStyle w:val="Odstavecseseznamem"/>
      </w:pPr>
      <w:r w:rsidRPr="00F15667">
        <w:t>Příklad grafu zobrazuje data, která jsou téměř dokonale symetrická, jedinou výjimku tvoří odlehlé hodnoty. Vousy i části boxu (krabice) jsou totožné nad i pod mediánem. Reálná data ale takto symetrická většinou nejsou. Části nad i pod mediánem jsou různě velké a samozřejmě se mění během času.</w:t>
      </w:r>
    </w:p>
    <w:p w14:paraId="0013ABFA" w14:textId="77777777" w:rsidR="008430BD" w:rsidRPr="00F15667" w:rsidRDefault="008430BD" w:rsidP="008430BD">
      <w:pPr>
        <w:pStyle w:val="Odstavecseseznamem"/>
      </w:pPr>
      <w:r w:rsidRPr="00F15667">
        <w:t>Větší box, delší vousy nebo více odlehlých hodnot</w:t>
      </w:r>
      <w:r w:rsidR="00BA1658" w:rsidRPr="00F15667">
        <w:t>,</w:t>
      </w:r>
      <w:r w:rsidRPr="00F15667">
        <w:t xml:space="preserve"> značí větší variabilitu v datech, a tedy i větší rozdíly mezi soudy. Vždy je však potřeba věnovat pozornost měřítku osy </w:t>
      </w:r>
      <w:r w:rsidRPr="00F15667">
        <w:rPr>
          <w:i/>
        </w:rPr>
        <w:t>y</w:t>
      </w:r>
      <w:r w:rsidRPr="00F15667">
        <w:t>.</w:t>
      </w:r>
    </w:p>
    <w:p w14:paraId="0DB93DE9" w14:textId="77777777" w:rsidR="008430BD" w:rsidRPr="00F15667" w:rsidRDefault="008430BD" w:rsidP="008430BD">
      <w:pPr>
        <w:pStyle w:val="Odstavecseseznamem"/>
      </w:pPr>
      <w:r w:rsidRPr="00F15667">
        <w:t>Výhodou krabicového grafu je, že poskytuje lepší a komplexnější přehled o rozdělení a míře variability v datech než pouze jeden sledovaný ukazatel, jako je například směrodatná odchylka. Přitom je ale stále vhodný pro sledování změn v čase.</w:t>
      </w:r>
    </w:p>
    <w:p w14:paraId="195163D3" w14:textId="7F598F2D" w:rsidR="008430BD" w:rsidRPr="00F15667" w:rsidRDefault="008430BD" w:rsidP="008430BD">
      <w:pPr>
        <w:pStyle w:val="Odstavecseseznamem"/>
        <w:numPr>
          <w:ilvl w:val="0"/>
          <w:numId w:val="4"/>
        </w:numPr>
      </w:pPr>
      <w:r w:rsidRPr="00F15667">
        <w:rPr>
          <w:b/>
        </w:rPr>
        <w:lastRenderedPageBreak/>
        <w:t xml:space="preserve">Kvartil </w:t>
      </w:r>
      <w:r w:rsidRPr="00F15667">
        <w:t>– tři kvartily rozdělí vzestupně setříděný soubor hodnot na čtyři stejně velké části, z nichž každá představuje právě jednu čtvrtinu. První kvartil (tzv. dolní) se rovná 25. percentilu, tedy 25</w:t>
      </w:r>
      <w:r w:rsidR="00CB570A" w:rsidRPr="00F15667">
        <w:t> %</w:t>
      </w:r>
      <w:r w:rsidRPr="00F15667">
        <w:t xml:space="preserve"> hodnot je </w:t>
      </w:r>
      <w:r w:rsidR="00245596" w:rsidRPr="00F15667">
        <w:t xml:space="preserve">nižších </w:t>
      </w:r>
      <w:r w:rsidRPr="00F15667">
        <w:t>a 75</w:t>
      </w:r>
      <w:r w:rsidR="00CB570A" w:rsidRPr="00F15667">
        <w:t> %</w:t>
      </w:r>
      <w:r w:rsidRPr="00F15667">
        <w:t xml:space="preserve"> je </w:t>
      </w:r>
      <w:r w:rsidR="00245596" w:rsidRPr="00F15667">
        <w:t>vyšších</w:t>
      </w:r>
      <w:r w:rsidRPr="00F15667">
        <w:t>, druhý kvartil (střední) je mediánem a třetí kvartil (horní) je roven 75. percentilu.</w:t>
      </w:r>
    </w:p>
    <w:p w14:paraId="626F4BB1" w14:textId="2045E6F9" w:rsidR="008430BD" w:rsidRPr="00F15667" w:rsidRDefault="008430BD" w:rsidP="008430BD">
      <w:pPr>
        <w:pStyle w:val="Odstavecseseznamem"/>
        <w:numPr>
          <w:ilvl w:val="0"/>
          <w:numId w:val="4"/>
        </w:numPr>
      </w:pPr>
      <w:r w:rsidRPr="00F15667">
        <w:rPr>
          <w:b/>
        </w:rPr>
        <w:t xml:space="preserve">Medián </w:t>
      </w:r>
      <w:r w:rsidRPr="00F15667">
        <w:t>– hodnota, která se nachází přesně uprostřed vzestupně setříděného souboru hodnot a dělí ho na dvě stejně velké části o stejném počtu hodnot. Platí, že nejméně 50</w:t>
      </w:r>
      <w:r w:rsidR="00CB570A" w:rsidRPr="00F15667">
        <w:t> %</w:t>
      </w:r>
      <w:r w:rsidRPr="00F15667">
        <w:t xml:space="preserve"> hodnot je </w:t>
      </w:r>
      <w:r w:rsidR="007474D8" w:rsidRPr="00F15667">
        <w:t xml:space="preserve">nižších </w:t>
      </w:r>
      <w:r w:rsidRPr="00F15667">
        <w:t>nebo rovno a nejméně 50</w:t>
      </w:r>
      <w:r w:rsidR="00CB570A" w:rsidRPr="00F15667">
        <w:t> %</w:t>
      </w:r>
      <w:r w:rsidRPr="00F15667">
        <w:t xml:space="preserve"> hodnot je </w:t>
      </w:r>
      <w:r w:rsidR="00245596" w:rsidRPr="00F15667">
        <w:t xml:space="preserve">vyšších </w:t>
      </w:r>
      <w:r w:rsidRPr="00F15667">
        <w:t xml:space="preserve">nebo rovno mediánu. Medián se rovná druhému kvartilu, pátému decilu a padesátému percentilu. Má-li soud mediánovou délku řízení např. 200 dnů, řízení pro první polovinu případů (tedy věcí) trvá maximálně 200 dnů včetně, pro druhou polovinu </w:t>
      </w:r>
      <w:r w:rsidR="00560594" w:rsidRPr="00F15667">
        <w:t xml:space="preserve">pak </w:t>
      </w:r>
      <w:r w:rsidRPr="00F15667">
        <w:t>20</w:t>
      </w:r>
      <w:r w:rsidR="005176A0" w:rsidRPr="00F15667">
        <w:t>0</w:t>
      </w:r>
      <w:r w:rsidRPr="00F15667">
        <w:t xml:space="preserve"> dnů nebo více.</w:t>
      </w:r>
    </w:p>
    <w:p w14:paraId="055DBA40" w14:textId="77777777" w:rsidR="00105367" w:rsidRPr="00F15667" w:rsidRDefault="008430BD" w:rsidP="006818E7">
      <w:pPr>
        <w:pStyle w:val="Odstavecseseznamem"/>
        <w:numPr>
          <w:ilvl w:val="0"/>
          <w:numId w:val="4"/>
        </w:numPr>
      </w:pPr>
      <w:r w:rsidRPr="00F15667">
        <w:rPr>
          <w:b/>
        </w:rPr>
        <w:t xml:space="preserve">Měřítko náročnosti agendy </w:t>
      </w:r>
      <w:r w:rsidRPr="00F15667">
        <w:t>– měřítka byla pro každou soudní agendu (rejstřík) stanovena komisí složenou ze soudců a expertů. Teoreticky určuje náročnost průměrné věci v dané agendě (rejstříku). Měřítka vyjadřují počet věcí, které by měl jeden soudce nebo zaměstnanec ve výkonu vyřídit (zpracovat) za rok. Vyšší číslo tedy znamená nižší náročnost. Měřítka jsou využita při tzv. systemizaci (viz toto heslo).</w:t>
      </w:r>
      <w:r w:rsidR="001764B8" w:rsidRPr="00F15667">
        <w:t xml:space="preserve"> </w:t>
      </w:r>
    </w:p>
    <w:p w14:paraId="3DBCFF85" w14:textId="2B94C531" w:rsidR="008430BD" w:rsidRPr="00F15667" w:rsidRDefault="008430BD" w:rsidP="006818E7">
      <w:pPr>
        <w:pStyle w:val="Odstavecseseznamem"/>
        <w:numPr>
          <w:ilvl w:val="0"/>
          <w:numId w:val="4"/>
        </w:numPr>
      </w:pPr>
      <w:r w:rsidRPr="00F15667">
        <w:rPr>
          <w:b/>
        </w:rPr>
        <w:t xml:space="preserve">Míra celkové změny rozsudku </w:t>
      </w:r>
      <w:r w:rsidRPr="00F15667">
        <w:t xml:space="preserve">– vypočtena jako míra odvolání krát míra změny rozsudku. Jde </w:t>
      </w:r>
      <w:r w:rsidR="000C3B1E" w:rsidRPr="00F15667">
        <w:t>o </w:t>
      </w:r>
      <w:r w:rsidRPr="00F15667">
        <w:t xml:space="preserve">podíl věcí, v nichž nakonec bylo odvolacím soudem změněno rozhodnutí soudu </w:t>
      </w:r>
      <w:r w:rsidR="000C3B1E" w:rsidRPr="00F15667">
        <w:t>I. stupně</w:t>
      </w:r>
      <w:r w:rsidR="00BA1658" w:rsidRPr="00F15667">
        <w:t>,</w:t>
      </w:r>
      <w:r w:rsidRPr="00F15667">
        <w:t xml:space="preserve"> ke všem prvostupňovým rozhodnutím.</w:t>
      </w:r>
    </w:p>
    <w:p w14:paraId="5AE25CD6" w14:textId="254F9D2F" w:rsidR="00930695" w:rsidRPr="00F15667" w:rsidRDefault="00930695" w:rsidP="008430BD">
      <w:pPr>
        <w:pStyle w:val="Odstavecseseznamem"/>
        <w:numPr>
          <w:ilvl w:val="0"/>
          <w:numId w:val="4"/>
        </w:numPr>
      </w:pPr>
      <w:r w:rsidRPr="00F15667">
        <w:rPr>
          <w:b/>
          <w:bCs/>
        </w:rPr>
        <w:t>Míra odsouzení</w:t>
      </w:r>
      <w:r w:rsidRPr="00F15667">
        <w:t xml:space="preserve"> – je vypočtena ze statistických listů</w:t>
      </w:r>
      <w:r w:rsidR="00033563" w:rsidRPr="00F15667">
        <w:t>.</w:t>
      </w:r>
      <w:r w:rsidRPr="00F15667">
        <w:t xml:space="preserve"> </w:t>
      </w:r>
      <w:r w:rsidR="00033563" w:rsidRPr="00F15667">
        <w:t>J</w:t>
      </w:r>
      <w:r w:rsidRPr="00F15667">
        <w:t xml:space="preserve">edná se </w:t>
      </w:r>
      <w:r w:rsidR="000C3B1E" w:rsidRPr="00F15667">
        <w:t>o </w:t>
      </w:r>
      <w:r w:rsidRPr="00F15667">
        <w:t>podíl odsouzených na počtu obžalovaných × 100</w:t>
      </w:r>
      <w:r w:rsidR="00CB570A" w:rsidRPr="00F15667">
        <w:t> %</w:t>
      </w:r>
      <w:r w:rsidR="0056684D" w:rsidRPr="00F15667">
        <w:t xml:space="preserve"> rozhodnutých soudy v daném roce</w:t>
      </w:r>
      <w:r w:rsidRPr="00F15667">
        <w:t>. Udává tedy</w:t>
      </w:r>
      <w:r w:rsidR="00033563" w:rsidRPr="00F15667">
        <w:t>,</w:t>
      </w:r>
      <w:r w:rsidRPr="00F15667">
        <w:t xml:space="preserve"> kolik z obžalovaných osob bylo aspoň za jeden trestný </w:t>
      </w:r>
      <w:r w:rsidR="00BF4CBC" w:rsidRPr="00F15667">
        <w:t xml:space="preserve">čin </w:t>
      </w:r>
      <w:r w:rsidRPr="00F15667">
        <w:t>uznán</w:t>
      </w:r>
      <w:r w:rsidR="00E844A3" w:rsidRPr="00F15667">
        <w:t>o</w:t>
      </w:r>
      <w:r w:rsidRPr="00F15667">
        <w:t xml:space="preserve"> vinným</w:t>
      </w:r>
      <w:r w:rsidR="00033563" w:rsidRPr="00F15667">
        <w:t>i</w:t>
      </w:r>
      <w:r w:rsidRPr="00F15667">
        <w:t xml:space="preserve">. Do obžalovaných osob </w:t>
      </w:r>
      <w:r w:rsidR="00E844A3" w:rsidRPr="00F15667">
        <w:t xml:space="preserve">se </w:t>
      </w:r>
      <w:r w:rsidRPr="00F15667">
        <w:t xml:space="preserve">započítávají všechny osoby, vůči kterým státní zástupce </w:t>
      </w:r>
      <w:r w:rsidR="00BE34F3" w:rsidRPr="00F15667">
        <w:t xml:space="preserve">podal </w:t>
      </w:r>
      <w:r w:rsidR="000C3B1E" w:rsidRPr="00F15667">
        <w:t>u </w:t>
      </w:r>
      <w:r w:rsidRPr="00F15667">
        <w:t xml:space="preserve">soudu obžalobu, návrh na potrestání nebo návrh na schválení dohody o vinně </w:t>
      </w:r>
      <w:r w:rsidR="000C3B1E" w:rsidRPr="00F15667">
        <w:t>a </w:t>
      </w:r>
      <w:r w:rsidRPr="00F15667">
        <w:t>trestu.</w:t>
      </w:r>
      <w:r w:rsidR="001764B8" w:rsidRPr="00F15667">
        <w:t xml:space="preserve"> </w:t>
      </w:r>
    </w:p>
    <w:p w14:paraId="16A37439" w14:textId="3D1B2044" w:rsidR="008430BD" w:rsidRPr="00F15667" w:rsidRDefault="008430BD" w:rsidP="008430BD">
      <w:pPr>
        <w:pStyle w:val="Odstavecseseznamem"/>
        <w:numPr>
          <w:ilvl w:val="0"/>
          <w:numId w:val="4"/>
        </w:numPr>
        <w:ind w:left="714" w:hanging="357"/>
      </w:pPr>
      <w:r w:rsidRPr="00F15667">
        <w:rPr>
          <w:b/>
        </w:rPr>
        <w:t xml:space="preserve">Míra odvolání </w:t>
      </w:r>
      <w:r w:rsidRPr="00F15667">
        <w:t>– je vypočtena ze statistických listů a jedná se o poměr pravomocně vyřízených věcí, v nichž bylo podáno odvolání, k celkovému počtu pravomocně skončených (vyřízených) věcí × 100</w:t>
      </w:r>
      <w:r w:rsidR="00CB570A" w:rsidRPr="00F15667">
        <w:t> %</w:t>
      </w:r>
      <w:r w:rsidRPr="00F15667">
        <w:t xml:space="preserve">. </w:t>
      </w:r>
      <w:r w:rsidRPr="00F15667">
        <w:rPr>
          <w:bCs/>
          <w:i/>
        </w:rPr>
        <w:t>Ceteris paribus</w:t>
      </w:r>
      <w:r w:rsidRPr="00F15667">
        <w:rPr>
          <w:i/>
        </w:rPr>
        <w:t xml:space="preserve"> </w:t>
      </w:r>
      <w:r w:rsidRPr="00F15667">
        <w:t>(za jinak neměnných podmínek) ji</w:t>
      </w:r>
      <w:r w:rsidRPr="00F15667">
        <w:rPr>
          <w:i/>
        </w:rPr>
        <w:t xml:space="preserve"> </w:t>
      </w:r>
      <w:r w:rsidRPr="00F15667">
        <w:t xml:space="preserve">lze považovat za aproximaci složitosti věcí (čím složitější věc, tím pravděpodobnější odvolání), je však třeba mít na paměti, že je ovlivněna i mnoha dalšími faktory. Způsob výpočtu míry odvolání jsme oproti verzi z roku 2016 upravili. </w:t>
      </w:r>
      <w:r w:rsidR="00105367" w:rsidRPr="00F15667">
        <w:t>J</w:t>
      </w:r>
      <w:r w:rsidRPr="00F15667">
        <w:t xml:space="preserve">sou zahrnuty i věci, v nichž odvolací soud zrušil rozhodnutí soudu </w:t>
      </w:r>
      <w:r w:rsidR="000C3B1E" w:rsidRPr="00F15667">
        <w:t>I. stupně</w:t>
      </w:r>
      <w:r w:rsidRPr="00F15667">
        <w:t xml:space="preserve"> a věc mu vrátil </w:t>
      </w:r>
      <w:r w:rsidR="000C3B1E" w:rsidRPr="00F15667">
        <w:t>a </w:t>
      </w:r>
      <w:r w:rsidRPr="00F15667">
        <w:t>následně již odvolání podáno nebylo. Dále jsme data u prvostupňové civilní agendy očistili o spory, kde byla výše přiznaného nároku menší než 10 000 Kč. V těchto sporech (až na výjimky) nelze podat odvolání, a jejich zahrnutí by tak snižovalo vypočtené hodnoty míry odvolání. Po této úpravě tak došlo k poměrně značnému zvýšení míry odvolání. Změnu metodiky jsme aplikovali i na data z předchozích let.</w:t>
      </w:r>
    </w:p>
    <w:p w14:paraId="17AE7F8F" w14:textId="1FF9AAFE" w:rsidR="008430BD" w:rsidRPr="00F15667" w:rsidRDefault="008430BD" w:rsidP="008430BD">
      <w:pPr>
        <w:pStyle w:val="Odstavecseseznamem"/>
        <w:numPr>
          <w:ilvl w:val="0"/>
          <w:numId w:val="4"/>
        </w:numPr>
      </w:pPr>
      <w:r w:rsidRPr="00F15667">
        <w:rPr>
          <w:b/>
        </w:rPr>
        <w:t xml:space="preserve">Míra vyřizování </w:t>
      </w:r>
      <w:r w:rsidR="001764B8" w:rsidRPr="00F15667">
        <w:rPr>
          <w:b/>
        </w:rPr>
        <w:t xml:space="preserve">(tzv. Clearance rate) </w:t>
      </w:r>
      <w:r w:rsidR="001764B8" w:rsidRPr="00F15667">
        <w:t xml:space="preserve">– udává, zda soud vyřídil více věcí než mu nově přišlo (nápad + obživa) </w:t>
      </w:r>
      <w:r w:rsidRPr="00F15667">
        <w:t>je vypočtena jako (počet vyřízených věcí v daném období) / (počet příchozích věcí v daném období) × 100</w:t>
      </w:r>
      <w:r w:rsidR="00CB570A" w:rsidRPr="00F15667">
        <w:t> %</w:t>
      </w:r>
      <w:r w:rsidRPr="00F15667">
        <w:t xml:space="preserve">. Je-li </w:t>
      </w:r>
      <w:r w:rsidR="00245596" w:rsidRPr="00F15667">
        <w:t>vyšší</w:t>
      </w:r>
      <w:r w:rsidRPr="00F15667">
        <w:t xml:space="preserve"> než 100</w:t>
      </w:r>
      <w:r w:rsidR="00CB570A" w:rsidRPr="00F15667">
        <w:t> %</w:t>
      </w:r>
      <w:r w:rsidRPr="00F15667">
        <w:t xml:space="preserve">, soud vyřídil více věcí, než mu přišlo, a snížil se tedy počet nevyřízených věcí. Je-li </w:t>
      </w:r>
      <w:r w:rsidR="007474D8" w:rsidRPr="00F15667">
        <w:t xml:space="preserve">nižší </w:t>
      </w:r>
      <w:r w:rsidRPr="00F15667">
        <w:t>než 100</w:t>
      </w:r>
      <w:r w:rsidR="00CB570A" w:rsidRPr="00F15667">
        <w:t> %</w:t>
      </w:r>
      <w:r w:rsidRPr="00F15667">
        <w:t>, soud vyřídil m</w:t>
      </w:r>
      <w:r w:rsidR="00DA1058" w:rsidRPr="00F15667">
        <w:t>é</w:t>
      </w:r>
      <w:r w:rsidRPr="00F15667">
        <w:t>ně věcí, než mu přišlo, a zvýšil se tedy počet nevyřízených věcí.</w:t>
      </w:r>
    </w:p>
    <w:p w14:paraId="1C60440E" w14:textId="6FB34515" w:rsidR="008430BD" w:rsidRPr="00F15667" w:rsidRDefault="008430BD" w:rsidP="008430BD">
      <w:pPr>
        <w:pStyle w:val="Odstavecseseznamem"/>
        <w:numPr>
          <w:ilvl w:val="0"/>
          <w:numId w:val="4"/>
        </w:numPr>
      </w:pPr>
      <w:r w:rsidRPr="00F15667">
        <w:rPr>
          <w:b/>
        </w:rPr>
        <w:t xml:space="preserve">Míra změny rozsudku </w:t>
      </w:r>
      <w:r w:rsidRPr="00F15667">
        <w:t xml:space="preserve">– </w:t>
      </w:r>
      <w:r w:rsidR="001764B8" w:rsidRPr="00F15667">
        <w:t xml:space="preserve">udává, jak často odvolací soud změnil rozhodnutí soudu I. stupně. Je </w:t>
      </w:r>
      <w:r w:rsidRPr="00F15667">
        <w:t xml:space="preserve">vypočtena ze statistických listů a jedná se o poměr pravomocně skončených věcí, v nichž bylo vyhověno odvolání (tedy rozsudek soudu </w:t>
      </w:r>
      <w:r w:rsidR="000C3B1E" w:rsidRPr="00F15667">
        <w:t>I. stupně</w:t>
      </w:r>
      <w:r w:rsidRPr="00F15667">
        <w:t xml:space="preserve"> byl změněn odvolacím soudem na podkladě odvolání)</w:t>
      </w:r>
      <w:r w:rsidR="00431442" w:rsidRPr="00F15667">
        <w:t>,</w:t>
      </w:r>
      <w:r w:rsidRPr="00F15667">
        <w:t xml:space="preserve"> k celkovému počtu pravomocně skončených věcí, v nichž </w:t>
      </w:r>
      <w:r w:rsidRPr="00F15667">
        <w:lastRenderedPageBreak/>
        <w:t>bylo podáno odvolání × 100</w:t>
      </w:r>
      <w:r w:rsidR="00CB570A" w:rsidRPr="00F15667">
        <w:t> %</w:t>
      </w:r>
      <w:r w:rsidRPr="00F15667">
        <w:t xml:space="preserve">. Do změny rozsudku jsou započítány i případy, kdy bylo rozhodnutí soudu </w:t>
      </w:r>
      <w:r w:rsidR="000C3B1E" w:rsidRPr="00F15667">
        <w:t>I. stupně</w:t>
      </w:r>
      <w:r w:rsidRPr="00F15667">
        <w:t xml:space="preserve"> u odvolacího soudu zrušeno a vráceno soudu </w:t>
      </w:r>
      <w:r w:rsidR="000C3B1E" w:rsidRPr="00F15667">
        <w:t>I. stupně</w:t>
      </w:r>
      <w:r w:rsidRPr="00F15667">
        <w:t xml:space="preserve">. </w:t>
      </w:r>
      <w:r w:rsidRPr="00F15667">
        <w:rPr>
          <w:bCs/>
          <w:i/>
        </w:rPr>
        <w:t>Ceteris paribus</w:t>
      </w:r>
      <w:r w:rsidRPr="00F15667">
        <w:rPr>
          <w:i/>
        </w:rPr>
        <w:t xml:space="preserve"> </w:t>
      </w:r>
      <w:r w:rsidRPr="00F15667">
        <w:t>(za jinak neměnných podmínek) ji</w:t>
      </w:r>
      <w:r w:rsidRPr="00F15667">
        <w:rPr>
          <w:i/>
        </w:rPr>
        <w:t xml:space="preserve"> </w:t>
      </w:r>
      <w:r w:rsidRPr="00F15667">
        <w:t>lze považovat za aproximaci kvality rozhodování, je však třeba mít na paměti, že je ovlivněna i mnoha dalšími faktory.</w:t>
      </w:r>
    </w:p>
    <w:p w14:paraId="341F7BEB" w14:textId="703CD89B" w:rsidR="008430BD" w:rsidRPr="00F15667" w:rsidRDefault="008430BD" w:rsidP="008430BD">
      <w:pPr>
        <w:pStyle w:val="Odstavecseseznamem"/>
        <w:numPr>
          <w:ilvl w:val="0"/>
          <w:numId w:val="4"/>
        </w:numPr>
        <w:ind w:left="714" w:hanging="357"/>
      </w:pPr>
      <w:r w:rsidRPr="00F15667">
        <w:rPr>
          <w:b/>
        </w:rPr>
        <w:t>Nápad</w:t>
      </w:r>
      <w:r w:rsidRPr="00F15667">
        <w:t xml:space="preserve"> – nebo také napadlé věci. Počet nově zapsaných věcí do rejstříku za určité období. V této zprávě se jedná vždy o </w:t>
      </w:r>
      <w:r w:rsidR="001764B8" w:rsidRPr="00F15667">
        <w:t>data za kalendářní rok</w:t>
      </w:r>
      <w:r w:rsidRPr="00F15667">
        <w:t>, která získáváme z výkazů o činnosti soudů.</w:t>
      </w:r>
    </w:p>
    <w:p w14:paraId="36E1AE01" w14:textId="77777777" w:rsidR="008430BD" w:rsidRPr="00F15667" w:rsidRDefault="008430BD" w:rsidP="008430BD">
      <w:pPr>
        <w:pStyle w:val="Odstavecseseznamem"/>
        <w:numPr>
          <w:ilvl w:val="0"/>
          <w:numId w:val="4"/>
        </w:numPr>
        <w:ind w:left="714" w:hanging="357"/>
      </w:pPr>
      <w:r w:rsidRPr="00F15667">
        <w:rPr>
          <w:b/>
        </w:rPr>
        <w:t xml:space="preserve">Nevyřízené věci </w:t>
      </w:r>
      <w:r w:rsidRPr="00F15667">
        <w:t>– počet věcí, které nebyly vyřízeny (skončeny) k poslednímu dni vykazovaného období. Na rozdíl od ukazatelů jako je nápad, obživa nebo vyřízené věci, které se vztahují k celému sledovanému období, se v tomto případě jedná o stav k určitému datu, v této zprávě vždy k 31. 12. daného roku. Data pocházejí z výkazů o činnosti soudů.</w:t>
      </w:r>
    </w:p>
    <w:p w14:paraId="0ADD28B8" w14:textId="15629B3D" w:rsidR="008430BD" w:rsidRPr="00F15667" w:rsidRDefault="008430BD" w:rsidP="008430BD">
      <w:pPr>
        <w:pStyle w:val="Odstavecseseznamem"/>
        <w:numPr>
          <w:ilvl w:val="0"/>
          <w:numId w:val="4"/>
        </w:numPr>
        <w:ind w:left="714" w:hanging="357"/>
      </w:pPr>
      <w:r w:rsidRPr="00F15667">
        <w:rPr>
          <w:b/>
        </w:rPr>
        <w:t xml:space="preserve">Obživa </w:t>
      </w:r>
      <w:r w:rsidRPr="00F15667">
        <w:t xml:space="preserve">– nebo také obživlé věci. Jedná se o případy, kdy byla věc sice vyřízena, ale z určitého důvodu se v řízení pokračuje (většinou v důsledku odvolacího řízení, kdy bylo rozhodnutí soudu </w:t>
      </w:r>
      <w:r w:rsidR="000C3B1E" w:rsidRPr="00F15667">
        <w:t>I. stupně</w:t>
      </w:r>
      <w:r w:rsidRPr="00F15667">
        <w:t xml:space="preserve"> zrušeno a vráceno mu k novému projednání, či po podání odporu). V této zprávě se stejně jako u nápadu jedná o počet věcí, které obživly za vykazované období, tedy za celý daný </w:t>
      </w:r>
      <w:r w:rsidR="001764B8" w:rsidRPr="00F15667">
        <w:t xml:space="preserve">kalendářní </w:t>
      </w:r>
      <w:r w:rsidRPr="00F15667">
        <w:t>rok. Data jsou rovněž získávána z výkazů o činnosti soudů.</w:t>
      </w:r>
    </w:p>
    <w:p w14:paraId="616FD1D7" w14:textId="15976514" w:rsidR="008430BD" w:rsidRPr="00F15667" w:rsidRDefault="008430BD" w:rsidP="008430BD">
      <w:pPr>
        <w:pStyle w:val="Odstavecseseznamem"/>
        <w:numPr>
          <w:ilvl w:val="0"/>
          <w:numId w:val="4"/>
        </w:numPr>
      </w:pPr>
      <w:r w:rsidRPr="00F15667">
        <w:rPr>
          <w:b/>
        </w:rPr>
        <w:t xml:space="preserve">Percentil </w:t>
      </w:r>
      <w:r w:rsidRPr="00F15667">
        <w:t>– percentily dělí vzestupně setříděný soubor hodnot na setiny (na sto stejných částí). Devadesátý percentil znamená, že 90</w:t>
      </w:r>
      <w:r w:rsidR="00CB570A" w:rsidRPr="00F15667">
        <w:t> %</w:t>
      </w:r>
      <w:r w:rsidRPr="00F15667">
        <w:t xml:space="preserve"> hodnot je </w:t>
      </w:r>
      <w:r w:rsidR="00245596" w:rsidRPr="00F15667">
        <w:t xml:space="preserve">nižších </w:t>
      </w:r>
      <w:r w:rsidRPr="00F15667">
        <w:t>nebo rovno a 10</w:t>
      </w:r>
      <w:r w:rsidR="00CB570A" w:rsidRPr="00F15667">
        <w:t> %</w:t>
      </w:r>
      <w:r w:rsidRPr="00F15667">
        <w:t xml:space="preserve"> hodnot </w:t>
      </w:r>
      <w:r w:rsidR="00245596" w:rsidRPr="00F15667">
        <w:t xml:space="preserve">vyšších </w:t>
      </w:r>
      <w:r w:rsidRPr="00F15667">
        <w:t>nebo rovno hodnotě percentilu. Má-li tedy soud devadesátý percentil délky řízení 400 dnů, znamená to, že vyřízení 90</w:t>
      </w:r>
      <w:r w:rsidR="00CB570A" w:rsidRPr="00F15667">
        <w:t> %</w:t>
      </w:r>
      <w:r w:rsidRPr="00F15667">
        <w:t> věcí trvá maximálně 400 dnů, zbylých 10</w:t>
      </w:r>
      <w:r w:rsidR="00CB570A" w:rsidRPr="00F15667">
        <w:t> %</w:t>
      </w:r>
      <w:r w:rsidRPr="00F15667">
        <w:t> pak 400 dnů a více.</w:t>
      </w:r>
    </w:p>
    <w:p w14:paraId="19D20B63" w14:textId="77777777" w:rsidR="008430BD" w:rsidRPr="00F15667" w:rsidRDefault="008430BD" w:rsidP="008430BD">
      <w:pPr>
        <w:pStyle w:val="Odstavecseseznamem"/>
        <w:numPr>
          <w:ilvl w:val="0"/>
          <w:numId w:val="4"/>
        </w:numPr>
      </w:pPr>
      <w:r w:rsidRPr="00F15667">
        <w:rPr>
          <w:b/>
        </w:rPr>
        <w:t xml:space="preserve">Plánovaný počet soudců </w:t>
      </w:r>
      <w:r w:rsidRPr="00F15667">
        <w:t>– odhad počtu soudců potřebných k vyřízení nápadu za předmětný rok. Je vypočítáván pro všechny okresní a krajské soudy</w:t>
      </w:r>
      <w:r w:rsidRPr="00F15667">
        <w:rPr>
          <w:lang w:eastAsia="cs-CZ"/>
        </w:rPr>
        <w:t>, zpravidla</w:t>
      </w:r>
      <w:r w:rsidRPr="00F15667">
        <w:t xml:space="preserve"> jednou ročně pro následující rok. Systemizace </w:t>
      </w:r>
      <w:r w:rsidRPr="00F15667">
        <w:rPr>
          <w:lang w:eastAsia="cs-CZ"/>
        </w:rPr>
        <w:t>vyšších soudů je určena na základě dohody, nikoliv výpočtem.</w:t>
      </w:r>
    </w:p>
    <w:p w14:paraId="2A0B861F" w14:textId="77777777" w:rsidR="008430BD" w:rsidRPr="00F15667" w:rsidRDefault="008430BD" w:rsidP="008430BD">
      <w:pPr>
        <w:pStyle w:val="Odstavecseseznamem"/>
        <w:numPr>
          <w:ilvl w:val="0"/>
          <w:numId w:val="4"/>
        </w:numPr>
      </w:pPr>
      <w:r w:rsidRPr="00F15667">
        <w:rPr>
          <w:b/>
        </w:rPr>
        <w:t xml:space="preserve">Plošný graf </w:t>
      </w:r>
      <w:r w:rsidRPr="00F15667">
        <w:t>– typ grafu, který velmi dobře znázorňuje velikost změn v čase a v součtu zobrazovaných hodnot</w:t>
      </w:r>
      <w:r w:rsidR="001126B0" w:rsidRPr="00F15667">
        <w:t>,</w:t>
      </w:r>
      <w:r w:rsidRPr="00F15667">
        <w:t xml:space="preserve"> vyjadřuje rovněž vztah jednotlivých částí k celku. Jedná se v podstatě o spojnicový graf, ale plochy pod čarami jsou vyplněny barvami. Plošných grafů existuje několik podtypů a v této zprávě používáme skládaný plošný graf a stoprocentní skládaný plošný graf. Osa </w:t>
      </w:r>
      <w:r w:rsidRPr="00F15667">
        <w:rPr>
          <w:i/>
        </w:rPr>
        <w:t>x</w:t>
      </w:r>
      <w:r w:rsidRPr="00F15667">
        <w:t xml:space="preserve"> znázorňuje čas a na svislé ose </w:t>
      </w:r>
      <w:r w:rsidRPr="00F15667">
        <w:rPr>
          <w:i/>
        </w:rPr>
        <w:t>y</w:t>
      </w:r>
      <w:r w:rsidRPr="00F15667">
        <w:t xml:space="preserve"> jsou hodnoty jednotlivých druhů zkoumaných ukazatelů v absolutních číslech nebo v procentním poměru.</w:t>
      </w:r>
    </w:p>
    <w:p w14:paraId="17250CBC" w14:textId="18706F17" w:rsidR="008430BD" w:rsidRPr="00F15667" w:rsidRDefault="008430BD" w:rsidP="008430BD">
      <w:pPr>
        <w:pStyle w:val="Odstavecseseznamem"/>
        <w:numPr>
          <w:ilvl w:val="0"/>
          <w:numId w:val="4"/>
        </w:numPr>
      </w:pPr>
      <w:r w:rsidRPr="00F15667">
        <w:rPr>
          <w:b/>
        </w:rPr>
        <w:t xml:space="preserve">Počet soudkyň </w:t>
      </w:r>
      <w:r w:rsidR="000C3B1E" w:rsidRPr="00F15667">
        <w:rPr>
          <w:b/>
        </w:rPr>
        <w:t>a </w:t>
      </w:r>
      <w:r w:rsidRPr="00F15667">
        <w:rPr>
          <w:b/>
        </w:rPr>
        <w:t xml:space="preserve">soudců na MD/RD </w:t>
      </w:r>
      <w:r w:rsidRPr="00F15667">
        <w:t xml:space="preserve">– počet soudkyň </w:t>
      </w:r>
      <w:r w:rsidR="000C3B1E" w:rsidRPr="00F15667">
        <w:t>a </w:t>
      </w:r>
      <w:r w:rsidRPr="00F15667">
        <w:t>soudců, kteří jsou na mateřské nebo rodičovské dovolené. Je zahrnut do evidenčního počtu soudců. Uvádíme vždy údaje k 1. 1. daného roku.</w:t>
      </w:r>
    </w:p>
    <w:p w14:paraId="036647FD" w14:textId="77777777" w:rsidR="008430BD" w:rsidRPr="00F15667" w:rsidRDefault="008430BD" w:rsidP="008430BD">
      <w:pPr>
        <w:pStyle w:val="Odstavecseseznamem"/>
        <w:numPr>
          <w:ilvl w:val="0"/>
          <w:numId w:val="4"/>
        </w:numPr>
        <w:rPr>
          <w:b/>
        </w:rPr>
      </w:pPr>
      <w:r w:rsidRPr="00F15667">
        <w:rPr>
          <w:b/>
        </w:rPr>
        <w:t xml:space="preserve">Průměr </w:t>
      </w:r>
      <w:r w:rsidRPr="00F15667">
        <w:t>– je míněn aritmetický průměr hodnot.</w:t>
      </w:r>
    </w:p>
    <w:p w14:paraId="05E47786" w14:textId="00B6B78E" w:rsidR="008430BD" w:rsidRPr="00F15667" w:rsidRDefault="008430BD" w:rsidP="008430BD">
      <w:pPr>
        <w:pStyle w:val="Odstavecseseznamem"/>
        <w:numPr>
          <w:ilvl w:val="0"/>
          <w:numId w:val="4"/>
        </w:numPr>
      </w:pPr>
      <w:r w:rsidRPr="00F15667">
        <w:rPr>
          <w:b/>
        </w:rPr>
        <w:t xml:space="preserve">Přepočet na soudce </w:t>
      </w:r>
      <w:r w:rsidRPr="00F15667">
        <w:t xml:space="preserve">– počty napadlých, vyřízených a nevyřízených věcí jsou vyděleny počtem soudců. Jedná se o jeden z ukazatelů výkonnosti a zatíženosti soudů. Pro výpočet je využit počet skutečných úvazků. Tato data byla poprvé sbírána k 1. 1. 2020. Jejich velkou výhodou je fakt, že jsou přesnější. Je zde například vyčleněna opatrovnická agenda (počet není uveden dohromady s rejstříkem C) </w:t>
      </w:r>
      <w:r w:rsidR="000C3B1E" w:rsidRPr="00F15667">
        <w:t>a </w:t>
      </w:r>
      <w:r w:rsidRPr="00F15667">
        <w:t>dále jsou zohledněny i nepřítomnosti soudců, jako je dlouhodobá nemoc apod. Počty soudců jsou s přesností na desetinu soudce.</w:t>
      </w:r>
    </w:p>
    <w:p w14:paraId="28CA1584" w14:textId="77777777" w:rsidR="008430BD" w:rsidRPr="00F15667" w:rsidRDefault="008430BD" w:rsidP="008430BD">
      <w:pPr>
        <w:pStyle w:val="Odstavecseseznamem"/>
        <w:numPr>
          <w:ilvl w:val="0"/>
          <w:numId w:val="4"/>
        </w:numPr>
      </w:pPr>
      <w:r w:rsidRPr="00F15667">
        <w:rPr>
          <w:b/>
        </w:rPr>
        <w:t xml:space="preserve">Příchozí věci </w:t>
      </w:r>
      <w:r w:rsidRPr="00F15667">
        <w:t>– v této zprávě znamená součet napadlých a obživlých věcí.</w:t>
      </w:r>
    </w:p>
    <w:p w14:paraId="6BA82784" w14:textId="6E1EBFD2" w:rsidR="008430BD" w:rsidRPr="00F15667" w:rsidRDefault="008430BD" w:rsidP="008430BD">
      <w:pPr>
        <w:pStyle w:val="Odstavecseseznamem"/>
        <w:numPr>
          <w:ilvl w:val="0"/>
          <w:numId w:val="4"/>
        </w:numPr>
      </w:pPr>
      <w:r w:rsidRPr="00F15667">
        <w:rPr>
          <w:b/>
        </w:rPr>
        <w:lastRenderedPageBreak/>
        <w:t xml:space="preserve">Skutečný počet úvazků </w:t>
      </w:r>
      <w:r w:rsidRPr="00F15667">
        <w:rPr>
          <w:bCs/>
        </w:rPr>
        <w:t xml:space="preserve">– jde </w:t>
      </w:r>
      <w:r w:rsidR="000C3B1E" w:rsidRPr="00F15667">
        <w:rPr>
          <w:bCs/>
        </w:rPr>
        <w:t>o</w:t>
      </w:r>
      <w:r w:rsidR="000C3B1E" w:rsidRPr="00F15667">
        <w:t> </w:t>
      </w:r>
      <w:r w:rsidRPr="00F15667">
        <w:t xml:space="preserve">data, která byla získána dotazníkovým šetřením od soudů. </w:t>
      </w:r>
      <w:r w:rsidR="00033563" w:rsidRPr="00F15667">
        <w:t>Zahrnují</w:t>
      </w:r>
      <w:r w:rsidRPr="00F15667">
        <w:t xml:space="preserve"> pouze soudc</w:t>
      </w:r>
      <w:r w:rsidR="00033563" w:rsidRPr="00F15667">
        <w:t>e</w:t>
      </w:r>
      <w:r w:rsidRPr="00F15667">
        <w:t>, kteří dan</w:t>
      </w:r>
      <w:r w:rsidR="00E844A3" w:rsidRPr="00F15667">
        <w:t>o</w:t>
      </w:r>
      <w:r w:rsidRPr="00F15667">
        <w:t xml:space="preserve">u agendu v příslušném roce </w:t>
      </w:r>
      <w:r w:rsidR="00033563" w:rsidRPr="00F15667">
        <w:t xml:space="preserve">reálně </w:t>
      </w:r>
      <w:r w:rsidRPr="00F15667">
        <w:t xml:space="preserve">vyřizovali. Na rozdíl od evidenčního počtu soudců tedy nejsou zahrnuti dlouhodobě nepřítomní soudci (na MD/RD, dlouhodobě nemocní, dočasně zproštěni výkonu funkce soudce </w:t>
      </w:r>
      <w:r w:rsidR="000E2347" w:rsidRPr="00F15667">
        <w:t>(§ </w:t>
      </w:r>
      <w:r w:rsidRPr="00F15667">
        <w:t xml:space="preserve">99, 100 </w:t>
      </w:r>
      <w:r w:rsidR="000C3B1E" w:rsidRPr="00F15667">
        <w:t>a </w:t>
      </w:r>
      <w:r w:rsidRPr="00F15667">
        <w:t>100a zák. č</w:t>
      </w:r>
      <w:r w:rsidR="000E2347" w:rsidRPr="00F15667">
        <w:t>. </w:t>
      </w:r>
      <w:r w:rsidRPr="00F15667">
        <w:t>6/</w:t>
      </w:r>
      <w:r w:rsidR="000E2347" w:rsidRPr="00F15667">
        <w:t>2002 </w:t>
      </w:r>
      <w:r w:rsidRPr="00F15667">
        <w:t>Sb.</w:t>
      </w:r>
      <w:r w:rsidR="001126B0" w:rsidRPr="00F15667">
        <w:t>,</w:t>
      </w:r>
      <w:r w:rsidR="00C8663B" w:rsidRPr="00F15667">
        <w:t xml:space="preserve"> o soudech, soudcích, přísedících a státní správě soudů a o změně některých dalších zákonů (zákon o soudech a soudcích), ve znění pozdějších předpisů</w:t>
      </w:r>
      <w:r w:rsidRPr="00F15667">
        <w:t xml:space="preserve">) nebo dočasně přeloženi </w:t>
      </w:r>
      <w:r w:rsidR="000C3B1E" w:rsidRPr="00F15667">
        <w:t>k </w:t>
      </w:r>
      <w:r w:rsidRPr="00F15667">
        <w:t xml:space="preserve">jinému soudu (stáž). Údaje jsou </w:t>
      </w:r>
      <w:r w:rsidR="00033563" w:rsidRPr="00F15667">
        <w:t>sledovány</w:t>
      </w:r>
      <w:r w:rsidRPr="00F15667">
        <w:t xml:space="preserve"> s přesností na desetinu soudce </w:t>
      </w:r>
      <w:r w:rsidR="000C3B1E" w:rsidRPr="00F15667">
        <w:t>a </w:t>
      </w:r>
      <w:r w:rsidRPr="00F15667">
        <w:t>jsou podrobněji členěn</w:t>
      </w:r>
      <w:r w:rsidR="00E844A3" w:rsidRPr="00F15667">
        <w:t>y</w:t>
      </w:r>
      <w:r w:rsidRPr="00F15667">
        <w:t xml:space="preserve"> dle úseků </w:t>
      </w:r>
      <w:r w:rsidR="000C3B1E" w:rsidRPr="00F15667">
        <w:t>a </w:t>
      </w:r>
      <w:r w:rsidRPr="00F15667">
        <w:t>agendy, které se</w:t>
      </w:r>
      <w:r w:rsidR="00E844A3" w:rsidRPr="00F15667">
        <w:t xml:space="preserve"> soudci</w:t>
      </w:r>
      <w:r w:rsidRPr="00F15667">
        <w:t xml:space="preserve"> věnují. Někdy též </w:t>
      </w:r>
      <w:r w:rsidR="00033563" w:rsidRPr="00F15667">
        <w:t xml:space="preserve">označováno </w:t>
      </w:r>
      <w:r w:rsidRPr="00F15667">
        <w:t>jako</w:t>
      </w:r>
      <w:r w:rsidR="000E2347" w:rsidRPr="00F15667">
        <w:t xml:space="preserve"> </w:t>
      </w:r>
      <w:r w:rsidRPr="00F15667">
        <w:t>skutečný počet soudců.</w:t>
      </w:r>
    </w:p>
    <w:p w14:paraId="2D00E67E" w14:textId="77777777" w:rsidR="008430BD" w:rsidRPr="00F15667" w:rsidRDefault="008430BD" w:rsidP="008430BD">
      <w:pPr>
        <w:pStyle w:val="Odstavecseseznamem"/>
        <w:numPr>
          <w:ilvl w:val="0"/>
          <w:numId w:val="4"/>
        </w:numPr>
      </w:pPr>
      <w:r w:rsidRPr="00F15667">
        <w:rPr>
          <w:b/>
        </w:rPr>
        <w:t xml:space="preserve">Statistické listy (SL) </w:t>
      </w:r>
      <w:r w:rsidRPr="00F15667">
        <w:t>– po pravomocném skončení (konečném vyřízení) věci v hlavních agendách jsou vyplňovány u jednotlivých soudů odpovědnou osobou, odeslány v elektronické podobě a automaticky zařazeny do datového skladu. Vyhotovují se ke každé věci (osobě v trestní agendě). Obsahují velmi detailní údaje o věci (významné časové údaje, údaje o odvolání, výsledek řízení, anonymizované údaje o účastnících řízení, o výši a druhu trestu apod.).</w:t>
      </w:r>
    </w:p>
    <w:p w14:paraId="16974D36" w14:textId="3A309148" w:rsidR="008430BD" w:rsidRPr="00F15667" w:rsidRDefault="008430BD" w:rsidP="008430BD">
      <w:pPr>
        <w:pStyle w:val="Odstavecseseznamem"/>
        <w:numPr>
          <w:ilvl w:val="0"/>
          <w:numId w:val="4"/>
        </w:numPr>
      </w:pPr>
      <w:r w:rsidRPr="00F15667">
        <w:rPr>
          <w:b/>
        </w:rPr>
        <w:t xml:space="preserve">Výkazy o činnosti soudů </w:t>
      </w:r>
      <w:r w:rsidRPr="00F15667">
        <w:t xml:space="preserve">– obsahují především údaje o počtu napadlých, obživlých, vyřízených a nevyřízených věcí za zkoumané období, ale i další data </w:t>
      </w:r>
      <w:r w:rsidR="001126B0" w:rsidRPr="00F15667">
        <w:t>jako</w:t>
      </w:r>
      <w:r w:rsidRPr="00F15667">
        <w:t xml:space="preserve"> např. dělení vyřízených věcí podle způsobu vyřízení </w:t>
      </w:r>
      <w:r w:rsidR="005A77B7" w:rsidRPr="00F15667">
        <w:t>či</w:t>
      </w:r>
      <w:r w:rsidRPr="00F15667">
        <w:t> dělení obživlých věcí podle důvodu pro obživnutí. Vypočítávají se automaticky pro každou agendu (rejstřík) a každý soud.</w:t>
      </w:r>
    </w:p>
    <w:p w14:paraId="4579D780" w14:textId="77777777" w:rsidR="008430BD" w:rsidRPr="00F15667" w:rsidRDefault="008430BD" w:rsidP="008430BD">
      <w:pPr>
        <w:pStyle w:val="Odstavecseseznamem"/>
        <w:numPr>
          <w:ilvl w:val="0"/>
          <w:numId w:val="4"/>
        </w:numPr>
        <w:rPr>
          <w:b/>
        </w:rPr>
      </w:pPr>
      <w:r w:rsidRPr="00F15667">
        <w:rPr>
          <w:b/>
        </w:rPr>
        <w:t xml:space="preserve">Vyřízené věci </w:t>
      </w:r>
      <w:r w:rsidRPr="00F15667">
        <w:t>– v této zprávě se vždy jedná o roční data, která jsou získána z výkazů o činnosti soudů.</w:t>
      </w:r>
    </w:p>
    <w:p w14:paraId="6E4D1CE5" w14:textId="77777777" w:rsidR="008430BD" w:rsidRPr="00F15667" w:rsidRDefault="008430BD" w:rsidP="008430BD"/>
    <w:p w14:paraId="1F5A5D67" w14:textId="77777777" w:rsidR="008430BD" w:rsidRPr="00F15667" w:rsidRDefault="008430BD" w:rsidP="008430BD">
      <w:pPr>
        <w:pStyle w:val="Nadpis3"/>
        <w:pageBreakBefore/>
        <w:ind w:left="0" w:firstLine="0"/>
        <w:rPr>
          <w:color w:val="auto"/>
        </w:rPr>
      </w:pPr>
      <w:bookmarkStart w:id="1438" w:name="_Toc487791319"/>
      <w:bookmarkStart w:id="1439" w:name="_Toc106092837"/>
      <w:bookmarkStart w:id="1440" w:name="_Toc144104454"/>
      <w:r w:rsidRPr="00F15667">
        <w:rPr>
          <w:color w:val="auto"/>
        </w:rPr>
        <w:lastRenderedPageBreak/>
        <w:t>Právní a ostatní pojmy</w:t>
      </w:r>
      <w:bookmarkEnd w:id="1438"/>
      <w:bookmarkEnd w:id="1439"/>
      <w:bookmarkEnd w:id="1440"/>
    </w:p>
    <w:p w14:paraId="68BDF495" w14:textId="77777777" w:rsidR="008430BD" w:rsidRPr="00F15667" w:rsidRDefault="008430BD" w:rsidP="008430BD">
      <w:pPr>
        <w:pStyle w:val="Odstavecseseznamem"/>
        <w:numPr>
          <w:ilvl w:val="0"/>
          <w:numId w:val="4"/>
        </w:numPr>
      </w:pPr>
      <w:r w:rsidRPr="00F15667">
        <w:rPr>
          <w:b/>
        </w:rPr>
        <w:t xml:space="preserve">Civilní </w:t>
      </w:r>
      <w:r w:rsidRPr="00F15667">
        <w:t>– (agenda, řízení, úsek) činnost soudů v občanském soudním řízení. Civilní soudnictví v sobě dále zahrnuje celou řadů různých specificky upravených typů řízení (řízení o pozůstalosti, umoření listin apod.) a člení se tudíž na další agendy. Do samostatných agend se z něj vyčleňuje opatrovnická a obchodní agenda, z obchodní agendy pak dále zvlášť agenda insolvenční. V této zprávě se civilní agendou myslí zpravidla věci vedené v rejstříku C, do kterého se zapisují zejména občanskoprávní návrhy týkající se právních poměrů mezi žalobcem a žalovaným a návrhy na rozhodnutí ve statusových věcech manželských a partnerských.</w:t>
      </w:r>
    </w:p>
    <w:p w14:paraId="2794FE33" w14:textId="6DC484AF" w:rsidR="002754E0" w:rsidRPr="00F15667" w:rsidRDefault="002754E0" w:rsidP="002754E0">
      <w:pPr>
        <w:pStyle w:val="Odstavecseseznamem"/>
        <w:numPr>
          <w:ilvl w:val="0"/>
          <w:numId w:val="4"/>
        </w:numPr>
      </w:pPr>
      <w:r w:rsidRPr="00F15667">
        <w:rPr>
          <w:b/>
        </w:rPr>
        <w:t>CEPEJ</w:t>
      </w:r>
      <w:r w:rsidRPr="00F15667">
        <w:t xml:space="preserve"> – </w:t>
      </w:r>
      <w:r w:rsidR="00357A51" w:rsidRPr="00F15667">
        <w:t>E</w:t>
      </w:r>
      <w:r w:rsidRPr="00F15667">
        <w:t>vropská komise pro efektivitu justice</w:t>
      </w:r>
      <w:r w:rsidR="001D7D46" w:rsidRPr="00F15667">
        <w:t xml:space="preserve"> Rady Evropy</w:t>
      </w:r>
      <w:r w:rsidRPr="00F15667">
        <w:t xml:space="preserve"> (</w:t>
      </w:r>
      <w:r w:rsidR="00357A51" w:rsidRPr="00F15667">
        <w:t xml:space="preserve">European </w:t>
      </w:r>
      <w:r w:rsidR="003426BF" w:rsidRPr="00F15667">
        <w:br/>
      </w:r>
      <w:r w:rsidR="00357A51" w:rsidRPr="00F15667">
        <w:t xml:space="preserve">Commission for the Efficiency of Justice), jejímž úkolem je </w:t>
      </w:r>
      <w:r w:rsidR="00C22C9A" w:rsidRPr="00F15667">
        <w:t xml:space="preserve">porovnávání </w:t>
      </w:r>
      <w:r w:rsidR="003426BF" w:rsidRPr="00F15667">
        <w:br/>
      </w:r>
      <w:r w:rsidR="00C22C9A" w:rsidRPr="00F15667">
        <w:t xml:space="preserve">soudních systémů </w:t>
      </w:r>
      <w:r w:rsidR="00755920" w:rsidRPr="00F15667">
        <w:t>a</w:t>
      </w:r>
      <w:r w:rsidR="003426BF" w:rsidRPr="00F15667">
        <w:t xml:space="preserve"> </w:t>
      </w:r>
      <w:r w:rsidR="00C22C9A" w:rsidRPr="00F15667">
        <w:t xml:space="preserve">výměna poznatků o jejich fungování. </w:t>
      </w:r>
      <w:r w:rsidR="00395B5A" w:rsidRPr="00F15667">
        <w:t>Domovská stránka</w:t>
      </w:r>
      <w:r w:rsidR="00C22C9A" w:rsidRPr="00F15667">
        <w:t xml:space="preserve">: </w:t>
      </w:r>
      <w:hyperlink r:id="rId181" w:history="1">
        <w:r w:rsidR="000777CE" w:rsidRPr="005D25EA">
          <w:rPr>
            <w:rStyle w:val="Hypertextovodkaz"/>
          </w:rPr>
          <w:t>https://www.coe.int/en/web/cepej/home</w:t>
        </w:r>
      </w:hyperlink>
      <w:r w:rsidR="000777CE" w:rsidRPr="00F15667">
        <w:t>.</w:t>
      </w:r>
    </w:p>
    <w:p w14:paraId="27231A99" w14:textId="36FBC76F" w:rsidR="004D554D" w:rsidRPr="00F15667" w:rsidRDefault="004D554D" w:rsidP="002754E0">
      <w:pPr>
        <w:pStyle w:val="Odstavecseseznamem"/>
        <w:numPr>
          <w:ilvl w:val="0"/>
          <w:numId w:val="4"/>
        </w:numPr>
      </w:pPr>
      <w:r w:rsidRPr="00F15667">
        <w:rPr>
          <w:b/>
        </w:rPr>
        <w:t xml:space="preserve">Dohoda o vině a trestu </w:t>
      </w:r>
      <w:r w:rsidRPr="00F15667">
        <w:t>– představuje alternativní způsob řešení trestních věcí, který má svůj původ v angloamerickém právním systému</w:t>
      </w:r>
      <w:r w:rsidR="00652F87" w:rsidRPr="00F15667">
        <w:t>.</w:t>
      </w:r>
      <w:r w:rsidRPr="00F15667">
        <w:t xml:space="preserve"> Jedná se o dohodu mezi státním zástupcem, obviněným a případně poškozeným, jejíž podstatou je prohlášení obviněného, že spáchal skutek, pro který je stíhán, a vzdání se práva na projednání věci před soudem výměnou za mírnější trest, s fakultativní možností sjednání dohody o náhradě újmy způsobené trestným činem. O uzavřené dohodě rozhoduje soud ve veřejné</w:t>
      </w:r>
      <w:r w:rsidR="005015F7" w:rsidRPr="00F15667">
        <w:t>m</w:t>
      </w:r>
      <w:r w:rsidRPr="00F15667">
        <w:t xml:space="preserve"> zasedání v řízení o schválení dohody o vině a trestu; k uzavření dohody může dojít i v řízení před soudem v hlavním líčení.</w:t>
      </w:r>
      <w:r w:rsidR="00652F87" w:rsidRPr="00F15667">
        <w:t xml:space="preserve"> Institut dohody o vině a trestu byl do českého trestního práva zaveden s účinností od 1. 9. 2012 novelou trestního řádu zákonem č. 193/2012 Sb. S cílem rozšířit uplatnění dohody o vině a trestu v trestním řízení a zvýšit tak počet případů, byla s účinnost</w:t>
      </w:r>
      <w:r w:rsidR="00561B98" w:rsidRPr="00F15667">
        <w:t>í</w:t>
      </w:r>
      <w:r w:rsidR="00652F87" w:rsidRPr="00F15667">
        <w:t xml:space="preserve"> od 1. 10. 2020 přijata novela trestního řádu provedená zákonem č. 333/2020 Sb.</w:t>
      </w:r>
    </w:p>
    <w:p w14:paraId="5A5CF2DC" w14:textId="4D17DD63" w:rsidR="008430BD" w:rsidRPr="00F15667" w:rsidRDefault="008430BD" w:rsidP="008430BD">
      <w:pPr>
        <w:pStyle w:val="Odstavecseseznamem"/>
        <w:numPr>
          <w:ilvl w:val="0"/>
          <w:numId w:val="4"/>
        </w:numPr>
      </w:pPr>
      <w:r w:rsidRPr="00F15667">
        <w:rPr>
          <w:b/>
        </w:rPr>
        <w:t xml:space="preserve">Dovolání </w:t>
      </w:r>
      <w:r w:rsidRPr="00F15667">
        <w:t>– mimořádný opravný prostředek, jímž lze napadnout pravomocné rozhodnutí odvolacího soudu, pokud to zákon připouští. O dovolání rozhoduje Nejvyšší soud; v civilních řízeních nemusí být v zákonem stanovených případech věc předložena dovolacímu soudu, ale o dovolání může rozhodnout soud v první instanci (jedná se zejména o zastavení dovolacího řízení pro nezaplacení soudního poplatku, odmítnutí dovolání pro opožděnost apod.).</w:t>
      </w:r>
    </w:p>
    <w:p w14:paraId="3ADDCFFE" w14:textId="039F17C0" w:rsidR="008430BD" w:rsidRPr="00F15667" w:rsidRDefault="008430BD" w:rsidP="008430BD">
      <w:pPr>
        <w:pStyle w:val="Odstavecseseznamem"/>
        <w:numPr>
          <w:ilvl w:val="0"/>
          <w:numId w:val="4"/>
        </w:numPr>
      </w:pPr>
      <w:r w:rsidRPr="00F15667">
        <w:rPr>
          <w:b/>
        </w:rPr>
        <w:t xml:space="preserve">Hlavní agendy </w:t>
      </w:r>
      <w:r w:rsidRPr="00F15667">
        <w:t>– jedná se o takové agendy soudů, které svou velikostí a významem tvoří stěžejní část jejich práce. V případě soudů jsou to z civilní (občanskoprávní) agendy věci zapisované do rejstříku C, z opatrovnické agendy věci vedené v rejstříku P</w:t>
      </w:r>
      <w:r w:rsidR="0053190F" w:rsidRPr="00F15667">
        <w:t> </w:t>
      </w:r>
      <w:r w:rsidRPr="00F15667">
        <w:t xml:space="preserve">a Nc, </w:t>
      </w:r>
      <w:r w:rsidR="00A272A1">
        <w:t>u </w:t>
      </w:r>
      <w:r w:rsidRPr="00F15667">
        <w:t>obchodní agendy věci z rejstříku Cm</w:t>
      </w:r>
      <w:r w:rsidR="00FA2FE2">
        <w:t xml:space="preserve">, </w:t>
      </w:r>
      <w:r w:rsidRPr="00F15667">
        <w:t>insolvenčního rejstříku</w:t>
      </w:r>
      <w:r w:rsidR="0053190F" w:rsidRPr="00F15667">
        <w:t> </w:t>
      </w:r>
      <w:r w:rsidRPr="00F15667">
        <w:t>INS</w:t>
      </w:r>
      <w:r w:rsidR="00FA2FE2">
        <w:t xml:space="preserve"> a rejstříku incidenčních sporů ICm</w:t>
      </w:r>
      <w:r w:rsidRPr="00F15667">
        <w:t>, z trestní agendy rejstříky T a Tm a ze správního soudnictví všechny správní rejstříky kromě tzv. všeobecného rejstříku správního soudnictví.</w:t>
      </w:r>
    </w:p>
    <w:p w14:paraId="6A811697" w14:textId="7735121A" w:rsidR="008430BD" w:rsidRPr="00F15667" w:rsidRDefault="008430BD" w:rsidP="008430BD">
      <w:pPr>
        <w:pStyle w:val="Odstavecseseznamem"/>
        <w:numPr>
          <w:ilvl w:val="0"/>
          <w:numId w:val="4"/>
        </w:numPr>
      </w:pPr>
      <w:r w:rsidRPr="00F15667">
        <w:rPr>
          <w:b/>
        </w:rPr>
        <w:t xml:space="preserve">InfoData </w:t>
      </w:r>
      <w:r w:rsidRPr="00F15667">
        <w:t>– statistický portál Ministerstva spravedlnosti, který umožňuje přístup široké veřejnosti k výkazům a statistikám soudů. Jeho hlavním cílem je prezentovat všechny důležité informace o justici na jednom místě a tím přispět k její větší otevřenosti (</w:t>
      </w:r>
      <w:hyperlink r:id="rId182" w:history="1">
        <w:r w:rsidR="005B0E0D" w:rsidRPr="005D25EA">
          <w:rPr>
            <w:rStyle w:val="Hypertextovodkaz"/>
          </w:rPr>
          <w:t>http://cslav.justice.cz/InfoData/uvod.html</w:t>
        </w:r>
      </w:hyperlink>
      <w:r w:rsidRPr="00F15667">
        <w:t>).</w:t>
      </w:r>
    </w:p>
    <w:p w14:paraId="754C9E75" w14:textId="7DE8E608" w:rsidR="008430BD" w:rsidRPr="00F15667" w:rsidRDefault="008430BD" w:rsidP="008430BD">
      <w:pPr>
        <w:pStyle w:val="Odstavecseseznamem"/>
        <w:numPr>
          <w:ilvl w:val="0"/>
          <w:numId w:val="4"/>
        </w:numPr>
      </w:pPr>
      <w:r w:rsidRPr="00F15667">
        <w:rPr>
          <w:b/>
        </w:rPr>
        <w:t xml:space="preserve">Incidenční spory </w:t>
      </w:r>
      <w:r w:rsidRPr="00F15667">
        <w:t xml:space="preserve">– jedná se </w:t>
      </w:r>
      <w:r w:rsidR="000C3B1E" w:rsidRPr="00F15667">
        <w:t>o </w:t>
      </w:r>
      <w:r w:rsidRPr="00F15667">
        <w:t xml:space="preserve">spory vyvolané insolvenčním řízením </w:t>
      </w:r>
      <w:r w:rsidR="000C3B1E" w:rsidRPr="00F15667">
        <w:t>a </w:t>
      </w:r>
      <w:r w:rsidRPr="00F15667">
        <w:t xml:space="preserve">projednávané v rámci insolvenčního řízení. Co jsou incidenční spory vymezuje insolvenční zákon (zákon č. 182/2006 Sb.). Jde například </w:t>
      </w:r>
      <w:r w:rsidR="000C3B1E" w:rsidRPr="00F15667">
        <w:t>o </w:t>
      </w:r>
      <w:r w:rsidRPr="00F15667">
        <w:t xml:space="preserve">spory </w:t>
      </w:r>
      <w:r w:rsidR="000C3B1E" w:rsidRPr="00F15667">
        <w:t>o </w:t>
      </w:r>
      <w:r w:rsidRPr="00F15667">
        <w:t xml:space="preserve">pravost, výši nebo pořadí přihlášených pohledávek, spory </w:t>
      </w:r>
      <w:r w:rsidR="000C3B1E" w:rsidRPr="00F15667">
        <w:t>o </w:t>
      </w:r>
      <w:r w:rsidRPr="00F15667">
        <w:t xml:space="preserve">vypořádání společného jmění dlužníka </w:t>
      </w:r>
      <w:r w:rsidR="000C3B1E" w:rsidRPr="00F15667">
        <w:t>a </w:t>
      </w:r>
      <w:r w:rsidRPr="00F15667">
        <w:t xml:space="preserve">jeho manžela, spory </w:t>
      </w:r>
      <w:r w:rsidRPr="00F15667">
        <w:lastRenderedPageBreak/>
        <w:t xml:space="preserve">o platnost smluv, kterými došlo ke zpeněžení majetkové podstaty prodejem mimo dražbu </w:t>
      </w:r>
      <w:r w:rsidR="000C3B1E" w:rsidRPr="00F15667">
        <w:t>a </w:t>
      </w:r>
      <w:r w:rsidRPr="00F15667">
        <w:t>další (viz také ust. §</w:t>
      </w:r>
      <w:r w:rsidR="0053190F" w:rsidRPr="00F15667">
        <w:t> </w:t>
      </w:r>
      <w:r w:rsidRPr="00F15667">
        <w:t xml:space="preserve">159 </w:t>
      </w:r>
      <w:r w:rsidR="000C3B1E" w:rsidRPr="00F15667">
        <w:t>a </w:t>
      </w:r>
      <w:r w:rsidRPr="00F15667">
        <w:t>násl. insolvenčního zákona).</w:t>
      </w:r>
    </w:p>
    <w:p w14:paraId="1767D529" w14:textId="18298AC4" w:rsidR="008430BD" w:rsidRPr="00F15667" w:rsidRDefault="008430BD" w:rsidP="008430BD">
      <w:pPr>
        <w:pStyle w:val="Odstavecseseznamem"/>
        <w:numPr>
          <w:ilvl w:val="0"/>
          <w:numId w:val="4"/>
        </w:numPr>
      </w:pPr>
      <w:r w:rsidRPr="00F15667">
        <w:rPr>
          <w:b/>
        </w:rPr>
        <w:t xml:space="preserve">Insolvence </w:t>
      </w:r>
      <w:r w:rsidRPr="00F15667">
        <w:t>– jinak také insolvenční agenda (řízení). Jedná se o zvláštní soudní řízení civilní agendy, jehož předmětem je projednání úpadku a jeho řešení. Do insolvenční agendy se dále ř</w:t>
      </w:r>
      <w:r w:rsidR="005A77B7" w:rsidRPr="00F15667">
        <w:t>a</w:t>
      </w:r>
      <w:r w:rsidRPr="00F15667">
        <w:t xml:space="preserve">dí incidenční spory. </w:t>
      </w:r>
      <w:r w:rsidR="00560594" w:rsidRPr="00F15667">
        <w:t xml:space="preserve">Insolvenční řízení vedou krajské soudy jako soudy věcně příslušné v rámci </w:t>
      </w:r>
      <w:r w:rsidRPr="00F15667">
        <w:t>insolvenčních oddělení obchodních úseků soudů.</w:t>
      </w:r>
    </w:p>
    <w:p w14:paraId="056933AE" w14:textId="0CA951EB" w:rsidR="008430BD" w:rsidRPr="00F15667" w:rsidRDefault="008430BD" w:rsidP="008430BD">
      <w:pPr>
        <w:pStyle w:val="Odstavecseseznamem"/>
        <w:numPr>
          <w:ilvl w:val="0"/>
          <w:numId w:val="4"/>
        </w:numPr>
      </w:pPr>
      <w:r w:rsidRPr="00F15667">
        <w:rPr>
          <w:b/>
        </w:rPr>
        <w:t xml:space="preserve">Jmenovací etapa </w:t>
      </w:r>
      <w:r w:rsidRPr="00F15667">
        <w:t>– jinak také etapa jmenování soudců. Soudce jmenuje prezident na návrh ministra spravedlnosti dle aktuální potřeby jednotlivých soudů.</w:t>
      </w:r>
    </w:p>
    <w:p w14:paraId="2FF04D03" w14:textId="14755FAA" w:rsidR="008430BD" w:rsidRPr="00F15667" w:rsidRDefault="008430BD" w:rsidP="008430BD">
      <w:pPr>
        <w:pStyle w:val="Odstavecseseznamem"/>
        <w:numPr>
          <w:ilvl w:val="0"/>
          <w:numId w:val="4"/>
        </w:numPr>
      </w:pPr>
      <w:r w:rsidRPr="00F15667">
        <w:rPr>
          <w:b/>
        </w:rPr>
        <w:t xml:space="preserve">Kasační stížnost </w:t>
      </w:r>
      <w:r w:rsidRPr="00F15667">
        <w:t>– mimořádný opravný prostředek, jímž lze napadnout pravomocné rozhodnutí krajského soudu vydané ve správním soudnictví. Kasační stížnost je možné podat v zásadě proti každému takovému rozhodnutí, není-li přezkoumání v kasačním řízení zákonem výslovně vyloučeno. O kasačních stížnostech rozhoduje Nejvyšší správní soud.</w:t>
      </w:r>
    </w:p>
    <w:p w14:paraId="30C74BC6" w14:textId="77777777" w:rsidR="008430BD" w:rsidRPr="00F15667" w:rsidRDefault="008430BD" w:rsidP="008430BD">
      <w:pPr>
        <w:pStyle w:val="Odstavecseseznamem"/>
        <w:numPr>
          <w:ilvl w:val="0"/>
          <w:numId w:val="4"/>
        </w:numPr>
      </w:pPr>
      <w:r w:rsidRPr="00F15667">
        <w:rPr>
          <w:b/>
        </w:rPr>
        <w:t xml:space="preserve">Krajské soudy (KS) </w:t>
      </w:r>
      <w:r w:rsidRPr="00F15667">
        <w:t>– druhý ze čtyř článků soustavy soudů ČR. Působí jich celkem osm, a to Krajský soud v Praze, v Českých Budějovicích, v Plzni, v Ústí nad Labem, v Hradci Králové, v Brně a v Ostravě a Městský soud v Praze, který vykonává působnost krajského soudu pro území hlavního města Prahy.</w:t>
      </w:r>
    </w:p>
    <w:p w14:paraId="68B2C30B" w14:textId="47B97211" w:rsidR="008430BD" w:rsidRPr="00F15667" w:rsidRDefault="008430BD" w:rsidP="008430BD">
      <w:pPr>
        <w:pStyle w:val="Odstavecseseznamem"/>
        <w:numPr>
          <w:ilvl w:val="0"/>
          <w:numId w:val="4"/>
        </w:numPr>
      </w:pPr>
      <w:r w:rsidRPr="00F15667">
        <w:rPr>
          <w:b/>
        </w:rPr>
        <w:t xml:space="preserve">Moratorium </w:t>
      </w:r>
      <w:r w:rsidRPr="00F15667">
        <w:t xml:space="preserve">– představuje poslední možnost odvrátit úpadek dlužníka před jeho zjištěním, neboť po dobu jeho trvání nelze vyhlásit úpadek dlužníka, platí však stejné účinky jako při zahájení insolvenčního řízení. O moratorium může žádat jen dlužník, který je podnikatelem. Moratorium se vyhlašuje za splnění zákonných podmínek nejdéle na dobu 3 měsíců; ve zvláštních případech může být prodlouženo </w:t>
      </w:r>
      <w:r w:rsidR="000C3B1E" w:rsidRPr="00F15667">
        <w:t>o </w:t>
      </w:r>
      <w:r w:rsidRPr="00F15667">
        <w:t xml:space="preserve">dalších třicet dnů. </w:t>
      </w:r>
      <w:r w:rsidRPr="00F15667" w:rsidDel="003549CA">
        <w:t>Smyslem moratoria je poskytnout dlužník</w:t>
      </w:r>
      <w:r w:rsidRPr="00F15667">
        <w:t>ovi</w:t>
      </w:r>
      <w:r w:rsidRPr="00F15667" w:rsidDel="003549CA">
        <w:t xml:space="preserve"> čas na vyřešení svých nesplácených závazků</w:t>
      </w:r>
      <w:r w:rsidRPr="00F15667">
        <w:t xml:space="preserve"> a </w:t>
      </w:r>
      <w:r w:rsidRPr="00F15667" w:rsidDel="003549CA">
        <w:t>pohledávek</w:t>
      </w:r>
      <w:r w:rsidRPr="00F15667">
        <w:t>, zachovat provoz podniku dlužníka a </w:t>
      </w:r>
      <w:r w:rsidRPr="00F15667" w:rsidDel="003549CA">
        <w:t>vyrovnat se</w:t>
      </w:r>
      <w:r w:rsidRPr="00F15667">
        <w:t xml:space="preserve"> s </w:t>
      </w:r>
      <w:r w:rsidRPr="00F15667" w:rsidDel="003549CA">
        <w:t xml:space="preserve">věřiteli ještě před </w:t>
      </w:r>
      <w:r w:rsidRPr="00F15667">
        <w:t>tím, než proběhne celé insolvenční</w:t>
      </w:r>
      <w:r w:rsidRPr="00F15667" w:rsidDel="003549CA">
        <w:t xml:space="preserve"> řízení.</w:t>
      </w:r>
    </w:p>
    <w:p w14:paraId="2CF16E37" w14:textId="77777777" w:rsidR="008430BD" w:rsidRPr="00F15667" w:rsidRDefault="008430BD" w:rsidP="008430BD">
      <w:pPr>
        <w:pStyle w:val="Odstavecseseznamem"/>
        <w:numPr>
          <w:ilvl w:val="0"/>
          <w:numId w:val="4"/>
        </w:numPr>
        <w:ind w:left="714" w:hanging="357"/>
      </w:pPr>
      <w:r w:rsidRPr="00F15667">
        <w:rPr>
          <w:b/>
        </w:rPr>
        <w:t xml:space="preserve">Nadřízený soud </w:t>
      </w:r>
      <w:r w:rsidRPr="00F15667">
        <w:t>– z hlediska hierarchického organizačního uspořádání soudní soustavy lze soudy obecně označovat podle jejich postavení v soustavě jako soudy vyšší a nižší a z hlediska instančních vztahů také jako soudy nadřízené (vyššího stupně) a podřízené (nižšího stupně). Vyšším soudem je soud, který v soudní soustavě zaujímá oproti jinému soudu vyšší postavení bez ohledu na to, zda nižší soud je činný v obvodu působnosti soudu vyššího. Nadřízeným soudem je soud vyšší ve vztahu k soudu nižšímu (podřízenému), který spadá do jeho obvodu působnosti. Například krajský soud je vždy nadřízeným soudem ve vztahu k okresním soudům v obvodu jeho působnosti, nikoliv však již ve vztahu k okresním soudům, které spadají do působnosti jiného krajského soudu.</w:t>
      </w:r>
    </w:p>
    <w:p w14:paraId="451DF910" w14:textId="77777777" w:rsidR="008430BD" w:rsidRPr="00F15667" w:rsidRDefault="008430BD" w:rsidP="008430BD">
      <w:pPr>
        <w:pStyle w:val="Odstavecseseznamem"/>
        <w:numPr>
          <w:ilvl w:val="0"/>
          <w:numId w:val="4"/>
        </w:numPr>
        <w:ind w:left="714" w:hanging="357"/>
      </w:pPr>
      <w:r w:rsidRPr="00F15667">
        <w:rPr>
          <w:b/>
        </w:rPr>
        <w:t xml:space="preserve">Nejvyšší soud (NS) </w:t>
      </w:r>
      <w:r w:rsidRPr="00F15667">
        <w:t>– čtvrtý článek soudní soustavy a vrcholný soudní orgán ve věcech patřících do pravomoci soudů v civilním a trestním soudnictví s výjimkou záležitostí, o nichž rozhoduje Ústavní soud a Nejvyšší správní soud. Rozhoduje o mimořádných opravných prostředcích v případech stanovených zákony o řízení před soudy a v jiných případech stanovených zvláštním právním předpisem nebo mezinárodní smlouvou, s níž vyslovil souhlas Parlament, jíž je Česká republika vázána a která byla vyhlášena. Sídlí v Brně.</w:t>
      </w:r>
    </w:p>
    <w:p w14:paraId="29E8C6C9" w14:textId="77777777" w:rsidR="008430BD" w:rsidRPr="00F15667" w:rsidRDefault="008430BD" w:rsidP="008430BD">
      <w:pPr>
        <w:pStyle w:val="Odstavecseseznamem"/>
        <w:numPr>
          <w:ilvl w:val="0"/>
          <w:numId w:val="4"/>
        </w:numPr>
        <w:ind w:left="714" w:hanging="357"/>
      </w:pPr>
      <w:r w:rsidRPr="00F15667">
        <w:rPr>
          <w:b/>
        </w:rPr>
        <w:t xml:space="preserve">Nejvyšší správní soud (NSS) </w:t>
      </w:r>
      <w:r w:rsidRPr="00F15667">
        <w:t>– vrcholný soudní orgán ve věcech patřících do pravomoci soudů ve správním soudnictví. Správní soudnictví v ČR spolu s NSS vykonávají dále už jen krajské soudy. Sídlí v Brně.</w:t>
      </w:r>
    </w:p>
    <w:p w14:paraId="621EDD0B" w14:textId="77777777" w:rsidR="008430BD" w:rsidRPr="00F15667" w:rsidRDefault="008430BD" w:rsidP="008430BD">
      <w:pPr>
        <w:pStyle w:val="Odstavecseseznamem"/>
        <w:numPr>
          <w:ilvl w:val="0"/>
          <w:numId w:val="4"/>
        </w:numPr>
        <w:ind w:left="714" w:hanging="357"/>
      </w:pPr>
      <w:r w:rsidRPr="00F15667">
        <w:rPr>
          <w:b/>
        </w:rPr>
        <w:lastRenderedPageBreak/>
        <w:t xml:space="preserve">O. z. </w:t>
      </w:r>
      <w:r w:rsidRPr="00F15667">
        <w:t>– občanský zákoník, zákon č. 89/2012 Sb., který rekodifikoval české soukromé právo a nahradil předchozí československý občanský zákoník z roku 1964. Nabyl účinnosti dnem 1. 1. 2014.</w:t>
      </w:r>
    </w:p>
    <w:p w14:paraId="5512C889" w14:textId="50AE0BEF" w:rsidR="008430BD" w:rsidRPr="00F15667" w:rsidRDefault="008430BD" w:rsidP="008430BD">
      <w:pPr>
        <w:pStyle w:val="Odstavecseseznamem"/>
        <w:numPr>
          <w:ilvl w:val="0"/>
          <w:numId w:val="4"/>
        </w:numPr>
        <w:ind w:left="714" w:hanging="357"/>
      </w:pPr>
      <w:r w:rsidRPr="00F15667">
        <w:rPr>
          <w:b/>
        </w:rPr>
        <w:t xml:space="preserve">Obchodní </w:t>
      </w:r>
      <w:r w:rsidRPr="00F15667">
        <w:t>– (agenda, úsek) jedna ze samostatně sledovaných agend civilního soudnictví, jejíž převážnou část tvoří spory mezi podnikateli a statusové věci právnických osob včetně jejich zrušení a likvidace, jmenování a odvolávání členů jejich orgánů nebo likvidátora a přeměn</w:t>
      </w:r>
      <w:r w:rsidR="00395B5A" w:rsidRPr="00F15667">
        <w:t>y</w:t>
      </w:r>
      <w:r w:rsidRPr="00F15667">
        <w:t>. Do obchodní agendy se řadí i dvě další agendy se specificky upraveným druhem řízení. V prvním případě se jedná o insolvenci, která je vzhledem ke svému rozsahu a významu sledována zvlášť. V druhém případě jde o řízení ve věcech veřejných rejstříků právnických a fyzických osob</w:t>
      </w:r>
      <w:r w:rsidR="00FA2FE2">
        <w:t>, evidence svěřeneckých fondů a evidence skutečných majitelů</w:t>
      </w:r>
      <w:r w:rsidRPr="00F15667">
        <w:t>. Tato zpráva se posledně uvedenou agendou nezabývá; údaje o ní lze získat z ostatních veřejných zdrojů justičních statistik.</w:t>
      </w:r>
    </w:p>
    <w:p w14:paraId="4CA40BEE" w14:textId="3551738C" w:rsidR="008430BD" w:rsidRPr="00F15667" w:rsidRDefault="008430BD" w:rsidP="008430BD">
      <w:pPr>
        <w:pStyle w:val="Odstavecseseznamem"/>
        <w:numPr>
          <w:ilvl w:val="0"/>
          <w:numId w:val="4"/>
        </w:numPr>
      </w:pPr>
      <w:r w:rsidRPr="00F15667">
        <w:rPr>
          <w:b/>
        </w:rPr>
        <w:t xml:space="preserve">Odvolací instance (agenda) </w:t>
      </w:r>
      <w:r w:rsidRPr="00F15667">
        <w:t>– také soud I</w:t>
      </w:r>
      <w:r w:rsidR="000C3B1E" w:rsidRPr="00F15667">
        <w:t>I. stupně</w:t>
      </w:r>
      <w:r w:rsidRPr="00F15667">
        <w:t xml:space="preserve"> (druhostupňová agenda). Soudní řízení bývá zpravidla dvoustupňové. Každá nová věc (spor nebo jiná právní věc) je nejdříve projednána a rozhodnuta v první instanci (viz dále). Lze-li nepravomocné rozhodnutí soudu </w:t>
      </w:r>
      <w:r w:rsidR="000C3B1E" w:rsidRPr="00F15667">
        <w:t>I. stupně</w:t>
      </w:r>
      <w:r w:rsidRPr="00F15667">
        <w:t xml:space="preserve"> napadnout opravným prostředkem, </w:t>
      </w:r>
      <w:r w:rsidR="00395B5A" w:rsidRPr="00F15667">
        <w:t xml:space="preserve">rozhoduje </w:t>
      </w:r>
      <w:r w:rsidR="00755920" w:rsidRPr="00F15667">
        <w:t>o </w:t>
      </w:r>
      <w:r w:rsidR="00395B5A" w:rsidRPr="00F15667">
        <w:t>něm</w:t>
      </w:r>
      <w:r w:rsidRPr="00F15667">
        <w:t xml:space="preserve"> bezprostředně </w:t>
      </w:r>
      <w:r w:rsidR="00395B5A" w:rsidRPr="00F15667">
        <w:t xml:space="preserve">nadřízený </w:t>
      </w:r>
      <w:r w:rsidRPr="00F15667">
        <w:t xml:space="preserve">soud </w:t>
      </w:r>
      <w:r w:rsidR="00755920" w:rsidRPr="00F15667">
        <w:t>v </w:t>
      </w:r>
      <w:r w:rsidRPr="00F15667">
        <w:t>odvolací</w:t>
      </w:r>
      <w:r w:rsidR="00395B5A" w:rsidRPr="00F15667">
        <w:t>m</w:t>
      </w:r>
      <w:r w:rsidRPr="00F15667">
        <w:t xml:space="preserve"> řízení.</w:t>
      </w:r>
    </w:p>
    <w:p w14:paraId="4C6A9356" w14:textId="49989935" w:rsidR="008430BD" w:rsidRPr="00F15667" w:rsidRDefault="008430BD" w:rsidP="008430BD">
      <w:pPr>
        <w:pStyle w:val="Odstavecseseznamem"/>
        <w:numPr>
          <w:ilvl w:val="0"/>
          <w:numId w:val="4"/>
        </w:numPr>
      </w:pPr>
      <w:r w:rsidRPr="00F15667">
        <w:rPr>
          <w:b/>
        </w:rPr>
        <w:t>Okresní soudy (OS)</w:t>
      </w:r>
      <w:r w:rsidRPr="00F15667">
        <w:t xml:space="preserve"> – první, nejnižší článek soudní soustavy. Tento článek soustavy čítá celkem 86 okresních soudů, z nichž 75 je označeno jako </w:t>
      </w:r>
      <w:r w:rsidRPr="00F15667">
        <w:rPr>
          <w:i/>
        </w:rPr>
        <w:t>okresní</w:t>
      </w:r>
      <w:r w:rsidRPr="00F15667">
        <w:t xml:space="preserve">, deset soudů na území hlavního města Prahy jako </w:t>
      </w:r>
      <w:r w:rsidRPr="00F15667">
        <w:rPr>
          <w:i/>
        </w:rPr>
        <w:t>obvodní</w:t>
      </w:r>
      <w:r w:rsidRPr="00F15667">
        <w:t xml:space="preserve"> (území hl. m. Prahy se dělí na deset soudních obvodů) a jeden jako </w:t>
      </w:r>
      <w:r w:rsidRPr="00F15667">
        <w:rPr>
          <w:i/>
        </w:rPr>
        <w:t>městský</w:t>
      </w:r>
      <w:r w:rsidRPr="00F15667">
        <w:t xml:space="preserve"> – Městský soud v Brně, který vykonává působnost okresního soudu pro území Statutárního města Brno (okres </w:t>
      </w:r>
      <w:r w:rsidR="0053190F" w:rsidRPr="00F15667">
        <w:t>Brno</w:t>
      </w:r>
      <w:r w:rsidR="0053190F" w:rsidRPr="00F15667">
        <w:noBreakHyphen/>
      </w:r>
      <w:r w:rsidRPr="00F15667">
        <w:t>město).</w:t>
      </w:r>
    </w:p>
    <w:p w14:paraId="2FA316F8" w14:textId="77777777" w:rsidR="008430BD" w:rsidRPr="00F15667" w:rsidRDefault="008430BD" w:rsidP="008430BD">
      <w:pPr>
        <w:pStyle w:val="Odstavecseseznamem"/>
        <w:numPr>
          <w:ilvl w:val="0"/>
          <w:numId w:val="4"/>
        </w:numPr>
      </w:pPr>
      <w:r w:rsidRPr="00F15667">
        <w:rPr>
          <w:b/>
        </w:rPr>
        <w:t xml:space="preserve">Opatrovnická </w:t>
      </w:r>
      <w:r w:rsidRPr="00F15667">
        <w:t xml:space="preserve">– (agenda, řízení, úsek) je jednou ze samostatných agend civilního soudnictví, kterou tvoří zejména věci týkající se svéprávnosti a opatrovnictví člověka a dále především záležitosti nezletilých dětí, poručenství a jiných forem péče o dítě. Kromě výše uvedeného se do opatrovnické agendy započítávají také věci tzv. </w:t>
      </w:r>
      <w:r w:rsidRPr="00F15667">
        <w:rPr>
          <w:i/>
        </w:rPr>
        <w:t>detenčního řízení</w:t>
      </w:r>
      <w:r w:rsidRPr="00F15667">
        <w:t>, tedy řízení ve věcech vyslovení přípustnosti převzetí nebo držení ve zdravotním ústavu (rejstřík L). Vzhledem k omezenému rozsahu detenční agendy se jí tato zpráva nezabývá.</w:t>
      </w:r>
    </w:p>
    <w:p w14:paraId="1EB501EF" w14:textId="4B957A8C" w:rsidR="008430BD" w:rsidRPr="00F15667" w:rsidRDefault="008430BD" w:rsidP="008430BD">
      <w:pPr>
        <w:pStyle w:val="Odstavecseseznamem"/>
        <w:numPr>
          <w:ilvl w:val="0"/>
          <w:numId w:val="4"/>
        </w:numPr>
      </w:pPr>
      <w:r w:rsidRPr="00F15667">
        <w:rPr>
          <w:b/>
        </w:rPr>
        <w:t xml:space="preserve">První instance (prvoinstanční agenda) </w:t>
      </w:r>
      <w:r w:rsidRPr="00F15667">
        <w:t xml:space="preserve">– také soud </w:t>
      </w:r>
      <w:r w:rsidR="000C3B1E" w:rsidRPr="00F15667">
        <w:t>I. stupně</w:t>
      </w:r>
      <w:r w:rsidRPr="00F15667">
        <w:t xml:space="preserve"> (prvostupňová agenda). Okresní soudy jsou soudy první instance vždy, není-li k tomu podle předpisů upravujících soudní řízení u</w:t>
      </w:r>
      <w:r w:rsidR="000B514E" w:rsidRPr="00F15667">
        <w:t>r</w:t>
      </w:r>
      <w:r w:rsidRPr="00F15667">
        <w:t>čen jiný článek soudní soustavy. Takovým jiným článkem jsou zpravidla krajské soudy. Existuje však velmi malý okruh věcí, kdy jako prvoinstanční soud působí soudy vrchní nebo nejvyšší (Nejvyšší soud a Nejvyšší správní soud).</w:t>
      </w:r>
    </w:p>
    <w:p w14:paraId="2117FF80" w14:textId="4A21CA6F" w:rsidR="008430BD" w:rsidRPr="00F15667" w:rsidRDefault="008430BD" w:rsidP="008430BD">
      <w:pPr>
        <w:pStyle w:val="Odstavecseseznamem"/>
        <w:numPr>
          <w:ilvl w:val="0"/>
          <w:numId w:val="4"/>
        </w:numPr>
      </w:pPr>
      <w:r w:rsidRPr="00F15667">
        <w:rPr>
          <w:b/>
        </w:rPr>
        <w:t xml:space="preserve">Přísedící soudu </w:t>
      </w:r>
      <w:r w:rsidRPr="00F15667">
        <w:t>–</w:t>
      </w:r>
      <w:r w:rsidR="00AB2060" w:rsidRPr="00F15667">
        <w:t xml:space="preserve"> </w:t>
      </w:r>
      <w:r w:rsidRPr="00F15667">
        <w:t>osoby</w:t>
      </w:r>
      <w:r w:rsidR="00DF67CE" w:rsidRPr="00F15667">
        <w:t xml:space="preserve">, které jsou voleny z řad laické veřejnosti </w:t>
      </w:r>
      <w:r w:rsidR="00755920" w:rsidRPr="00F15667">
        <w:t>a </w:t>
      </w:r>
      <w:r w:rsidR="00DF67CE" w:rsidRPr="00F15667">
        <w:t>které se podílí na rozhodovací činnosti soudů.</w:t>
      </w:r>
      <w:r w:rsidRPr="00F15667">
        <w:t xml:space="preserve"> </w:t>
      </w:r>
      <w:r w:rsidR="00DF67CE" w:rsidRPr="00F15667">
        <w:t>V</w:t>
      </w:r>
      <w:r w:rsidRPr="00F15667">
        <w:t>edle předsedy</w:t>
      </w:r>
      <w:r w:rsidR="00DF67CE" w:rsidRPr="00F15667">
        <w:t>, kterým je profesionálního soudce,</w:t>
      </w:r>
      <w:r w:rsidRPr="00F15667">
        <w:t xml:space="preserve"> </w:t>
      </w:r>
      <w:r w:rsidR="00DF67CE" w:rsidRPr="00F15667">
        <w:t>jsou</w:t>
      </w:r>
      <w:r w:rsidRPr="00F15667">
        <w:t xml:space="preserve"> členy </w:t>
      </w:r>
      <w:r w:rsidR="00DF67CE" w:rsidRPr="00F15667">
        <w:t xml:space="preserve">tříčlenného </w:t>
      </w:r>
      <w:r w:rsidRPr="00F15667">
        <w:t>soudního senátu</w:t>
      </w:r>
      <w:r w:rsidR="00DF67CE" w:rsidRPr="00F15667">
        <w:t xml:space="preserve"> </w:t>
      </w:r>
      <w:r w:rsidR="00755920" w:rsidRPr="00F15667">
        <w:t>a </w:t>
      </w:r>
      <w:r w:rsidR="00DF67CE" w:rsidRPr="00F15667">
        <w:t>disponují hlasovacím právem</w:t>
      </w:r>
      <w:r w:rsidRPr="00F15667">
        <w:t xml:space="preserve">. </w:t>
      </w:r>
      <w:r w:rsidR="00DF67CE" w:rsidRPr="00F15667">
        <w:t>P</w:t>
      </w:r>
      <w:r w:rsidRPr="00F15667">
        <w:t xml:space="preserve">ři poradě </w:t>
      </w:r>
      <w:r w:rsidR="000C3B1E" w:rsidRPr="00F15667">
        <w:t>o </w:t>
      </w:r>
      <w:r w:rsidRPr="00F15667">
        <w:t xml:space="preserve">rozsudku platí rovnost hlasů </w:t>
      </w:r>
      <w:r w:rsidR="00755920" w:rsidRPr="00F15667">
        <w:t>a </w:t>
      </w:r>
      <w:r w:rsidR="00C8663B" w:rsidRPr="00F15667">
        <w:t>může tak dojít k přehlasování předsedy soudního senátu přísedícími</w:t>
      </w:r>
      <w:r w:rsidRPr="00F15667">
        <w:t xml:space="preserve"> </w:t>
      </w:r>
      <w:r w:rsidR="005D76CA" w:rsidRPr="00F15667">
        <w:t>(</w:t>
      </w:r>
      <w:r w:rsidRPr="00F15667">
        <w:t>více zákon č. 6/2002 Sb., o soudech, soudcích, přísedících a státní správě soudů a o změně některých dalších zákonů (zákon o soudech a soudcích), ve znění pozdějších předpisů</w:t>
      </w:r>
      <w:r w:rsidR="005D76CA" w:rsidRPr="00F15667">
        <w:t>)</w:t>
      </w:r>
      <w:r w:rsidRPr="00F15667">
        <w:t>.</w:t>
      </w:r>
    </w:p>
    <w:p w14:paraId="30B18487" w14:textId="6ECF9BE5" w:rsidR="008430BD" w:rsidRPr="00F15667" w:rsidRDefault="008430BD" w:rsidP="008430BD">
      <w:pPr>
        <w:pStyle w:val="Odstavecseseznamem"/>
        <w:numPr>
          <w:ilvl w:val="0"/>
          <w:numId w:val="4"/>
        </w:numPr>
      </w:pPr>
      <w:r w:rsidRPr="00F15667">
        <w:rPr>
          <w:b/>
        </w:rPr>
        <w:t xml:space="preserve">Rejstřík </w:t>
      </w:r>
      <w:r w:rsidRPr="00F15667">
        <w:t>– evidenční pomůcka, která podává přehled o počtu a stavu vyřizování jednotlivých věcí. Je také podkladem pro vypracování statistických výkazů o činnosti soudů a dalších statistických výstupů a zdrojem pro základní kontrolu výkonu působnosti soudů. Soudy (včetně nejvyšších) vedou celkem přibližně 120 druhů rejstříků.</w:t>
      </w:r>
    </w:p>
    <w:p w14:paraId="2535FD45" w14:textId="675EB547" w:rsidR="008430BD" w:rsidRPr="00F15667" w:rsidRDefault="008430BD" w:rsidP="008430BD">
      <w:pPr>
        <w:pStyle w:val="Odstavecseseznamem"/>
        <w:numPr>
          <w:ilvl w:val="0"/>
          <w:numId w:val="4"/>
        </w:numPr>
      </w:pPr>
      <w:r w:rsidRPr="00F15667">
        <w:rPr>
          <w:b/>
        </w:rPr>
        <w:lastRenderedPageBreak/>
        <w:t xml:space="preserve">Rozkazní řízení </w:t>
      </w:r>
      <w:r w:rsidRPr="00F15667">
        <w:t>– jedná se o civilní řízení ve zkrácené formě, jehož cílem je skončení věc</w:t>
      </w:r>
      <w:r w:rsidR="00C8663B" w:rsidRPr="00F15667">
        <w:t>i</w:t>
      </w:r>
      <w:r w:rsidRPr="00F15667">
        <w:t xml:space="preserve"> vydáním platebního rozkazu. V této zprávě označuje jen ta civilní řízení, která jsou zahájena návrhem žalobce na vydání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 Platebním rozkazem se v této zprávě míní nejen běžný platební rozkaz, ale i elektronický platební rozkaz, evropský platební rozkaz a směnečný (šekový) platební rozkaz, není-li uvedeno jinak.</w:t>
      </w:r>
    </w:p>
    <w:p w14:paraId="23420BD2" w14:textId="77777777" w:rsidR="008430BD" w:rsidRPr="00F15667" w:rsidRDefault="008430BD" w:rsidP="008430BD">
      <w:pPr>
        <w:pStyle w:val="Odstavecseseznamem"/>
        <w:numPr>
          <w:ilvl w:val="0"/>
          <w:numId w:val="4"/>
        </w:numPr>
      </w:pPr>
      <w:r w:rsidRPr="00F15667">
        <w:rPr>
          <w:b/>
        </w:rPr>
        <w:t xml:space="preserve">Skutková podstata trestného činu </w:t>
      </w:r>
      <w:r w:rsidRPr="00F15667">
        <w:t>– souhrn typových znaků uvedených v trestním zákoníku, podle kterých se rozlišují jednotlivé druhy trestných činů (vražda, loupež, krádež, podvod atd.).</w:t>
      </w:r>
    </w:p>
    <w:p w14:paraId="37CC4344" w14:textId="14F29C92" w:rsidR="008430BD" w:rsidRPr="00F15667" w:rsidRDefault="008430BD" w:rsidP="008430BD">
      <w:pPr>
        <w:pStyle w:val="Odstavecseseznamem"/>
        <w:numPr>
          <w:ilvl w:val="0"/>
          <w:numId w:val="4"/>
        </w:numPr>
        <w:rPr>
          <w:b/>
        </w:rPr>
      </w:pPr>
      <w:r w:rsidRPr="00F15667">
        <w:rPr>
          <w:b/>
        </w:rPr>
        <w:t>Soudní obvod (okresního, krajského a vrchního soudu)</w:t>
      </w:r>
      <w:r w:rsidRPr="00F15667">
        <w:t xml:space="preserve"> – územní působnost jednotlivých soudů, včetně názvu a umístění sídla, stanovuje zákon č. 6/2002 Sb., </w:t>
      </w:r>
      <w:bookmarkStart w:id="1441" w:name="_Hlk103611250"/>
      <w:r w:rsidRPr="00F15667">
        <w:t>o soudech, soudcích, přísedících a státní správě soudů a </w:t>
      </w:r>
      <w:r w:rsidR="000C3B1E" w:rsidRPr="00F15667">
        <w:t>o </w:t>
      </w:r>
      <w:r w:rsidRPr="00F15667">
        <w:t>změně některých dalších zákonů (zákon o soudech a soudcích), ve znění pozdějších předpisů</w:t>
      </w:r>
      <w:bookmarkEnd w:id="1441"/>
      <w:r w:rsidRPr="00F15667">
        <w:t>. Obvod okresního soudu (soudní okres) je vymezen územním výčtem obcí, které jej tvoří (u obvodního soudu územím městských částí hlavního města Prahy). Obvod krajského soudu (soudní kraj) se skládá z obvod</w:t>
      </w:r>
      <w:r w:rsidR="00BE1819" w:rsidRPr="00F15667">
        <w:t>ů</w:t>
      </w:r>
      <w:r w:rsidRPr="00F15667">
        <w:t xml:space="preserve"> okresních soudů, kterým je nadřízeným soudem, a obvod vrchního soudu z obvodů krajských soudů, kterým je nadřízeným soudem.</w:t>
      </w:r>
    </w:p>
    <w:p w14:paraId="323D6896" w14:textId="77777777" w:rsidR="008430BD" w:rsidRPr="00F15667" w:rsidRDefault="008430BD" w:rsidP="008430BD">
      <w:pPr>
        <w:pStyle w:val="Odstavecseseznamem"/>
        <w:numPr>
          <w:ilvl w:val="0"/>
          <w:numId w:val="4"/>
        </w:numPr>
      </w:pPr>
      <w:r w:rsidRPr="00F15667">
        <w:rPr>
          <w:b/>
        </w:rPr>
        <w:t xml:space="preserve">Správní </w:t>
      </w:r>
      <w:r w:rsidRPr="00F15667">
        <w:t>– (agenda, řízení, úsek) – ve správním soudnictví poskytují soudy ochranu veřejným subjektivním právům fyzických i právnických osob a rozhodují i další věci, o kterých tak stanoví zákon (zejména věci volební, věci místního a krajského referenda a rozhodování o zrušení opatření obecné povahy nebo jeho částí pro rozpor se zákonem).</w:t>
      </w:r>
    </w:p>
    <w:p w14:paraId="78E21702" w14:textId="77777777" w:rsidR="008430BD" w:rsidRPr="00F15667" w:rsidRDefault="008430BD" w:rsidP="008430BD">
      <w:pPr>
        <w:pStyle w:val="Odstavecseseznamem"/>
        <w:numPr>
          <w:ilvl w:val="0"/>
          <w:numId w:val="4"/>
        </w:numPr>
      </w:pPr>
      <w:r w:rsidRPr="00F15667">
        <w:rPr>
          <w:b/>
        </w:rPr>
        <w:t xml:space="preserve">Stížnost pro porušení zákona </w:t>
      </w:r>
      <w:r w:rsidRPr="00F15667">
        <w:t>– mimořádný opravný prostředek</w:t>
      </w:r>
      <w:r w:rsidR="00BE1819" w:rsidRPr="00F15667">
        <w:t xml:space="preserve"> v trestním řízení</w:t>
      </w:r>
      <w:r w:rsidRPr="00F15667">
        <w:t>, který může podat jen ministr spravedlnosti, a to proti pravomocnému rozhodnutí soudu nebo státního zástupce, jímž byl porušen zákon nebo které bylo učiněno na podkladě vadného postupu řízení. Stížnost pro porušení zákona se podává k Nejvyššímu soudu, který o ní také rozhoduje (viz také ust. § 266 a násl. tr. řádu).</w:t>
      </w:r>
    </w:p>
    <w:p w14:paraId="1499A3BC" w14:textId="77777777" w:rsidR="008430BD" w:rsidRPr="00F15667" w:rsidRDefault="008430BD" w:rsidP="008430BD">
      <w:pPr>
        <w:pStyle w:val="Odstavecseseznamem"/>
        <w:numPr>
          <w:ilvl w:val="0"/>
          <w:numId w:val="4"/>
        </w:numPr>
      </w:pPr>
      <w:r w:rsidRPr="00F15667">
        <w:rPr>
          <w:b/>
        </w:rPr>
        <w:t xml:space="preserve">Systemizace a její výpočet </w:t>
      </w:r>
      <w:r w:rsidRPr="00F15667">
        <w:t xml:space="preserve">– </w:t>
      </w:r>
      <w:r w:rsidRPr="00F15667">
        <w:rPr>
          <w:lang w:eastAsia="cs-CZ"/>
        </w:rPr>
        <w:t xml:space="preserve">výpočet slouží k odhadu potřeby soudců k vyřízení nápadu pro následující rok. Pro každý soud se z dat za předchozí tři roky odhadne nápad ve všech rejstřících pro předmětný rok. Za pomoci měřítek se vypočte teoretický počet soudců potřebných k vyřízení nápadu v daném rejstříku. Potřeba soudců pro jednotlivé rejstříky se sečte a vyjde tak potřeba soudců pro předmětný soud a rok. Vypočtená potřeba je nakonec upravena s přihlédnutím ke státnímu rozpočtu, jehož prostředky v současné době postačují pro 3 063 soudců. Samotná systemizace spočívá ve stanovení plánovaného počtu soudců pro jednotlivé kraje na základě výše popsaného výpočtu. Pro vyšší soudy je systemizace určena na základě dohody, nikoliv na základě výpočtu. Z výše uvedeného plyne, že systemizace </w:t>
      </w:r>
      <w:r w:rsidR="00BE1819" w:rsidRPr="00F15667">
        <w:rPr>
          <w:lang w:eastAsia="cs-CZ"/>
        </w:rPr>
        <w:t>primárně</w:t>
      </w:r>
      <w:r w:rsidRPr="00F15667">
        <w:rPr>
          <w:lang w:eastAsia="cs-CZ"/>
        </w:rPr>
        <w:t xml:space="preserve"> neslouží k určování celorepublikové potřeby soudců, ale k přerozdělování předem stanoveného počtu soudců mezi soudy s ohledem na relativní změny v nápadu</w:t>
      </w:r>
      <w:r w:rsidRPr="00F15667">
        <w:t>.</w:t>
      </w:r>
    </w:p>
    <w:p w14:paraId="652B2E73" w14:textId="77777777" w:rsidR="008430BD" w:rsidRPr="00F15667" w:rsidRDefault="008430BD" w:rsidP="008430BD">
      <w:pPr>
        <w:pStyle w:val="Odstavecseseznamem"/>
        <w:numPr>
          <w:ilvl w:val="0"/>
          <w:numId w:val="4"/>
        </w:numPr>
      </w:pPr>
      <w:r w:rsidRPr="00F15667">
        <w:rPr>
          <w:b/>
        </w:rPr>
        <w:t xml:space="preserve">Trestní </w:t>
      </w:r>
      <w:r w:rsidRPr="00F15667">
        <w:t>– (agenda, řízení, úsek). Hlavním těžištěm trestního řízení je náležité zjištění trestných činů a spravedlivé potrestání jejich pachatelů v souladu se zákonem.</w:t>
      </w:r>
    </w:p>
    <w:p w14:paraId="44A1D2BC" w14:textId="5BA7129E" w:rsidR="008430BD" w:rsidRPr="00F15667" w:rsidRDefault="000C3B1E" w:rsidP="008430BD">
      <w:pPr>
        <w:pStyle w:val="Odstavecseseznamem"/>
      </w:pPr>
      <w:r w:rsidRPr="00F15667">
        <w:rPr>
          <w:noProof/>
          <w:lang w:eastAsia="cs-CZ"/>
        </w:rPr>
        <w:lastRenderedPageBreak/>
        <w:drawing>
          <wp:anchor distT="0" distB="0" distL="114300" distR="114300" simplePos="0" relativeHeight="251659264" behindDoc="0" locked="0" layoutInCell="1" allowOverlap="1" wp14:anchorId="3E44A191" wp14:editId="169B0D53">
            <wp:simplePos x="0" y="0"/>
            <wp:positionH relativeFrom="column">
              <wp:posOffset>474041</wp:posOffset>
            </wp:positionH>
            <wp:positionV relativeFrom="paragraph">
              <wp:posOffset>986790</wp:posOffset>
            </wp:positionV>
            <wp:extent cx="4964430" cy="1518920"/>
            <wp:effectExtent l="0" t="0" r="7620" b="5080"/>
            <wp:wrapTopAndBottom/>
            <wp:docPr id="1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964430"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0BD" w:rsidRPr="00F15667">
        <w:t>Trestní řízení je zákonem upravený postup orgánů činných v trestním řízení (policejní orgány, státní zastupitelství a soudy) a dalších subjektů podílejících se na tomto postupu. Trestní řízení probíhá v několika stádiích. Rozlišujeme přípravné řízení, předběžné projednání obžaloby, hlavní líčení, odvolací řízení a vykonávací řízení (viz zjednodušené schéma níže):</w:t>
      </w:r>
    </w:p>
    <w:p w14:paraId="0F1E51CA" w14:textId="1BE92E6F" w:rsidR="008430BD" w:rsidRPr="00F15667" w:rsidRDefault="008430BD" w:rsidP="008430BD">
      <w:pPr>
        <w:pStyle w:val="Odstavecseseznamem"/>
      </w:pPr>
      <w:r w:rsidRPr="00F15667">
        <w:t>Trestní věc nemusí projít všemi stádii, zejména může být rozhodnuta již v přípravném řízení, což znamená, že hlavní líčení se nebude vůbec konat. Obdobně skončí-li věc ve prospěch obžalovaného, není důvodu pro konání vykonávacího řízení, neboť rozsudkem nebyla uložena sankce (trest, ochranné opatření).</w:t>
      </w:r>
    </w:p>
    <w:p w14:paraId="19345D8B" w14:textId="736696C9" w:rsidR="008430BD" w:rsidRPr="00F15667" w:rsidRDefault="008430BD" w:rsidP="008430BD">
      <w:pPr>
        <w:pStyle w:val="Odstavecseseznamem"/>
      </w:pPr>
      <w:r w:rsidRPr="00F15667">
        <w:t xml:space="preserve">Soudů se především týká část trestního řízení od podání obžaloby, tedy předběžné projednání obžaloby, hlavní líčení, odvolací řízení (souhrnně označená jako řízení před soudem) a vykonávací řízení. Samozřejmě soudy na trestním úseku vyřizují i další trestní agendu (např. rozhodování soudce v přípravném řízení). Tato zpráva se ale věnuje trestním věcem spadajícím do řízení před soudem a zapisovaným do rejstříků T a Tm u prvostupňového soudu a do rejstříků To a Tmo </w:t>
      </w:r>
      <w:r w:rsidR="00755920" w:rsidRPr="00F15667">
        <w:t>u </w:t>
      </w:r>
      <w:r w:rsidRPr="00F15667">
        <w:t>odvolacího soudu.</w:t>
      </w:r>
    </w:p>
    <w:p w14:paraId="08F568F4" w14:textId="77777777" w:rsidR="008430BD" w:rsidRPr="00F15667" w:rsidRDefault="008430BD" w:rsidP="008430BD">
      <w:pPr>
        <w:pStyle w:val="Odstavecseseznamem"/>
        <w:numPr>
          <w:ilvl w:val="0"/>
          <w:numId w:val="4"/>
        </w:numPr>
      </w:pPr>
      <w:r w:rsidRPr="00F15667">
        <w:rPr>
          <w:b/>
        </w:rPr>
        <w:t xml:space="preserve">Vrchní soudy (VS) </w:t>
      </w:r>
      <w:r w:rsidRPr="00F15667">
        <w:t>– jsou třetím článkem soudní soustavy tvořeným dvěma soudy se sídlem v Praze a v Olomouci.</w:t>
      </w:r>
    </w:p>
    <w:p w14:paraId="49C808BF" w14:textId="742B7824" w:rsidR="008430BD" w:rsidRPr="00F15667" w:rsidRDefault="008430BD" w:rsidP="008430BD">
      <w:pPr>
        <w:pStyle w:val="Odstavecseseznamem"/>
        <w:numPr>
          <w:ilvl w:val="0"/>
          <w:numId w:val="4"/>
        </w:numPr>
      </w:pPr>
      <w:r w:rsidRPr="00F15667">
        <w:rPr>
          <w:b/>
        </w:rPr>
        <w:t xml:space="preserve">Zaměstnanec ve výkonu </w:t>
      </w:r>
      <w:r w:rsidRPr="00F15667">
        <w:t>– jedná se o zaměstnance soudu, který není soudcem, ale bezprostředně se podílí na vyřizování soudní agendy a výkonu soudnictví. Zaměstnance lze roztřídit do několika kategorií podle druhu práce, kterou vykonávají. Bližší popis je uveden v</w:t>
      </w:r>
      <w:r w:rsidR="000C3B1E" w:rsidRPr="00F15667">
        <w:t> </w:t>
      </w:r>
      <w:r w:rsidRPr="00F15667">
        <w:t>podkapitole</w:t>
      </w:r>
      <w:r w:rsidR="000C3B1E" w:rsidRPr="00F15667">
        <w:t> </w:t>
      </w:r>
      <w:r w:rsidRPr="00F15667">
        <w:t>2.1.2.</w:t>
      </w:r>
    </w:p>
    <w:p w14:paraId="1A045265" w14:textId="77777777" w:rsidR="008430BD" w:rsidRPr="00F15667" w:rsidRDefault="008430BD" w:rsidP="008430BD">
      <w:pPr>
        <w:pStyle w:val="Odstavecseseznamem"/>
        <w:numPr>
          <w:ilvl w:val="0"/>
          <w:numId w:val="4"/>
        </w:numPr>
      </w:pPr>
      <w:r w:rsidRPr="00F15667">
        <w:rPr>
          <w:b/>
        </w:rPr>
        <w:t xml:space="preserve">Zaměstnanec ve správě </w:t>
      </w:r>
      <w:r w:rsidRPr="00F15667">
        <w:t xml:space="preserve">– zajišťuje provoz soudu, což zahrnuje velkou škálu funkcí. Celou správu soudu řídí ředitel správy. Dalšími zaměstnanci ve správě jsou například pracovníci sekretariátu, dozorčí úředníci, účetní, ekonomové, informatici nebo řidiči. Celkem je rozlišováno </w:t>
      </w:r>
      <w:r w:rsidR="00BE1819" w:rsidRPr="00F15667">
        <w:t>přibližně</w:t>
      </w:r>
      <w:r w:rsidRPr="00F15667">
        <w:t xml:space="preserve"> 40 kategorií zaměstnanců ve správě.</w:t>
      </w:r>
    </w:p>
    <w:p w14:paraId="32D9995A" w14:textId="77777777" w:rsidR="008430BD" w:rsidRPr="00F15667" w:rsidRDefault="008430BD" w:rsidP="008430BD">
      <w:pPr>
        <w:pStyle w:val="Odstavecseseznamem"/>
        <w:numPr>
          <w:ilvl w:val="0"/>
          <w:numId w:val="4"/>
        </w:numPr>
      </w:pPr>
      <w:r w:rsidRPr="00F15667">
        <w:rPr>
          <w:b/>
        </w:rPr>
        <w:t xml:space="preserve">Zkrácené přípravné řízení </w:t>
      </w:r>
      <w:r w:rsidRPr="00F15667">
        <w:t>– představuje zvláštní formu přípravného řízení, jehož podstatou je umožnit u méně závažných trestných činů jejich rychlejší a jednodušší vyřízení (skončení), tedy objasnění skutku, ve kterém je spatřován trestný čin, zjištění osoby důvodně podezřelé z jeho spáchání a vyhledání důkazů. Zkrácené přípravné řízení lze podle zákona konat jen o trestných činech, které v prvním stupni přísluší projednávat okresnímu soudu a jejichž horní hranice trestní sazby nepřevyšuje pět let, pokud byl podezřelý přistižen při činu nebo bezprostředně po něm nebo pokud v průběhu prověřování byly zjištěny skutečnosti jinak odůvodňující zahájení trestního stíhání a lze očekávat, že podezřelého bude možné ve lhůtě dvou týdnů postavit před soud.</w:t>
      </w:r>
    </w:p>
    <w:p w14:paraId="60DCCF0F" w14:textId="77777777" w:rsidR="008430BD" w:rsidRPr="00F15667" w:rsidRDefault="008430BD" w:rsidP="008430BD">
      <w:pPr>
        <w:spacing w:line="240" w:lineRule="auto"/>
        <w:jc w:val="left"/>
      </w:pPr>
      <w:r w:rsidRPr="00F15667">
        <w:br w:type="page"/>
      </w:r>
    </w:p>
    <w:p w14:paraId="12006997" w14:textId="2C6490C3" w:rsidR="008430BD" w:rsidRPr="00F15667" w:rsidRDefault="008430BD" w:rsidP="008430BD">
      <w:pPr>
        <w:pStyle w:val="Nadpis2"/>
        <w:ind w:left="578" w:hanging="578"/>
        <w:rPr>
          <w:color w:val="auto"/>
        </w:rPr>
      </w:pPr>
      <w:bookmarkStart w:id="1442" w:name="_Ref482901972"/>
      <w:bookmarkStart w:id="1443" w:name="_Toc487791320"/>
      <w:bookmarkStart w:id="1444" w:name="_Toc106092838"/>
      <w:bookmarkStart w:id="1445" w:name="_Toc144104455"/>
      <w:r w:rsidRPr="00F15667">
        <w:rPr>
          <w:color w:val="auto"/>
        </w:rPr>
        <w:lastRenderedPageBreak/>
        <w:t>Příloha B – seznam zkr. soudních okresů a soudních obvodů hl. m. Prahy</w:t>
      </w:r>
      <w:bookmarkEnd w:id="1442"/>
      <w:bookmarkEnd w:id="1443"/>
      <w:bookmarkEnd w:id="1444"/>
      <w:bookmarkEnd w:id="1445"/>
    </w:p>
    <w:p w14:paraId="34DF71FD" w14:textId="77777777" w:rsidR="008430BD" w:rsidRPr="00F15667" w:rsidRDefault="008430BD" w:rsidP="008430BD"/>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F15667" w:rsidRPr="00F15667" w14:paraId="314081C2" w14:textId="77777777" w:rsidTr="00CF32FA">
        <w:trPr>
          <w:trHeight w:val="345"/>
          <w:jc w:val="center"/>
        </w:trPr>
        <w:tc>
          <w:tcPr>
            <w:tcW w:w="2320" w:type="dxa"/>
            <w:tcBorders>
              <w:top w:val="double" w:sz="6" w:space="0" w:color="auto"/>
              <w:left w:val="nil"/>
              <w:bottom w:val="double" w:sz="6" w:space="0" w:color="auto"/>
              <w:right w:val="nil"/>
            </w:tcBorders>
            <w:shd w:val="clear" w:color="auto" w:fill="auto"/>
            <w:noWrap/>
            <w:vAlign w:val="center"/>
            <w:hideMark/>
          </w:tcPr>
          <w:p w14:paraId="7B24D039" w14:textId="77777777" w:rsidR="008430BD" w:rsidRPr="00F15667" w:rsidRDefault="008430BD" w:rsidP="00CF32FA">
            <w:pPr>
              <w:spacing w:line="240" w:lineRule="auto"/>
              <w:jc w:val="center"/>
              <w:rPr>
                <w:b/>
              </w:rPr>
            </w:pPr>
            <w:r w:rsidRPr="00F15667">
              <w:rPr>
                <w:b/>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center"/>
            <w:hideMark/>
          </w:tcPr>
          <w:p w14:paraId="4E550854" w14:textId="77777777" w:rsidR="008430BD" w:rsidRPr="00F15667" w:rsidRDefault="008430BD" w:rsidP="00CF32FA">
            <w:pPr>
              <w:spacing w:line="240" w:lineRule="auto"/>
              <w:jc w:val="center"/>
              <w:rPr>
                <w:b/>
              </w:rPr>
            </w:pPr>
            <w:r w:rsidRPr="00F15667">
              <w:rPr>
                <w:b/>
              </w:rPr>
              <w:t>Zkratka</w:t>
            </w:r>
          </w:p>
        </w:tc>
        <w:tc>
          <w:tcPr>
            <w:tcW w:w="2320" w:type="dxa"/>
            <w:tcBorders>
              <w:top w:val="double" w:sz="6" w:space="0" w:color="auto"/>
              <w:left w:val="nil"/>
              <w:bottom w:val="double" w:sz="6" w:space="0" w:color="auto"/>
              <w:right w:val="nil"/>
            </w:tcBorders>
            <w:shd w:val="clear" w:color="auto" w:fill="auto"/>
            <w:noWrap/>
            <w:vAlign w:val="center"/>
            <w:hideMark/>
          </w:tcPr>
          <w:p w14:paraId="2F2D4E77" w14:textId="77777777" w:rsidR="008430BD" w:rsidRPr="00F15667" w:rsidRDefault="008430BD" w:rsidP="00CF32FA">
            <w:pPr>
              <w:spacing w:line="240" w:lineRule="auto"/>
              <w:jc w:val="center"/>
              <w:rPr>
                <w:b/>
              </w:rPr>
            </w:pPr>
            <w:r w:rsidRPr="00F15667">
              <w:rPr>
                <w:b/>
              </w:rPr>
              <w:t>Okres (obvod)</w:t>
            </w:r>
          </w:p>
        </w:tc>
        <w:tc>
          <w:tcPr>
            <w:tcW w:w="1060" w:type="dxa"/>
            <w:tcBorders>
              <w:top w:val="double" w:sz="6" w:space="0" w:color="auto"/>
              <w:left w:val="nil"/>
              <w:bottom w:val="double" w:sz="6" w:space="0" w:color="auto"/>
              <w:right w:val="nil"/>
            </w:tcBorders>
            <w:shd w:val="clear" w:color="auto" w:fill="auto"/>
            <w:noWrap/>
            <w:vAlign w:val="center"/>
            <w:hideMark/>
          </w:tcPr>
          <w:p w14:paraId="7827FDCC" w14:textId="77777777" w:rsidR="008430BD" w:rsidRPr="00F15667" w:rsidRDefault="008430BD" w:rsidP="00CF32FA">
            <w:pPr>
              <w:spacing w:line="240" w:lineRule="auto"/>
              <w:jc w:val="center"/>
              <w:rPr>
                <w:b/>
              </w:rPr>
            </w:pPr>
            <w:r w:rsidRPr="00F15667">
              <w:rPr>
                <w:b/>
              </w:rPr>
              <w:t>Zkratka</w:t>
            </w:r>
          </w:p>
        </w:tc>
      </w:tr>
      <w:tr w:rsidR="00F15667" w:rsidRPr="00F15667" w14:paraId="49F82F6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2BEB2B1" w14:textId="77777777" w:rsidR="008430BD" w:rsidRPr="00F15667" w:rsidRDefault="008430BD" w:rsidP="00CF32FA">
            <w:pPr>
              <w:spacing w:line="240" w:lineRule="auto"/>
              <w:jc w:val="left"/>
            </w:pPr>
            <w:r w:rsidRPr="00F15667">
              <w:t>Benešov</w:t>
            </w:r>
          </w:p>
        </w:tc>
        <w:tc>
          <w:tcPr>
            <w:tcW w:w="1060" w:type="dxa"/>
            <w:tcBorders>
              <w:top w:val="nil"/>
              <w:left w:val="nil"/>
              <w:bottom w:val="single" w:sz="4" w:space="0" w:color="auto"/>
              <w:right w:val="single" w:sz="4" w:space="0" w:color="auto"/>
            </w:tcBorders>
            <w:shd w:val="clear" w:color="auto" w:fill="auto"/>
            <w:noWrap/>
            <w:vAlign w:val="center"/>
            <w:hideMark/>
          </w:tcPr>
          <w:p w14:paraId="38D9E128" w14:textId="77777777" w:rsidR="008430BD" w:rsidRPr="00F15667" w:rsidRDefault="008430BD" w:rsidP="00CF32FA">
            <w:pPr>
              <w:spacing w:line="240" w:lineRule="auto"/>
              <w:jc w:val="center"/>
            </w:pPr>
            <w:r w:rsidRPr="00F15667">
              <w:t>BN</w:t>
            </w:r>
          </w:p>
        </w:tc>
        <w:tc>
          <w:tcPr>
            <w:tcW w:w="2320" w:type="dxa"/>
            <w:tcBorders>
              <w:top w:val="nil"/>
              <w:left w:val="nil"/>
              <w:bottom w:val="single" w:sz="4" w:space="0" w:color="auto"/>
              <w:right w:val="nil"/>
            </w:tcBorders>
            <w:shd w:val="clear" w:color="auto" w:fill="auto"/>
            <w:noWrap/>
            <w:vAlign w:val="center"/>
            <w:hideMark/>
          </w:tcPr>
          <w:p w14:paraId="199F7F7E" w14:textId="77777777" w:rsidR="008430BD" w:rsidRPr="00F15667" w:rsidRDefault="008430BD" w:rsidP="00CF32FA">
            <w:pPr>
              <w:spacing w:line="240" w:lineRule="auto"/>
              <w:jc w:val="left"/>
            </w:pPr>
            <w:r w:rsidRPr="00F15667">
              <w:t>Pardubice</w:t>
            </w:r>
          </w:p>
        </w:tc>
        <w:tc>
          <w:tcPr>
            <w:tcW w:w="1060" w:type="dxa"/>
            <w:tcBorders>
              <w:top w:val="nil"/>
              <w:left w:val="nil"/>
              <w:bottom w:val="single" w:sz="4" w:space="0" w:color="auto"/>
              <w:right w:val="nil"/>
            </w:tcBorders>
            <w:shd w:val="clear" w:color="auto" w:fill="auto"/>
            <w:noWrap/>
            <w:vAlign w:val="center"/>
            <w:hideMark/>
          </w:tcPr>
          <w:p w14:paraId="16EAD4F3" w14:textId="77777777" w:rsidR="008430BD" w:rsidRPr="00F15667" w:rsidRDefault="008430BD" w:rsidP="00CF32FA">
            <w:pPr>
              <w:spacing w:line="240" w:lineRule="auto"/>
              <w:jc w:val="center"/>
            </w:pPr>
            <w:r w:rsidRPr="00F15667">
              <w:t>PA</w:t>
            </w:r>
          </w:p>
        </w:tc>
      </w:tr>
      <w:tr w:rsidR="00F15667" w:rsidRPr="00F15667" w14:paraId="7BC4416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13EE33F" w14:textId="77777777" w:rsidR="008430BD" w:rsidRPr="00F15667" w:rsidRDefault="008430BD" w:rsidP="00CF32FA">
            <w:pPr>
              <w:spacing w:line="240" w:lineRule="auto"/>
              <w:jc w:val="left"/>
            </w:pPr>
            <w:r w:rsidRPr="00F15667">
              <w:t>Beroun</w:t>
            </w:r>
          </w:p>
        </w:tc>
        <w:tc>
          <w:tcPr>
            <w:tcW w:w="1060" w:type="dxa"/>
            <w:tcBorders>
              <w:top w:val="nil"/>
              <w:left w:val="nil"/>
              <w:bottom w:val="single" w:sz="4" w:space="0" w:color="auto"/>
              <w:right w:val="single" w:sz="4" w:space="0" w:color="auto"/>
            </w:tcBorders>
            <w:shd w:val="clear" w:color="auto" w:fill="auto"/>
            <w:noWrap/>
            <w:vAlign w:val="center"/>
            <w:hideMark/>
          </w:tcPr>
          <w:p w14:paraId="74A0D282" w14:textId="77777777" w:rsidR="008430BD" w:rsidRPr="00F15667" w:rsidRDefault="008430BD" w:rsidP="00CF32FA">
            <w:pPr>
              <w:spacing w:line="240" w:lineRule="auto"/>
              <w:jc w:val="center"/>
            </w:pPr>
            <w:r w:rsidRPr="00F15667">
              <w:t>BE</w:t>
            </w:r>
          </w:p>
        </w:tc>
        <w:tc>
          <w:tcPr>
            <w:tcW w:w="2320" w:type="dxa"/>
            <w:tcBorders>
              <w:top w:val="nil"/>
              <w:left w:val="nil"/>
              <w:bottom w:val="single" w:sz="4" w:space="0" w:color="auto"/>
              <w:right w:val="nil"/>
            </w:tcBorders>
            <w:shd w:val="clear" w:color="auto" w:fill="auto"/>
            <w:noWrap/>
            <w:vAlign w:val="center"/>
            <w:hideMark/>
          </w:tcPr>
          <w:p w14:paraId="58B8B146" w14:textId="77777777" w:rsidR="008430BD" w:rsidRPr="00F15667" w:rsidRDefault="008430BD" w:rsidP="00CF32FA">
            <w:pPr>
              <w:spacing w:line="240" w:lineRule="auto"/>
              <w:jc w:val="left"/>
            </w:pPr>
            <w:r w:rsidRPr="00F15667">
              <w:t>Pelhřimov</w:t>
            </w:r>
          </w:p>
        </w:tc>
        <w:tc>
          <w:tcPr>
            <w:tcW w:w="1060" w:type="dxa"/>
            <w:tcBorders>
              <w:top w:val="nil"/>
              <w:left w:val="nil"/>
              <w:bottom w:val="single" w:sz="4" w:space="0" w:color="auto"/>
              <w:right w:val="nil"/>
            </w:tcBorders>
            <w:shd w:val="clear" w:color="auto" w:fill="auto"/>
            <w:noWrap/>
            <w:vAlign w:val="center"/>
            <w:hideMark/>
          </w:tcPr>
          <w:p w14:paraId="4075A192" w14:textId="77777777" w:rsidR="008430BD" w:rsidRPr="00F15667" w:rsidRDefault="008430BD" w:rsidP="00CF32FA">
            <w:pPr>
              <w:spacing w:line="240" w:lineRule="auto"/>
              <w:jc w:val="center"/>
            </w:pPr>
            <w:r w:rsidRPr="00F15667">
              <w:t>PE</w:t>
            </w:r>
          </w:p>
        </w:tc>
      </w:tr>
      <w:tr w:rsidR="00F15667" w:rsidRPr="00F15667" w14:paraId="15026DA1"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30D93FD" w14:textId="77777777" w:rsidR="008430BD" w:rsidRPr="00F15667" w:rsidRDefault="008430BD" w:rsidP="00CF32FA">
            <w:pPr>
              <w:spacing w:line="240" w:lineRule="auto"/>
              <w:jc w:val="left"/>
            </w:pPr>
            <w:r w:rsidRPr="00F15667">
              <w:t>Blansko</w:t>
            </w:r>
          </w:p>
        </w:tc>
        <w:tc>
          <w:tcPr>
            <w:tcW w:w="1060" w:type="dxa"/>
            <w:tcBorders>
              <w:top w:val="nil"/>
              <w:left w:val="nil"/>
              <w:bottom w:val="single" w:sz="4" w:space="0" w:color="auto"/>
              <w:right w:val="single" w:sz="4" w:space="0" w:color="auto"/>
            </w:tcBorders>
            <w:shd w:val="clear" w:color="auto" w:fill="auto"/>
            <w:noWrap/>
            <w:vAlign w:val="center"/>
            <w:hideMark/>
          </w:tcPr>
          <w:p w14:paraId="2AF311BA" w14:textId="77777777" w:rsidR="008430BD" w:rsidRPr="00F15667" w:rsidRDefault="008430BD" w:rsidP="00CF32FA">
            <w:pPr>
              <w:spacing w:line="240" w:lineRule="auto"/>
              <w:jc w:val="center"/>
            </w:pPr>
            <w:r w:rsidRPr="00F15667">
              <w:t>BK</w:t>
            </w:r>
          </w:p>
        </w:tc>
        <w:tc>
          <w:tcPr>
            <w:tcW w:w="2320" w:type="dxa"/>
            <w:tcBorders>
              <w:top w:val="nil"/>
              <w:left w:val="nil"/>
              <w:bottom w:val="single" w:sz="4" w:space="0" w:color="auto"/>
              <w:right w:val="nil"/>
            </w:tcBorders>
            <w:shd w:val="clear" w:color="auto" w:fill="auto"/>
            <w:noWrap/>
            <w:vAlign w:val="center"/>
            <w:hideMark/>
          </w:tcPr>
          <w:p w14:paraId="49FBC49E" w14:textId="77777777" w:rsidR="008430BD" w:rsidRPr="00F15667" w:rsidRDefault="008430BD" w:rsidP="00CF32FA">
            <w:pPr>
              <w:spacing w:line="240" w:lineRule="auto"/>
              <w:jc w:val="left"/>
            </w:pPr>
            <w:r w:rsidRPr="00F15667">
              <w:t>Písek</w:t>
            </w:r>
          </w:p>
        </w:tc>
        <w:tc>
          <w:tcPr>
            <w:tcW w:w="1060" w:type="dxa"/>
            <w:tcBorders>
              <w:top w:val="nil"/>
              <w:left w:val="nil"/>
              <w:bottom w:val="single" w:sz="4" w:space="0" w:color="auto"/>
              <w:right w:val="nil"/>
            </w:tcBorders>
            <w:shd w:val="clear" w:color="auto" w:fill="auto"/>
            <w:noWrap/>
            <w:vAlign w:val="center"/>
            <w:hideMark/>
          </w:tcPr>
          <w:p w14:paraId="5AB2B624" w14:textId="77777777" w:rsidR="008430BD" w:rsidRPr="00F15667" w:rsidRDefault="008430BD" w:rsidP="00CF32FA">
            <w:pPr>
              <w:spacing w:line="240" w:lineRule="auto"/>
              <w:jc w:val="center"/>
            </w:pPr>
            <w:r w:rsidRPr="00F15667">
              <w:t>PI</w:t>
            </w:r>
          </w:p>
        </w:tc>
      </w:tr>
      <w:tr w:rsidR="00F15667" w:rsidRPr="00F15667" w14:paraId="7096D6B2"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9347835" w14:textId="23372B5B" w:rsidR="008430BD" w:rsidRPr="00F15667" w:rsidRDefault="0053190F" w:rsidP="00CF32FA">
            <w:pPr>
              <w:spacing w:line="240" w:lineRule="auto"/>
              <w:jc w:val="left"/>
            </w:pPr>
            <w:r w:rsidRPr="00F15667">
              <w:t>Brno</w:t>
            </w:r>
            <w:r w:rsidRPr="00F15667">
              <w:noBreakHyphen/>
            </w:r>
            <w:r w:rsidR="008430BD" w:rsidRPr="00F15667">
              <w:t>město</w:t>
            </w:r>
          </w:p>
        </w:tc>
        <w:tc>
          <w:tcPr>
            <w:tcW w:w="1060" w:type="dxa"/>
            <w:tcBorders>
              <w:top w:val="nil"/>
              <w:left w:val="nil"/>
              <w:bottom w:val="single" w:sz="4" w:space="0" w:color="auto"/>
              <w:right w:val="single" w:sz="4" w:space="0" w:color="auto"/>
            </w:tcBorders>
            <w:shd w:val="clear" w:color="auto" w:fill="auto"/>
            <w:noWrap/>
            <w:vAlign w:val="center"/>
            <w:hideMark/>
          </w:tcPr>
          <w:p w14:paraId="0CF43E02" w14:textId="77777777" w:rsidR="008430BD" w:rsidRPr="00F15667" w:rsidRDefault="008430BD" w:rsidP="00CF32FA">
            <w:pPr>
              <w:spacing w:line="240" w:lineRule="auto"/>
              <w:jc w:val="center"/>
            </w:pPr>
            <w:r w:rsidRPr="00F15667">
              <w:t>BM</w:t>
            </w:r>
          </w:p>
        </w:tc>
        <w:tc>
          <w:tcPr>
            <w:tcW w:w="2320" w:type="dxa"/>
            <w:tcBorders>
              <w:top w:val="nil"/>
              <w:left w:val="nil"/>
              <w:bottom w:val="single" w:sz="4" w:space="0" w:color="auto"/>
              <w:right w:val="nil"/>
            </w:tcBorders>
            <w:shd w:val="clear" w:color="auto" w:fill="auto"/>
            <w:noWrap/>
            <w:vAlign w:val="center"/>
            <w:hideMark/>
          </w:tcPr>
          <w:p w14:paraId="10FB8169" w14:textId="53B83066" w:rsidR="008430BD" w:rsidRPr="00F15667" w:rsidRDefault="0053190F" w:rsidP="00CF32FA">
            <w:pPr>
              <w:spacing w:line="240" w:lineRule="auto"/>
              <w:jc w:val="left"/>
            </w:pPr>
            <w:r w:rsidRPr="00F15667">
              <w:t>Plzeň</w:t>
            </w:r>
            <w:r w:rsidRPr="00F15667">
              <w:noBreakHyphen/>
            </w:r>
            <w:r w:rsidR="008430BD" w:rsidRPr="00F15667">
              <w:t>jih</w:t>
            </w:r>
          </w:p>
        </w:tc>
        <w:tc>
          <w:tcPr>
            <w:tcW w:w="1060" w:type="dxa"/>
            <w:tcBorders>
              <w:top w:val="nil"/>
              <w:left w:val="nil"/>
              <w:bottom w:val="single" w:sz="4" w:space="0" w:color="auto"/>
              <w:right w:val="nil"/>
            </w:tcBorders>
            <w:shd w:val="clear" w:color="auto" w:fill="auto"/>
            <w:noWrap/>
            <w:vAlign w:val="center"/>
            <w:hideMark/>
          </w:tcPr>
          <w:p w14:paraId="1BA052D8" w14:textId="77777777" w:rsidR="008430BD" w:rsidRPr="00F15667" w:rsidRDefault="008430BD" w:rsidP="00CF32FA">
            <w:pPr>
              <w:spacing w:line="240" w:lineRule="auto"/>
              <w:jc w:val="center"/>
            </w:pPr>
            <w:r w:rsidRPr="00F15667">
              <w:t>PJ</w:t>
            </w:r>
          </w:p>
        </w:tc>
      </w:tr>
      <w:tr w:rsidR="00F15667" w:rsidRPr="00F15667" w14:paraId="0711009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5B76DA3" w14:textId="53BCCC79" w:rsidR="008430BD" w:rsidRPr="00F15667" w:rsidRDefault="0053190F" w:rsidP="00CF32FA">
            <w:pPr>
              <w:spacing w:line="240" w:lineRule="auto"/>
              <w:jc w:val="left"/>
            </w:pPr>
            <w:r w:rsidRPr="00F15667">
              <w:t>Brno</w:t>
            </w:r>
            <w:r w:rsidRPr="00F15667">
              <w:noBreakHyphen/>
            </w:r>
            <w:r w:rsidR="008430BD" w:rsidRPr="00F15667">
              <w:t>venkov</w:t>
            </w:r>
          </w:p>
        </w:tc>
        <w:tc>
          <w:tcPr>
            <w:tcW w:w="1060" w:type="dxa"/>
            <w:tcBorders>
              <w:top w:val="nil"/>
              <w:left w:val="nil"/>
              <w:bottom w:val="single" w:sz="4" w:space="0" w:color="auto"/>
              <w:right w:val="single" w:sz="4" w:space="0" w:color="auto"/>
            </w:tcBorders>
            <w:shd w:val="clear" w:color="auto" w:fill="auto"/>
            <w:noWrap/>
            <w:vAlign w:val="center"/>
            <w:hideMark/>
          </w:tcPr>
          <w:p w14:paraId="48F5F389" w14:textId="77777777" w:rsidR="008430BD" w:rsidRPr="00F15667" w:rsidRDefault="008430BD" w:rsidP="00CF32FA">
            <w:pPr>
              <w:spacing w:line="240" w:lineRule="auto"/>
              <w:jc w:val="center"/>
            </w:pPr>
            <w:r w:rsidRPr="00F15667">
              <w:t>BO</w:t>
            </w:r>
          </w:p>
        </w:tc>
        <w:tc>
          <w:tcPr>
            <w:tcW w:w="2320" w:type="dxa"/>
            <w:tcBorders>
              <w:top w:val="nil"/>
              <w:left w:val="nil"/>
              <w:bottom w:val="single" w:sz="4" w:space="0" w:color="auto"/>
              <w:right w:val="nil"/>
            </w:tcBorders>
            <w:shd w:val="clear" w:color="auto" w:fill="auto"/>
            <w:noWrap/>
            <w:vAlign w:val="center"/>
            <w:hideMark/>
          </w:tcPr>
          <w:p w14:paraId="1E8CA923" w14:textId="27FFD2AF" w:rsidR="008430BD" w:rsidRPr="00F15667" w:rsidRDefault="0053190F" w:rsidP="00CF32FA">
            <w:pPr>
              <w:spacing w:line="240" w:lineRule="auto"/>
              <w:jc w:val="left"/>
            </w:pPr>
            <w:r w:rsidRPr="00F15667">
              <w:t>Plzeň</w:t>
            </w:r>
            <w:r w:rsidRPr="00F15667">
              <w:noBreakHyphen/>
            </w:r>
            <w:r w:rsidR="008430BD" w:rsidRPr="00F15667">
              <w:t>město</w:t>
            </w:r>
          </w:p>
        </w:tc>
        <w:tc>
          <w:tcPr>
            <w:tcW w:w="1060" w:type="dxa"/>
            <w:tcBorders>
              <w:top w:val="nil"/>
              <w:left w:val="nil"/>
              <w:bottom w:val="single" w:sz="4" w:space="0" w:color="auto"/>
              <w:right w:val="nil"/>
            </w:tcBorders>
            <w:shd w:val="clear" w:color="auto" w:fill="auto"/>
            <w:noWrap/>
            <w:vAlign w:val="center"/>
            <w:hideMark/>
          </w:tcPr>
          <w:p w14:paraId="15415971" w14:textId="77777777" w:rsidR="008430BD" w:rsidRPr="00F15667" w:rsidRDefault="008430BD" w:rsidP="00CF32FA">
            <w:pPr>
              <w:spacing w:line="240" w:lineRule="auto"/>
              <w:jc w:val="center"/>
            </w:pPr>
            <w:r w:rsidRPr="00F15667">
              <w:t>PM</w:t>
            </w:r>
          </w:p>
        </w:tc>
      </w:tr>
      <w:tr w:rsidR="00F15667" w:rsidRPr="00F15667" w14:paraId="1AEFE0A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2509811" w14:textId="77777777" w:rsidR="008430BD" w:rsidRPr="00F15667" w:rsidRDefault="008430BD" w:rsidP="00CF32FA">
            <w:pPr>
              <w:spacing w:line="240" w:lineRule="auto"/>
              <w:jc w:val="left"/>
            </w:pPr>
            <w:r w:rsidRPr="00F15667">
              <w:t>Bruntál</w:t>
            </w:r>
          </w:p>
        </w:tc>
        <w:tc>
          <w:tcPr>
            <w:tcW w:w="1060" w:type="dxa"/>
            <w:tcBorders>
              <w:top w:val="nil"/>
              <w:left w:val="nil"/>
              <w:bottom w:val="single" w:sz="4" w:space="0" w:color="auto"/>
              <w:right w:val="single" w:sz="4" w:space="0" w:color="auto"/>
            </w:tcBorders>
            <w:shd w:val="clear" w:color="auto" w:fill="auto"/>
            <w:noWrap/>
            <w:vAlign w:val="center"/>
            <w:hideMark/>
          </w:tcPr>
          <w:p w14:paraId="58E69DA4" w14:textId="77777777" w:rsidR="008430BD" w:rsidRPr="00F15667" w:rsidRDefault="008430BD" w:rsidP="00CF32FA">
            <w:pPr>
              <w:spacing w:line="240" w:lineRule="auto"/>
              <w:jc w:val="center"/>
            </w:pPr>
            <w:r w:rsidRPr="00F15667">
              <w:t>BR</w:t>
            </w:r>
          </w:p>
        </w:tc>
        <w:tc>
          <w:tcPr>
            <w:tcW w:w="2320" w:type="dxa"/>
            <w:tcBorders>
              <w:top w:val="nil"/>
              <w:left w:val="nil"/>
              <w:bottom w:val="single" w:sz="4" w:space="0" w:color="auto"/>
              <w:right w:val="nil"/>
            </w:tcBorders>
            <w:shd w:val="clear" w:color="auto" w:fill="auto"/>
            <w:noWrap/>
            <w:vAlign w:val="center"/>
            <w:hideMark/>
          </w:tcPr>
          <w:p w14:paraId="223A71C6" w14:textId="3800E8F3" w:rsidR="008430BD" w:rsidRPr="00F15667" w:rsidRDefault="0053190F" w:rsidP="00CF32FA">
            <w:pPr>
              <w:spacing w:line="240" w:lineRule="auto"/>
              <w:jc w:val="left"/>
            </w:pPr>
            <w:r w:rsidRPr="00F15667">
              <w:t>Plzeň</w:t>
            </w:r>
            <w:r w:rsidRPr="00F15667">
              <w:noBreakHyphen/>
            </w:r>
            <w:r w:rsidR="008430BD" w:rsidRPr="00F15667">
              <w:t>sever</w:t>
            </w:r>
          </w:p>
        </w:tc>
        <w:tc>
          <w:tcPr>
            <w:tcW w:w="1060" w:type="dxa"/>
            <w:tcBorders>
              <w:top w:val="nil"/>
              <w:left w:val="nil"/>
              <w:bottom w:val="single" w:sz="4" w:space="0" w:color="auto"/>
              <w:right w:val="nil"/>
            </w:tcBorders>
            <w:shd w:val="clear" w:color="auto" w:fill="auto"/>
            <w:noWrap/>
            <w:vAlign w:val="center"/>
            <w:hideMark/>
          </w:tcPr>
          <w:p w14:paraId="372B8090" w14:textId="77777777" w:rsidR="008430BD" w:rsidRPr="00F15667" w:rsidRDefault="008430BD" w:rsidP="00CF32FA">
            <w:pPr>
              <w:spacing w:line="240" w:lineRule="auto"/>
              <w:jc w:val="center"/>
            </w:pPr>
            <w:r w:rsidRPr="00F15667">
              <w:t>PS</w:t>
            </w:r>
          </w:p>
        </w:tc>
      </w:tr>
      <w:tr w:rsidR="00F15667" w:rsidRPr="00F15667" w14:paraId="4C4171D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F8AB71D" w14:textId="77777777" w:rsidR="008430BD" w:rsidRPr="00F15667" w:rsidRDefault="008430BD" w:rsidP="00CF32FA">
            <w:pPr>
              <w:spacing w:line="240" w:lineRule="auto"/>
              <w:jc w:val="left"/>
            </w:pPr>
            <w:r w:rsidRPr="00F15667">
              <w:t>Břeclav</w:t>
            </w:r>
          </w:p>
        </w:tc>
        <w:tc>
          <w:tcPr>
            <w:tcW w:w="1060" w:type="dxa"/>
            <w:tcBorders>
              <w:top w:val="nil"/>
              <w:left w:val="nil"/>
              <w:bottom w:val="single" w:sz="4" w:space="0" w:color="auto"/>
              <w:right w:val="single" w:sz="4" w:space="0" w:color="auto"/>
            </w:tcBorders>
            <w:shd w:val="clear" w:color="auto" w:fill="auto"/>
            <w:noWrap/>
            <w:vAlign w:val="center"/>
            <w:hideMark/>
          </w:tcPr>
          <w:p w14:paraId="079FE02E" w14:textId="77777777" w:rsidR="008430BD" w:rsidRPr="00F15667" w:rsidRDefault="008430BD" w:rsidP="00CF32FA">
            <w:pPr>
              <w:spacing w:line="240" w:lineRule="auto"/>
              <w:jc w:val="center"/>
            </w:pPr>
            <w:r w:rsidRPr="00F15667">
              <w:t>BV</w:t>
            </w:r>
          </w:p>
        </w:tc>
        <w:tc>
          <w:tcPr>
            <w:tcW w:w="2320" w:type="dxa"/>
            <w:tcBorders>
              <w:top w:val="nil"/>
              <w:left w:val="nil"/>
              <w:bottom w:val="single" w:sz="4" w:space="0" w:color="auto"/>
              <w:right w:val="nil"/>
            </w:tcBorders>
            <w:shd w:val="clear" w:color="auto" w:fill="auto"/>
            <w:noWrap/>
            <w:vAlign w:val="center"/>
            <w:hideMark/>
          </w:tcPr>
          <w:p w14:paraId="1B67F5F1" w14:textId="77777777" w:rsidR="008430BD" w:rsidRPr="00F15667" w:rsidRDefault="008430BD" w:rsidP="00CF32FA">
            <w:pPr>
              <w:spacing w:line="240" w:lineRule="auto"/>
              <w:jc w:val="left"/>
            </w:pPr>
            <w:r w:rsidRPr="00F15667">
              <w:t>Praha 1</w:t>
            </w:r>
          </w:p>
        </w:tc>
        <w:tc>
          <w:tcPr>
            <w:tcW w:w="1060" w:type="dxa"/>
            <w:tcBorders>
              <w:top w:val="nil"/>
              <w:left w:val="nil"/>
              <w:bottom w:val="single" w:sz="4" w:space="0" w:color="auto"/>
              <w:right w:val="nil"/>
            </w:tcBorders>
            <w:shd w:val="clear" w:color="auto" w:fill="auto"/>
            <w:noWrap/>
            <w:vAlign w:val="center"/>
            <w:hideMark/>
          </w:tcPr>
          <w:p w14:paraId="7E52DEFC" w14:textId="77777777" w:rsidR="008430BD" w:rsidRPr="00F15667" w:rsidRDefault="008430BD" w:rsidP="00CF32FA">
            <w:pPr>
              <w:spacing w:line="240" w:lineRule="auto"/>
              <w:jc w:val="center"/>
            </w:pPr>
            <w:r w:rsidRPr="00F15667">
              <w:t>P 1</w:t>
            </w:r>
          </w:p>
        </w:tc>
      </w:tr>
      <w:tr w:rsidR="00F15667" w:rsidRPr="00F15667" w14:paraId="31D8ED0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5B92E89" w14:textId="77777777" w:rsidR="008430BD" w:rsidRPr="00F15667" w:rsidRDefault="008430BD" w:rsidP="00CF32FA">
            <w:pPr>
              <w:spacing w:line="240" w:lineRule="auto"/>
              <w:jc w:val="left"/>
            </w:pPr>
            <w:r w:rsidRPr="00F15667">
              <w:t>Česká Lípa</w:t>
            </w:r>
          </w:p>
        </w:tc>
        <w:tc>
          <w:tcPr>
            <w:tcW w:w="1060" w:type="dxa"/>
            <w:tcBorders>
              <w:top w:val="nil"/>
              <w:left w:val="nil"/>
              <w:bottom w:val="single" w:sz="4" w:space="0" w:color="auto"/>
              <w:right w:val="single" w:sz="4" w:space="0" w:color="auto"/>
            </w:tcBorders>
            <w:shd w:val="clear" w:color="auto" w:fill="auto"/>
            <w:noWrap/>
            <w:vAlign w:val="center"/>
            <w:hideMark/>
          </w:tcPr>
          <w:p w14:paraId="2C3AE0B0" w14:textId="77777777" w:rsidR="008430BD" w:rsidRPr="00F15667" w:rsidRDefault="008430BD" w:rsidP="00CF32FA">
            <w:pPr>
              <w:spacing w:line="240" w:lineRule="auto"/>
              <w:jc w:val="center"/>
            </w:pPr>
            <w:r w:rsidRPr="00F15667">
              <w:t>CL</w:t>
            </w:r>
          </w:p>
        </w:tc>
        <w:tc>
          <w:tcPr>
            <w:tcW w:w="2320" w:type="dxa"/>
            <w:tcBorders>
              <w:top w:val="nil"/>
              <w:left w:val="nil"/>
              <w:bottom w:val="single" w:sz="4" w:space="0" w:color="auto"/>
              <w:right w:val="nil"/>
            </w:tcBorders>
            <w:shd w:val="clear" w:color="auto" w:fill="auto"/>
            <w:noWrap/>
            <w:vAlign w:val="center"/>
            <w:hideMark/>
          </w:tcPr>
          <w:p w14:paraId="69CA8C23" w14:textId="77777777" w:rsidR="008430BD" w:rsidRPr="00F15667" w:rsidRDefault="008430BD" w:rsidP="00CF32FA">
            <w:pPr>
              <w:spacing w:line="240" w:lineRule="auto"/>
              <w:jc w:val="left"/>
            </w:pPr>
            <w:r w:rsidRPr="00F15667">
              <w:t xml:space="preserve">Praha </w:t>
            </w:r>
            <w:r w:rsidRPr="00F15667">
              <w:rPr>
                <w:rFonts w:eastAsia="Times New Roman"/>
                <w:szCs w:val="24"/>
                <w:lang w:eastAsia="cs-CZ"/>
              </w:rPr>
              <w:t>2</w:t>
            </w:r>
          </w:p>
        </w:tc>
        <w:tc>
          <w:tcPr>
            <w:tcW w:w="1060" w:type="dxa"/>
            <w:tcBorders>
              <w:top w:val="nil"/>
              <w:left w:val="nil"/>
              <w:bottom w:val="single" w:sz="4" w:space="0" w:color="auto"/>
              <w:right w:val="nil"/>
            </w:tcBorders>
            <w:shd w:val="clear" w:color="auto" w:fill="auto"/>
            <w:noWrap/>
            <w:vAlign w:val="center"/>
            <w:hideMark/>
          </w:tcPr>
          <w:p w14:paraId="1A6F1081" w14:textId="77777777" w:rsidR="008430BD" w:rsidRPr="00F15667" w:rsidRDefault="008430BD" w:rsidP="00CF32FA">
            <w:pPr>
              <w:spacing w:line="240" w:lineRule="auto"/>
              <w:jc w:val="center"/>
            </w:pPr>
            <w:r w:rsidRPr="00F15667">
              <w:t xml:space="preserve">P </w:t>
            </w:r>
            <w:r w:rsidRPr="00F15667">
              <w:rPr>
                <w:rFonts w:eastAsia="Times New Roman"/>
                <w:szCs w:val="24"/>
                <w:lang w:eastAsia="cs-CZ"/>
              </w:rPr>
              <w:t>2</w:t>
            </w:r>
          </w:p>
        </w:tc>
      </w:tr>
      <w:tr w:rsidR="00F15667" w:rsidRPr="00F15667" w14:paraId="725E43B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A09AF95" w14:textId="77777777" w:rsidR="008430BD" w:rsidRPr="00F15667" w:rsidRDefault="008430BD" w:rsidP="00CF32FA">
            <w:pPr>
              <w:spacing w:line="240" w:lineRule="auto"/>
              <w:jc w:val="left"/>
            </w:pPr>
            <w:r w:rsidRPr="00F15667">
              <w:t>České Budějovice</w:t>
            </w:r>
          </w:p>
        </w:tc>
        <w:tc>
          <w:tcPr>
            <w:tcW w:w="1060" w:type="dxa"/>
            <w:tcBorders>
              <w:top w:val="nil"/>
              <w:left w:val="nil"/>
              <w:bottom w:val="single" w:sz="4" w:space="0" w:color="auto"/>
              <w:right w:val="single" w:sz="4" w:space="0" w:color="auto"/>
            </w:tcBorders>
            <w:shd w:val="clear" w:color="auto" w:fill="auto"/>
            <w:noWrap/>
            <w:vAlign w:val="center"/>
            <w:hideMark/>
          </w:tcPr>
          <w:p w14:paraId="10A1CE02" w14:textId="77777777" w:rsidR="008430BD" w:rsidRPr="00F15667" w:rsidRDefault="008430BD" w:rsidP="00CF32FA">
            <w:pPr>
              <w:spacing w:line="240" w:lineRule="auto"/>
              <w:jc w:val="center"/>
            </w:pPr>
            <w:r w:rsidRPr="00F15667">
              <w:t>CB</w:t>
            </w:r>
          </w:p>
        </w:tc>
        <w:tc>
          <w:tcPr>
            <w:tcW w:w="2320" w:type="dxa"/>
            <w:tcBorders>
              <w:top w:val="nil"/>
              <w:left w:val="nil"/>
              <w:bottom w:val="single" w:sz="4" w:space="0" w:color="auto"/>
              <w:right w:val="nil"/>
            </w:tcBorders>
            <w:shd w:val="clear" w:color="auto" w:fill="auto"/>
            <w:noWrap/>
            <w:vAlign w:val="center"/>
            <w:hideMark/>
          </w:tcPr>
          <w:p w14:paraId="2A68E544" w14:textId="77777777" w:rsidR="008430BD" w:rsidRPr="00F15667" w:rsidRDefault="008430BD" w:rsidP="00CF32FA">
            <w:pPr>
              <w:spacing w:line="240" w:lineRule="auto"/>
              <w:jc w:val="left"/>
            </w:pPr>
            <w:r w:rsidRPr="00F15667">
              <w:t xml:space="preserve">Praha </w:t>
            </w:r>
            <w:r w:rsidRPr="00F15667">
              <w:rPr>
                <w:rFonts w:eastAsia="Times New Roman"/>
                <w:szCs w:val="24"/>
                <w:lang w:eastAsia="cs-CZ"/>
              </w:rPr>
              <w:t>3</w:t>
            </w:r>
          </w:p>
        </w:tc>
        <w:tc>
          <w:tcPr>
            <w:tcW w:w="1060" w:type="dxa"/>
            <w:tcBorders>
              <w:top w:val="nil"/>
              <w:left w:val="nil"/>
              <w:bottom w:val="single" w:sz="4" w:space="0" w:color="auto"/>
              <w:right w:val="nil"/>
            </w:tcBorders>
            <w:shd w:val="clear" w:color="auto" w:fill="auto"/>
            <w:noWrap/>
            <w:vAlign w:val="center"/>
            <w:hideMark/>
          </w:tcPr>
          <w:p w14:paraId="15302092" w14:textId="77777777" w:rsidR="008430BD" w:rsidRPr="00F15667" w:rsidRDefault="008430BD" w:rsidP="00CF32FA">
            <w:pPr>
              <w:spacing w:line="240" w:lineRule="auto"/>
              <w:jc w:val="center"/>
            </w:pPr>
            <w:r w:rsidRPr="00F15667">
              <w:t xml:space="preserve">P </w:t>
            </w:r>
            <w:r w:rsidRPr="00F15667">
              <w:rPr>
                <w:rFonts w:eastAsia="Times New Roman"/>
                <w:szCs w:val="24"/>
                <w:lang w:eastAsia="cs-CZ"/>
              </w:rPr>
              <w:t>3</w:t>
            </w:r>
          </w:p>
        </w:tc>
      </w:tr>
      <w:tr w:rsidR="00F15667" w:rsidRPr="00F15667" w14:paraId="0F3EE16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5590360" w14:textId="77777777" w:rsidR="008430BD" w:rsidRPr="00F15667" w:rsidRDefault="008430BD" w:rsidP="00CF32FA">
            <w:pPr>
              <w:spacing w:line="240" w:lineRule="auto"/>
              <w:jc w:val="left"/>
            </w:pPr>
            <w:r w:rsidRPr="00F15667">
              <w:t>Český Krumlov</w:t>
            </w:r>
          </w:p>
        </w:tc>
        <w:tc>
          <w:tcPr>
            <w:tcW w:w="1060" w:type="dxa"/>
            <w:tcBorders>
              <w:top w:val="nil"/>
              <w:left w:val="nil"/>
              <w:bottom w:val="single" w:sz="4" w:space="0" w:color="auto"/>
              <w:right w:val="single" w:sz="4" w:space="0" w:color="auto"/>
            </w:tcBorders>
            <w:shd w:val="clear" w:color="auto" w:fill="auto"/>
            <w:noWrap/>
            <w:vAlign w:val="center"/>
            <w:hideMark/>
          </w:tcPr>
          <w:p w14:paraId="62E33464" w14:textId="77777777" w:rsidR="008430BD" w:rsidRPr="00F15667" w:rsidRDefault="008430BD" w:rsidP="00CF32FA">
            <w:pPr>
              <w:spacing w:line="240" w:lineRule="auto"/>
              <w:jc w:val="center"/>
            </w:pPr>
            <w:r w:rsidRPr="00F15667">
              <w:t>CK</w:t>
            </w:r>
          </w:p>
        </w:tc>
        <w:tc>
          <w:tcPr>
            <w:tcW w:w="2320" w:type="dxa"/>
            <w:tcBorders>
              <w:top w:val="nil"/>
              <w:left w:val="nil"/>
              <w:bottom w:val="single" w:sz="4" w:space="0" w:color="auto"/>
              <w:right w:val="nil"/>
            </w:tcBorders>
            <w:shd w:val="clear" w:color="auto" w:fill="auto"/>
            <w:noWrap/>
            <w:vAlign w:val="center"/>
            <w:hideMark/>
          </w:tcPr>
          <w:p w14:paraId="415DDB36" w14:textId="77777777" w:rsidR="008430BD" w:rsidRPr="00F15667" w:rsidRDefault="008430BD" w:rsidP="00CF32FA">
            <w:pPr>
              <w:spacing w:line="240" w:lineRule="auto"/>
              <w:jc w:val="left"/>
            </w:pPr>
            <w:r w:rsidRPr="00F15667">
              <w:t xml:space="preserve">Praha </w:t>
            </w:r>
            <w:r w:rsidRPr="00F15667">
              <w:rPr>
                <w:rFonts w:eastAsia="Times New Roman"/>
                <w:szCs w:val="24"/>
                <w:lang w:eastAsia="cs-CZ"/>
              </w:rPr>
              <w:t>4</w:t>
            </w:r>
          </w:p>
        </w:tc>
        <w:tc>
          <w:tcPr>
            <w:tcW w:w="1060" w:type="dxa"/>
            <w:tcBorders>
              <w:top w:val="nil"/>
              <w:left w:val="nil"/>
              <w:bottom w:val="single" w:sz="4" w:space="0" w:color="auto"/>
              <w:right w:val="nil"/>
            </w:tcBorders>
            <w:shd w:val="clear" w:color="auto" w:fill="auto"/>
            <w:noWrap/>
            <w:vAlign w:val="center"/>
            <w:hideMark/>
          </w:tcPr>
          <w:p w14:paraId="48AF7C43" w14:textId="77777777" w:rsidR="008430BD" w:rsidRPr="00F15667" w:rsidRDefault="008430BD" w:rsidP="00CF32FA">
            <w:pPr>
              <w:spacing w:line="240" w:lineRule="auto"/>
              <w:jc w:val="center"/>
            </w:pPr>
            <w:r w:rsidRPr="00F15667">
              <w:t xml:space="preserve">P </w:t>
            </w:r>
            <w:r w:rsidRPr="00F15667">
              <w:rPr>
                <w:rFonts w:eastAsia="Times New Roman"/>
                <w:szCs w:val="24"/>
                <w:lang w:eastAsia="cs-CZ"/>
              </w:rPr>
              <w:t>4</w:t>
            </w:r>
          </w:p>
        </w:tc>
      </w:tr>
      <w:tr w:rsidR="00F15667" w:rsidRPr="00F15667" w14:paraId="6994B20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A5A9FDB" w14:textId="77777777" w:rsidR="008430BD" w:rsidRPr="00F15667" w:rsidRDefault="008430BD" w:rsidP="00CF32FA">
            <w:pPr>
              <w:spacing w:line="240" w:lineRule="auto"/>
              <w:jc w:val="left"/>
            </w:pPr>
            <w:r w:rsidRPr="00F15667">
              <w:t>Děčín</w:t>
            </w:r>
          </w:p>
        </w:tc>
        <w:tc>
          <w:tcPr>
            <w:tcW w:w="1060" w:type="dxa"/>
            <w:tcBorders>
              <w:top w:val="nil"/>
              <w:left w:val="nil"/>
              <w:bottom w:val="single" w:sz="4" w:space="0" w:color="auto"/>
              <w:right w:val="single" w:sz="4" w:space="0" w:color="auto"/>
            </w:tcBorders>
            <w:shd w:val="clear" w:color="auto" w:fill="auto"/>
            <w:noWrap/>
            <w:vAlign w:val="center"/>
            <w:hideMark/>
          </w:tcPr>
          <w:p w14:paraId="01B39A89" w14:textId="77777777" w:rsidR="008430BD" w:rsidRPr="00F15667" w:rsidRDefault="008430BD" w:rsidP="00CF32FA">
            <w:pPr>
              <w:spacing w:line="240" w:lineRule="auto"/>
              <w:jc w:val="center"/>
            </w:pPr>
            <w:r w:rsidRPr="00F15667">
              <w:t>DC</w:t>
            </w:r>
          </w:p>
        </w:tc>
        <w:tc>
          <w:tcPr>
            <w:tcW w:w="2320" w:type="dxa"/>
            <w:tcBorders>
              <w:top w:val="nil"/>
              <w:left w:val="nil"/>
              <w:bottom w:val="single" w:sz="4" w:space="0" w:color="auto"/>
              <w:right w:val="nil"/>
            </w:tcBorders>
            <w:shd w:val="clear" w:color="auto" w:fill="auto"/>
            <w:noWrap/>
            <w:vAlign w:val="center"/>
            <w:hideMark/>
          </w:tcPr>
          <w:p w14:paraId="623C248D" w14:textId="77777777" w:rsidR="008430BD" w:rsidRPr="00F15667" w:rsidRDefault="008430BD" w:rsidP="00CF32FA">
            <w:pPr>
              <w:spacing w:line="240" w:lineRule="auto"/>
              <w:jc w:val="left"/>
            </w:pPr>
            <w:r w:rsidRPr="00F15667">
              <w:t xml:space="preserve">Praha </w:t>
            </w:r>
            <w:r w:rsidRPr="00F15667">
              <w:rPr>
                <w:rFonts w:eastAsia="Times New Roman"/>
                <w:szCs w:val="24"/>
                <w:lang w:eastAsia="cs-CZ"/>
              </w:rPr>
              <w:t>5</w:t>
            </w:r>
          </w:p>
        </w:tc>
        <w:tc>
          <w:tcPr>
            <w:tcW w:w="1060" w:type="dxa"/>
            <w:tcBorders>
              <w:top w:val="nil"/>
              <w:left w:val="nil"/>
              <w:bottom w:val="single" w:sz="4" w:space="0" w:color="auto"/>
              <w:right w:val="nil"/>
            </w:tcBorders>
            <w:shd w:val="clear" w:color="auto" w:fill="auto"/>
            <w:noWrap/>
            <w:vAlign w:val="center"/>
            <w:hideMark/>
          </w:tcPr>
          <w:p w14:paraId="38532A90" w14:textId="77777777" w:rsidR="008430BD" w:rsidRPr="00F15667" w:rsidRDefault="008430BD" w:rsidP="00CF32FA">
            <w:pPr>
              <w:spacing w:line="240" w:lineRule="auto"/>
              <w:jc w:val="center"/>
            </w:pPr>
            <w:r w:rsidRPr="00F15667">
              <w:t xml:space="preserve">P </w:t>
            </w:r>
            <w:r w:rsidRPr="00F15667">
              <w:rPr>
                <w:rFonts w:eastAsia="Times New Roman"/>
                <w:szCs w:val="24"/>
                <w:lang w:eastAsia="cs-CZ"/>
              </w:rPr>
              <w:t>5</w:t>
            </w:r>
          </w:p>
        </w:tc>
      </w:tr>
      <w:tr w:rsidR="00F15667" w:rsidRPr="00F15667" w14:paraId="00E115A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87E769C" w14:textId="77777777" w:rsidR="008430BD" w:rsidRPr="00F15667" w:rsidRDefault="008430BD" w:rsidP="00CF32FA">
            <w:pPr>
              <w:spacing w:line="240" w:lineRule="auto"/>
              <w:jc w:val="left"/>
            </w:pPr>
            <w:r w:rsidRPr="00F15667">
              <w:t>Domažlice</w:t>
            </w:r>
          </w:p>
        </w:tc>
        <w:tc>
          <w:tcPr>
            <w:tcW w:w="1060" w:type="dxa"/>
            <w:tcBorders>
              <w:top w:val="nil"/>
              <w:left w:val="nil"/>
              <w:bottom w:val="single" w:sz="4" w:space="0" w:color="auto"/>
              <w:right w:val="single" w:sz="4" w:space="0" w:color="auto"/>
            </w:tcBorders>
            <w:shd w:val="clear" w:color="auto" w:fill="auto"/>
            <w:noWrap/>
            <w:vAlign w:val="center"/>
            <w:hideMark/>
          </w:tcPr>
          <w:p w14:paraId="7698FDC2" w14:textId="77777777" w:rsidR="008430BD" w:rsidRPr="00F15667" w:rsidRDefault="008430BD" w:rsidP="00CF32FA">
            <w:pPr>
              <w:spacing w:line="240" w:lineRule="auto"/>
              <w:jc w:val="center"/>
            </w:pPr>
            <w:r w:rsidRPr="00F15667">
              <w:t>DO</w:t>
            </w:r>
          </w:p>
        </w:tc>
        <w:tc>
          <w:tcPr>
            <w:tcW w:w="2320" w:type="dxa"/>
            <w:tcBorders>
              <w:top w:val="nil"/>
              <w:left w:val="nil"/>
              <w:bottom w:val="single" w:sz="4" w:space="0" w:color="auto"/>
              <w:right w:val="nil"/>
            </w:tcBorders>
            <w:shd w:val="clear" w:color="auto" w:fill="auto"/>
            <w:noWrap/>
            <w:vAlign w:val="center"/>
            <w:hideMark/>
          </w:tcPr>
          <w:p w14:paraId="664BF96E" w14:textId="77777777" w:rsidR="008430BD" w:rsidRPr="00F15667" w:rsidRDefault="008430BD" w:rsidP="00CF32FA">
            <w:pPr>
              <w:spacing w:line="240" w:lineRule="auto"/>
              <w:jc w:val="left"/>
            </w:pPr>
            <w:r w:rsidRPr="00F15667">
              <w:t xml:space="preserve">Praha </w:t>
            </w:r>
            <w:r w:rsidRPr="00F15667">
              <w:rPr>
                <w:rFonts w:eastAsia="Times New Roman"/>
                <w:szCs w:val="24"/>
                <w:lang w:eastAsia="cs-CZ"/>
              </w:rPr>
              <w:t>6</w:t>
            </w:r>
          </w:p>
        </w:tc>
        <w:tc>
          <w:tcPr>
            <w:tcW w:w="1060" w:type="dxa"/>
            <w:tcBorders>
              <w:top w:val="nil"/>
              <w:left w:val="nil"/>
              <w:bottom w:val="single" w:sz="4" w:space="0" w:color="auto"/>
              <w:right w:val="nil"/>
            </w:tcBorders>
            <w:shd w:val="clear" w:color="auto" w:fill="auto"/>
            <w:noWrap/>
            <w:vAlign w:val="center"/>
            <w:hideMark/>
          </w:tcPr>
          <w:p w14:paraId="0BACD7D7" w14:textId="77777777" w:rsidR="008430BD" w:rsidRPr="00F15667" w:rsidRDefault="008430BD" w:rsidP="00CF32FA">
            <w:pPr>
              <w:spacing w:line="240" w:lineRule="auto"/>
              <w:jc w:val="center"/>
            </w:pPr>
            <w:r w:rsidRPr="00F15667">
              <w:t xml:space="preserve">P </w:t>
            </w:r>
            <w:r w:rsidRPr="00F15667">
              <w:rPr>
                <w:rFonts w:eastAsia="Times New Roman"/>
                <w:szCs w:val="24"/>
                <w:lang w:eastAsia="cs-CZ"/>
              </w:rPr>
              <w:t>6</w:t>
            </w:r>
          </w:p>
        </w:tc>
      </w:tr>
      <w:tr w:rsidR="00F15667" w:rsidRPr="00F15667" w14:paraId="7D2A4A6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60819CE" w14:textId="5E7B907E" w:rsidR="008430BD" w:rsidRPr="00F15667" w:rsidRDefault="0053190F" w:rsidP="00CF32FA">
            <w:pPr>
              <w:spacing w:line="240" w:lineRule="auto"/>
              <w:jc w:val="left"/>
            </w:pPr>
            <w:r w:rsidRPr="00F15667">
              <w:t>Frýdek</w:t>
            </w:r>
            <w:r w:rsidRPr="00F15667">
              <w:noBreakHyphen/>
              <w:t>Místek</w:t>
            </w:r>
          </w:p>
        </w:tc>
        <w:tc>
          <w:tcPr>
            <w:tcW w:w="1060" w:type="dxa"/>
            <w:tcBorders>
              <w:top w:val="nil"/>
              <w:left w:val="nil"/>
              <w:bottom w:val="single" w:sz="4" w:space="0" w:color="auto"/>
              <w:right w:val="single" w:sz="4" w:space="0" w:color="auto"/>
            </w:tcBorders>
            <w:shd w:val="clear" w:color="auto" w:fill="auto"/>
            <w:noWrap/>
            <w:vAlign w:val="center"/>
            <w:hideMark/>
          </w:tcPr>
          <w:p w14:paraId="0FD2DCE4" w14:textId="77777777" w:rsidR="008430BD" w:rsidRPr="00F15667" w:rsidRDefault="008430BD" w:rsidP="00CF32FA">
            <w:pPr>
              <w:spacing w:line="240" w:lineRule="auto"/>
              <w:jc w:val="center"/>
            </w:pPr>
            <w:r w:rsidRPr="00F15667">
              <w:t>FM</w:t>
            </w:r>
          </w:p>
        </w:tc>
        <w:tc>
          <w:tcPr>
            <w:tcW w:w="2320" w:type="dxa"/>
            <w:tcBorders>
              <w:top w:val="nil"/>
              <w:left w:val="nil"/>
              <w:bottom w:val="single" w:sz="4" w:space="0" w:color="auto"/>
              <w:right w:val="nil"/>
            </w:tcBorders>
            <w:shd w:val="clear" w:color="auto" w:fill="auto"/>
            <w:noWrap/>
            <w:vAlign w:val="center"/>
            <w:hideMark/>
          </w:tcPr>
          <w:p w14:paraId="2770C8BB" w14:textId="77777777" w:rsidR="008430BD" w:rsidRPr="00F15667" w:rsidRDefault="008430BD" w:rsidP="00CF32FA">
            <w:pPr>
              <w:spacing w:line="240" w:lineRule="auto"/>
              <w:jc w:val="left"/>
            </w:pPr>
            <w:r w:rsidRPr="00F15667">
              <w:t xml:space="preserve">Praha </w:t>
            </w:r>
            <w:r w:rsidRPr="00F15667">
              <w:rPr>
                <w:rFonts w:eastAsia="Times New Roman"/>
                <w:szCs w:val="24"/>
                <w:lang w:eastAsia="cs-CZ"/>
              </w:rPr>
              <w:t>7</w:t>
            </w:r>
          </w:p>
        </w:tc>
        <w:tc>
          <w:tcPr>
            <w:tcW w:w="1060" w:type="dxa"/>
            <w:tcBorders>
              <w:top w:val="nil"/>
              <w:left w:val="nil"/>
              <w:bottom w:val="single" w:sz="4" w:space="0" w:color="auto"/>
              <w:right w:val="nil"/>
            </w:tcBorders>
            <w:shd w:val="clear" w:color="auto" w:fill="auto"/>
            <w:noWrap/>
            <w:vAlign w:val="center"/>
            <w:hideMark/>
          </w:tcPr>
          <w:p w14:paraId="2CD186BA" w14:textId="77777777" w:rsidR="008430BD" w:rsidRPr="00F15667" w:rsidRDefault="008430BD" w:rsidP="00CF32FA">
            <w:pPr>
              <w:spacing w:line="240" w:lineRule="auto"/>
              <w:jc w:val="center"/>
            </w:pPr>
            <w:r w:rsidRPr="00F15667">
              <w:t xml:space="preserve">P </w:t>
            </w:r>
            <w:r w:rsidRPr="00F15667">
              <w:rPr>
                <w:rFonts w:eastAsia="Times New Roman"/>
                <w:szCs w:val="24"/>
                <w:lang w:eastAsia="cs-CZ"/>
              </w:rPr>
              <w:t>7</w:t>
            </w:r>
          </w:p>
        </w:tc>
      </w:tr>
      <w:tr w:rsidR="00F15667" w:rsidRPr="00F15667" w14:paraId="64A1F89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A758ADD" w14:textId="77777777" w:rsidR="008430BD" w:rsidRPr="00F15667" w:rsidRDefault="008430BD" w:rsidP="00CF32FA">
            <w:pPr>
              <w:spacing w:line="240" w:lineRule="auto"/>
              <w:jc w:val="left"/>
            </w:pPr>
            <w:r w:rsidRPr="00F15667">
              <w:t>Havlíčkův Brod</w:t>
            </w:r>
          </w:p>
        </w:tc>
        <w:tc>
          <w:tcPr>
            <w:tcW w:w="1060" w:type="dxa"/>
            <w:tcBorders>
              <w:top w:val="nil"/>
              <w:left w:val="nil"/>
              <w:bottom w:val="single" w:sz="4" w:space="0" w:color="auto"/>
              <w:right w:val="single" w:sz="4" w:space="0" w:color="auto"/>
            </w:tcBorders>
            <w:shd w:val="clear" w:color="auto" w:fill="auto"/>
            <w:noWrap/>
            <w:vAlign w:val="center"/>
            <w:hideMark/>
          </w:tcPr>
          <w:p w14:paraId="6A5D2FB4" w14:textId="77777777" w:rsidR="008430BD" w:rsidRPr="00F15667" w:rsidRDefault="008430BD" w:rsidP="00CF32FA">
            <w:pPr>
              <w:spacing w:line="240" w:lineRule="auto"/>
              <w:jc w:val="center"/>
            </w:pPr>
            <w:r w:rsidRPr="00F15667">
              <w:t>HB</w:t>
            </w:r>
          </w:p>
        </w:tc>
        <w:tc>
          <w:tcPr>
            <w:tcW w:w="2320" w:type="dxa"/>
            <w:tcBorders>
              <w:top w:val="nil"/>
              <w:left w:val="nil"/>
              <w:bottom w:val="single" w:sz="4" w:space="0" w:color="auto"/>
              <w:right w:val="nil"/>
            </w:tcBorders>
            <w:shd w:val="clear" w:color="auto" w:fill="auto"/>
            <w:noWrap/>
            <w:vAlign w:val="center"/>
            <w:hideMark/>
          </w:tcPr>
          <w:p w14:paraId="13FBEA0E" w14:textId="77777777" w:rsidR="008430BD" w:rsidRPr="00F15667" w:rsidRDefault="008430BD" w:rsidP="00CF32FA">
            <w:pPr>
              <w:spacing w:line="240" w:lineRule="auto"/>
              <w:jc w:val="left"/>
            </w:pPr>
            <w:r w:rsidRPr="00F15667">
              <w:t xml:space="preserve">Praha </w:t>
            </w:r>
            <w:r w:rsidRPr="00F15667">
              <w:rPr>
                <w:rFonts w:eastAsia="Times New Roman"/>
                <w:szCs w:val="24"/>
                <w:lang w:eastAsia="cs-CZ"/>
              </w:rPr>
              <w:t>8</w:t>
            </w:r>
          </w:p>
        </w:tc>
        <w:tc>
          <w:tcPr>
            <w:tcW w:w="1060" w:type="dxa"/>
            <w:tcBorders>
              <w:top w:val="nil"/>
              <w:left w:val="nil"/>
              <w:bottom w:val="single" w:sz="4" w:space="0" w:color="auto"/>
              <w:right w:val="nil"/>
            </w:tcBorders>
            <w:shd w:val="clear" w:color="auto" w:fill="auto"/>
            <w:noWrap/>
            <w:vAlign w:val="center"/>
            <w:hideMark/>
          </w:tcPr>
          <w:p w14:paraId="424ED083" w14:textId="77777777" w:rsidR="008430BD" w:rsidRPr="00F15667" w:rsidRDefault="008430BD" w:rsidP="00CF32FA">
            <w:pPr>
              <w:spacing w:line="240" w:lineRule="auto"/>
              <w:jc w:val="center"/>
            </w:pPr>
            <w:r w:rsidRPr="00F15667">
              <w:t xml:space="preserve">P </w:t>
            </w:r>
            <w:r w:rsidRPr="00F15667">
              <w:rPr>
                <w:rFonts w:eastAsia="Times New Roman"/>
                <w:szCs w:val="24"/>
                <w:lang w:eastAsia="cs-CZ"/>
              </w:rPr>
              <w:t>8</w:t>
            </w:r>
          </w:p>
        </w:tc>
      </w:tr>
      <w:tr w:rsidR="00F15667" w:rsidRPr="00F15667" w14:paraId="3E45B85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4CBCD18" w14:textId="77777777" w:rsidR="008430BD" w:rsidRPr="00F15667" w:rsidRDefault="008430BD" w:rsidP="00CF32FA">
            <w:pPr>
              <w:spacing w:line="240" w:lineRule="auto"/>
              <w:jc w:val="left"/>
            </w:pPr>
            <w:r w:rsidRPr="00F15667">
              <w:t>Hodonín</w:t>
            </w:r>
          </w:p>
        </w:tc>
        <w:tc>
          <w:tcPr>
            <w:tcW w:w="1060" w:type="dxa"/>
            <w:tcBorders>
              <w:top w:val="nil"/>
              <w:left w:val="nil"/>
              <w:bottom w:val="single" w:sz="4" w:space="0" w:color="auto"/>
              <w:right w:val="single" w:sz="4" w:space="0" w:color="auto"/>
            </w:tcBorders>
            <w:shd w:val="clear" w:color="auto" w:fill="auto"/>
            <w:noWrap/>
            <w:vAlign w:val="center"/>
            <w:hideMark/>
          </w:tcPr>
          <w:p w14:paraId="0987E9B0" w14:textId="77777777" w:rsidR="008430BD" w:rsidRPr="00F15667" w:rsidRDefault="008430BD" w:rsidP="00CF32FA">
            <w:pPr>
              <w:spacing w:line="240" w:lineRule="auto"/>
              <w:jc w:val="center"/>
            </w:pPr>
            <w:r w:rsidRPr="00F15667">
              <w:t>HO</w:t>
            </w:r>
          </w:p>
        </w:tc>
        <w:tc>
          <w:tcPr>
            <w:tcW w:w="2320" w:type="dxa"/>
            <w:tcBorders>
              <w:top w:val="nil"/>
              <w:left w:val="nil"/>
              <w:bottom w:val="single" w:sz="4" w:space="0" w:color="auto"/>
              <w:right w:val="nil"/>
            </w:tcBorders>
            <w:shd w:val="clear" w:color="auto" w:fill="auto"/>
            <w:noWrap/>
            <w:vAlign w:val="center"/>
            <w:hideMark/>
          </w:tcPr>
          <w:p w14:paraId="3E1CC1DB" w14:textId="77777777" w:rsidR="008430BD" w:rsidRPr="00F15667" w:rsidRDefault="008430BD" w:rsidP="00CF32FA">
            <w:pPr>
              <w:spacing w:line="240" w:lineRule="auto"/>
              <w:jc w:val="left"/>
            </w:pPr>
            <w:r w:rsidRPr="00F15667">
              <w:t xml:space="preserve">Praha </w:t>
            </w:r>
            <w:r w:rsidRPr="00F15667">
              <w:rPr>
                <w:rFonts w:eastAsia="Times New Roman"/>
                <w:szCs w:val="24"/>
                <w:lang w:eastAsia="cs-CZ"/>
              </w:rPr>
              <w:t>9</w:t>
            </w:r>
          </w:p>
        </w:tc>
        <w:tc>
          <w:tcPr>
            <w:tcW w:w="1060" w:type="dxa"/>
            <w:tcBorders>
              <w:top w:val="nil"/>
              <w:left w:val="nil"/>
              <w:bottom w:val="single" w:sz="4" w:space="0" w:color="auto"/>
              <w:right w:val="nil"/>
            </w:tcBorders>
            <w:shd w:val="clear" w:color="auto" w:fill="auto"/>
            <w:noWrap/>
            <w:vAlign w:val="center"/>
            <w:hideMark/>
          </w:tcPr>
          <w:p w14:paraId="7045BBE2" w14:textId="77777777" w:rsidR="008430BD" w:rsidRPr="00F15667" w:rsidRDefault="008430BD" w:rsidP="00CF32FA">
            <w:pPr>
              <w:spacing w:line="240" w:lineRule="auto"/>
              <w:jc w:val="center"/>
            </w:pPr>
            <w:r w:rsidRPr="00F15667">
              <w:t xml:space="preserve">P </w:t>
            </w:r>
            <w:r w:rsidRPr="00F15667">
              <w:rPr>
                <w:rFonts w:eastAsia="Times New Roman"/>
                <w:szCs w:val="24"/>
                <w:lang w:eastAsia="cs-CZ"/>
              </w:rPr>
              <w:t>9</w:t>
            </w:r>
          </w:p>
        </w:tc>
      </w:tr>
      <w:tr w:rsidR="00F15667" w:rsidRPr="00F15667" w14:paraId="768BF7C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3BD1F4C" w14:textId="77777777" w:rsidR="008430BD" w:rsidRPr="00F15667" w:rsidRDefault="008430BD" w:rsidP="00CF32FA">
            <w:pPr>
              <w:spacing w:line="240" w:lineRule="auto"/>
              <w:jc w:val="left"/>
            </w:pPr>
            <w:r w:rsidRPr="00F15667">
              <w:t>Hradec Králové</w:t>
            </w:r>
          </w:p>
        </w:tc>
        <w:tc>
          <w:tcPr>
            <w:tcW w:w="1060" w:type="dxa"/>
            <w:tcBorders>
              <w:top w:val="nil"/>
              <w:left w:val="nil"/>
              <w:bottom w:val="single" w:sz="4" w:space="0" w:color="auto"/>
              <w:right w:val="single" w:sz="4" w:space="0" w:color="auto"/>
            </w:tcBorders>
            <w:shd w:val="clear" w:color="auto" w:fill="auto"/>
            <w:noWrap/>
            <w:vAlign w:val="center"/>
            <w:hideMark/>
          </w:tcPr>
          <w:p w14:paraId="5966639A" w14:textId="77777777" w:rsidR="008430BD" w:rsidRPr="00F15667" w:rsidRDefault="008430BD" w:rsidP="00CF32FA">
            <w:pPr>
              <w:spacing w:line="240" w:lineRule="auto"/>
              <w:jc w:val="center"/>
            </w:pPr>
            <w:r w:rsidRPr="00F15667">
              <w:t>HK</w:t>
            </w:r>
          </w:p>
        </w:tc>
        <w:tc>
          <w:tcPr>
            <w:tcW w:w="2320" w:type="dxa"/>
            <w:tcBorders>
              <w:top w:val="nil"/>
              <w:left w:val="nil"/>
              <w:bottom w:val="single" w:sz="4" w:space="0" w:color="auto"/>
              <w:right w:val="nil"/>
            </w:tcBorders>
            <w:shd w:val="clear" w:color="auto" w:fill="auto"/>
            <w:noWrap/>
            <w:vAlign w:val="center"/>
            <w:hideMark/>
          </w:tcPr>
          <w:p w14:paraId="4807DF3D" w14:textId="77777777" w:rsidR="008430BD" w:rsidRPr="00F15667" w:rsidRDefault="008430BD" w:rsidP="00CF32FA">
            <w:pPr>
              <w:spacing w:line="240" w:lineRule="auto"/>
              <w:jc w:val="left"/>
            </w:pPr>
            <w:r w:rsidRPr="00F15667">
              <w:t xml:space="preserve">Praha </w:t>
            </w:r>
            <w:r w:rsidRPr="00F15667">
              <w:rPr>
                <w:rFonts w:eastAsia="Times New Roman"/>
                <w:szCs w:val="24"/>
                <w:lang w:eastAsia="cs-CZ"/>
              </w:rPr>
              <w:t>10</w:t>
            </w:r>
          </w:p>
        </w:tc>
        <w:tc>
          <w:tcPr>
            <w:tcW w:w="1060" w:type="dxa"/>
            <w:tcBorders>
              <w:top w:val="nil"/>
              <w:left w:val="nil"/>
              <w:bottom w:val="single" w:sz="4" w:space="0" w:color="auto"/>
              <w:right w:val="nil"/>
            </w:tcBorders>
            <w:shd w:val="clear" w:color="auto" w:fill="auto"/>
            <w:noWrap/>
            <w:vAlign w:val="center"/>
            <w:hideMark/>
          </w:tcPr>
          <w:p w14:paraId="710C0E42" w14:textId="77777777" w:rsidR="008430BD" w:rsidRPr="00F15667" w:rsidRDefault="008430BD" w:rsidP="00CF32FA">
            <w:pPr>
              <w:spacing w:line="240" w:lineRule="auto"/>
              <w:jc w:val="center"/>
            </w:pPr>
            <w:r w:rsidRPr="00F15667">
              <w:t xml:space="preserve">P </w:t>
            </w:r>
            <w:r w:rsidRPr="00F15667">
              <w:rPr>
                <w:rFonts w:eastAsia="Times New Roman"/>
                <w:szCs w:val="24"/>
                <w:lang w:eastAsia="cs-CZ"/>
              </w:rPr>
              <w:t>10</w:t>
            </w:r>
          </w:p>
        </w:tc>
      </w:tr>
      <w:tr w:rsidR="00F15667" w:rsidRPr="00F15667" w14:paraId="0D5B8E0D"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2AD8C98" w14:textId="77777777" w:rsidR="008430BD" w:rsidRPr="00F15667" w:rsidRDefault="008430BD" w:rsidP="00CF32FA">
            <w:pPr>
              <w:spacing w:line="240" w:lineRule="auto"/>
              <w:jc w:val="left"/>
            </w:pPr>
            <w:r w:rsidRPr="00F15667">
              <w:t>Cheb</w:t>
            </w:r>
          </w:p>
        </w:tc>
        <w:tc>
          <w:tcPr>
            <w:tcW w:w="1060" w:type="dxa"/>
            <w:tcBorders>
              <w:top w:val="nil"/>
              <w:left w:val="nil"/>
              <w:bottom w:val="single" w:sz="4" w:space="0" w:color="auto"/>
              <w:right w:val="single" w:sz="4" w:space="0" w:color="auto"/>
            </w:tcBorders>
            <w:shd w:val="clear" w:color="auto" w:fill="auto"/>
            <w:noWrap/>
            <w:vAlign w:val="center"/>
            <w:hideMark/>
          </w:tcPr>
          <w:p w14:paraId="06F79470" w14:textId="77777777" w:rsidR="008430BD" w:rsidRPr="00F15667" w:rsidRDefault="008430BD" w:rsidP="00CF32FA">
            <w:pPr>
              <w:spacing w:line="240" w:lineRule="auto"/>
              <w:jc w:val="center"/>
            </w:pPr>
            <w:r w:rsidRPr="00F15667">
              <w:t>CH</w:t>
            </w:r>
          </w:p>
        </w:tc>
        <w:tc>
          <w:tcPr>
            <w:tcW w:w="2320" w:type="dxa"/>
            <w:tcBorders>
              <w:top w:val="nil"/>
              <w:left w:val="nil"/>
              <w:bottom w:val="single" w:sz="4" w:space="0" w:color="auto"/>
              <w:right w:val="nil"/>
            </w:tcBorders>
            <w:shd w:val="clear" w:color="auto" w:fill="auto"/>
            <w:noWrap/>
            <w:vAlign w:val="center"/>
            <w:hideMark/>
          </w:tcPr>
          <w:p w14:paraId="630651D8" w14:textId="6F187FA6" w:rsidR="008430BD" w:rsidRPr="00F15667" w:rsidRDefault="0053190F" w:rsidP="00CF32FA">
            <w:pPr>
              <w:spacing w:line="240" w:lineRule="auto"/>
              <w:jc w:val="left"/>
            </w:pPr>
            <w:r w:rsidRPr="00F15667">
              <w:t>Praha</w:t>
            </w:r>
            <w:r w:rsidRPr="00F15667">
              <w:noBreakHyphen/>
            </w:r>
            <w:r w:rsidR="008430BD" w:rsidRPr="00F15667">
              <w:t>východ</w:t>
            </w:r>
          </w:p>
        </w:tc>
        <w:tc>
          <w:tcPr>
            <w:tcW w:w="1060" w:type="dxa"/>
            <w:tcBorders>
              <w:top w:val="nil"/>
              <w:left w:val="nil"/>
              <w:bottom w:val="single" w:sz="4" w:space="0" w:color="auto"/>
              <w:right w:val="nil"/>
            </w:tcBorders>
            <w:shd w:val="clear" w:color="auto" w:fill="auto"/>
            <w:noWrap/>
            <w:vAlign w:val="center"/>
            <w:hideMark/>
          </w:tcPr>
          <w:p w14:paraId="047EBE6A" w14:textId="77777777" w:rsidR="008430BD" w:rsidRPr="00F15667" w:rsidRDefault="008430BD" w:rsidP="00CF32FA">
            <w:pPr>
              <w:spacing w:line="240" w:lineRule="auto"/>
              <w:jc w:val="center"/>
            </w:pPr>
            <w:r w:rsidRPr="00F15667">
              <w:t>PY</w:t>
            </w:r>
          </w:p>
        </w:tc>
      </w:tr>
      <w:tr w:rsidR="00F15667" w:rsidRPr="00F15667" w14:paraId="68B3D0B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C653C47" w14:textId="77777777" w:rsidR="008430BD" w:rsidRPr="00F15667" w:rsidRDefault="008430BD" w:rsidP="00CF32FA">
            <w:pPr>
              <w:spacing w:line="240" w:lineRule="auto"/>
              <w:jc w:val="left"/>
            </w:pPr>
            <w:r w:rsidRPr="00F15667">
              <w:t>Chomutov</w:t>
            </w:r>
          </w:p>
        </w:tc>
        <w:tc>
          <w:tcPr>
            <w:tcW w:w="1060" w:type="dxa"/>
            <w:tcBorders>
              <w:top w:val="nil"/>
              <w:left w:val="nil"/>
              <w:bottom w:val="single" w:sz="4" w:space="0" w:color="auto"/>
              <w:right w:val="single" w:sz="4" w:space="0" w:color="auto"/>
            </w:tcBorders>
            <w:shd w:val="clear" w:color="auto" w:fill="auto"/>
            <w:noWrap/>
            <w:vAlign w:val="center"/>
            <w:hideMark/>
          </w:tcPr>
          <w:p w14:paraId="22C62212" w14:textId="77777777" w:rsidR="008430BD" w:rsidRPr="00F15667" w:rsidRDefault="008430BD" w:rsidP="00CF32FA">
            <w:pPr>
              <w:spacing w:line="240" w:lineRule="auto"/>
              <w:jc w:val="center"/>
            </w:pPr>
            <w:r w:rsidRPr="00F15667">
              <w:t>CV</w:t>
            </w:r>
          </w:p>
        </w:tc>
        <w:tc>
          <w:tcPr>
            <w:tcW w:w="2320" w:type="dxa"/>
            <w:tcBorders>
              <w:top w:val="nil"/>
              <w:left w:val="nil"/>
              <w:bottom w:val="single" w:sz="4" w:space="0" w:color="auto"/>
              <w:right w:val="nil"/>
            </w:tcBorders>
            <w:shd w:val="clear" w:color="auto" w:fill="auto"/>
            <w:noWrap/>
            <w:vAlign w:val="center"/>
            <w:hideMark/>
          </w:tcPr>
          <w:p w14:paraId="2615E1CF" w14:textId="26A31540" w:rsidR="008430BD" w:rsidRPr="00F15667" w:rsidRDefault="0053190F" w:rsidP="00CF32FA">
            <w:pPr>
              <w:spacing w:line="240" w:lineRule="auto"/>
              <w:jc w:val="left"/>
            </w:pPr>
            <w:r w:rsidRPr="00F15667">
              <w:t>Praha</w:t>
            </w:r>
            <w:r w:rsidRPr="00F15667">
              <w:noBreakHyphen/>
            </w:r>
            <w:r w:rsidR="008430BD" w:rsidRPr="00F15667">
              <w:t>západ</w:t>
            </w:r>
          </w:p>
        </w:tc>
        <w:tc>
          <w:tcPr>
            <w:tcW w:w="1060" w:type="dxa"/>
            <w:tcBorders>
              <w:top w:val="nil"/>
              <w:left w:val="nil"/>
              <w:bottom w:val="single" w:sz="4" w:space="0" w:color="auto"/>
              <w:right w:val="nil"/>
            </w:tcBorders>
            <w:shd w:val="clear" w:color="auto" w:fill="auto"/>
            <w:noWrap/>
            <w:vAlign w:val="center"/>
            <w:hideMark/>
          </w:tcPr>
          <w:p w14:paraId="308490CD" w14:textId="77777777" w:rsidR="008430BD" w:rsidRPr="00F15667" w:rsidRDefault="008430BD" w:rsidP="00CF32FA">
            <w:pPr>
              <w:spacing w:line="240" w:lineRule="auto"/>
              <w:jc w:val="center"/>
            </w:pPr>
            <w:r w:rsidRPr="00F15667">
              <w:t>PZ</w:t>
            </w:r>
          </w:p>
        </w:tc>
      </w:tr>
      <w:tr w:rsidR="00F15667" w:rsidRPr="00F15667" w14:paraId="1297CE0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55A6720" w14:textId="77777777" w:rsidR="008430BD" w:rsidRPr="00F15667" w:rsidRDefault="008430BD" w:rsidP="00CF32FA">
            <w:pPr>
              <w:spacing w:line="240" w:lineRule="auto"/>
              <w:jc w:val="left"/>
            </w:pPr>
            <w:r w:rsidRPr="00F15667">
              <w:t>Chrudim</w:t>
            </w:r>
          </w:p>
        </w:tc>
        <w:tc>
          <w:tcPr>
            <w:tcW w:w="1060" w:type="dxa"/>
            <w:tcBorders>
              <w:top w:val="nil"/>
              <w:left w:val="nil"/>
              <w:bottom w:val="single" w:sz="4" w:space="0" w:color="auto"/>
              <w:right w:val="single" w:sz="4" w:space="0" w:color="auto"/>
            </w:tcBorders>
            <w:shd w:val="clear" w:color="auto" w:fill="auto"/>
            <w:noWrap/>
            <w:vAlign w:val="center"/>
            <w:hideMark/>
          </w:tcPr>
          <w:p w14:paraId="08331962" w14:textId="77777777" w:rsidR="008430BD" w:rsidRPr="00F15667" w:rsidRDefault="008430BD" w:rsidP="00CF32FA">
            <w:pPr>
              <w:spacing w:line="240" w:lineRule="auto"/>
              <w:jc w:val="center"/>
            </w:pPr>
            <w:r w:rsidRPr="00F15667">
              <w:t>CR</w:t>
            </w:r>
          </w:p>
        </w:tc>
        <w:tc>
          <w:tcPr>
            <w:tcW w:w="2320" w:type="dxa"/>
            <w:tcBorders>
              <w:top w:val="nil"/>
              <w:left w:val="nil"/>
              <w:bottom w:val="single" w:sz="4" w:space="0" w:color="auto"/>
              <w:right w:val="nil"/>
            </w:tcBorders>
            <w:shd w:val="clear" w:color="auto" w:fill="auto"/>
            <w:noWrap/>
            <w:vAlign w:val="center"/>
            <w:hideMark/>
          </w:tcPr>
          <w:p w14:paraId="2B618784" w14:textId="77777777" w:rsidR="008430BD" w:rsidRPr="00F15667" w:rsidRDefault="008430BD" w:rsidP="00CF32FA">
            <w:pPr>
              <w:spacing w:line="240" w:lineRule="auto"/>
              <w:jc w:val="left"/>
            </w:pPr>
            <w:r w:rsidRPr="00F15667">
              <w:t>Prachatice</w:t>
            </w:r>
          </w:p>
        </w:tc>
        <w:tc>
          <w:tcPr>
            <w:tcW w:w="1060" w:type="dxa"/>
            <w:tcBorders>
              <w:top w:val="nil"/>
              <w:left w:val="nil"/>
              <w:bottom w:val="single" w:sz="4" w:space="0" w:color="auto"/>
              <w:right w:val="nil"/>
            </w:tcBorders>
            <w:shd w:val="clear" w:color="auto" w:fill="auto"/>
            <w:noWrap/>
            <w:vAlign w:val="center"/>
            <w:hideMark/>
          </w:tcPr>
          <w:p w14:paraId="57988E4C" w14:textId="77777777" w:rsidR="008430BD" w:rsidRPr="00F15667" w:rsidRDefault="008430BD" w:rsidP="00CF32FA">
            <w:pPr>
              <w:spacing w:line="240" w:lineRule="auto"/>
              <w:jc w:val="center"/>
            </w:pPr>
            <w:r w:rsidRPr="00F15667">
              <w:t>PT</w:t>
            </w:r>
          </w:p>
        </w:tc>
      </w:tr>
      <w:tr w:rsidR="00F15667" w:rsidRPr="00F15667" w14:paraId="219A593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4C8BDC2" w14:textId="77777777" w:rsidR="008430BD" w:rsidRPr="00F15667" w:rsidRDefault="008430BD" w:rsidP="00CF32FA">
            <w:pPr>
              <w:spacing w:line="240" w:lineRule="auto"/>
              <w:jc w:val="left"/>
            </w:pPr>
            <w:r w:rsidRPr="00F15667">
              <w:t>Jablonec nad Nisou</w:t>
            </w:r>
          </w:p>
        </w:tc>
        <w:tc>
          <w:tcPr>
            <w:tcW w:w="1060" w:type="dxa"/>
            <w:tcBorders>
              <w:top w:val="nil"/>
              <w:left w:val="nil"/>
              <w:bottom w:val="single" w:sz="4" w:space="0" w:color="auto"/>
              <w:right w:val="single" w:sz="4" w:space="0" w:color="auto"/>
            </w:tcBorders>
            <w:shd w:val="clear" w:color="auto" w:fill="auto"/>
            <w:noWrap/>
            <w:vAlign w:val="center"/>
            <w:hideMark/>
          </w:tcPr>
          <w:p w14:paraId="0424B10B" w14:textId="77777777" w:rsidR="008430BD" w:rsidRPr="00F15667" w:rsidRDefault="008430BD" w:rsidP="00CF32FA">
            <w:pPr>
              <w:spacing w:line="240" w:lineRule="auto"/>
              <w:jc w:val="center"/>
            </w:pPr>
            <w:r w:rsidRPr="00F15667">
              <w:t>JN</w:t>
            </w:r>
          </w:p>
        </w:tc>
        <w:tc>
          <w:tcPr>
            <w:tcW w:w="2320" w:type="dxa"/>
            <w:tcBorders>
              <w:top w:val="nil"/>
              <w:left w:val="nil"/>
              <w:bottom w:val="single" w:sz="4" w:space="0" w:color="auto"/>
              <w:right w:val="nil"/>
            </w:tcBorders>
            <w:shd w:val="clear" w:color="auto" w:fill="auto"/>
            <w:noWrap/>
            <w:vAlign w:val="center"/>
            <w:hideMark/>
          </w:tcPr>
          <w:p w14:paraId="0EA8A640" w14:textId="77777777" w:rsidR="008430BD" w:rsidRPr="00F15667" w:rsidRDefault="008430BD" w:rsidP="00CF32FA">
            <w:pPr>
              <w:spacing w:line="240" w:lineRule="auto"/>
              <w:jc w:val="left"/>
            </w:pPr>
            <w:r w:rsidRPr="00F15667">
              <w:t>Prostějov</w:t>
            </w:r>
          </w:p>
        </w:tc>
        <w:tc>
          <w:tcPr>
            <w:tcW w:w="1060" w:type="dxa"/>
            <w:tcBorders>
              <w:top w:val="nil"/>
              <w:left w:val="nil"/>
              <w:bottom w:val="single" w:sz="4" w:space="0" w:color="auto"/>
              <w:right w:val="nil"/>
            </w:tcBorders>
            <w:shd w:val="clear" w:color="auto" w:fill="auto"/>
            <w:noWrap/>
            <w:vAlign w:val="center"/>
            <w:hideMark/>
          </w:tcPr>
          <w:p w14:paraId="76FEA204" w14:textId="77777777" w:rsidR="008430BD" w:rsidRPr="00F15667" w:rsidRDefault="008430BD" w:rsidP="00CF32FA">
            <w:pPr>
              <w:spacing w:line="240" w:lineRule="auto"/>
              <w:jc w:val="center"/>
            </w:pPr>
            <w:r w:rsidRPr="00F15667">
              <w:t>PV</w:t>
            </w:r>
          </w:p>
        </w:tc>
      </w:tr>
      <w:tr w:rsidR="00F15667" w:rsidRPr="00F15667" w14:paraId="62B7D44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95D1381" w14:textId="77777777" w:rsidR="008430BD" w:rsidRPr="00F15667" w:rsidRDefault="008430BD" w:rsidP="00CF32FA">
            <w:pPr>
              <w:spacing w:line="240" w:lineRule="auto"/>
              <w:jc w:val="left"/>
            </w:pPr>
            <w:r w:rsidRPr="00F15667">
              <w:t>Jeseník</w:t>
            </w:r>
          </w:p>
        </w:tc>
        <w:tc>
          <w:tcPr>
            <w:tcW w:w="1060" w:type="dxa"/>
            <w:tcBorders>
              <w:top w:val="nil"/>
              <w:left w:val="nil"/>
              <w:bottom w:val="single" w:sz="4" w:space="0" w:color="auto"/>
              <w:right w:val="single" w:sz="4" w:space="0" w:color="auto"/>
            </w:tcBorders>
            <w:shd w:val="clear" w:color="auto" w:fill="auto"/>
            <w:noWrap/>
            <w:vAlign w:val="center"/>
            <w:hideMark/>
          </w:tcPr>
          <w:p w14:paraId="42C2201E" w14:textId="77777777" w:rsidR="008430BD" w:rsidRPr="00F15667" w:rsidRDefault="008430BD" w:rsidP="00CF32FA">
            <w:pPr>
              <w:spacing w:line="240" w:lineRule="auto"/>
              <w:jc w:val="center"/>
            </w:pPr>
            <w:r w:rsidRPr="00F15667">
              <w:t>JE</w:t>
            </w:r>
          </w:p>
        </w:tc>
        <w:tc>
          <w:tcPr>
            <w:tcW w:w="2320" w:type="dxa"/>
            <w:tcBorders>
              <w:top w:val="nil"/>
              <w:left w:val="nil"/>
              <w:bottom w:val="single" w:sz="4" w:space="0" w:color="auto"/>
              <w:right w:val="nil"/>
            </w:tcBorders>
            <w:shd w:val="clear" w:color="auto" w:fill="auto"/>
            <w:noWrap/>
            <w:vAlign w:val="center"/>
            <w:hideMark/>
          </w:tcPr>
          <w:p w14:paraId="2C56FA16" w14:textId="77777777" w:rsidR="008430BD" w:rsidRPr="00F15667" w:rsidRDefault="008430BD" w:rsidP="00CF32FA">
            <w:pPr>
              <w:spacing w:line="240" w:lineRule="auto"/>
              <w:jc w:val="left"/>
            </w:pPr>
            <w:r w:rsidRPr="00F15667">
              <w:t>Přerov</w:t>
            </w:r>
          </w:p>
        </w:tc>
        <w:tc>
          <w:tcPr>
            <w:tcW w:w="1060" w:type="dxa"/>
            <w:tcBorders>
              <w:top w:val="nil"/>
              <w:left w:val="nil"/>
              <w:bottom w:val="single" w:sz="4" w:space="0" w:color="auto"/>
              <w:right w:val="nil"/>
            </w:tcBorders>
            <w:shd w:val="clear" w:color="auto" w:fill="auto"/>
            <w:noWrap/>
            <w:vAlign w:val="center"/>
            <w:hideMark/>
          </w:tcPr>
          <w:p w14:paraId="1FC4FA02" w14:textId="77777777" w:rsidR="008430BD" w:rsidRPr="00F15667" w:rsidRDefault="008430BD" w:rsidP="00CF32FA">
            <w:pPr>
              <w:spacing w:line="240" w:lineRule="auto"/>
              <w:jc w:val="center"/>
            </w:pPr>
            <w:r w:rsidRPr="00F15667">
              <w:t>PR</w:t>
            </w:r>
          </w:p>
        </w:tc>
      </w:tr>
      <w:tr w:rsidR="00F15667" w:rsidRPr="00F15667" w14:paraId="3E6F109A"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15862F1" w14:textId="77777777" w:rsidR="008430BD" w:rsidRPr="00F15667" w:rsidRDefault="008430BD" w:rsidP="00CF32FA">
            <w:pPr>
              <w:spacing w:line="240" w:lineRule="auto"/>
              <w:jc w:val="left"/>
            </w:pPr>
            <w:r w:rsidRPr="00F15667">
              <w:t>Jičín</w:t>
            </w:r>
          </w:p>
        </w:tc>
        <w:tc>
          <w:tcPr>
            <w:tcW w:w="1060" w:type="dxa"/>
            <w:tcBorders>
              <w:top w:val="nil"/>
              <w:left w:val="nil"/>
              <w:bottom w:val="single" w:sz="4" w:space="0" w:color="auto"/>
              <w:right w:val="single" w:sz="4" w:space="0" w:color="auto"/>
            </w:tcBorders>
            <w:shd w:val="clear" w:color="auto" w:fill="auto"/>
            <w:noWrap/>
            <w:vAlign w:val="center"/>
            <w:hideMark/>
          </w:tcPr>
          <w:p w14:paraId="76D890A3" w14:textId="77777777" w:rsidR="008430BD" w:rsidRPr="00F15667" w:rsidRDefault="008430BD" w:rsidP="00CF32FA">
            <w:pPr>
              <w:spacing w:line="240" w:lineRule="auto"/>
              <w:jc w:val="center"/>
            </w:pPr>
            <w:r w:rsidRPr="00F15667">
              <w:t>JC</w:t>
            </w:r>
          </w:p>
        </w:tc>
        <w:tc>
          <w:tcPr>
            <w:tcW w:w="2320" w:type="dxa"/>
            <w:tcBorders>
              <w:top w:val="nil"/>
              <w:left w:val="nil"/>
              <w:bottom w:val="single" w:sz="4" w:space="0" w:color="auto"/>
              <w:right w:val="nil"/>
            </w:tcBorders>
            <w:shd w:val="clear" w:color="auto" w:fill="auto"/>
            <w:noWrap/>
            <w:vAlign w:val="center"/>
            <w:hideMark/>
          </w:tcPr>
          <w:p w14:paraId="6D31BC4A" w14:textId="77777777" w:rsidR="008430BD" w:rsidRPr="00F15667" w:rsidRDefault="008430BD" w:rsidP="00CF32FA">
            <w:pPr>
              <w:spacing w:line="240" w:lineRule="auto"/>
              <w:jc w:val="left"/>
            </w:pPr>
            <w:r w:rsidRPr="00F15667">
              <w:t>Příbram</w:t>
            </w:r>
          </w:p>
        </w:tc>
        <w:tc>
          <w:tcPr>
            <w:tcW w:w="1060" w:type="dxa"/>
            <w:tcBorders>
              <w:top w:val="nil"/>
              <w:left w:val="nil"/>
              <w:bottom w:val="single" w:sz="4" w:space="0" w:color="auto"/>
              <w:right w:val="nil"/>
            </w:tcBorders>
            <w:shd w:val="clear" w:color="auto" w:fill="auto"/>
            <w:noWrap/>
            <w:vAlign w:val="center"/>
            <w:hideMark/>
          </w:tcPr>
          <w:p w14:paraId="2811657C" w14:textId="77777777" w:rsidR="008430BD" w:rsidRPr="00F15667" w:rsidRDefault="008430BD" w:rsidP="00CF32FA">
            <w:pPr>
              <w:spacing w:line="240" w:lineRule="auto"/>
              <w:jc w:val="center"/>
            </w:pPr>
            <w:r w:rsidRPr="00F15667">
              <w:t>PB</w:t>
            </w:r>
          </w:p>
        </w:tc>
      </w:tr>
      <w:tr w:rsidR="00F15667" w:rsidRPr="00F15667" w14:paraId="6373DD3E"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5DCB385" w14:textId="77777777" w:rsidR="008430BD" w:rsidRPr="00F15667" w:rsidRDefault="008430BD" w:rsidP="00CF32FA">
            <w:pPr>
              <w:spacing w:line="240" w:lineRule="auto"/>
              <w:jc w:val="left"/>
            </w:pPr>
            <w:r w:rsidRPr="00F15667">
              <w:t>Jihlava</w:t>
            </w:r>
          </w:p>
        </w:tc>
        <w:tc>
          <w:tcPr>
            <w:tcW w:w="1060" w:type="dxa"/>
            <w:tcBorders>
              <w:top w:val="nil"/>
              <w:left w:val="nil"/>
              <w:bottom w:val="single" w:sz="4" w:space="0" w:color="auto"/>
              <w:right w:val="single" w:sz="4" w:space="0" w:color="auto"/>
            </w:tcBorders>
            <w:shd w:val="clear" w:color="auto" w:fill="auto"/>
            <w:noWrap/>
            <w:vAlign w:val="center"/>
            <w:hideMark/>
          </w:tcPr>
          <w:p w14:paraId="3EDFCB69" w14:textId="77777777" w:rsidR="008430BD" w:rsidRPr="00F15667" w:rsidRDefault="008430BD" w:rsidP="00CF32FA">
            <w:pPr>
              <w:spacing w:line="240" w:lineRule="auto"/>
              <w:jc w:val="center"/>
            </w:pPr>
            <w:r w:rsidRPr="00F15667">
              <w:t>JI</w:t>
            </w:r>
          </w:p>
        </w:tc>
        <w:tc>
          <w:tcPr>
            <w:tcW w:w="2320" w:type="dxa"/>
            <w:tcBorders>
              <w:top w:val="nil"/>
              <w:left w:val="nil"/>
              <w:bottom w:val="single" w:sz="4" w:space="0" w:color="auto"/>
              <w:right w:val="nil"/>
            </w:tcBorders>
            <w:shd w:val="clear" w:color="auto" w:fill="auto"/>
            <w:noWrap/>
            <w:vAlign w:val="center"/>
            <w:hideMark/>
          </w:tcPr>
          <w:p w14:paraId="2A8B49AC" w14:textId="77777777" w:rsidR="008430BD" w:rsidRPr="00F15667" w:rsidRDefault="008430BD" w:rsidP="00CF32FA">
            <w:pPr>
              <w:spacing w:line="240" w:lineRule="auto"/>
              <w:jc w:val="left"/>
            </w:pPr>
            <w:r w:rsidRPr="00F15667">
              <w:t>Rakovník</w:t>
            </w:r>
          </w:p>
        </w:tc>
        <w:tc>
          <w:tcPr>
            <w:tcW w:w="1060" w:type="dxa"/>
            <w:tcBorders>
              <w:top w:val="nil"/>
              <w:left w:val="nil"/>
              <w:bottom w:val="single" w:sz="4" w:space="0" w:color="auto"/>
              <w:right w:val="nil"/>
            </w:tcBorders>
            <w:shd w:val="clear" w:color="auto" w:fill="auto"/>
            <w:noWrap/>
            <w:vAlign w:val="center"/>
            <w:hideMark/>
          </w:tcPr>
          <w:p w14:paraId="3C960CBF" w14:textId="77777777" w:rsidR="008430BD" w:rsidRPr="00F15667" w:rsidRDefault="008430BD" w:rsidP="00CF32FA">
            <w:pPr>
              <w:spacing w:line="240" w:lineRule="auto"/>
              <w:jc w:val="center"/>
            </w:pPr>
            <w:r w:rsidRPr="00F15667">
              <w:t>RA</w:t>
            </w:r>
          </w:p>
        </w:tc>
      </w:tr>
      <w:tr w:rsidR="00F15667" w:rsidRPr="00F15667" w14:paraId="6A58EAB0"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EFB75E7" w14:textId="77777777" w:rsidR="008430BD" w:rsidRPr="00F15667" w:rsidRDefault="008430BD" w:rsidP="00CF32FA">
            <w:pPr>
              <w:spacing w:line="240" w:lineRule="auto"/>
              <w:jc w:val="left"/>
            </w:pPr>
            <w:r w:rsidRPr="00F15667">
              <w:t>Jindřichův Hradec</w:t>
            </w:r>
          </w:p>
        </w:tc>
        <w:tc>
          <w:tcPr>
            <w:tcW w:w="1060" w:type="dxa"/>
            <w:tcBorders>
              <w:top w:val="nil"/>
              <w:left w:val="nil"/>
              <w:bottom w:val="single" w:sz="4" w:space="0" w:color="auto"/>
              <w:right w:val="single" w:sz="4" w:space="0" w:color="auto"/>
            </w:tcBorders>
            <w:shd w:val="clear" w:color="auto" w:fill="auto"/>
            <w:noWrap/>
            <w:vAlign w:val="center"/>
            <w:hideMark/>
          </w:tcPr>
          <w:p w14:paraId="3FE70BB7" w14:textId="77777777" w:rsidR="008430BD" w:rsidRPr="00F15667" w:rsidRDefault="008430BD" w:rsidP="00CF32FA">
            <w:pPr>
              <w:spacing w:line="240" w:lineRule="auto"/>
              <w:jc w:val="center"/>
            </w:pPr>
            <w:r w:rsidRPr="00F15667">
              <w:t>JH</w:t>
            </w:r>
          </w:p>
        </w:tc>
        <w:tc>
          <w:tcPr>
            <w:tcW w:w="2320" w:type="dxa"/>
            <w:tcBorders>
              <w:top w:val="nil"/>
              <w:left w:val="nil"/>
              <w:bottom w:val="single" w:sz="4" w:space="0" w:color="auto"/>
              <w:right w:val="nil"/>
            </w:tcBorders>
            <w:shd w:val="clear" w:color="auto" w:fill="auto"/>
            <w:noWrap/>
            <w:vAlign w:val="center"/>
            <w:hideMark/>
          </w:tcPr>
          <w:p w14:paraId="1DB93B6E" w14:textId="77777777" w:rsidR="008430BD" w:rsidRPr="00F15667" w:rsidRDefault="008430BD" w:rsidP="00CF32FA">
            <w:pPr>
              <w:spacing w:line="240" w:lineRule="auto"/>
              <w:jc w:val="left"/>
            </w:pPr>
            <w:r w:rsidRPr="00F15667">
              <w:t>Rokycany</w:t>
            </w:r>
          </w:p>
        </w:tc>
        <w:tc>
          <w:tcPr>
            <w:tcW w:w="1060" w:type="dxa"/>
            <w:tcBorders>
              <w:top w:val="nil"/>
              <w:left w:val="nil"/>
              <w:bottom w:val="single" w:sz="4" w:space="0" w:color="auto"/>
              <w:right w:val="nil"/>
            </w:tcBorders>
            <w:shd w:val="clear" w:color="auto" w:fill="auto"/>
            <w:noWrap/>
            <w:vAlign w:val="center"/>
            <w:hideMark/>
          </w:tcPr>
          <w:p w14:paraId="6629BD88" w14:textId="77777777" w:rsidR="008430BD" w:rsidRPr="00F15667" w:rsidRDefault="008430BD" w:rsidP="00CF32FA">
            <w:pPr>
              <w:spacing w:line="240" w:lineRule="auto"/>
              <w:jc w:val="center"/>
            </w:pPr>
            <w:r w:rsidRPr="00F15667">
              <w:t>RO</w:t>
            </w:r>
          </w:p>
        </w:tc>
      </w:tr>
      <w:tr w:rsidR="00F15667" w:rsidRPr="00F15667" w14:paraId="7BB86B2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0304B6F" w14:textId="77777777" w:rsidR="008430BD" w:rsidRPr="00F15667" w:rsidRDefault="008430BD" w:rsidP="00CF32FA">
            <w:pPr>
              <w:spacing w:line="240" w:lineRule="auto"/>
              <w:jc w:val="left"/>
            </w:pPr>
            <w:r w:rsidRPr="00F15667">
              <w:t>Karlovy Vary</w:t>
            </w:r>
          </w:p>
        </w:tc>
        <w:tc>
          <w:tcPr>
            <w:tcW w:w="1060" w:type="dxa"/>
            <w:tcBorders>
              <w:top w:val="nil"/>
              <w:left w:val="nil"/>
              <w:bottom w:val="single" w:sz="4" w:space="0" w:color="auto"/>
              <w:right w:val="single" w:sz="4" w:space="0" w:color="auto"/>
            </w:tcBorders>
            <w:shd w:val="clear" w:color="auto" w:fill="auto"/>
            <w:noWrap/>
            <w:vAlign w:val="center"/>
            <w:hideMark/>
          </w:tcPr>
          <w:p w14:paraId="07CAD7F1" w14:textId="77777777" w:rsidR="008430BD" w:rsidRPr="00F15667" w:rsidRDefault="008430BD" w:rsidP="00CF32FA">
            <w:pPr>
              <w:spacing w:line="240" w:lineRule="auto"/>
              <w:jc w:val="center"/>
            </w:pPr>
            <w:r w:rsidRPr="00F15667">
              <w:t>KV</w:t>
            </w:r>
          </w:p>
        </w:tc>
        <w:tc>
          <w:tcPr>
            <w:tcW w:w="2320" w:type="dxa"/>
            <w:tcBorders>
              <w:top w:val="nil"/>
              <w:left w:val="nil"/>
              <w:bottom w:val="single" w:sz="4" w:space="0" w:color="auto"/>
              <w:right w:val="nil"/>
            </w:tcBorders>
            <w:shd w:val="clear" w:color="auto" w:fill="auto"/>
            <w:noWrap/>
            <w:vAlign w:val="center"/>
            <w:hideMark/>
          </w:tcPr>
          <w:p w14:paraId="0BCADA59" w14:textId="77777777" w:rsidR="008430BD" w:rsidRPr="00F15667" w:rsidRDefault="008430BD" w:rsidP="00CF32FA">
            <w:pPr>
              <w:spacing w:line="240" w:lineRule="auto"/>
              <w:jc w:val="left"/>
            </w:pPr>
            <w:r w:rsidRPr="00F15667">
              <w:t>Rychnov nad Kněžnou</w:t>
            </w:r>
          </w:p>
        </w:tc>
        <w:tc>
          <w:tcPr>
            <w:tcW w:w="1060" w:type="dxa"/>
            <w:tcBorders>
              <w:top w:val="nil"/>
              <w:left w:val="nil"/>
              <w:bottom w:val="single" w:sz="4" w:space="0" w:color="auto"/>
              <w:right w:val="nil"/>
            </w:tcBorders>
            <w:shd w:val="clear" w:color="auto" w:fill="auto"/>
            <w:noWrap/>
            <w:vAlign w:val="center"/>
            <w:hideMark/>
          </w:tcPr>
          <w:p w14:paraId="002738BD" w14:textId="77777777" w:rsidR="008430BD" w:rsidRPr="00F15667" w:rsidRDefault="008430BD" w:rsidP="00CF32FA">
            <w:pPr>
              <w:spacing w:line="240" w:lineRule="auto"/>
              <w:jc w:val="center"/>
            </w:pPr>
            <w:r w:rsidRPr="00F15667">
              <w:t>RK</w:t>
            </w:r>
          </w:p>
        </w:tc>
      </w:tr>
      <w:tr w:rsidR="00F15667" w:rsidRPr="00F15667" w14:paraId="47FDB9D2"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CF45FE2" w14:textId="77777777" w:rsidR="008430BD" w:rsidRPr="00F15667" w:rsidRDefault="008430BD" w:rsidP="00CF32FA">
            <w:pPr>
              <w:spacing w:line="240" w:lineRule="auto"/>
              <w:jc w:val="left"/>
            </w:pPr>
            <w:r w:rsidRPr="00F15667">
              <w:t>Karviná</w:t>
            </w:r>
          </w:p>
        </w:tc>
        <w:tc>
          <w:tcPr>
            <w:tcW w:w="1060" w:type="dxa"/>
            <w:tcBorders>
              <w:top w:val="nil"/>
              <w:left w:val="nil"/>
              <w:bottom w:val="single" w:sz="4" w:space="0" w:color="auto"/>
              <w:right w:val="single" w:sz="4" w:space="0" w:color="auto"/>
            </w:tcBorders>
            <w:shd w:val="clear" w:color="auto" w:fill="auto"/>
            <w:noWrap/>
            <w:vAlign w:val="center"/>
            <w:hideMark/>
          </w:tcPr>
          <w:p w14:paraId="760F54B7" w14:textId="77777777" w:rsidR="008430BD" w:rsidRPr="00F15667" w:rsidRDefault="008430BD" w:rsidP="00CF32FA">
            <w:pPr>
              <w:spacing w:line="240" w:lineRule="auto"/>
              <w:jc w:val="center"/>
            </w:pPr>
            <w:r w:rsidRPr="00F15667">
              <w:t>KA</w:t>
            </w:r>
          </w:p>
        </w:tc>
        <w:tc>
          <w:tcPr>
            <w:tcW w:w="2320" w:type="dxa"/>
            <w:tcBorders>
              <w:top w:val="nil"/>
              <w:left w:val="nil"/>
              <w:bottom w:val="single" w:sz="4" w:space="0" w:color="auto"/>
              <w:right w:val="nil"/>
            </w:tcBorders>
            <w:shd w:val="clear" w:color="auto" w:fill="auto"/>
            <w:noWrap/>
            <w:vAlign w:val="center"/>
            <w:hideMark/>
          </w:tcPr>
          <w:p w14:paraId="4531D4CF" w14:textId="77777777" w:rsidR="008430BD" w:rsidRPr="00F15667" w:rsidRDefault="008430BD" w:rsidP="00CF32FA">
            <w:pPr>
              <w:spacing w:line="240" w:lineRule="auto"/>
              <w:jc w:val="left"/>
            </w:pPr>
            <w:r w:rsidRPr="00F15667">
              <w:t>Semily</w:t>
            </w:r>
          </w:p>
        </w:tc>
        <w:tc>
          <w:tcPr>
            <w:tcW w:w="1060" w:type="dxa"/>
            <w:tcBorders>
              <w:top w:val="nil"/>
              <w:left w:val="nil"/>
              <w:bottom w:val="single" w:sz="4" w:space="0" w:color="auto"/>
              <w:right w:val="nil"/>
            </w:tcBorders>
            <w:shd w:val="clear" w:color="auto" w:fill="auto"/>
            <w:noWrap/>
            <w:vAlign w:val="center"/>
            <w:hideMark/>
          </w:tcPr>
          <w:p w14:paraId="23BDEB6F" w14:textId="77777777" w:rsidR="008430BD" w:rsidRPr="00F15667" w:rsidRDefault="008430BD" w:rsidP="00CF32FA">
            <w:pPr>
              <w:spacing w:line="240" w:lineRule="auto"/>
              <w:jc w:val="center"/>
            </w:pPr>
            <w:r w:rsidRPr="00F15667">
              <w:t>SM</w:t>
            </w:r>
          </w:p>
        </w:tc>
      </w:tr>
      <w:tr w:rsidR="00F15667" w:rsidRPr="00F15667" w14:paraId="371F4578"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BCE857A" w14:textId="77777777" w:rsidR="008430BD" w:rsidRPr="00F15667" w:rsidRDefault="008430BD" w:rsidP="00CF32FA">
            <w:pPr>
              <w:spacing w:line="240" w:lineRule="auto"/>
              <w:jc w:val="left"/>
            </w:pPr>
            <w:r w:rsidRPr="00F15667">
              <w:t>Kladno</w:t>
            </w:r>
          </w:p>
        </w:tc>
        <w:tc>
          <w:tcPr>
            <w:tcW w:w="1060" w:type="dxa"/>
            <w:tcBorders>
              <w:top w:val="nil"/>
              <w:left w:val="nil"/>
              <w:bottom w:val="single" w:sz="4" w:space="0" w:color="auto"/>
              <w:right w:val="single" w:sz="4" w:space="0" w:color="auto"/>
            </w:tcBorders>
            <w:shd w:val="clear" w:color="auto" w:fill="auto"/>
            <w:noWrap/>
            <w:vAlign w:val="center"/>
            <w:hideMark/>
          </w:tcPr>
          <w:p w14:paraId="6CE39181" w14:textId="77777777" w:rsidR="008430BD" w:rsidRPr="00F15667" w:rsidRDefault="008430BD" w:rsidP="00CF32FA">
            <w:pPr>
              <w:spacing w:line="240" w:lineRule="auto"/>
              <w:jc w:val="center"/>
            </w:pPr>
            <w:r w:rsidRPr="00F15667">
              <w:t>KL</w:t>
            </w:r>
          </w:p>
        </w:tc>
        <w:tc>
          <w:tcPr>
            <w:tcW w:w="2320" w:type="dxa"/>
            <w:tcBorders>
              <w:top w:val="nil"/>
              <w:left w:val="nil"/>
              <w:bottom w:val="single" w:sz="4" w:space="0" w:color="auto"/>
              <w:right w:val="nil"/>
            </w:tcBorders>
            <w:shd w:val="clear" w:color="auto" w:fill="auto"/>
            <w:noWrap/>
            <w:vAlign w:val="center"/>
            <w:hideMark/>
          </w:tcPr>
          <w:p w14:paraId="7151E930" w14:textId="77777777" w:rsidR="008430BD" w:rsidRPr="00F15667" w:rsidRDefault="008430BD" w:rsidP="00CF32FA">
            <w:pPr>
              <w:spacing w:line="240" w:lineRule="auto"/>
              <w:jc w:val="left"/>
            </w:pPr>
            <w:r w:rsidRPr="00F15667">
              <w:t>Sokolov</w:t>
            </w:r>
          </w:p>
        </w:tc>
        <w:tc>
          <w:tcPr>
            <w:tcW w:w="1060" w:type="dxa"/>
            <w:tcBorders>
              <w:top w:val="nil"/>
              <w:left w:val="nil"/>
              <w:bottom w:val="single" w:sz="4" w:space="0" w:color="auto"/>
              <w:right w:val="nil"/>
            </w:tcBorders>
            <w:shd w:val="clear" w:color="auto" w:fill="auto"/>
            <w:noWrap/>
            <w:vAlign w:val="center"/>
            <w:hideMark/>
          </w:tcPr>
          <w:p w14:paraId="6E6BC2DB" w14:textId="77777777" w:rsidR="008430BD" w:rsidRPr="00F15667" w:rsidRDefault="008430BD" w:rsidP="00CF32FA">
            <w:pPr>
              <w:spacing w:line="240" w:lineRule="auto"/>
              <w:jc w:val="center"/>
            </w:pPr>
            <w:r w:rsidRPr="00F15667">
              <w:t>SO</w:t>
            </w:r>
          </w:p>
        </w:tc>
      </w:tr>
      <w:tr w:rsidR="00F15667" w:rsidRPr="00F15667" w14:paraId="27952FC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5B8D473" w14:textId="77777777" w:rsidR="008430BD" w:rsidRPr="00F15667" w:rsidRDefault="008430BD" w:rsidP="00CF32FA">
            <w:pPr>
              <w:spacing w:line="240" w:lineRule="auto"/>
              <w:jc w:val="left"/>
            </w:pPr>
            <w:r w:rsidRPr="00F15667">
              <w:t>Klatovy</w:t>
            </w:r>
          </w:p>
        </w:tc>
        <w:tc>
          <w:tcPr>
            <w:tcW w:w="1060" w:type="dxa"/>
            <w:tcBorders>
              <w:top w:val="nil"/>
              <w:left w:val="nil"/>
              <w:bottom w:val="single" w:sz="4" w:space="0" w:color="auto"/>
              <w:right w:val="single" w:sz="4" w:space="0" w:color="auto"/>
            </w:tcBorders>
            <w:shd w:val="clear" w:color="auto" w:fill="auto"/>
            <w:noWrap/>
            <w:vAlign w:val="center"/>
            <w:hideMark/>
          </w:tcPr>
          <w:p w14:paraId="5EBB2108" w14:textId="77777777" w:rsidR="008430BD" w:rsidRPr="00F15667" w:rsidRDefault="008430BD" w:rsidP="00CF32FA">
            <w:pPr>
              <w:spacing w:line="240" w:lineRule="auto"/>
              <w:jc w:val="center"/>
            </w:pPr>
            <w:r w:rsidRPr="00F15667">
              <w:t>KT</w:t>
            </w:r>
          </w:p>
        </w:tc>
        <w:tc>
          <w:tcPr>
            <w:tcW w:w="2320" w:type="dxa"/>
            <w:tcBorders>
              <w:top w:val="nil"/>
              <w:left w:val="nil"/>
              <w:bottom w:val="single" w:sz="4" w:space="0" w:color="auto"/>
              <w:right w:val="nil"/>
            </w:tcBorders>
            <w:shd w:val="clear" w:color="auto" w:fill="auto"/>
            <w:noWrap/>
            <w:vAlign w:val="center"/>
            <w:hideMark/>
          </w:tcPr>
          <w:p w14:paraId="4BEF2744" w14:textId="77777777" w:rsidR="008430BD" w:rsidRPr="00F15667" w:rsidRDefault="008430BD" w:rsidP="00CF32FA">
            <w:pPr>
              <w:spacing w:line="240" w:lineRule="auto"/>
              <w:jc w:val="left"/>
            </w:pPr>
            <w:r w:rsidRPr="00F15667">
              <w:t>Strakonice</w:t>
            </w:r>
          </w:p>
        </w:tc>
        <w:tc>
          <w:tcPr>
            <w:tcW w:w="1060" w:type="dxa"/>
            <w:tcBorders>
              <w:top w:val="nil"/>
              <w:left w:val="nil"/>
              <w:bottom w:val="single" w:sz="4" w:space="0" w:color="auto"/>
              <w:right w:val="nil"/>
            </w:tcBorders>
            <w:shd w:val="clear" w:color="auto" w:fill="auto"/>
            <w:noWrap/>
            <w:vAlign w:val="center"/>
            <w:hideMark/>
          </w:tcPr>
          <w:p w14:paraId="30C2431B" w14:textId="77777777" w:rsidR="008430BD" w:rsidRPr="00F15667" w:rsidRDefault="008430BD" w:rsidP="00CF32FA">
            <w:pPr>
              <w:spacing w:line="240" w:lineRule="auto"/>
              <w:jc w:val="center"/>
            </w:pPr>
            <w:r w:rsidRPr="00F15667">
              <w:t>ST</w:t>
            </w:r>
          </w:p>
        </w:tc>
      </w:tr>
      <w:tr w:rsidR="00F15667" w:rsidRPr="00F15667" w14:paraId="552E0EC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1561439" w14:textId="77777777" w:rsidR="008430BD" w:rsidRPr="00F15667" w:rsidRDefault="008430BD" w:rsidP="00CF32FA">
            <w:pPr>
              <w:spacing w:line="240" w:lineRule="auto"/>
              <w:jc w:val="left"/>
            </w:pPr>
            <w:r w:rsidRPr="00F15667">
              <w:t>Kolín</w:t>
            </w:r>
          </w:p>
        </w:tc>
        <w:tc>
          <w:tcPr>
            <w:tcW w:w="1060" w:type="dxa"/>
            <w:tcBorders>
              <w:top w:val="nil"/>
              <w:left w:val="nil"/>
              <w:bottom w:val="single" w:sz="4" w:space="0" w:color="auto"/>
              <w:right w:val="single" w:sz="4" w:space="0" w:color="auto"/>
            </w:tcBorders>
            <w:shd w:val="clear" w:color="auto" w:fill="auto"/>
            <w:noWrap/>
            <w:vAlign w:val="center"/>
            <w:hideMark/>
          </w:tcPr>
          <w:p w14:paraId="7E529403" w14:textId="77777777" w:rsidR="008430BD" w:rsidRPr="00F15667" w:rsidRDefault="008430BD" w:rsidP="00CF32FA">
            <w:pPr>
              <w:spacing w:line="240" w:lineRule="auto"/>
              <w:jc w:val="center"/>
            </w:pPr>
            <w:r w:rsidRPr="00F15667">
              <w:t>KO</w:t>
            </w:r>
          </w:p>
        </w:tc>
        <w:tc>
          <w:tcPr>
            <w:tcW w:w="2320" w:type="dxa"/>
            <w:tcBorders>
              <w:top w:val="nil"/>
              <w:left w:val="nil"/>
              <w:bottom w:val="single" w:sz="4" w:space="0" w:color="auto"/>
              <w:right w:val="nil"/>
            </w:tcBorders>
            <w:shd w:val="clear" w:color="auto" w:fill="auto"/>
            <w:noWrap/>
            <w:vAlign w:val="center"/>
            <w:hideMark/>
          </w:tcPr>
          <w:p w14:paraId="410537F7" w14:textId="77777777" w:rsidR="008430BD" w:rsidRPr="00F15667" w:rsidRDefault="008430BD" w:rsidP="00CF32FA">
            <w:pPr>
              <w:spacing w:line="240" w:lineRule="auto"/>
              <w:jc w:val="left"/>
            </w:pPr>
            <w:r w:rsidRPr="00F15667">
              <w:t>Svitavy</w:t>
            </w:r>
          </w:p>
        </w:tc>
        <w:tc>
          <w:tcPr>
            <w:tcW w:w="1060" w:type="dxa"/>
            <w:tcBorders>
              <w:top w:val="nil"/>
              <w:left w:val="nil"/>
              <w:bottom w:val="single" w:sz="4" w:space="0" w:color="auto"/>
              <w:right w:val="nil"/>
            </w:tcBorders>
            <w:shd w:val="clear" w:color="auto" w:fill="auto"/>
            <w:noWrap/>
            <w:vAlign w:val="center"/>
            <w:hideMark/>
          </w:tcPr>
          <w:p w14:paraId="0040E8C2" w14:textId="77777777" w:rsidR="008430BD" w:rsidRPr="00F15667" w:rsidRDefault="008430BD" w:rsidP="00CF32FA">
            <w:pPr>
              <w:spacing w:line="240" w:lineRule="auto"/>
              <w:jc w:val="center"/>
            </w:pPr>
            <w:r w:rsidRPr="00F15667">
              <w:t>SY</w:t>
            </w:r>
          </w:p>
        </w:tc>
      </w:tr>
      <w:tr w:rsidR="00F15667" w:rsidRPr="00F15667" w14:paraId="10B716CD"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2F9B9E4" w14:textId="77777777" w:rsidR="008430BD" w:rsidRPr="00F15667" w:rsidRDefault="008430BD" w:rsidP="00CF32FA">
            <w:pPr>
              <w:spacing w:line="240" w:lineRule="auto"/>
              <w:jc w:val="left"/>
            </w:pPr>
            <w:r w:rsidRPr="00F15667">
              <w:t>Kroměříž</w:t>
            </w:r>
          </w:p>
        </w:tc>
        <w:tc>
          <w:tcPr>
            <w:tcW w:w="1060" w:type="dxa"/>
            <w:tcBorders>
              <w:top w:val="nil"/>
              <w:left w:val="nil"/>
              <w:bottom w:val="single" w:sz="4" w:space="0" w:color="auto"/>
              <w:right w:val="single" w:sz="4" w:space="0" w:color="auto"/>
            </w:tcBorders>
            <w:shd w:val="clear" w:color="auto" w:fill="auto"/>
            <w:noWrap/>
            <w:vAlign w:val="center"/>
            <w:hideMark/>
          </w:tcPr>
          <w:p w14:paraId="215D40A3" w14:textId="77777777" w:rsidR="008430BD" w:rsidRPr="00F15667" w:rsidRDefault="008430BD" w:rsidP="00CF32FA">
            <w:pPr>
              <w:spacing w:line="240" w:lineRule="auto"/>
              <w:jc w:val="center"/>
            </w:pPr>
            <w:r w:rsidRPr="00F15667">
              <w:t>KM</w:t>
            </w:r>
          </w:p>
        </w:tc>
        <w:tc>
          <w:tcPr>
            <w:tcW w:w="2320" w:type="dxa"/>
            <w:tcBorders>
              <w:top w:val="nil"/>
              <w:left w:val="nil"/>
              <w:bottom w:val="single" w:sz="4" w:space="0" w:color="auto"/>
              <w:right w:val="nil"/>
            </w:tcBorders>
            <w:shd w:val="clear" w:color="auto" w:fill="auto"/>
            <w:noWrap/>
            <w:vAlign w:val="center"/>
            <w:hideMark/>
          </w:tcPr>
          <w:p w14:paraId="11857AC5" w14:textId="77777777" w:rsidR="008430BD" w:rsidRPr="00F15667" w:rsidRDefault="008430BD" w:rsidP="00CF32FA">
            <w:pPr>
              <w:spacing w:line="240" w:lineRule="auto"/>
              <w:jc w:val="left"/>
            </w:pPr>
            <w:r w:rsidRPr="00F15667">
              <w:t>Šumperk</w:t>
            </w:r>
          </w:p>
        </w:tc>
        <w:tc>
          <w:tcPr>
            <w:tcW w:w="1060" w:type="dxa"/>
            <w:tcBorders>
              <w:top w:val="nil"/>
              <w:left w:val="nil"/>
              <w:bottom w:val="single" w:sz="4" w:space="0" w:color="auto"/>
              <w:right w:val="nil"/>
            </w:tcBorders>
            <w:shd w:val="clear" w:color="auto" w:fill="auto"/>
            <w:noWrap/>
            <w:vAlign w:val="center"/>
            <w:hideMark/>
          </w:tcPr>
          <w:p w14:paraId="48C38AF8" w14:textId="77777777" w:rsidR="008430BD" w:rsidRPr="00F15667" w:rsidRDefault="008430BD" w:rsidP="00CF32FA">
            <w:pPr>
              <w:spacing w:line="240" w:lineRule="auto"/>
              <w:jc w:val="center"/>
            </w:pPr>
            <w:r w:rsidRPr="00F15667">
              <w:t>SU</w:t>
            </w:r>
          </w:p>
        </w:tc>
      </w:tr>
      <w:tr w:rsidR="00F15667" w:rsidRPr="00F15667" w14:paraId="2D86CC2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AF26D9E" w14:textId="77777777" w:rsidR="008430BD" w:rsidRPr="00F15667" w:rsidRDefault="008430BD" w:rsidP="00CF32FA">
            <w:pPr>
              <w:spacing w:line="240" w:lineRule="auto"/>
              <w:jc w:val="left"/>
            </w:pPr>
            <w:r w:rsidRPr="00F15667">
              <w:t>Kutná Hora</w:t>
            </w:r>
          </w:p>
        </w:tc>
        <w:tc>
          <w:tcPr>
            <w:tcW w:w="1060" w:type="dxa"/>
            <w:tcBorders>
              <w:top w:val="nil"/>
              <w:left w:val="nil"/>
              <w:bottom w:val="single" w:sz="4" w:space="0" w:color="auto"/>
              <w:right w:val="single" w:sz="4" w:space="0" w:color="auto"/>
            </w:tcBorders>
            <w:shd w:val="clear" w:color="auto" w:fill="auto"/>
            <w:noWrap/>
            <w:vAlign w:val="center"/>
            <w:hideMark/>
          </w:tcPr>
          <w:p w14:paraId="21643A9D" w14:textId="77777777" w:rsidR="008430BD" w:rsidRPr="00F15667" w:rsidRDefault="008430BD" w:rsidP="00CF32FA">
            <w:pPr>
              <w:spacing w:line="240" w:lineRule="auto"/>
              <w:jc w:val="center"/>
            </w:pPr>
            <w:r w:rsidRPr="00F15667">
              <w:t>KH</w:t>
            </w:r>
          </w:p>
        </w:tc>
        <w:tc>
          <w:tcPr>
            <w:tcW w:w="2320" w:type="dxa"/>
            <w:tcBorders>
              <w:top w:val="nil"/>
              <w:left w:val="nil"/>
              <w:bottom w:val="single" w:sz="4" w:space="0" w:color="auto"/>
              <w:right w:val="nil"/>
            </w:tcBorders>
            <w:shd w:val="clear" w:color="auto" w:fill="auto"/>
            <w:noWrap/>
            <w:vAlign w:val="center"/>
            <w:hideMark/>
          </w:tcPr>
          <w:p w14:paraId="1D296850" w14:textId="77777777" w:rsidR="008430BD" w:rsidRPr="00F15667" w:rsidRDefault="008430BD" w:rsidP="00CF32FA">
            <w:pPr>
              <w:spacing w:line="240" w:lineRule="auto"/>
              <w:jc w:val="left"/>
            </w:pPr>
            <w:r w:rsidRPr="00F15667">
              <w:t>Tábor</w:t>
            </w:r>
          </w:p>
        </w:tc>
        <w:tc>
          <w:tcPr>
            <w:tcW w:w="1060" w:type="dxa"/>
            <w:tcBorders>
              <w:top w:val="nil"/>
              <w:left w:val="nil"/>
              <w:bottom w:val="single" w:sz="4" w:space="0" w:color="auto"/>
              <w:right w:val="nil"/>
            </w:tcBorders>
            <w:shd w:val="clear" w:color="auto" w:fill="auto"/>
            <w:noWrap/>
            <w:vAlign w:val="center"/>
            <w:hideMark/>
          </w:tcPr>
          <w:p w14:paraId="58937F48" w14:textId="77777777" w:rsidR="008430BD" w:rsidRPr="00F15667" w:rsidRDefault="008430BD" w:rsidP="00CF32FA">
            <w:pPr>
              <w:spacing w:line="240" w:lineRule="auto"/>
              <w:jc w:val="center"/>
            </w:pPr>
            <w:r w:rsidRPr="00F15667">
              <w:t>TA</w:t>
            </w:r>
          </w:p>
        </w:tc>
      </w:tr>
      <w:tr w:rsidR="00F15667" w:rsidRPr="00F15667" w14:paraId="01277BA1"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7534D63" w14:textId="77777777" w:rsidR="008430BD" w:rsidRPr="00F15667" w:rsidRDefault="008430BD" w:rsidP="00CF32FA">
            <w:pPr>
              <w:spacing w:line="240" w:lineRule="auto"/>
              <w:jc w:val="left"/>
            </w:pPr>
            <w:r w:rsidRPr="00F15667">
              <w:t>Liberec</w:t>
            </w:r>
          </w:p>
        </w:tc>
        <w:tc>
          <w:tcPr>
            <w:tcW w:w="1060" w:type="dxa"/>
            <w:tcBorders>
              <w:top w:val="nil"/>
              <w:left w:val="nil"/>
              <w:bottom w:val="single" w:sz="4" w:space="0" w:color="auto"/>
              <w:right w:val="single" w:sz="4" w:space="0" w:color="auto"/>
            </w:tcBorders>
            <w:shd w:val="clear" w:color="auto" w:fill="auto"/>
            <w:noWrap/>
            <w:vAlign w:val="center"/>
            <w:hideMark/>
          </w:tcPr>
          <w:p w14:paraId="41CC988B" w14:textId="77777777" w:rsidR="008430BD" w:rsidRPr="00F15667" w:rsidRDefault="008430BD" w:rsidP="00CF32FA">
            <w:pPr>
              <w:spacing w:line="240" w:lineRule="auto"/>
              <w:jc w:val="center"/>
            </w:pPr>
            <w:r w:rsidRPr="00F15667">
              <w:t>LB</w:t>
            </w:r>
          </w:p>
        </w:tc>
        <w:tc>
          <w:tcPr>
            <w:tcW w:w="2320" w:type="dxa"/>
            <w:tcBorders>
              <w:top w:val="nil"/>
              <w:left w:val="nil"/>
              <w:bottom w:val="single" w:sz="4" w:space="0" w:color="auto"/>
              <w:right w:val="nil"/>
            </w:tcBorders>
            <w:shd w:val="clear" w:color="auto" w:fill="auto"/>
            <w:noWrap/>
            <w:vAlign w:val="center"/>
            <w:hideMark/>
          </w:tcPr>
          <w:p w14:paraId="6104F492" w14:textId="77777777" w:rsidR="008430BD" w:rsidRPr="00F15667" w:rsidRDefault="008430BD" w:rsidP="00CF32FA">
            <w:pPr>
              <w:spacing w:line="240" w:lineRule="auto"/>
              <w:jc w:val="left"/>
            </w:pPr>
            <w:r w:rsidRPr="00F15667">
              <w:t>Tachov</w:t>
            </w:r>
          </w:p>
        </w:tc>
        <w:tc>
          <w:tcPr>
            <w:tcW w:w="1060" w:type="dxa"/>
            <w:tcBorders>
              <w:top w:val="nil"/>
              <w:left w:val="nil"/>
              <w:bottom w:val="single" w:sz="4" w:space="0" w:color="auto"/>
              <w:right w:val="nil"/>
            </w:tcBorders>
            <w:shd w:val="clear" w:color="auto" w:fill="auto"/>
            <w:noWrap/>
            <w:vAlign w:val="center"/>
            <w:hideMark/>
          </w:tcPr>
          <w:p w14:paraId="16276A58" w14:textId="77777777" w:rsidR="008430BD" w:rsidRPr="00F15667" w:rsidRDefault="008430BD" w:rsidP="00CF32FA">
            <w:pPr>
              <w:spacing w:line="240" w:lineRule="auto"/>
              <w:jc w:val="center"/>
            </w:pPr>
            <w:r w:rsidRPr="00F15667">
              <w:t>TC</w:t>
            </w:r>
          </w:p>
        </w:tc>
      </w:tr>
      <w:tr w:rsidR="00F15667" w:rsidRPr="00F15667" w14:paraId="61233D1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2BE71CE" w14:textId="77777777" w:rsidR="008430BD" w:rsidRPr="00F15667" w:rsidRDefault="008430BD" w:rsidP="00CF32FA">
            <w:pPr>
              <w:spacing w:line="240" w:lineRule="auto"/>
              <w:jc w:val="left"/>
            </w:pPr>
            <w:r w:rsidRPr="00F15667">
              <w:t>Litoměřice</w:t>
            </w:r>
          </w:p>
        </w:tc>
        <w:tc>
          <w:tcPr>
            <w:tcW w:w="1060" w:type="dxa"/>
            <w:tcBorders>
              <w:top w:val="nil"/>
              <w:left w:val="nil"/>
              <w:bottom w:val="single" w:sz="4" w:space="0" w:color="auto"/>
              <w:right w:val="single" w:sz="4" w:space="0" w:color="auto"/>
            </w:tcBorders>
            <w:shd w:val="clear" w:color="auto" w:fill="auto"/>
            <w:noWrap/>
            <w:vAlign w:val="center"/>
            <w:hideMark/>
          </w:tcPr>
          <w:p w14:paraId="3F20CD05" w14:textId="77777777" w:rsidR="008430BD" w:rsidRPr="00F15667" w:rsidRDefault="008430BD" w:rsidP="00CF32FA">
            <w:pPr>
              <w:spacing w:line="240" w:lineRule="auto"/>
              <w:jc w:val="center"/>
            </w:pPr>
            <w:r w:rsidRPr="00F15667">
              <w:t>LT</w:t>
            </w:r>
          </w:p>
        </w:tc>
        <w:tc>
          <w:tcPr>
            <w:tcW w:w="2320" w:type="dxa"/>
            <w:tcBorders>
              <w:top w:val="nil"/>
              <w:left w:val="nil"/>
              <w:bottom w:val="single" w:sz="4" w:space="0" w:color="auto"/>
              <w:right w:val="nil"/>
            </w:tcBorders>
            <w:shd w:val="clear" w:color="auto" w:fill="auto"/>
            <w:noWrap/>
            <w:vAlign w:val="center"/>
            <w:hideMark/>
          </w:tcPr>
          <w:p w14:paraId="68660E4F" w14:textId="77777777" w:rsidR="008430BD" w:rsidRPr="00F15667" w:rsidRDefault="008430BD" w:rsidP="00CF32FA">
            <w:pPr>
              <w:spacing w:line="240" w:lineRule="auto"/>
              <w:jc w:val="left"/>
            </w:pPr>
            <w:r w:rsidRPr="00F15667">
              <w:t>Teplice</w:t>
            </w:r>
          </w:p>
        </w:tc>
        <w:tc>
          <w:tcPr>
            <w:tcW w:w="1060" w:type="dxa"/>
            <w:tcBorders>
              <w:top w:val="nil"/>
              <w:left w:val="nil"/>
              <w:bottom w:val="single" w:sz="4" w:space="0" w:color="auto"/>
              <w:right w:val="nil"/>
            </w:tcBorders>
            <w:shd w:val="clear" w:color="auto" w:fill="auto"/>
            <w:noWrap/>
            <w:vAlign w:val="center"/>
            <w:hideMark/>
          </w:tcPr>
          <w:p w14:paraId="2E3FD035" w14:textId="77777777" w:rsidR="008430BD" w:rsidRPr="00F15667" w:rsidRDefault="008430BD" w:rsidP="00CF32FA">
            <w:pPr>
              <w:spacing w:line="240" w:lineRule="auto"/>
              <w:jc w:val="center"/>
            </w:pPr>
            <w:r w:rsidRPr="00F15667">
              <w:t>TP</w:t>
            </w:r>
          </w:p>
        </w:tc>
      </w:tr>
      <w:tr w:rsidR="00F15667" w:rsidRPr="00F15667" w14:paraId="24845FA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FECAD20" w14:textId="77777777" w:rsidR="008430BD" w:rsidRPr="00F15667" w:rsidRDefault="008430BD" w:rsidP="00CF32FA">
            <w:pPr>
              <w:spacing w:line="240" w:lineRule="auto"/>
              <w:jc w:val="left"/>
            </w:pPr>
            <w:r w:rsidRPr="00F15667">
              <w:t>Louny</w:t>
            </w:r>
          </w:p>
        </w:tc>
        <w:tc>
          <w:tcPr>
            <w:tcW w:w="1060" w:type="dxa"/>
            <w:tcBorders>
              <w:top w:val="nil"/>
              <w:left w:val="nil"/>
              <w:bottom w:val="single" w:sz="4" w:space="0" w:color="auto"/>
              <w:right w:val="single" w:sz="4" w:space="0" w:color="auto"/>
            </w:tcBorders>
            <w:shd w:val="clear" w:color="auto" w:fill="auto"/>
            <w:noWrap/>
            <w:vAlign w:val="center"/>
            <w:hideMark/>
          </w:tcPr>
          <w:p w14:paraId="55BA5674" w14:textId="77777777" w:rsidR="008430BD" w:rsidRPr="00F15667" w:rsidRDefault="008430BD" w:rsidP="00CF32FA">
            <w:pPr>
              <w:spacing w:line="240" w:lineRule="auto"/>
              <w:jc w:val="center"/>
            </w:pPr>
            <w:r w:rsidRPr="00F15667">
              <w:t>LN</w:t>
            </w:r>
          </w:p>
        </w:tc>
        <w:tc>
          <w:tcPr>
            <w:tcW w:w="2320" w:type="dxa"/>
            <w:tcBorders>
              <w:top w:val="nil"/>
              <w:left w:val="nil"/>
              <w:bottom w:val="single" w:sz="4" w:space="0" w:color="auto"/>
              <w:right w:val="nil"/>
            </w:tcBorders>
            <w:shd w:val="clear" w:color="auto" w:fill="auto"/>
            <w:noWrap/>
            <w:vAlign w:val="center"/>
            <w:hideMark/>
          </w:tcPr>
          <w:p w14:paraId="689371F6" w14:textId="77777777" w:rsidR="008430BD" w:rsidRPr="00F15667" w:rsidRDefault="008430BD" w:rsidP="00CF32FA">
            <w:pPr>
              <w:spacing w:line="240" w:lineRule="auto"/>
              <w:jc w:val="left"/>
            </w:pPr>
            <w:r w:rsidRPr="00F15667">
              <w:t>Trutnov</w:t>
            </w:r>
          </w:p>
        </w:tc>
        <w:tc>
          <w:tcPr>
            <w:tcW w:w="1060" w:type="dxa"/>
            <w:tcBorders>
              <w:top w:val="nil"/>
              <w:left w:val="nil"/>
              <w:bottom w:val="single" w:sz="4" w:space="0" w:color="auto"/>
              <w:right w:val="nil"/>
            </w:tcBorders>
            <w:shd w:val="clear" w:color="auto" w:fill="auto"/>
            <w:noWrap/>
            <w:vAlign w:val="center"/>
            <w:hideMark/>
          </w:tcPr>
          <w:p w14:paraId="7B87D1B1" w14:textId="77777777" w:rsidR="008430BD" w:rsidRPr="00F15667" w:rsidRDefault="008430BD" w:rsidP="00CF32FA">
            <w:pPr>
              <w:spacing w:line="240" w:lineRule="auto"/>
              <w:jc w:val="center"/>
            </w:pPr>
            <w:r w:rsidRPr="00F15667">
              <w:t>TU</w:t>
            </w:r>
          </w:p>
        </w:tc>
      </w:tr>
      <w:tr w:rsidR="00F15667" w:rsidRPr="00F15667" w14:paraId="4EE20BF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5562FF6" w14:textId="77777777" w:rsidR="008430BD" w:rsidRPr="00F15667" w:rsidRDefault="008430BD" w:rsidP="00CF32FA">
            <w:pPr>
              <w:spacing w:line="240" w:lineRule="auto"/>
              <w:jc w:val="left"/>
            </w:pPr>
            <w:r w:rsidRPr="00F15667">
              <w:t>Mělník</w:t>
            </w:r>
          </w:p>
        </w:tc>
        <w:tc>
          <w:tcPr>
            <w:tcW w:w="1060" w:type="dxa"/>
            <w:tcBorders>
              <w:top w:val="nil"/>
              <w:left w:val="nil"/>
              <w:bottom w:val="single" w:sz="4" w:space="0" w:color="auto"/>
              <w:right w:val="single" w:sz="4" w:space="0" w:color="auto"/>
            </w:tcBorders>
            <w:shd w:val="clear" w:color="auto" w:fill="auto"/>
            <w:noWrap/>
            <w:vAlign w:val="center"/>
            <w:hideMark/>
          </w:tcPr>
          <w:p w14:paraId="567A9CE0" w14:textId="77777777" w:rsidR="008430BD" w:rsidRPr="00F15667" w:rsidRDefault="008430BD" w:rsidP="00CF32FA">
            <w:pPr>
              <w:spacing w:line="240" w:lineRule="auto"/>
              <w:jc w:val="center"/>
            </w:pPr>
            <w:r w:rsidRPr="00F15667">
              <w:t>ME</w:t>
            </w:r>
          </w:p>
        </w:tc>
        <w:tc>
          <w:tcPr>
            <w:tcW w:w="2320" w:type="dxa"/>
            <w:tcBorders>
              <w:top w:val="nil"/>
              <w:left w:val="nil"/>
              <w:bottom w:val="single" w:sz="4" w:space="0" w:color="auto"/>
              <w:right w:val="nil"/>
            </w:tcBorders>
            <w:shd w:val="clear" w:color="auto" w:fill="auto"/>
            <w:noWrap/>
            <w:vAlign w:val="center"/>
            <w:hideMark/>
          </w:tcPr>
          <w:p w14:paraId="38E1132B" w14:textId="77777777" w:rsidR="008430BD" w:rsidRPr="00F15667" w:rsidRDefault="008430BD" w:rsidP="00CF32FA">
            <w:pPr>
              <w:spacing w:line="240" w:lineRule="auto"/>
              <w:jc w:val="left"/>
            </w:pPr>
            <w:r w:rsidRPr="00F15667">
              <w:t>Třebíč</w:t>
            </w:r>
          </w:p>
        </w:tc>
        <w:tc>
          <w:tcPr>
            <w:tcW w:w="1060" w:type="dxa"/>
            <w:tcBorders>
              <w:top w:val="nil"/>
              <w:left w:val="nil"/>
              <w:bottom w:val="single" w:sz="4" w:space="0" w:color="auto"/>
              <w:right w:val="nil"/>
            </w:tcBorders>
            <w:shd w:val="clear" w:color="auto" w:fill="auto"/>
            <w:noWrap/>
            <w:vAlign w:val="center"/>
            <w:hideMark/>
          </w:tcPr>
          <w:p w14:paraId="2DA931A3" w14:textId="77777777" w:rsidR="008430BD" w:rsidRPr="00F15667" w:rsidRDefault="008430BD" w:rsidP="00CF32FA">
            <w:pPr>
              <w:spacing w:line="240" w:lineRule="auto"/>
              <w:jc w:val="center"/>
            </w:pPr>
            <w:r w:rsidRPr="00F15667">
              <w:t>TR</w:t>
            </w:r>
          </w:p>
        </w:tc>
      </w:tr>
      <w:tr w:rsidR="00F15667" w:rsidRPr="00F15667" w14:paraId="0FC2941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0F1BCB9" w14:textId="77777777" w:rsidR="008430BD" w:rsidRPr="00F15667" w:rsidRDefault="008430BD" w:rsidP="00CF32FA">
            <w:pPr>
              <w:spacing w:line="240" w:lineRule="auto"/>
              <w:jc w:val="left"/>
            </w:pPr>
            <w:r w:rsidRPr="00F15667">
              <w:t>Mladá Boleslav</w:t>
            </w:r>
          </w:p>
        </w:tc>
        <w:tc>
          <w:tcPr>
            <w:tcW w:w="1060" w:type="dxa"/>
            <w:tcBorders>
              <w:top w:val="nil"/>
              <w:left w:val="nil"/>
              <w:bottom w:val="single" w:sz="4" w:space="0" w:color="auto"/>
              <w:right w:val="single" w:sz="4" w:space="0" w:color="auto"/>
            </w:tcBorders>
            <w:shd w:val="clear" w:color="auto" w:fill="auto"/>
            <w:noWrap/>
            <w:vAlign w:val="center"/>
            <w:hideMark/>
          </w:tcPr>
          <w:p w14:paraId="64E1F5AC" w14:textId="77777777" w:rsidR="008430BD" w:rsidRPr="00F15667" w:rsidRDefault="008430BD" w:rsidP="00CF32FA">
            <w:pPr>
              <w:spacing w:line="240" w:lineRule="auto"/>
              <w:jc w:val="center"/>
            </w:pPr>
            <w:r w:rsidRPr="00F15667">
              <w:t>MB</w:t>
            </w:r>
          </w:p>
        </w:tc>
        <w:tc>
          <w:tcPr>
            <w:tcW w:w="2320" w:type="dxa"/>
            <w:tcBorders>
              <w:top w:val="nil"/>
              <w:left w:val="nil"/>
              <w:bottom w:val="single" w:sz="4" w:space="0" w:color="auto"/>
              <w:right w:val="nil"/>
            </w:tcBorders>
            <w:shd w:val="clear" w:color="auto" w:fill="auto"/>
            <w:noWrap/>
            <w:vAlign w:val="center"/>
            <w:hideMark/>
          </w:tcPr>
          <w:p w14:paraId="4B9AB9F9" w14:textId="77777777" w:rsidR="008430BD" w:rsidRPr="00F15667" w:rsidRDefault="008430BD" w:rsidP="00CF32FA">
            <w:pPr>
              <w:spacing w:line="240" w:lineRule="auto"/>
              <w:jc w:val="left"/>
            </w:pPr>
            <w:r w:rsidRPr="00F15667">
              <w:t>Uherské Hradiště</w:t>
            </w:r>
          </w:p>
        </w:tc>
        <w:tc>
          <w:tcPr>
            <w:tcW w:w="1060" w:type="dxa"/>
            <w:tcBorders>
              <w:top w:val="nil"/>
              <w:left w:val="nil"/>
              <w:bottom w:val="single" w:sz="4" w:space="0" w:color="auto"/>
              <w:right w:val="nil"/>
            </w:tcBorders>
            <w:shd w:val="clear" w:color="auto" w:fill="auto"/>
            <w:noWrap/>
            <w:vAlign w:val="center"/>
            <w:hideMark/>
          </w:tcPr>
          <w:p w14:paraId="09DD7448" w14:textId="77777777" w:rsidR="008430BD" w:rsidRPr="00F15667" w:rsidRDefault="008430BD" w:rsidP="00CF32FA">
            <w:pPr>
              <w:spacing w:line="240" w:lineRule="auto"/>
              <w:jc w:val="center"/>
            </w:pPr>
            <w:r w:rsidRPr="00F15667">
              <w:t>UH</w:t>
            </w:r>
          </w:p>
        </w:tc>
      </w:tr>
      <w:tr w:rsidR="00F15667" w:rsidRPr="00F15667" w14:paraId="310D41E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6B74CEF" w14:textId="77777777" w:rsidR="008430BD" w:rsidRPr="00F15667" w:rsidRDefault="008430BD" w:rsidP="00CF32FA">
            <w:pPr>
              <w:spacing w:line="240" w:lineRule="auto"/>
              <w:jc w:val="left"/>
            </w:pPr>
            <w:r w:rsidRPr="00F15667">
              <w:t>Most</w:t>
            </w:r>
          </w:p>
        </w:tc>
        <w:tc>
          <w:tcPr>
            <w:tcW w:w="1060" w:type="dxa"/>
            <w:tcBorders>
              <w:top w:val="nil"/>
              <w:left w:val="nil"/>
              <w:bottom w:val="single" w:sz="4" w:space="0" w:color="auto"/>
              <w:right w:val="single" w:sz="4" w:space="0" w:color="auto"/>
            </w:tcBorders>
            <w:shd w:val="clear" w:color="auto" w:fill="auto"/>
            <w:noWrap/>
            <w:vAlign w:val="center"/>
            <w:hideMark/>
          </w:tcPr>
          <w:p w14:paraId="310F30DC" w14:textId="77777777" w:rsidR="008430BD" w:rsidRPr="00F15667" w:rsidRDefault="008430BD" w:rsidP="00CF32FA">
            <w:pPr>
              <w:spacing w:line="240" w:lineRule="auto"/>
              <w:jc w:val="center"/>
            </w:pPr>
            <w:r w:rsidRPr="00F15667">
              <w:t>MO</w:t>
            </w:r>
          </w:p>
        </w:tc>
        <w:tc>
          <w:tcPr>
            <w:tcW w:w="2320" w:type="dxa"/>
            <w:tcBorders>
              <w:top w:val="nil"/>
              <w:left w:val="nil"/>
              <w:bottom w:val="single" w:sz="4" w:space="0" w:color="auto"/>
              <w:right w:val="nil"/>
            </w:tcBorders>
            <w:shd w:val="clear" w:color="auto" w:fill="auto"/>
            <w:noWrap/>
            <w:vAlign w:val="center"/>
            <w:hideMark/>
          </w:tcPr>
          <w:p w14:paraId="2ED23F11" w14:textId="77777777" w:rsidR="008430BD" w:rsidRPr="00F15667" w:rsidRDefault="008430BD" w:rsidP="00CF32FA">
            <w:pPr>
              <w:spacing w:line="240" w:lineRule="auto"/>
              <w:jc w:val="left"/>
            </w:pPr>
            <w:r w:rsidRPr="00F15667">
              <w:t>Ústí nad Labem</w:t>
            </w:r>
          </w:p>
        </w:tc>
        <w:tc>
          <w:tcPr>
            <w:tcW w:w="1060" w:type="dxa"/>
            <w:tcBorders>
              <w:top w:val="nil"/>
              <w:left w:val="nil"/>
              <w:bottom w:val="single" w:sz="4" w:space="0" w:color="auto"/>
              <w:right w:val="nil"/>
            </w:tcBorders>
            <w:shd w:val="clear" w:color="auto" w:fill="auto"/>
            <w:noWrap/>
            <w:vAlign w:val="center"/>
            <w:hideMark/>
          </w:tcPr>
          <w:p w14:paraId="52CA2C2B" w14:textId="77777777" w:rsidR="008430BD" w:rsidRPr="00F15667" w:rsidRDefault="008430BD" w:rsidP="00CF32FA">
            <w:pPr>
              <w:spacing w:line="240" w:lineRule="auto"/>
              <w:jc w:val="center"/>
            </w:pPr>
            <w:r w:rsidRPr="00F15667">
              <w:t>UL</w:t>
            </w:r>
          </w:p>
        </w:tc>
      </w:tr>
      <w:tr w:rsidR="00F15667" w:rsidRPr="00F15667" w14:paraId="21C66E2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4A6951B" w14:textId="77777777" w:rsidR="008430BD" w:rsidRPr="00F15667" w:rsidRDefault="008430BD" w:rsidP="00CF32FA">
            <w:pPr>
              <w:spacing w:line="240" w:lineRule="auto"/>
              <w:jc w:val="left"/>
            </w:pPr>
            <w:r w:rsidRPr="00F15667">
              <w:t>Náchod</w:t>
            </w:r>
          </w:p>
        </w:tc>
        <w:tc>
          <w:tcPr>
            <w:tcW w:w="1060" w:type="dxa"/>
            <w:tcBorders>
              <w:top w:val="nil"/>
              <w:left w:val="nil"/>
              <w:bottom w:val="single" w:sz="4" w:space="0" w:color="auto"/>
              <w:right w:val="single" w:sz="4" w:space="0" w:color="auto"/>
            </w:tcBorders>
            <w:shd w:val="clear" w:color="auto" w:fill="auto"/>
            <w:noWrap/>
            <w:vAlign w:val="center"/>
            <w:hideMark/>
          </w:tcPr>
          <w:p w14:paraId="65B32A9C" w14:textId="77777777" w:rsidR="008430BD" w:rsidRPr="00F15667" w:rsidRDefault="008430BD" w:rsidP="00CF32FA">
            <w:pPr>
              <w:spacing w:line="240" w:lineRule="auto"/>
              <w:jc w:val="center"/>
            </w:pPr>
            <w:r w:rsidRPr="00F15667">
              <w:t>NA</w:t>
            </w:r>
          </w:p>
        </w:tc>
        <w:tc>
          <w:tcPr>
            <w:tcW w:w="2320" w:type="dxa"/>
            <w:tcBorders>
              <w:top w:val="nil"/>
              <w:left w:val="nil"/>
              <w:bottom w:val="single" w:sz="4" w:space="0" w:color="auto"/>
              <w:right w:val="nil"/>
            </w:tcBorders>
            <w:shd w:val="clear" w:color="auto" w:fill="auto"/>
            <w:noWrap/>
            <w:vAlign w:val="center"/>
            <w:hideMark/>
          </w:tcPr>
          <w:p w14:paraId="2576A1E7" w14:textId="77777777" w:rsidR="008430BD" w:rsidRPr="00F15667" w:rsidRDefault="008430BD" w:rsidP="00CF32FA">
            <w:pPr>
              <w:spacing w:line="240" w:lineRule="auto"/>
              <w:jc w:val="left"/>
            </w:pPr>
            <w:r w:rsidRPr="00F15667">
              <w:t>Ústí nad Orlicí</w:t>
            </w:r>
          </w:p>
        </w:tc>
        <w:tc>
          <w:tcPr>
            <w:tcW w:w="1060" w:type="dxa"/>
            <w:tcBorders>
              <w:top w:val="nil"/>
              <w:left w:val="nil"/>
              <w:bottom w:val="single" w:sz="4" w:space="0" w:color="auto"/>
              <w:right w:val="nil"/>
            </w:tcBorders>
            <w:shd w:val="clear" w:color="auto" w:fill="auto"/>
            <w:noWrap/>
            <w:vAlign w:val="center"/>
            <w:hideMark/>
          </w:tcPr>
          <w:p w14:paraId="532DDEBA" w14:textId="77777777" w:rsidR="008430BD" w:rsidRPr="00F15667" w:rsidRDefault="008430BD" w:rsidP="00CF32FA">
            <w:pPr>
              <w:spacing w:line="240" w:lineRule="auto"/>
              <w:jc w:val="center"/>
            </w:pPr>
            <w:r w:rsidRPr="00F15667">
              <w:t>UO</w:t>
            </w:r>
          </w:p>
        </w:tc>
      </w:tr>
      <w:tr w:rsidR="00F15667" w:rsidRPr="00F15667" w14:paraId="0922E1C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47D5757" w14:textId="77777777" w:rsidR="008430BD" w:rsidRPr="00F15667" w:rsidRDefault="008430BD" w:rsidP="00CF32FA">
            <w:pPr>
              <w:spacing w:line="240" w:lineRule="auto"/>
              <w:jc w:val="left"/>
            </w:pPr>
            <w:r w:rsidRPr="00F15667">
              <w:t>Nový Jičín</w:t>
            </w:r>
          </w:p>
        </w:tc>
        <w:tc>
          <w:tcPr>
            <w:tcW w:w="1060" w:type="dxa"/>
            <w:tcBorders>
              <w:top w:val="nil"/>
              <w:left w:val="nil"/>
              <w:bottom w:val="single" w:sz="4" w:space="0" w:color="auto"/>
              <w:right w:val="single" w:sz="4" w:space="0" w:color="auto"/>
            </w:tcBorders>
            <w:shd w:val="clear" w:color="auto" w:fill="auto"/>
            <w:noWrap/>
            <w:vAlign w:val="center"/>
            <w:hideMark/>
          </w:tcPr>
          <w:p w14:paraId="678C77C6" w14:textId="77777777" w:rsidR="008430BD" w:rsidRPr="00F15667" w:rsidRDefault="008430BD" w:rsidP="00CF32FA">
            <w:pPr>
              <w:spacing w:line="240" w:lineRule="auto"/>
              <w:jc w:val="center"/>
            </w:pPr>
            <w:r w:rsidRPr="00F15667">
              <w:t>NJ</w:t>
            </w:r>
          </w:p>
        </w:tc>
        <w:tc>
          <w:tcPr>
            <w:tcW w:w="2320" w:type="dxa"/>
            <w:tcBorders>
              <w:top w:val="nil"/>
              <w:left w:val="nil"/>
              <w:bottom w:val="single" w:sz="4" w:space="0" w:color="auto"/>
              <w:right w:val="nil"/>
            </w:tcBorders>
            <w:shd w:val="clear" w:color="auto" w:fill="auto"/>
            <w:noWrap/>
            <w:vAlign w:val="center"/>
            <w:hideMark/>
          </w:tcPr>
          <w:p w14:paraId="12DBD899" w14:textId="77777777" w:rsidR="008430BD" w:rsidRPr="00F15667" w:rsidRDefault="008430BD" w:rsidP="00CF32FA">
            <w:pPr>
              <w:spacing w:line="240" w:lineRule="auto"/>
              <w:jc w:val="left"/>
            </w:pPr>
            <w:r w:rsidRPr="00F15667">
              <w:t>Vsetín</w:t>
            </w:r>
          </w:p>
        </w:tc>
        <w:tc>
          <w:tcPr>
            <w:tcW w:w="1060" w:type="dxa"/>
            <w:tcBorders>
              <w:top w:val="nil"/>
              <w:left w:val="nil"/>
              <w:bottom w:val="single" w:sz="4" w:space="0" w:color="auto"/>
              <w:right w:val="nil"/>
            </w:tcBorders>
            <w:shd w:val="clear" w:color="auto" w:fill="auto"/>
            <w:noWrap/>
            <w:vAlign w:val="center"/>
            <w:hideMark/>
          </w:tcPr>
          <w:p w14:paraId="17112E1E" w14:textId="77777777" w:rsidR="008430BD" w:rsidRPr="00F15667" w:rsidRDefault="008430BD" w:rsidP="00CF32FA">
            <w:pPr>
              <w:spacing w:line="240" w:lineRule="auto"/>
              <w:jc w:val="center"/>
            </w:pPr>
            <w:r w:rsidRPr="00F15667">
              <w:t>VS</w:t>
            </w:r>
          </w:p>
        </w:tc>
      </w:tr>
      <w:tr w:rsidR="00F15667" w:rsidRPr="00F15667" w14:paraId="636C961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A3C87EE" w14:textId="77777777" w:rsidR="008430BD" w:rsidRPr="00F15667" w:rsidRDefault="008430BD" w:rsidP="00CF32FA">
            <w:pPr>
              <w:spacing w:line="240" w:lineRule="auto"/>
              <w:jc w:val="left"/>
            </w:pPr>
            <w:r w:rsidRPr="00F15667">
              <w:t>Nymburk</w:t>
            </w:r>
          </w:p>
        </w:tc>
        <w:tc>
          <w:tcPr>
            <w:tcW w:w="1060" w:type="dxa"/>
            <w:tcBorders>
              <w:top w:val="nil"/>
              <w:left w:val="nil"/>
              <w:bottom w:val="single" w:sz="4" w:space="0" w:color="auto"/>
              <w:right w:val="single" w:sz="4" w:space="0" w:color="auto"/>
            </w:tcBorders>
            <w:shd w:val="clear" w:color="auto" w:fill="auto"/>
            <w:noWrap/>
            <w:vAlign w:val="center"/>
            <w:hideMark/>
          </w:tcPr>
          <w:p w14:paraId="1F3779DF" w14:textId="77777777" w:rsidR="008430BD" w:rsidRPr="00F15667" w:rsidRDefault="008430BD" w:rsidP="00CF32FA">
            <w:pPr>
              <w:spacing w:line="240" w:lineRule="auto"/>
              <w:jc w:val="center"/>
            </w:pPr>
            <w:r w:rsidRPr="00F15667">
              <w:t>NB</w:t>
            </w:r>
          </w:p>
        </w:tc>
        <w:tc>
          <w:tcPr>
            <w:tcW w:w="2320" w:type="dxa"/>
            <w:tcBorders>
              <w:top w:val="nil"/>
              <w:left w:val="nil"/>
              <w:bottom w:val="single" w:sz="4" w:space="0" w:color="auto"/>
              <w:right w:val="nil"/>
            </w:tcBorders>
            <w:shd w:val="clear" w:color="auto" w:fill="auto"/>
            <w:noWrap/>
            <w:vAlign w:val="center"/>
            <w:hideMark/>
          </w:tcPr>
          <w:p w14:paraId="2E4B33A2" w14:textId="77777777" w:rsidR="008430BD" w:rsidRPr="00F15667" w:rsidRDefault="008430BD" w:rsidP="00CF32FA">
            <w:pPr>
              <w:spacing w:line="240" w:lineRule="auto"/>
              <w:jc w:val="left"/>
            </w:pPr>
            <w:r w:rsidRPr="00F15667">
              <w:t>Vyškov</w:t>
            </w:r>
          </w:p>
        </w:tc>
        <w:tc>
          <w:tcPr>
            <w:tcW w:w="1060" w:type="dxa"/>
            <w:tcBorders>
              <w:top w:val="nil"/>
              <w:left w:val="nil"/>
              <w:bottom w:val="single" w:sz="4" w:space="0" w:color="auto"/>
              <w:right w:val="nil"/>
            </w:tcBorders>
            <w:shd w:val="clear" w:color="auto" w:fill="auto"/>
            <w:noWrap/>
            <w:vAlign w:val="center"/>
            <w:hideMark/>
          </w:tcPr>
          <w:p w14:paraId="16089C9B" w14:textId="77777777" w:rsidR="008430BD" w:rsidRPr="00F15667" w:rsidRDefault="008430BD" w:rsidP="00CF32FA">
            <w:pPr>
              <w:spacing w:line="240" w:lineRule="auto"/>
              <w:jc w:val="center"/>
            </w:pPr>
            <w:r w:rsidRPr="00F15667">
              <w:t>VY</w:t>
            </w:r>
          </w:p>
        </w:tc>
      </w:tr>
      <w:tr w:rsidR="00F15667" w:rsidRPr="00F15667" w14:paraId="5DE121A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7C7AC07" w14:textId="77777777" w:rsidR="008430BD" w:rsidRPr="00F15667" w:rsidRDefault="008430BD" w:rsidP="00CF32FA">
            <w:pPr>
              <w:spacing w:line="240" w:lineRule="auto"/>
              <w:jc w:val="left"/>
            </w:pPr>
            <w:r w:rsidRPr="00F15667">
              <w:t>Olomouc</w:t>
            </w:r>
          </w:p>
        </w:tc>
        <w:tc>
          <w:tcPr>
            <w:tcW w:w="1060" w:type="dxa"/>
            <w:tcBorders>
              <w:top w:val="nil"/>
              <w:left w:val="nil"/>
              <w:bottom w:val="single" w:sz="4" w:space="0" w:color="auto"/>
              <w:right w:val="single" w:sz="4" w:space="0" w:color="auto"/>
            </w:tcBorders>
            <w:shd w:val="clear" w:color="auto" w:fill="auto"/>
            <w:noWrap/>
            <w:vAlign w:val="center"/>
            <w:hideMark/>
          </w:tcPr>
          <w:p w14:paraId="221F6C0D" w14:textId="77777777" w:rsidR="008430BD" w:rsidRPr="00F15667" w:rsidRDefault="008430BD" w:rsidP="00CF32FA">
            <w:pPr>
              <w:spacing w:line="240" w:lineRule="auto"/>
              <w:jc w:val="center"/>
            </w:pPr>
            <w:r w:rsidRPr="00F15667">
              <w:t>OC</w:t>
            </w:r>
          </w:p>
        </w:tc>
        <w:tc>
          <w:tcPr>
            <w:tcW w:w="2320" w:type="dxa"/>
            <w:tcBorders>
              <w:top w:val="nil"/>
              <w:left w:val="nil"/>
              <w:bottom w:val="single" w:sz="4" w:space="0" w:color="auto"/>
              <w:right w:val="nil"/>
            </w:tcBorders>
            <w:shd w:val="clear" w:color="auto" w:fill="auto"/>
            <w:noWrap/>
            <w:vAlign w:val="center"/>
            <w:hideMark/>
          </w:tcPr>
          <w:p w14:paraId="2A80EA98" w14:textId="77777777" w:rsidR="008430BD" w:rsidRPr="00F15667" w:rsidRDefault="008430BD" w:rsidP="00CF32FA">
            <w:pPr>
              <w:spacing w:line="240" w:lineRule="auto"/>
              <w:jc w:val="left"/>
            </w:pPr>
            <w:r w:rsidRPr="00F15667">
              <w:t>Zlín</w:t>
            </w:r>
          </w:p>
        </w:tc>
        <w:tc>
          <w:tcPr>
            <w:tcW w:w="1060" w:type="dxa"/>
            <w:tcBorders>
              <w:top w:val="nil"/>
              <w:left w:val="nil"/>
              <w:bottom w:val="single" w:sz="4" w:space="0" w:color="auto"/>
              <w:right w:val="nil"/>
            </w:tcBorders>
            <w:shd w:val="clear" w:color="auto" w:fill="auto"/>
            <w:noWrap/>
            <w:vAlign w:val="center"/>
            <w:hideMark/>
          </w:tcPr>
          <w:p w14:paraId="2EB481B7" w14:textId="77777777" w:rsidR="008430BD" w:rsidRPr="00F15667" w:rsidRDefault="008430BD" w:rsidP="00CF32FA">
            <w:pPr>
              <w:spacing w:line="240" w:lineRule="auto"/>
              <w:jc w:val="center"/>
            </w:pPr>
            <w:r w:rsidRPr="00F15667">
              <w:t>ZL</w:t>
            </w:r>
          </w:p>
        </w:tc>
      </w:tr>
      <w:tr w:rsidR="00F15667" w:rsidRPr="00F15667" w14:paraId="37AC1FFA"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0D5954F" w14:textId="77777777" w:rsidR="008430BD" w:rsidRPr="00F15667" w:rsidRDefault="008430BD" w:rsidP="00CF32FA">
            <w:pPr>
              <w:spacing w:line="240" w:lineRule="auto"/>
              <w:jc w:val="left"/>
            </w:pPr>
            <w:r w:rsidRPr="00F15667">
              <w:t>Opava</w:t>
            </w:r>
          </w:p>
        </w:tc>
        <w:tc>
          <w:tcPr>
            <w:tcW w:w="1060" w:type="dxa"/>
            <w:tcBorders>
              <w:top w:val="nil"/>
              <w:left w:val="nil"/>
              <w:bottom w:val="single" w:sz="4" w:space="0" w:color="auto"/>
              <w:right w:val="single" w:sz="4" w:space="0" w:color="auto"/>
            </w:tcBorders>
            <w:shd w:val="clear" w:color="auto" w:fill="auto"/>
            <w:noWrap/>
            <w:vAlign w:val="center"/>
            <w:hideMark/>
          </w:tcPr>
          <w:p w14:paraId="3CCDB8AA" w14:textId="77777777" w:rsidR="008430BD" w:rsidRPr="00F15667" w:rsidRDefault="008430BD" w:rsidP="00CF32FA">
            <w:pPr>
              <w:spacing w:line="240" w:lineRule="auto"/>
              <w:jc w:val="center"/>
            </w:pPr>
            <w:r w:rsidRPr="00F15667">
              <w:t>OP</w:t>
            </w:r>
          </w:p>
        </w:tc>
        <w:tc>
          <w:tcPr>
            <w:tcW w:w="2320" w:type="dxa"/>
            <w:tcBorders>
              <w:top w:val="nil"/>
              <w:left w:val="nil"/>
              <w:bottom w:val="single" w:sz="4" w:space="0" w:color="auto"/>
              <w:right w:val="nil"/>
            </w:tcBorders>
            <w:shd w:val="clear" w:color="auto" w:fill="auto"/>
            <w:noWrap/>
            <w:vAlign w:val="center"/>
            <w:hideMark/>
          </w:tcPr>
          <w:p w14:paraId="3B3217BE" w14:textId="77777777" w:rsidR="008430BD" w:rsidRPr="00F15667" w:rsidRDefault="008430BD" w:rsidP="00CF32FA">
            <w:pPr>
              <w:spacing w:line="240" w:lineRule="auto"/>
              <w:jc w:val="left"/>
            </w:pPr>
            <w:r w:rsidRPr="00F15667">
              <w:t>Znojmo</w:t>
            </w:r>
          </w:p>
        </w:tc>
        <w:tc>
          <w:tcPr>
            <w:tcW w:w="1060" w:type="dxa"/>
            <w:tcBorders>
              <w:top w:val="nil"/>
              <w:left w:val="nil"/>
              <w:bottom w:val="single" w:sz="4" w:space="0" w:color="auto"/>
              <w:right w:val="nil"/>
            </w:tcBorders>
            <w:shd w:val="clear" w:color="auto" w:fill="auto"/>
            <w:noWrap/>
            <w:vAlign w:val="center"/>
            <w:hideMark/>
          </w:tcPr>
          <w:p w14:paraId="0BC5A087" w14:textId="77777777" w:rsidR="008430BD" w:rsidRPr="00F15667" w:rsidRDefault="008430BD" w:rsidP="00CF32FA">
            <w:pPr>
              <w:spacing w:line="240" w:lineRule="auto"/>
              <w:jc w:val="center"/>
            </w:pPr>
            <w:r w:rsidRPr="00F15667">
              <w:t>ZN</w:t>
            </w:r>
          </w:p>
        </w:tc>
      </w:tr>
      <w:tr w:rsidR="00F15667" w:rsidRPr="00F15667" w14:paraId="4AC7F755" w14:textId="77777777" w:rsidTr="00CF32FA">
        <w:trPr>
          <w:trHeight w:val="285"/>
          <w:jc w:val="center"/>
        </w:trPr>
        <w:tc>
          <w:tcPr>
            <w:tcW w:w="2320" w:type="dxa"/>
            <w:tcBorders>
              <w:top w:val="nil"/>
              <w:left w:val="nil"/>
              <w:bottom w:val="double" w:sz="6" w:space="0" w:color="auto"/>
              <w:right w:val="nil"/>
            </w:tcBorders>
            <w:shd w:val="clear" w:color="auto" w:fill="auto"/>
            <w:noWrap/>
            <w:vAlign w:val="center"/>
            <w:hideMark/>
          </w:tcPr>
          <w:p w14:paraId="615397DB" w14:textId="77777777" w:rsidR="008430BD" w:rsidRPr="00F15667" w:rsidRDefault="008430BD" w:rsidP="00CF32FA">
            <w:pPr>
              <w:spacing w:line="240" w:lineRule="auto"/>
              <w:jc w:val="left"/>
            </w:pPr>
            <w:r w:rsidRPr="00F15667">
              <w:t>Ostrava</w:t>
            </w:r>
          </w:p>
        </w:tc>
        <w:tc>
          <w:tcPr>
            <w:tcW w:w="1060" w:type="dxa"/>
            <w:tcBorders>
              <w:top w:val="nil"/>
              <w:left w:val="nil"/>
              <w:bottom w:val="double" w:sz="6" w:space="0" w:color="auto"/>
              <w:right w:val="single" w:sz="4" w:space="0" w:color="auto"/>
            </w:tcBorders>
            <w:shd w:val="clear" w:color="auto" w:fill="auto"/>
            <w:noWrap/>
            <w:vAlign w:val="center"/>
            <w:hideMark/>
          </w:tcPr>
          <w:p w14:paraId="5EF584D3" w14:textId="77777777" w:rsidR="008430BD" w:rsidRPr="00F15667" w:rsidRDefault="008430BD" w:rsidP="00CF32FA">
            <w:pPr>
              <w:spacing w:line="240" w:lineRule="auto"/>
              <w:jc w:val="center"/>
            </w:pPr>
            <w:r w:rsidRPr="00F15667">
              <w:t>OS</w:t>
            </w:r>
          </w:p>
        </w:tc>
        <w:tc>
          <w:tcPr>
            <w:tcW w:w="2320" w:type="dxa"/>
            <w:tcBorders>
              <w:top w:val="nil"/>
              <w:left w:val="nil"/>
              <w:bottom w:val="double" w:sz="6" w:space="0" w:color="auto"/>
              <w:right w:val="nil"/>
            </w:tcBorders>
            <w:shd w:val="clear" w:color="auto" w:fill="auto"/>
            <w:noWrap/>
            <w:vAlign w:val="center"/>
            <w:hideMark/>
          </w:tcPr>
          <w:p w14:paraId="0BF56B72" w14:textId="77777777" w:rsidR="008430BD" w:rsidRPr="00F15667" w:rsidRDefault="008430BD" w:rsidP="00CF32FA">
            <w:pPr>
              <w:spacing w:line="240" w:lineRule="auto"/>
              <w:jc w:val="left"/>
            </w:pPr>
            <w:r w:rsidRPr="00F15667">
              <w:t>Žďár nad Sázavou</w:t>
            </w:r>
          </w:p>
        </w:tc>
        <w:tc>
          <w:tcPr>
            <w:tcW w:w="1060" w:type="dxa"/>
            <w:tcBorders>
              <w:top w:val="nil"/>
              <w:left w:val="nil"/>
              <w:bottom w:val="double" w:sz="6" w:space="0" w:color="auto"/>
              <w:right w:val="nil"/>
            </w:tcBorders>
            <w:shd w:val="clear" w:color="auto" w:fill="auto"/>
            <w:noWrap/>
            <w:vAlign w:val="center"/>
            <w:hideMark/>
          </w:tcPr>
          <w:p w14:paraId="6127B141" w14:textId="77777777" w:rsidR="008430BD" w:rsidRPr="00F15667" w:rsidRDefault="008430BD" w:rsidP="00CF32FA">
            <w:pPr>
              <w:spacing w:line="240" w:lineRule="auto"/>
              <w:jc w:val="center"/>
            </w:pPr>
            <w:r w:rsidRPr="00F15667">
              <w:t>ZR</w:t>
            </w:r>
          </w:p>
        </w:tc>
      </w:tr>
    </w:tbl>
    <w:p w14:paraId="74686738" w14:textId="77777777" w:rsidR="008430BD" w:rsidRPr="00F15667" w:rsidRDefault="008430BD" w:rsidP="008430BD">
      <w:pPr>
        <w:pStyle w:val="Nadpis2"/>
        <w:ind w:left="578" w:hanging="578"/>
        <w:rPr>
          <w:color w:val="auto"/>
        </w:rPr>
      </w:pPr>
      <w:bookmarkStart w:id="1446" w:name="_Toc487791321"/>
      <w:bookmarkStart w:id="1447" w:name="_Toc106092839"/>
      <w:bookmarkStart w:id="1448" w:name="_Toc144104456"/>
      <w:r w:rsidRPr="00F15667">
        <w:rPr>
          <w:color w:val="auto"/>
        </w:rPr>
        <w:lastRenderedPageBreak/>
        <w:t>Příloha C – seznam vybraných rejstříků soudů</w:t>
      </w:r>
      <w:bookmarkEnd w:id="1446"/>
      <w:bookmarkEnd w:id="1447"/>
      <w:bookmarkEnd w:id="1448"/>
    </w:p>
    <w:p w14:paraId="644CCC66" w14:textId="77777777" w:rsidR="008430BD" w:rsidRPr="00F15667" w:rsidRDefault="008430BD" w:rsidP="008430BD"/>
    <w:tbl>
      <w:tblPr>
        <w:tblW w:w="9100" w:type="dxa"/>
        <w:tblInd w:w="55" w:type="dxa"/>
        <w:tblCellMar>
          <w:left w:w="70" w:type="dxa"/>
          <w:right w:w="70" w:type="dxa"/>
        </w:tblCellMar>
        <w:tblLook w:val="04A0" w:firstRow="1" w:lastRow="0" w:firstColumn="1" w:lastColumn="0" w:noHBand="0" w:noVBand="1"/>
      </w:tblPr>
      <w:tblGrid>
        <w:gridCol w:w="960"/>
        <w:gridCol w:w="8140"/>
      </w:tblGrid>
      <w:tr w:rsidR="00F15667" w:rsidRPr="00F15667" w14:paraId="51F7EAB5" w14:textId="77777777" w:rsidTr="00E077F3">
        <w:trPr>
          <w:trHeight w:val="346"/>
          <w:tblHeader/>
        </w:trPr>
        <w:tc>
          <w:tcPr>
            <w:tcW w:w="960" w:type="dxa"/>
            <w:tcBorders>
              <w:top w:val="double" w:sz="6" w:space="0" w:color="auto"/>
              <w:left w:val="nil"/>
              <w:bottom w:val="double" w:sz="6" w:space="0" w:color="auto"/>
              <w:right w:val="nil"/>
            </w:tcBorders>
            <w:shd w:val="clear" w:color="auto" w:fill="auto"/>
            <w:noWrap/>
            <w:vAlign w:val="center"/>
            <w:hideMark/>
          </w:tcPr>
          <w:p w14:paraId="714A4509" w14:textId="77777777" w:rsidR="008430BD" w:rsidRPr="00F15667" w:rsidRDefault="008430BD" w:rsidP="00E077F3">
            <w:pPr>
              <w:spacing w:line="240" w:lineRule="auto"/>
              <w:jc w:val="left"/>
              <w:rPr>
                <w:rFonts w:eastAsia="Times New Roman"/>
                <w:b/>
                <w:bCs/>
                <w:szCs w:val="24"/>
                <w:lang w:eastAsia="cs-CZ"/>
              </w:rPr>
            </w:pPr>
            <w:bookmarkStart w:id="1449" w:name="_Toc487791322"/>
            <w:r w:rsidRPr="00F15667">
              <w:rPr>
                <w:rFonts w:eastAsia="Times New Roman"/>
                <w:b/>
                <w:bCs/>
                <w:szCs w:val="24"/>
                <w:lang w:eastAsia="cs-CZ"/>
              </w:rPr>
              <w:t>Rejstřík</w:t>
            </w:r>
          </w:p>
        </w:tc>
        <w:tc>
          <w:tcPr>
            <w:tcW w:w="8140" w:type="dxa"/>
            <w:tcBorders>
              <w:top w:val="double" w:sz="6" w:space="0" w:color="auto"/>
              <w:left w:val="nil"/>
              <w:bottom w:val="double" w:sz="6" w:space="0" w:color="auto"/>
              <w:right w:val="nil"/>
            </w:tcBorders>
            <w:shd w:val="clear" w:color="auto" w:fill="auto"/>
            <w:noWrap/>
            <w:vAlign w:val="center"/>
            <w:hideMark/>
          </w:tcPr>
          <w:p w14:paraId="49475E42" w14:textId="77777777" w:rsidR="008430BD" w:rsidRPr="00F15667" w:rsidRDefault="008430BD" w:rsidP="00E077F3">
            <w:pPr>
              <w:spacing w:line="240" w:lineRule="auto"/>
              <w:jc w:val="left"/>
              <w:rPr>
                <w:rFonts w:eastAsia="Times New Roman"/>
                <w:b/>
                <w:bCs/>
                <w:szCs w:val="24"/>
                <w:lang w:eastAsia="cs-CZ"/>
              </w:rPr>
            </w:pPr>
            <w:r w:rsidRPr="00F15667">
              <w:rPr>
                <w:rFonts w:eastAsia="Times New Roman"/>
                <w:b/>
                <w:bCs/>
                <w:szCs w:val="24"/>
                <w:lang w:eastAsia="cs-CZ"/>
              </w:rPr>
              <w:t>Popis</w:t>
            </w:r>
          </w:p>
        </w:tc>
      </w:tr>
      <w:tr w:rsidR="00F15667" w:rsidRPr="00F15667" w14:paraId="5AAFC9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EF40EB3"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 (KS)</w:t>
            </w:r>
          </w:p>
        </w:tc>
        <w:tc>
          <w:tcPr>
            <w:tcW w:w="8140" w:type="dxa"/>
            <w:tcBorders>
              <w:top w:val="nil"/>
              <w:left w:val="nil"/>
              <w:bottom w:val="single" w:sz="4" w:space="0" w:color="auto"/>
              <w:right w:val="nil"/>
            </w:tcBorders>
            <w:shd w:val="clear" w:color="auto" w:fill="auto"/>
            <w:vAlign w:val="center"/>
            <w:hideMark/>
          </w:tcPr>
          <w:p w14:paraId="63E4C6E9"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Ostatní návrhy ve věcech správního soudnictví (od roku 2010)</w:t>
            </w:r>
          </w:p>
        </w:tc>
      </w:tr>
      <w:tr w:rsidR="00F15667" w:rsidRPr="00F15667" w14:paraId="392C25D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4CBC947"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 (NSS)</w:t>
            </w:r>
          </w:p>
        </w:tc>
        <w:tc>
          <w:tcPr>
            <w:tcW w:w="8140" w:type="dxa"/>
            <w:tcBorders>
              <w:top w:val="nil"/>
              <w:left w:val="nil"/>
              <w:bottom w:val="single" w:sz="4" w:space="0" w:color="auto"/>
              <w:right w:val="nil"/>
            </w:tcBorders>
            <w:shd w:val="clear" w:color="auto" w:fill="auto"/>
            <w:vAlign w:val="center"/>
            <w:hideMark/>
          </w:tcPr>
          <w:p w14:paraId="38F564E3"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Převzatá agenda z vrchních soudů (dříve)</w:t>
            </w:r>
          </w:p>
        </w:tc>
      </w:tr>
      <w:tr w:rsidR="00F15667" w:rsidRPr="00F15667" w14:paraId="7625258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DB58179"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Ad</w:t>
            </w:r>
          </w:p>
        </w:tc>
        <w:tc>
          <w:tcPr>
            <w:tcW w:w="8140" w:type="dxa"/>
            <w:tcBorders>
              <w:top w:val="nil"/>
              <w:left w:val="nil"/>
              <w:bottom w:val="single" w:sz="4" w:space="0" w:color="auto"/>
              <w:right w:val="nil"/>
            </w:tcBorders>
            <w:shd w:val="clear" w:color="auto" w:fill="auto"/>
            <w:vAlign w:val="center"/>
            <w:hideMark/>
          </w:tcPr>
          <w:p w14:paraId="6734F844"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Správní žaloby ve věcech sociální a důchodové správy (od roku 2010)</w:t>
            </w:r>
          </w:p>
        </w:tc>
      </w:tr>
      <w:tr w:rsidR="00F15667" w:rsidRPr="00F15667" w14:paraId="2866C8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DFB00"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Ads</w:t>
            </w:r>
          </w:p>
        </w:tc>
        <w:tc>
          <w:tcPr>
            <w:tcW w:w="8140" w:type="dxa"/>
            <w:tcBorders>
              <w:top w:val="nil"/>
              <w:left w:val="nil"/>
              <w:bottom w:val="single" w:sz="4" w:space="0" w:color="auto"/>
              <w:right w:val="nil"/>
            </w:tcBorders>
            <w:shd w:val="clear" w:color="auto" w:fill="auto"/>
            <w:vAlign w:val="center"/>
            <w:hideMark/>
          </w:tcPr>
          <w:p w14:paraId="3B32D6C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Řízení o kasačních stížnostech ve věcech sociální a důchodové správy</w:t>
            </w:r>
          </w:p>
        </w:tc>
      </w:tr>
      <w:tr w:rsidR="00F15667" w:rsidRPr="00F15667" w14:paraId="603B0CB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9E9B9"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Af</w:t>
            </w:r>
          </w:p>
        </w:tc>
        <w:tc>
          <w:tcPr>
            <w:tcW w:w="8140" w:type="dxa"/>
            <w:tcBorders>
              <w:top w:val="nil"/>
              <w:left w:val="nil"/>
              <w:bottom w:val="single" w:sz="4" w:space="0" w:color="auto"/>
              <w:right w:val="nil"/>
            </w:tcBorders>
            <w:shd w:val="clear" w:color="auto" w:fill="auto"/>
            <w:vAlign w:val="center"/>
            <w:hideMark/>
          </w:tcPr>
          <w:p w14:paraId="1F28185B"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Správní žaloby ve věcech finanční správy (od roku 2010)</w:t>
            </w:r>
          </w:p>
        </w:tc>
      </w:tr>
      <w:tr w:rsidR="00F15667" w:rsidRPr="00F15667" w14:paraId="72730768"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5464728B"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Afs</w:t>
            </w:r>
          </w:p>
        </w:tc>
        <w:tc>
          <w:tcPr>
            <w:tcW w:w="8140" w:type="dxa"/>
            <w:tcBorders>
              <w:top w:val="nil"/>
              <w:left w:val="nil"/>
              <w:bottom w:val="single" w:sz="4" w:space="0" w:color="auto"/>
              <w:right w:val="nil"/>
            </w:tcBorders>
            <w:shd w:val="clear" w:color="auto" w:fill="auto"/>
            <w:vAlign w:val="center"/>
            <w:hideMark/>
          </w:tcPr>
          <w:p w14:paraId="2C8B2E11"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Řízení o kasačních stížnostech ve věcech finanční správy</w:t>
            </w:r>
          </w:p>
        </w:tc>
      </w:tr>
      <w:tr w:rsidR="00F15667" w:rsidRPr="00F15667" w14:paraId="3CA49FC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1F01AB1"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Ans</w:t>
            </w:r>
          </w:p>
        </w:tc>
        <w:tc>
          <w:tcPr>
            <w:tcW w:w="8140" w:type="dxa"/>
            <w:tcBorders>
              <w:top w:val="nil"/>
              <w:left w:val="nil"/>
              <w:bottom w:val="single" w:sz="4" w:space="0" w:color="auto"/>
              <w:right w:val="nil"/>
            </w:tcBorders>
            <w:shd w:val="clear" w:color="auto" w:fill="auto"/>
            <w:vAlign w:val="center"/>
            <w:hideMark/>
          </w:tcPr>
          <w:p w14:paraId="333CC028"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Řízení o kasačních stížnostech ve věcech ochrany proti nečinnosti správního orgánu (dříve)</w:t>
            </w:r>
          </w:p>
        </w:tc>
      </w:tr>
      <w:tr w:rsidR="00F15667" w:rsidRPr="00F15667" w14:paraId="6D3E7187"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292D962"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Aos</w:t>
            </w:r>
          </w:p>
        </w:tc>
        <w:tc>
          <w:tcPr>
            <w:tcW w:w="8140" w:type="dxa"/>
            <w:tcBorders>
              <w:top w:val="nil"/>
              <w:left w:val="nil"/>
              <w:bottom w:val="single" w:sz="4" w:space="0" w:color="auto"/>
              <w:right w:val="nil"/>
            </w:tcBorders>
            <w:shd w:val="clear" w:color="auto" w:fill="auto"/>
            <w:vAlign w:val="center"/>
            <w:hideMark/>
          </w:tcPr>
          <w:p w14:paraId="26AA45A4"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Řízení o kasačních stížnostech ve věcech opatření obecné povahy (dříve)</w:t>
            </w:r>
          </w:p>
        </w:tc>
      </w:tr>
      <w:tr w:rsidR="00F15667" w:rsidRPr="00F15667" w14:paraId="4A1A288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F9636C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Aps</w:t>
            </w:r>
          </w:p>
        </w:tc>
        <w:tc>
          <w:tcPr>
            <w:tcW w:w="8140" w:type="dxa"/>
            <w:tcBorders>
              <w:top w:val="nil"/>
              <w:left w:val="nil"/>
              <w:bottom w:val="single" w:sz="4" w:space="0" w:color="auto"/>
              <w:right w:val="nil"/>
            </w:tcBorders>
            <w:shd w:val="clear" w:color="auto" w:fill="auto"/>
            <w:vAlign w:val="center"/>
            <w:hideMark/>
          </w:tcPr>
          <w:p w14:paraId="10C0A8D8"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Řízení o kasačních stížnostech ve věcech ochrany před nezákonným zásahem, pokynem nebo donucením správního orgánu (dříve)</w:t>
            </w:r>
          </w:p>
        </w:tc>
      </w:tr>
      <w:tr w:rsidR="00F15667" w:rsidRPr="00F15667" w14:paraId="6A8BE4D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892B15D"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Ars</w:t>
            </w:r>
          </w:p>
        </w:tc>
        <w:tc>
          <w:tcPr>
            <w:tcW w:w="8140" w:type="dxa"/>
            <w:tcBorders>
              <w:top w:val="nil"/>
              <w:left w:val="nil"/>
              <w:bottom w:val="single" w:sz="4" w:space="0" w:color="auto"/>
              <w:right w:val="nil"/>
            </w:tcBorders>
            <w:shd w:val="clear" w:color="auto" w:fill="auto"/>
            <w:vAlign w:val="center"/>
            <w:hideMark/>
          </w:tcPr>
          <w:p w14:paraId="5EAB3E8F"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Řízení o kasačních stížnostech ve věcech krajského a místního referenda, ve věcech dohledu nad hospodařením politických stran a hnutí a ve věcech dohledu nad financováním volebních kampaní politických stran a hnutí</w:t>
            </w:r>
          </w:p>
        </w:tc>
      </w:tr>
      <w:tr w:rsidR="00F15667" w:rsidRPr="00F15667" w14:paraId="30FC8F0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D7E83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As</w:t>
            </w:r>
          </w:p>
        </w:tc>
        <w:tc>
          <w:tcPr>
            <w:tcW w:w="8140" w:type="dxa"/>
            <w:tcBorders>
              <w:top w:val="nil"/>
              <w:left w:val="nil"/>
              <w:bottom w:val="single" w:sz="4" w:space="0" w:color="auto"/>
              <w:right w:val="nil"/>
            </w:tcBorders>
            <w:shd w:val="clear" w:color="auto" w:fill="auto"/>
            <w:vAlign w:val="center"/>
            <w:hideMark/>
          </w:tcPr>
          <w:p w14:paraId="5CF4A8CC"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Řízení o kasačních stížnostech v ostatních věcech</w:t>
            </w:r>
          </w:p>
        </w:tc>
      </w:tr>
      <w:tr w:rsidR="00F15667" w:rsidRPr="00F15667" w14:paraId="219770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406B443"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Az</w:t>
            </w:r>
          </w:p>
        </w:tc>
        <w:tc>
          <w:tcPr>
            <w:tcW w:w="8140" w:type="dxa"/>
            <w:tcBorders>
              <w:top w:val="nil"/>
              <w:left w:val="nil"/>
              <w:bottom w:val="single" w:sz="4" w:space="0" w:color="auto"/>
              <w:right w:val="nil"/>
            </w:tcBorders>
            <w:shd w:val="clear" w:color="auto" w:fill="auto"/>
            <w:vAlign w:val="center"/>
            <w:hideMark/>
          </w:tcPr>
          <w:p w14:paraId="703E5032"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Správní žaloby ve věcech mezinárodní ochrany</w:t>
            </w:r>
          </w:p>
        </w:tc>
      </w:tr>
      <w:tr w:rsidR="00F15667" w:rsidRPr="00F15667" w14:paraId="72782C9F"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9C5715E"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Azs</w:t>
            </w:r>
          </w:p>
        </w:tc>
        <w:tc>
          <w:tcPr>
            <w:tcW w:w="8140" w:type="dxa"/>
            <w:tcBorders>
              <w:top w:val="nil"/>
              <w:left w:val="nil"/>
              <w:bottom w:val="single" w:sz="4" w:space="0" w:color="auto"/>
              <w:right w:val="nil"/>
            </w:tcBorders>
            <w:shd w:val="clear" w:color="auto" w:fill="auto"/>
            <w:vAlign w:val="center"/>
            <w:hideMark/>
          </w:tcPr>
          <w:p w14:paraId="369AFA11"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Řízení o kasačních stížnostech ve věcech mezinárodní ochrany a zákona o pobytu cizinců</w:t>
            </w:r>
          </w:p>
        </w:tc>
      </w:tr>
      <w:tr w:rsidR="00F15667" w:rsidRPr="00F15667" w14:paraId="644B94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754D6C9"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C</w:t>
            </w:r>
          </w:p>
        </w:tc>
        <w:tc>
          <w:tcPr>
            <w:tcW w:w="8140" w:type="dxa"/>
            <w:tcBorders>
              <w:top w:val="nil"/>
              <w:left w:val="nil"/>
              <w:bottom w:val="single" w:sz="4" w:space="0" w:color="auto"/>
              <w:right w:val="nil"/>
            </w:tcBorders>
            <w:shd w:val="clear" w:color="auto" w:fill="auto"/>
            <w:vAlign w:val="center"/>
            <w:hideMark/>
          </w:tcPr>
          <w:p w14:paraId="5CC09CC8"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Občanskoprávní věci</w:t>
            </w:r>
          </w:p>
        </w:tc>
      </w:tr>
      <w:tr w:rsidR="00F15667" w:rsidRPr="00F15667" w14:paraId="4A1757E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29099A8"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Ca</w:t>
            </w:r>
          </w:p>
        </w:tc>
        <w:tc>
          <w:tcPr>
            <w:tcW w:w="8140" w:type="dxa"/>
            <w:tcBorders>
              <w:top w:val="nil"/>
              <w:left w:val="nil"/>
              <w:bottom w:val="single" w:sz="4" w:space="0" w:color="auto"/>
              <w:right w:val="nil"/>
            </w:tcBorders>
            <w:shd w:val="clear" w:color="auto" w:fill="auto"/>
            <w:vAlign w:val="center"/>
            <w:hideMark/>
          </w:tcPr>
          <w:p w14:paraId="4063A756"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Ostatní návrhy ve věcech správního soudnictví (před rokem 2010)</w:t>
            </w:r>
          </w:p>
        </w:tc>
      </w:tr>
      <w:tr w:rsidR="00F15667" w:rsidRPr="00F15667" w14:paraId="0EDE004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C93DB3B"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Cad</w:t>
            </w:r>
          </w:p>
        </w:tc>
        <w:tc>
          <w:tcPr>
            <w:tcW w:w="8140" w:type="dxa"/>
            <w:tcBorders>
              <w:top w:val="nil"/>
              <w:left w:val="nil"/>
              <w:bottom w:val="single" w:sz="4" w:space="0" w:color="auto"/>
              <w:right w:val="nil"/>
            </w:tcBorders>
            <w:shd w:val="clear" w:color="auto" w:fill="auto"/>
            <w:vAlign w:val="center"/>
            <w:hideMark/>
          </w:tcPr>
          <w:p w14:paraId="4F4E6DF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Správní žaloby ve věcech sociální a důchodové správy (před rokem 2010)</w:t>
            </w:r>
          </w:p>
        </w:tc>
      </w:tr>
      <w:tr w:rsidR="00F15667" w:rsidRPr="00F15667" w14:paraId="6560713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5BDE302"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Cdo</w:t>
            </w:r>
          </w:p>
        </w:tc>
        <w:tc>
          <w:tcPr>
            <w:tcW w:w="8140" w:type="dxa"/>
            <w:tcBorders>
              <w:top w:val="nil"/>
              <w:left w:val="nil"/>
              <w:bottom w:val="single" w:sz="4" w:space="0" w:color="auto"/>
              <w:right w:val="nil"/>
            </w:tcBorders>
            <w:shd w:val="clear" w:color="auto" w:fill="auto"/>
            <w:vAlign w:val="center"/>
            <w:hideMark/>
          </w:tcPr>
          <w:p w14:paraId="10BAB28C"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Dovolání proti rozhodnutím odvolacích soudů ve věcech občanskoprávních a obchodních</w:t>
            </w:r>
          </w:p>
        </w:tc>
      </w:tr>
      <w:tr w:rsidR="00F15667" w:rsidRPr="00F15667" w14:paraId="33EC28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FE401F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Cm</w:t>
            </w:r>
          </w:p>
        </w:tc>
        <w:tc>
          <w:tcPr>
            <w:tcW w:w="8140" w:type="dxa"/>
            <w:tcBorders>
              <w:top w:val="nil"/>
              <w:left w:val="nil"/>
              <w:bottom w:val="single" w:sz="4" w:space="0" w:color="auto"/>
              <w:right w:val="nil"/>
            </w:tcBorders>
            <w:shd w:val="clear" w:color="auto" w:fill="auto"/>
            <w:vAlign w:val="center"/>
            <w:hideMark/>
          </w:tcPr>
          <w:p w14:paraId="292CBA19"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Obchodní věci</w:t>
            </w:r>
          </w:p>
        </w:tc>
      </w:tr>
      <w:tr w:rsidR="00F15667" w:rsidRPr="00F15667" w14:paraId="6598BBE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5DE556B"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Cmo</w:t>
            </w:r>
          </w:p>
        </w:tc>
        <w:tc>
          <w:tcPr>
            <w:tcW w:w="8140" w:type="dxa"/>
            <w:tcBorders>
              <w:top w:val="nil"/>
              <w:left w:val="nil"/>
              <w:bottom w:val="single" w:sz="4" w:space="0" w:color="auto"/>
              <w:right w:val="nil"/>
            </w:tcBorders>
            <w:shd w:val="clear" w:color="auto" w:fill="auto"/>
            <w:vAlign w:val="center"/>
            <w:hideMark/>
          </w:tcPr>
          <w:p w14:paraId="3D7FA990"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Odvolací civilní agenda v obchodních věcech</w:t>
            </w:r>
          </w:p>
        </w:tc>
      </w:tr>
      <w:tr w:rsidR="00F15667" w:rsidRPr="00F15667" w14:paraId="15DBB48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F6E38EF"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Co</w:t>
            </w:r>
          </w:p>
        </w:tc>
        <w:tc>
          <w:tcPr>
            <w:tcW w:w="8140" w:type="dxa"/>
            <w:tcBorders>
              <w:top w:val="nil"/>
              <w:left w:val="nil"/>
              <w:bottom w:val="single" w:sz="4" w:space="0" w:color="auto"/>
              <w:right w:val="nil"/>
            </w:tcBorders>
            <w:shd w:val="clear" w:color="auto" w:fill="auto"/>
            <w:vAlign w:val="center"/>
            <w:hideMark/>
          </w:tcPr>
          <w:p w14:paraId="328AE764"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Odvolací civilní agenda</w:t>
            </w:r>
          </w:p>
        </w:tc>
      </w:tr>
      <w:tr w:rsidR="00F15667" w:rsidRPr="00F15667" w14:paraId="7F71A7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8A89627"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EC (KS)</w:t>
            </w:r>
          </w:p>
        </w:tc>
        <w:tc>
          <w:tcPr>
            <w:tcW w:w="8140" w:type="dxa"/>
            <w:tcBorders>
              <w:top w:val="nil"/>
              <w:left w:val="nil"/>
              <w:bottom w:val="single" w:sz="4" w:space="0" w:color="auto"/>
              <w:right w:val="nil"/>
            </w:tcBorders>
            <w:shd w:val="clear" w:color="auto" w:fill="auto"/>
            <w:vAlign w:val="center"/>
            <w:hideMark/>
          </w:tcPr>
          <w:p w14:paraId="66950F1D"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Převedené věci z rejstříku EPR – občanskoprávní věci</w:t>
            </w:r>
          </w:p>
        </w:tc>
      </w:tr>
      <w:tr w:rsidR="00F15667" w:rsidRPr="00F15667" w14:paraId="39E5BB1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6272271"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EC (OS)</w:t>
            </w:r>
          </w:p>
        </w:tc>
        <w:tc>
          <w:tcPr>
            <w:tcW w:w="8140" w:type="dxa"/>
            <w:tcBorders>
              <w:top w:val="nil"/>
              <w:left w:val="nil"/>
              <w:bottom w:val="single" w:sz="4" w:space="0" w:color="auto"/>
              <w:right w:val="nil"/>
            </w:tcBorders>
            <w:shd w:val="clear" w:color="auto" w:fill="auto"/>
            <w:vAlign w:val="center"/>
            <w:hideMark/>
          </w:tcPr>
          <w:p w14:paraId="666132C6"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Návrhy na vydání elektronického platebního rozkazu (před rejstříkem EPR)</w:t>
            </w:r>
          </w:p>
        </w:tc>
      </w:tr>
      <w:tr w:rsidR="00F15667" w:rsidRPr="00F15667" w14:paraId="765DE11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D46F6B6"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ECm</w:t>
            </w:r>
          </w:p>
        </w:tc>
        <w:tc>
          <w:tcPr>
            <w:tcW w:w="8140" w:type="dxa"/>
            <w:tcBorders>
              <w:top w:val="nil"/>
              <w:left w:val="nil"/>
              <w:bottom w:val="single" w:sz="4" w:space="0" w:color="auto"/>
              <w:right w:val="nil"/>
            </w:tcBorders>
            <w:shd w:val="clear" w:color="auto" w:fill="auto"/>
            <w:vAlign w:val="center"/>
            <w:hideMark/>
          </w:tcPr>
          <w:p w14:paraId="6673750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Převedené věci z rejstříku EPR – obchodní věci</w:t>
            </w:r>
          </w:p>
        </w:tc>
      </w:tr>
      <w:tr w:rsidR="00F15667" w:rsidRPr="00F15667" w14:paraId="58AD59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901A40"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EPR</w:t>
            </w:r>
          </w:p>
        </w:tc>
        <w:tc>
          <w:tcPr>
            <w:tcW w:w="8140" w:type="dxa"/>
            <w:tcBorders>
              <w:top w:val="nil"/>
              <w:left w:val="nil"/>
              <w:bottom w:val="single" w:sz="4" w:space="0" w:color="auto"/>
              <w:right w:val="nil"/>
            </w:tcBorders>
            <w:shd w:val="clear" w:color="auto" w:fill="auto"/>
            <w:vAlign w:val="center"/>
            <w:hideMark/>
          </w:tcPr>
          <w:p w14:paraId="554BD168"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Návrhy na vydání elektronického platebního rozkazu</w:t>
            </w:r>
          </w:p>
        </w:tc>
      </w:tr>
      <w:tr w:rsidR="00F15667" w:rsidRPr="00F15667" w14:paraId="45C06A6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D5136BD"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EVC</w:t>
            </w:r>
          </w:p>
        </w:tc>
        <w:tc>
          <w:tcPr>
            <w:tcW w:w="8140" w:type="dxa"/>
            <w:tcBorders>
              <w:top w:val="nil"/>
              <w:left w:val="nil"/>
              <w:bottom w:val="single" w:sz="4" w:space="0" w:color="auto"/>
              <w:right w:val="nil"/>
            </w:tcBorders>
            <w:shd w:val="clear" w:color="auto" w:fill="auto"/>
            <w:vAlign w:val="center"/>
            <w:hideMark/>
          </w:tcPr>
          <w:p w14:paraId="7FADB331"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Návrhy na vydání evropského platebního rozkazu</w:t>
            </w:r>
          </w:p>
        </w:tc>
      </w:tr>
      <w:tr w:rsidR="00F15667" w:rsidRPr="00F15667" w14:paraId="3A90E75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BE6775"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EVCm</w:t>
            </w:r>
          </w:p>
        </w:tc>
        <w:tc>
          <w:tcPr>
            <w:tcW w:w="8140" w:type="dxa"/>
            <w:tcBorders>
              <w:top w:val="nil"/>
              <w:left w:val="nil"/>
              <w:bottom w:val="single" w:sz="4" w:space="0" w:color="auto"/>
              <w:right w:val="nil"/>
            </w:tcBorders>
            <w:shd w:val="clear" w:color="auto" w:fill="auto"/>
            <w:vAlign w:val="center"/>
            <w:hideMark/>
          </w:tcPr>
          <w:p w14:paraId="0093A0E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Návrhy na vydání evropského platebního rozkazu v obchodních věcech</w:t>
            </w:r>
          </w:p>
        </w:tc>
      </w:tr>
      <w:tr w:rsidR="00F15667" w:rsidRPr="00F15667" w14:paraId="02DEB95C" w14:textId="77777777" w:rsidTr="00E077F3">
        <w:trPr>
          <w:trHeight w:val="340"/>
        </w:trPr>
        <w:tc>
          <w:tcPr>
            <w:tcW w:w="960" w:type="dxa"/>
            <w:tcBorders>
              <w:top w:val="nil"/>
              <w:left w:val="nil"/>
              <w:bottom w:val="single" w:sz="4" w:space="0" w:color="auto"/>
              <w:right w:val="nil"/>
            </w:tcBorders>
            <w:shd w:val="clear" w:color="auto" w:fill="auto"/>
            <w:vAlign w:val="center"/>
          </w:tcPr>
          <w:p w14:paraId="64078CCD"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ICdo</w:t>
            </w:r>
          </w:p>
        </w:tc>
        <w:tc>
          <w:tcPr>
            <w:tcW w:w="8140" w:type="dxa"/>
            <w:tcBorders>
              <w:top w:val="nil"/>
              <w:left w:val="nil"/>
              <w:bottom w:val="single" w:sz="4" w:space="0" w:color="auto"/>
              <w:right w:val="nil"/>
            </w:tcBorders>
            <w:shd w:val="clear" w:color="auto" w:fill="auto"/>
            <w:vAlign w:val="center"/>
          </w:tcPr>
          <w:p w14:paraId="10B174E9"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Věci předložené Nejvyššímu soudu k rozhodnutí pro incidenční spory vyvolané v průběhu insolvenčního řízení</w:t>
            </w:r>
          </w:p>
        </w:tc>
      </w:tr>
      <w:tr w:rsidR="00F15667" w:rsidRPr="00F15667" w14:paraId="5DDBAD7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579A011"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ICm</w:t>
            </w:r>
          </w:p>
        </w:tc>
        <w:tc>
          <w:tcPr>
            <w:tcW w:w="8140" w:type="dxa"/>
            <w:tcBorders>
              <w:top w:val="nil"/>
              <w:left w:val="nil"/>
              <w:bottom w:val="single" w:sz="4" w:space="0" w:color="auto"/>
              <w:right w:val="nil"/>
            </w:tcBorders>
            <w:shd w:val="clear" w:color="auto" w:fill="auto"/>
            <w:vAlign w:val="center"/>
            <w:hideMark/>
          </w:tcPr>
          <w:p w14:paraId="15FE7503"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Incidenční spory</w:t>
            </w:r>
          </w:p>
        </w:tc>
      </w:tr>
      <w:tr w:rsidR="00F15667" w:rsidRPr="00F15667" w14:paraId="3370897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F9B4D21"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INS</w:t>
            </w:r>
          </w:p>
        </w:tc>
        <w:tc>
          <w:tcPr>
            <w:tcW w:w="8140" w:type="dxa"/>
            <w:tcBorders>
              <w:top w:val="nil"/>
              <w:left w:val="nil"/>
              <w:bottom w:val="single" w:sz="4" w:space="0" w:color="auto"/>
              <w:right w:val="nil"/>
            </w:tcBorders>
            <w:shd w:val="clear" w:color="auto" w:fill="auto"/>
            <w:vAlign w:val="center"/>
            <w:hideMark/>
          </w:tcPr>
          <w:p w14:paraId="13EAD816"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Insolvenční řízení</w:t>
            </w:r>
          </w:p>
        </w:tc>
      </w:tr>
      <w:tr w:rsidR="00F15667" w:rsidRPr="00F15667" w14:paraId="642881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F55E939"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Kss</w:t>
            </w:r>
          </w:p>
        </w:tc>
        <w:tc>
          <w:tcPr>
            <w:tcW w:w="8140" w:type="dxa"/>
            <w:tcBorders>
              <w:top w:val="nil"/>
              <w:left w:val="nil"/>
              <w:bottom w:val="single" w:sz="4" w:space="0" w:color="auto"/>
              <w:right w:val="nil"/>
            </w:tcBorders>
            <w:shd w:val="clear" w:color="auto" w:fill="auto"/>
            <w:vAlign w:val="center"/>
            <w:hideMark/>
          </w:tcPr>
          <w:p w14:paraId="1DE137DB"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Řízení ve věcech soudců</w:t>
            </w:r>
          </w:p>
        </w:tc>
      </w:tr>
      <w:tr w:rsidR="00F15667" w:rsidRPr="00F15667" w14:paraId="2AF8A83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03E81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L</w:t>
            </w:r>
          </w:p>
        </w:tc>
        <w:tc>
          <w:tcPr>
            <w:tcW w:w="8140" w:type="dxa"/>
            <w:tcBorders>
              <w:top w:val="nil"/>
              <w:left w:val="nil"/>
              <w:bottom w:val="single" w:sz="4" w:space="0" w:color="auto"/>
              <w:right w:val="nil"/>
            </w:tcBorders>
            <w:shd w:val="clear" w:color="auto" w:fill="auto"/>
            <w:vAlign w:val="center"/>
            <w:hideMark/>
          </w:tcPr>
          <w:p w14:paraId="0DEBD28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Detenční řízení</w:t>
            </w:r>
          </w:p>
        </w:tc>
      </w:tr>
      <w:tr w:rsidR="00F15667" w:rsidRPr="00F15667" w14:paraId="3F7CDAB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05B02AB"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NSČR</w:t>
            </w:r>
          </w:p>
        </w:tc>
        <w:tc>
          <w:tcPr>
            <w:tcW w:w="8140" w:type="dxa"/>
            <w:tcBorders>
              <w:top w:val="nil"/>
              <w:left w:val="nil"/>
              <w:bottom w:val="single" w:sz="4" w:space="0" w:color="auto"/>
              <w:right w:val="nil"/>
            </w:tcBorders>
            <w:shd w:val="clear" w:color="auto" w:fill="auto"/>
            <w:vAlign w:val="center"/>
            <w:hideMark/>
          </w:tcPr>
          <w:p w14:paraId="5E82156D"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Věci předložené Nejvyššímu soudu k rozhodnutí v insolvenčním řízení</w:t>
            </w:r>
          </w:p>
        </w:tc>
      </w:tr>
      <w:tr w:rsidR="00F15667" w:rsidRPr="00F15667" w14:paraId="5F65169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3E0689E"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lastRenderedPageBreak/>
              <w:t>Odo</w:t>
            </w:r>
          </w:p>
        </w:tc>
        <w:tc>
          <w:tcPr>
            <w:tcW w:w="8140" w:type="dxa"/>
            <w:tcBorders>
              <w:top w:val="nil"/>
              <w:left w:val="nil"/>
              <w:bottom w:val="single" w:sz="4" w:space="0" w:color="auto"/>
              <w:right w:val="nil"/>
            </w:tcBorders>
            <w:shd w:val="clear" w:color="auto" w:fill="auto"/>
            <w:vAlign w:val="center"/>
            <w:hideMark/>
          </w:tcPr>
          <w:p w14:paraId="431A34B7"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Dovolání proti rozhodnutím odvolacích soudů ve věcech obchodních (dříve)</w:t>
            </w:r>
          </w:p>
        </w:tc>
      </w:tr>
      <w:tr w:rsidR="00F15667" w:rsidRPr="00F15667" w14:paraId="1266B9E1"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4215F79"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P a Nc</w:t>
            </w:r>
          </w:p>
        </w:tc>
        <w:tc>
          <w:tcPr>
            <w:tcW w:w="8140" w:type="dxa"/>
            <w:tcBorders>
              <w:top w:val="nil"/>
              <w:left w:val="nil"/>
              <w:bottom w:val="single" w:sz="4" w:space="0" w:color="auto"/>
              <w:right w:val="nil"/>
            </w:tcBorders>
            <w:shd w:val="clear" w:color="auto" w:fill="auto"/>
            <w:vAlign w:val="center"/>
            <w:hideMark/>
          </w:tcPr>
          <w:p w14:paraId="4F588803"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Opatrovnické řízení</w:t>
            </w:r>
          </w:p>
        </w:tc>
      </w:tr>
      <w:tr w:rsidR="00F15667" w:rsidRPr="00F15667" w14:paraId="115F61A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9F5979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w:t>
            </w:r>
          </w:p>
        </w:tc>
        <w:tc>
          <w:tcPr>
            <w:tcW w:w="8140" w:type="dxa"/>
            <w:tcBorders>
              <w:top w:val="nil"/>
              <w:left w:val="nil"/>
              <w:bottom w:val="single" w:sz="4" w:space="0" w:color="auto"/>
              <w:right w:val="nil"/>
            </w:tcBorders>
            <w:shd w:val="clear" w:color="auto" w:fill="auto"/>
            <w:vAlign w:val="center"/>
            <w:hideMark/>
          </w:tcPr>
          <w:p w14:paraId="2DC59E87"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Trestní věci</w:t>
            </w:r>
          </w:p>
        </w:tc>
      </w:tr>
      <w:tr w:rsidR="00F15667" w:rsidRPr="00F15667" w14:paraId="4DDB9D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314D5C"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Tdo</w:t>
            </w:r>
          </w:p>
        </w:tc>
        <w:tc>
          <w:tcPr>
            <w:tcW w:w="8140" w:type="dxa"/>
            <w:tcBorders>
              <w:top w:val="nil"/>
              <w:left w:val="nil"/>
              <w:bottom w:val="single" w:sz="4" w:space="0" w:color="auto"/>
              <w:right w:val="nil"/>
            </w:tcBorders>
            <w:shd w:val="clear" w:color="auto" w:fill="auto"/>
            <w:vAlign w:val="center"/>
            <w:hideMark/>
          </w:tcPr>
          <w:p w14:paraId="65717D2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Dovolání proti rozhodnutím soudů druhého stupně ve věcech trestních</w:t>
            </w:r>
          </w:p>
        </w:tc>
      </w:tr>
      <w:tr w:rsidR="00F15667" w:rsidRPr="00F15667" w14:paraId="5B16B4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D3D0BDA"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Tm</w:t>
            </w:r>
          </w:p>
        </w:tc>
        <w:tc>
          <w:tcPr>
            <w:tcW w:w="8140" w:type="dxa"/>
            <w:tcBorders>
              <w:top w:val="nil"/>
              <w:left w:val="nil"/>
              <w:bottom w:val="single" w:sz="4" w:space="0" w:color="auto"/>
              <w:right w:val="nil"/>
            </w:tcBorders>
            <w:shd w:val="clear" w:color="auto" w:fill="auto"/>
            <w:vAlign w:val="center"/>
            <w:hideMark/>
          </w:tcPr>
          <w:p w14:paraId="29FC9CC3"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Trestní věci mládeže</w:t>
            </w:r>
          </w:p>
        </w:tc>
      </w:tr>
      <w:tr w:rsidR="00F15667" w:rsidRPr="00F15667" w14:paraId="6CDDA90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1113CBC"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Tmo</w:t>
            </w:r>
          </w:p>
        </w:tc>
        <w:tc>
          <w:tcPr>
            <w:tcW w:w="8140" w:type="dxa"/>
            <w:tcBorders>
              <w:top w:val="nil"/>
              <w:left w:val="nil"/>
              <w:bottom w:val="single" w:sz="4" w:space="0" w:color="auto"/>
              <w:right w:val="nil"/>
            </w:tcBorders>
            <w:shd w:val="clear" w:color="auto" w:fill="auto"/>
            <w:vAlign w:val="center"/>
            <w:hideMark/>
          </w:tcPr>
          <w:p w14:paraId="5D53A494"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Trestní agenda odvolací – mladiství</w:t>
            </w:r>
          </w:p>
        </w:tc>
      </w:tr>
      <w:tr w:rsidR="00F15667" w:rsidRPr="00F15667" w14:paraId="6B3251C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EA9E3D6"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To</w:t>
            </w:r>
          </w:p>
        </w:tc>
        <w:tc>
          <w:tcPr>
            <w:tcW w:w="8140" w:type="dxa"/>
            <w:tcBorders>
              <w:top w:val="nil"/>
              <w:left w:val="nil"/>
              <w:bottom w:val="single" w:sz="4" w:space="0" w:color="auto"/>
              <w:right w:val="nil"/>
            </w:tcBorders>
            <w:shd w:val="clear" w:color="auto" w:fill="auto"/>
            <w:vAlign w:val="center"/>
            <w:hideMark/>
          </w:tcPr>
          <w:p w14:paraId="26963314"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Trestní agenda odvolací</w:t>
            </w:r>
          </w:p>
        </w:tc>
      </w:tr>
      <w:tr w:rsidR="008430BD" w:rsidRPr="00F15667" w14:paraId="4D923D45" w14:textId="77777777" w:rsidTr="00E077F3">
        <w:trPr>
          <w:trHeight w:val="340"/>
        </w:trPr>
        <w:tc>
          <w:tcPr>
            <w:tcW w:w="960" w:type="dxa"/>
            <w:tcBorders>
              <w:top w:val="nil"/>
              <w:left w:val="nil"/>
              <w:bottom w:val="double" w:sz="6" w:space="0" w:color="auto"/>
              <w:right w:val="nil"/>
            </w:tcBorders>
            <w:shd w:val="clear" w:color="auto" w:fill="auto"/>
            <w:vAlign w:val="center"/>
            <w:hideMark/>
          </w:tcPr>
          <w:p w14:paraId="0478B630"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Tz</w:t>
            </w:r>
          </w:p>
        </w:tc>
        <w:tc>
          <w:tcPr>
            <w:tcW w:w="8140" w:type="dxa"/>
            <w:tcBorders>
              <w:top w:val="nil"/>
              <w:left w:val="nil"/>
              <w:bottom w:val="double" w:sz="6" w:space="0" w:color="auto"/>
              <w:right w:val="nil"/>
            </w:tcBorders>
            <w:shd w:val="clear" w:color="auto" w:fill="auto"/>
            <w:vAlign w:val="center"/>
            <w:hideMark/>
          </w:tcPr>
          <w:p w14:paraId="25F1F009" w14:textId="77777777" w:rsidR="008430BD" w:rsidRPr="00F15667" w:rsidRDefault="008430BD" w:rsidP="00E077F3">
            <w:pPr>
              <w:spacing w:before="14" w:after="14" w:line="240" w:lineRule="auto"/>
              <w:jc w:val="left"/>
              <w:rPr>
                <w:rFonts w:eastAsia="Times New Roman"/>
                <w:szCs w:val="24"/>
                <w:lang w:eastAsia="cs-CZ"/>
              </w:rPr>
            </w:pPr>
            <w:r w:rsidRPr="00F15667">
              <w:rPr>
                <w:rFonts w:eastAsia="Times New Roman"/>
                <w:szCs w:val="24"/>
                <w:lang w:eastAsia="cs-CZ"/>
              </w:rPr>
              <w:t>Stížnosti pro porušení zákona</w:t>
            </w:r>
          </w:p>
        </w:tc>
      </w:tr>
      <w:bookmarkEnd w:id="1449"/>
    </w:tbl>
    <w:p w14:paraId="45ED2713" w14:textId="77777777" w:rsidR="008430BD" w:rsidRPr="00CF32FA" w:rsidRDefault="008430BD" w:rsidP="008430BD">
      <w:pPr>
        <w:spacing w:line="240" w:lineRule="auto"/>
        <w:rPr>
          <w:rFonts w:eastAsia="Times New Roman"/>
          <w:iCs/>
          <w:szCs w:val="24"/>
        </w:rPr>
      </w:pPr>
      <w:r w:rsidRPr="00F15667">
        <w:br w:type="page"/>
      </w:r>
    </w:p>
    <w:p w14:paraId="3600D4C0" w14:textId="77777777" w:rsidR="008430BD" w:rsidRPr="00F15667" w:rsidRDefault="008430BD" w:rsidP="008430BD">
      <w:pPr>
        <w:pStyle w:val="Nadpis2"/>
        <w:ind w:left="578" w:hanging="578"/>
        <w:rPr>
          <w:color w:val="auto"/>
        </w:rPr>
      </w:pPr>
      <w:bookmarkStart w:id="1450" w:name="_Toc106092840"/>
      <w:bookmarkStart w:id="1451" w:name="_Toc144104457"/>
      <w:r w:rsidRPr="00F15667">
        <w:rPr>
          <w:color w:val="auto"/>
        </w:rPr>
        <w:lastRenderedPageBreak/>
        <w:t>Příloha D – přehledové listy s daty soudů</w:t>
      </w:r>
      <w:bookmarkEnd w:id="1450"/>
      <w:bookmarkEnd w:id="1451"/>
    </w:p>
    <w:p w14:paraId="58EEA337" w14:textId="08254324" w:rsidR="008430BD" w:rsidRPr="00F15667" w:rsidRDefault="008430BD" w:rsidP="008430BD">
      <w:pPr>
        <w:spacing w:line="240" w:lineRule="auto"/>
        <w:jc w:val="left"/>
      </w:pPr>
    </w:p>
    <w:p w14:paraId="6947BBAD" w14:textId="3647751E" w:rsidR="0064349A" w:rsidRPr="00F15667" w:rsidRDefault="002734FA" w:rsidP="00CF32FA">
      <w:pPr>
        <w:pStyle w:val="OdstavecASR"/>
      </w:pPr>
      <w:r>
        <w:object w:dxaOrig="1539" w:dyaOrig="997" w14:anchorId="137BC7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77.25pt;height:49.5pt" o:ole="">
            <v:imagedata r:id="rId184" o:title=""/>
          </v:shape>
          <o:OLEObject Type="Embed" ProgID="Excel.SheetMacroEnabled.12" ShapeID="_x0000_i1052" DrawAspect="Icon" ObjectID="_1772610840" r:id="rId185"/>
        </w:object>
      </w:r>
    </w:p>
    <w:p w14:paraId="314267FB" w14:textId="7E53A0AB" w:rsidR="008430BD" w:rsidRPr="00CF32FA" w:rsidRDefault="008430BD" w:rsidP="008430BD">
      <w:pPr>
        <w:spacing w:line="240" w:lineRule="auto"/>
        <w:jc w:val="left"/>
        <w:rPr>
          <w:rFonts w:eastAsia="Times New Roman"/>
          <w:b/>
          <w:bCs/>
          <w:iCs/>
          <w:szCs w:val="24"/>
        </w:rPr>
      </w:pPr>
      <w:r w:rsidRPr="00F15667">
        <w:br w:type="page"/>
      </w:r>
    </w:p>
    <w:p w14:paraId="738A45A9" w14:textId="77777777" w:rsidR="008430BD" w:rsidRPr="00F15667" w:rsidRDefault="008430BD" w:rsidP="008430BD">
      <w:pPr>
        <w:autoSpaceDE w:val="0"/>
        <w:autoSpaceDN w:val="0"/>
        <w:adjustRightInd w:val="0"/>
        <w:spacing w:line="240" w:lineRule="auto"/>
        <w:jc w:val="left"/>
        <w:rPr>
          <w:rFonts w:cs="OfficinaSansItcTOT-Bold"/>
          <w:b/>
          <w:bCs/>
          <w:sz w:val="18"/>
          <w:szCs w:val="19"/>
          <w:lang w:eastAsia="cs-CZ"/>
        </w:rPr>
        <w:sectPr w:rsidR="008430BD" w:rsidRPr="00F15667" w:rsidSect="005D7674">
          <w:footerReference w:type="default" r:id="rId186"/>
          <w:type w:val="continuous"/>
          <w:pgSz w:w="11906" w:h="16838" w:code="9"/>
          <w:pgMar w:top="1418" w:right="1416" w:bottom="1418" w:left="1418" w:header="709" w:footer="709" w:gutter="0"/>
          <w:cols w:space="708"/>
          <w:titlePg/>
          <w:docGrid w:linePitch="360"/>
        </w:sectPr>
      </w:pPr>
    </w:p>
    <w:p w14:paraId="1A9F48A7" w14:textId="5A0FA2C5" w:rsidR="008430BD" w:rsidRPr="00F15667" w:rsidRDefault="008430BD" w:rsidP="00C04F6A">
      <w:pPr>
        <w:autoSpaceDE w:val="0"/>
        <w:autoSpaceDN w:val="0"/>
        <w:adjustRightInd w:val="0"/>
        <w:spacing w:line="240" w:lineRule="auto"/>
        <w:jc w:val="center"/>
        <w:rPr>
          <w:rFonts w:cs="OfficinaSansItcTOT-Bold"/>
          <w:b/>
          <w:bCs/>
          <w:sz w:val="18"/>
          <w:szCs w:val="19"/>
          <w:lang w:eastAsia="cs-CZ"/>
        </w:rPr>
      </w:pPr>
    </w:p>
    <w:p w14:paraId="6BB2E3A4"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48D3F487"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0658B2E4"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13D3921F"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36997911"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38C657CB"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2C22DFB0"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50EC2DB7"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0FA2A9F6"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6E5F0C18" w14:textId="13C08D01" w:rsidR="008430BD" w:rsidRPr="00F15667" w:rsidRDefault="00117694" w:rsidP="00117694">
      <w:pPr>
        <w:autoSpaceDE w:val="0"/>
        <w:autoSpaceDN w:val="0"/>
        <w:adjustRightInd w:val="0"/>
        <w:spacing w:line="240" w:lineRule="auto"/>
        <w:jc w:val="center"/>
        <w:rPr>
          <w:rFonts w:cs="OfficinaSansItcTOT-Bold"/>
          <w:b/>
          <w:bCs/>
          <w:sz w:val="18"/>
          <w:szCs w:val="19"/>
          <w:lang w:eastAsia="cs-CZ"/>
        </w:rPr>
      </w:pPr>
      <w:r>
        <w:rPr>
          <w:noProof/>
        </w:rPr>
        <w:drawing>
          <wp:inline distT="0" distB="0" distL="0" distR="0" wp14:anchorId="5CEE195B" wp14:editId="6BA8A532">
            <wp:extent cx="3949281" cy="714375"/>
            <wp:effectExtent l="0" t="0" r="0" b="0"/>
            <wp:docPr id="1" name="Obrázek 9" descr="image001.jpg">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9" descr="image001.jpg">
                      <a:hlinkClick r:id="rId187"/>
                    </pic:cNvPr>
                    <pic:cNvPicPr>
                      <a:picLocks noChangeAspect="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955112" cy="715430"/>
                    </a:xfrm>
                    <a:prstGeom prst="rect">
                      <a:avLst/>
                    </a:prstGeom>
                    <a:noFill/>
                    <a:ln>
                      <a:noFill/>
                    </a:ln>
                  </pic:spPr>
                </pic:pic>
              </a:graphicData>
            </a:graphic>
          </wp:inline>
        </w:drawing>
      </w:r>
    </w:p>
    <w:p w14:paraId="4F5FEABB"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2DBCE512"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42ACB4E9"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76A53285"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3A901D64"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45C44F95"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172DE132"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5624FB60"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63CC8543"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3821510E"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712F4745"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3DCE2351"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282DC101"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7E521063"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2D4B9BAE"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48A02379"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427DBAD0"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6C749FF1"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5128CD59"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255A9F48"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209D5FBB"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506E42DA"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31078EB2"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09FA12EA"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59B46316"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784A3927"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527F782A"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7F31CBC7"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3463A068"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6D0D8D38"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3BEF9C93"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7256775C"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7A2DFAF5"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510170A1"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3F4AB26C"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2FAB9C39"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6594F904" w14:textId="77777777" w:rsidR="008430BD" w:rsidRPr="00F15667" w:rsidRDefault="008430BD" w:rsidP="008430BD">
      <w:pPr>
        <w:autoSpaceDE w:val="0"/>
        <w:autoSpaceDN w:val="0"/>
        <w:adjustRightInd w:val="0"/>
        <w:spacing w:line="240" w:lineRule="auto"/>
        <w:jc w:val="center"/>
        <w:rPr>
          <w:rFonts w:cs="OfficinaSansItcTOT-Bold"/>
          <w:b/>
          <w:bCs/>
          <w:sz w:val="18"/>
          <w:szCs w:val="19"/>
          <w:lang w:eastAsia="cs-CZ"/>
        </w:rPr>
      </w:pPr>
    </w:p>
    <w:p w14:paraId="5EE6FB47" w14:textId="77777777" w:rsidR="008430BD" w:rsidRPr="00F15667" w:rsidRDefault="008430BD" w:rsidP="008430BD">
      <w:pPr>
        <w:autoSpaceDE w:val="0"/>
        <w:autoSpaceDN w:val="0"/>
        <w:adjustRightInd w:val="0"/>
        <w:spacing w:line="240" w:lineRule="auto"/>
        <w:jc w:val="center"/>
        <w:rPr>
          <w:rFonts w:cs="OfficinaSansItcTOT-Bold"/>
          <w:bCs/>
          <w:sz w:val="18"/>
          <w:szCs w:val="19"/>
          <w:lang w:eastAsia="cs-CZ"/>
        </w:rPr>
      </w:pPr>
      <w:r w:rsidRPr="00F15667">
        <w:rPr>
          <w:rFonts w:cs="OfficinaSansItcTOT-Bold"/>
          <w:bCs/>
          <w:sz w:val="18"/>
          <w:szCs w:val="19"/>
          <w:lang w:eastAsia="cs-CZ"/>
        </w:rPr>
        <w:t>Ministerstvo spravedlnosti</w:t>
      </w:r>
    </w:p>
    <w:p w14:paraId="5E42C5CE" w14:textId="77777777" w:rsidR="008430BD" w:rsidRPr="00F15667" w:rsidRDefault="008430BD" w:rsidP="008430BD">
      <w:pPr>
        <w:autoSpaceDE w:val="0"/>
        <w:autoSpaceDN w:val="0"/>
        <w:adjustRightInd w:val="0"/>
        <w:spacing w:line="240" w:lineRule="auto"/>
        <w:jc w:val="center"/>
        <w:rPr>
          <w:rFonts w:cs="OfficinaSansItcTOT-Book"/>
          <w:sz w:val="18"/>
          <w:szCs w:val="19"/>
          <w:lang w:eastAsia="cs-CZ"/>
        </w:rPr>
      </w:pPr>
      <w:r w:rsidRPr="00F15667">
        <w:rPr>
          <w:rFonts w:cs="OfficinaSansItcTOT-Book"/>
          <w:sz w:val="18"/>
          <w:szCs w:val="19"/>
          <w:lang w:eastAsia="cs-CZ"/>
        </w:rPr>
        <w:t>Vyšehradská 16</w:t>
      </w:r>
    </w:p>
    <w:p w14:paraId="42AB6912" w14:textId="77777777" w:rsidR="008430BD" w:rsidRPr="00F15667" w:rsidRDefault="008430BD" w:rsidP="008430BD">
      <w:pPr>
        <w:autoSpaceDE w:val="0"/>
        <w:autoSpaceDN w:val="0"/>
        <w:adjustRightInd w:val="0"/>
        <w:spacing w:line="240" w:lineRule="auto"/>
        <w:jc w:val="center"/>
        <w:rPr>
          <w:rFonts w:cs="OfficinaSansItcTOT-Book"/>
          <w:sz w:val="18"/>
          <w:szCs w:val="19"/>
          <w:lang w:eastAsia="cs-CZ"/>
        </w:rPr>
      </w:pPr>
      <w:r w:rsidRPr="00F15667">
        <w:rPr>
          <w:rFonts w:cs="OfficinaSansItcTOT-Book"/>
          <w:sz w:val="18"/>
          <w:szCs w:val="19"/>
          <w:lang w:eastAsia="cs-CZ"/>
        </w:rPr>
        <w:t>128 </w:t>
      </w:r>
      <w:proofErr w:type="gramStart"/>
      <w:r w:rsidRPr="00F15667">
        <w:rPr>
          <w:rFonts w:cs="OfficinaSansItcTOT-Book"/>
          <w:sz w:val="18"/>
          <w:szCs w:val="19"/>
          <w:lang w:eastAsia="cs-CZ"/>
        </w:rPr>
        <w:t>10  Praha</w:t>
      </w:r>
      <w:proofErr w:type="gramEnd"/>
      <w:r w:rsidRPr="00F15667">
        <w:rPr>
          <w:rFonts w:cs="OfficinaSansItcTOT-Book"/>
          <w:sz w:val="18"/>
          <w:szCs w:val="19"/>
          <w:lang w:eastAsia="cs-CZ"/>
        </w:rPr>
        <w:t> 2</w:t>
      </w:r>
    </w:p>
    <w:p w14:paraId="35E6F9D3" w14:textId="060FAD70" w:rsidR="00B07E76" w:rsidRPr="00F15667" w:rsidRDefault="008430BD" w:rsidP="008430BD">
      <w:pPr>
        <w:autoSpaceDE w:val="0"/>
        <w:autoSpaceDN w:val="0"/>
        <w:adjustRightInd w:val="0"/>
        <w:spacing w:line="240" w:lineRule="auto"/>
        <w:jc w:val="center"/>
        <w:rPr>
          <w:rFonts w:cs="OfficinaSansItcTOT-Book"/>
          <w:sz w:val="18"/>
          <w:szCs w:val="19"/>
          <w:lang w:eastAsia="cs-CZ"/>
        </w:rPr>
      </w:pPr>
      <w:r w:rsidRPr="00F15667">
        <w:rPr>
          <w:rFonts w:cs="OfficinaSansItcTOT-Book"/>
          <w:sz w:val="18"/>
          <w:szCs w:val="19"/>
          <w:lang w:eastAsia="cs-CZ"/>
        </w:rPr>
        <w:t xml:space="preserve">e-mail: </w:t>
      </w:r>
      <w:hyperlink r:id="rId189" w:history="1">
        <w:r w:rsidR="00CB570A" w:rsidRPr="005D25EA">
          <w:rPr>
            <w:rStyle w:val="Hypertextovodkaz"/>
            <w:sz w:val="18"/>
            <w:szCs w:val="18"/>
          </w:rPr>
          <w:t>posta@msp.justice.cz</w:t>
        </w:r>
      </w:hyperlink>
    </w:p>
    <w:p w14:paraId="2F381B22" w14:textId="227D5C6F" w:rsidR="00B07E76" w:rsidRPr="005D25EA" w:rsidRDefault="002734FA" w:rsidP="005D25EA">
      <w:pPr>
        <w:autoSpaceDE w:val="0"/>
        <w:autoSpaceDN w:val="0"/>
        <w:adjustRightInd w:val="0"/>
        <w:spacing w:line="240" w:lineRule="auto"/>
        <w:jc w:val="center"/>
        <w:rPr>
          <w:rFonts w:cs="OfficinaSansItcTOT-Book"/>
          <w:sz w:val="18"/>
          <w:szCs w:val="19"/>
          <w:lang w:eastAsia="cs-CZ"/>
        </w:rPr>
      </w:pPr>
      <w:hyperlink r:id="rId190" w:history="1">
        <w:r w:rsidR="00CB570A" w:rsidRPr="005D25EA">
          <w:rPr>
            <w:rStyle w:val="Hypertextovodkaz"/>
            <w:sz w:val="18"/>
            <w:szCs w:val="16"/>
          </w:rPr>
          <w:t>www.justice.cz</w:t>
        </w:r>
      </w:hyperlink>
    </w:p>
    <w:p w14:paraId="600297D5" w14:textId="77777777" w:rsidR="00D77934" w:rsidRPr="005D25EA" w:rsidRDefault="00D77934" w:rsidP="005D25EA">
      <w:pPr>
        <w:autoSpaceDE w:val="0"/>
        <w:autoSpaceDN w:val="0"/>
        <w:adjustRightInd w:val="0"/>
        <w:spacing w:line="240" w:lineRule="auto"/>
        <w:rPr>
          <w:rFonts w:cs="OfficinaSansItcTOT-Book"/>
          <w:sz w:val="18"/>
          <w:szCs w:val="19"/>
          <w:lang w:eastAsia="cs-CZ"/>
        </w:rPr>
      </w:pPr>
    </w:p>
    <w:sectPr w:rsidR="00D77934" w:rsidRPr="005D25EA" w:rsidSect="00E077F3">
      <w:type w:val="even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7453B" w14:textId="77777777" w:rsidR="009C6207" w:rsidRDefault="009C6207" w:rsidP="008430BD">
      <w:pPr>
        <w:spacing w:line="240" w:lineRule="auto"/>
      </w:pPr>
      <w:r>
        <w:separator/>
      </w:r>
    </w:p>
  </w:endnote>
  <w:endnote w:type="continuationSeparator" w:id="0">
    <w:p w14:paraId="18CD030B" w14:textId="77777777" w:rsidR="009C6207" w:rsidRDefault="009C6207" w:rsidP="008430BD">
      <w:pPr>
        <w:spacing w:line="240" w:lineRule="auto"/>
      </w:pPr>
      <w:r>
        <w:continuationSeparator/>
      </w:r>
    </w:p>
  </w:endnote>
  <w:endnote w:type="continuationNotice" w:id="1">
    <w:p w14:paraId="22661BDF" w14:textId="77777777" w:rsidR="009C6207" w:rsidRDefault="009C62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DIN Next LT Pro Condensed">
    <w:altName w:val="Arial Narrow"/>
    <w:charset w:val="EE"/>
    <w:family w:val="swiss"/>
    <w:pitch w:val="variable"/>
    <w:sig w:usb0="00000001" w:usb1="5000205B" w:usb2="00000000" w:usb3="00000000" w:csb0="0000009B"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Light">
    <w:panose1 w:val="020B0502040204020203"/>
    <w:charset w:val="EE"/>
    <w:family w:val="swiss"/>
    <w:pitch w:val="variable"/>
    <w:sig w:usb0="E4002EFF" w:usb1="C000E47F" w:usb2="00000009" w:usb3="00000000" w:csb0="000001F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D931" w14:textId="73351114" w:rsidR="009C6207" w:rsidRDefault="009C6207" w:rsidP="00E077F3">
    <w:pPr>
      <w:pStyle w:val="Zpat"/>
      <w:jc w:val="center"/>
    </w:pPr>
    <w:r>
      <w:fldChar w:fldCharType="begin"/>
    </w:r>
    <w:r>
      <w:instrText>PAGE   \* MERGEFORMAT</w:instrText>
    </w:r>
    <w:r>
      <w:fldChar w:fldCharType="separate"/>
    </w:r>
    <w:r w:rsidR="00854DEA">
      <w:rPr>
        <w:noProof/>
      </w:rPr>
      <w:t>156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897F" w14:textId="77777777" w:rsidR="009C6207" w:rsidRDefault="009C6207" w:rsidP="008430BD">
      <w:pPr>
        <w:spacing w:line="240" w:lineRule="auto"/>
      </w:pPr>
      <w:r>
        <w:separator/>
      </w:r>
    </w:p>
  </w:footnote>
  <w:footnote w:type="continuationSeparator" w:id="0">
    <w:p w14:paraId="66E1765C" w14:textId="77777777" w:rsidR="009C6207" w:rsidRDefault="009C6207" w:rsidP="008430BD">
      <w:pPr>
        <w:spacing w:line="240" w:lineRule="auto"/>
      </w:pPr>
      <w:r>
        <w:continuationSeparator/>
      </w:r>
    </w:p>
  </w:footnote>
  <w:footnote w:type="continuationNotice" w:id="1">
    <w:p w14:paraId="322A1EB0" w14:textId="77777777" w:rsidR="009C6207" w:rsidRDefault="009C6207">
      <w:pPr>
        <w:spacing w:line="240" w:lineRule="auto"/>
      </w:pPr>
    </w:p>
  </w:footnote>
  <w:footnote w:id="2">
    <w:p w14:paraId="635DF0F1" w14:textId="77777777" w:rsidR="009C6207" w:rsidRPr="00E44FC4" w:rsidRDefault="009C6207" w:rsidP="008430BD">
      <w:pPr>
        <w:pStyle w:val="Textpoznpodarou"/>
      </w:pPr>
      <w:r w:rsidRPr="00E44FC4">
        <w:rPr>
          <w:rStyle w:val="Znakapoznpodarou"/>
        </w:rPr>
        <w:footnoteRef/>
      </w:r>
      <w:r w:rsidRPr="00E44FC4">
        <w:t xml:space="preserve"> Justiční statistická ročenka na rozdíl od této zprávy obsahuje pouze kompilaci automaticky generovaných sestav bez dalšího komentáře či grafického znázornění dat.</w:t>
      </w:r>
    </w:p>
  </w:footnote>
  <w:footnote w:id="3">
    <w:p w14:paraId="25F14164" w14:textId="77777777" w:rsidR="009C6207" w:rsidRPr="00E44FC4" w:rsidRDefault="009C6207" w:rsidP="008430BD">
      <w:pPr>
        <w:pStyle w:val="Textpoznpodarou"/>
      </w:pPr>
      <w:r w:rsidRPr="00E44FC4">
        <w:rPr>
          <w:rStyle w:val="Znakapoznpodarou"/>
        </w:rPr>
        <w:footnoteRef/>
      </w:r>
      <w:r w:rsidRPr="00E44FC4">
        <w:t xml:space="preserve"> </w:t>
      </w:r>
      <w:hyperlink r:id="rId1" w:history="1">
        <w:r w:rsidRPr="00E44FC4">
          <w:rPr>
            <w:rStyle w:val="Hypertextovodkaz"/>
          </w:rPr>
          <w:t>https://www.justice.cz/web/msp/statisticke-udaje-z-oblasti-justice</w:t>
        </w:r>
      </w:hyperlink>
      <w:r w:rsidRPr="00E44FC4">
        <w:t>.</w:t>
      </w:r>
    </w:p>
  </w:footnote>
  <w:footnote w:id="4">
    <w:p w14:paraId="6703B5A3" w14:textId="77777777" w:rsidR="009C6207" w:rsidRPr="00E44FC4" w:rsidRDefault="009C6207" w:rsidP="004638A0">
      <w:pPr>
        <w:pStyle w:val="Textpoznpodarou"/>
      </w:pPr>
      <w:r w:rsidRPr="00E44FC4">
        <w:rPr>
          <w:rStyle w:val="Znakapoznpodarou"/>
        </w:rPr>
        <w:footnoteRef/>
      </w:r>
      <w:r w:rsidRPr="00E44FC4">
        <w:t xml:space="preserve"> Například v Německu jsou věci, v nichž přerušení řízení přesáhne délku šesti měsíců, ve statistikách soudů vykazovány jako rozhodnuté, protože pokud soudce po více než 6 měsících začne na věci znovu pracovat, jeho pracovní zatížení je srovnatelné s prací na kterémkoli novém případě.</w:t>
      </w:r>
    </w:p>
  </w:footnote>
  <w:footnote w:id="5">
    <w:p w14:paraId="43270C6B" w14:textId="2AACDC5D" w:rsidR="009C6207" w:rsidRPr="00E44FC4" w:rsidRDefault="009C6207" w:rsidP="00027945">
      <w:pPr>
        <w:pStyle w:val="Textpoznpodarou"/>
      </w:pPr>
      <w:r w:rsidRPr="00E44FC4">
        <w:rPr>
          <w:rStyle w:val="Znakapoznpodarou"/>
        </w:rPr>
        <w:footnoteRef/>
      </w:r>
      <w:r w:rsidRPr="00E44FC4">
        <w:t xml:space="preserve"> Kvůli způsobu získávání dat je skutečný počet úvazků k 1. 1. 2023.</w:t>
      </w:r>
    </w:p>
  </w:footnote>
  <w:footnote w:id="6">
    <w:p w14:paraId="286A7DA1" w14:textId="77777777" w:rsidR="009C6207" w:rsidRPr="00E44FC4" w:rsidRDefault="009C6207" w:rsidP="008F025D">
      <w:pPr>
        <w:pStyle w:val="Textpoznpodarou"/>
      </w:pPr>
      <w:r w:rsidRPr="00E44FC4">
        <w:rPr>
          <w:rStyle w:val="Znakapoznpodarou"/>
        </w:rPr>
        <w:footnoteRef/>
      </w:r>
      <w:r w:rsidRPr="00E44FC4">
        <w:t xml:space="preserve"> Komise pro efektivitu justice Rady Evropy.</w:t>
      </w:r>
    </w:p>
  </w:footnote>
  <w:footnote w:id="7">
    <w:p w14:paraId="4AB90ACA" w14:textId="77777777" w:rsidR="009C6207" w:rsidRPr="00E44FC4" w:rsidRDefault="009C6207" w:rsidP="005657DE">
      <w:pPr>
        <w:pStyle w:val="Textpoznpodarou"/>
      </w:pPr>
      <w:r w:rsidRPr="00E44FC4">
        <w:rPr>
          <w:rStyle w:val="Znakapoznpodarou"/>
        </w:rPr>
        <w:footnoteRef/>
      </w:r>
      <w:r w:rsidRPr="00E44FC4">
        <w:t xml:space="preserve"> Toto srovnání lze velmi dobře provést, i když ve statistikách nespadá počet převedených věcí pod počet věcí vyřízených. Princip je zde stejný jako u nápadu a u vyřízených věcí, tedy nejedná se o skupinu totožných věcí.</w:t>
      </w:r>
    </w:p>
  </w:footnote>
  <w:footnote w:id="8">
    <w:p w14:paraId="56A495F4" w14:textId="77777777" w:rsidR="009C6207" w:rsidRPr="00E44FC4" w:rsidRDefault="009C6207" w:rsidP="004A74ED">
      <w:pPr>
        <w:pStyle w:val="Textpoznpodarou"/>
      </w:pPr>
      <w:r w:rsidRPr="00E44FC4">
        <w:rPr>
          <w:rStyle w:val="Znakapoznpodarou"/>
        </w:rPr>
        <w:footnoteRef/>
      </w:r>
      <w:r w:rsidRPr="00E44FC4">
        <w:t xml:space="preserve"> Viz ekonomická analýza zločinu, se kterou přišel držitel Nobelovy ceny Gary Becker článkem „Crime and Punishment: An Economic Approach“ z roku 1968.</w:t>
      </w:r>
    </w:p>
  </w:footnote>
  <w:footnote w:id="9">
    <w:p w14:paraId="029F6726" w14:textId="61C05DFA" w:rsidR="009C6207" w:rsidRPr="00E44FC4" w:rsidRDefault="009C6207" w:rsidP="00264492">
      <w:pPr>
        <w:pStyle w:val="Textpoznpodarou"/>
      </w:pPr>
      <w:r w:rsidRPr="00E44FC4">
        <w:rPr>
          <w:rStyle w:val="Znakapoznpodarou"/>
        </w:rPr>
        <w:footnoteRef/>
      </w:r>
      <w:r w:rsidRPr="00E44FC4">
        <w:t xml:space="preserve"> Zde je na místě otázka, zde se účastníci u OS pro Prahu 7 opravdu neodvolávají, či zda je v datech chyba</w:t>
      </w:r>
      <w:r w:rsidR="004C14FE">
        <w:t>.</w:t>
      </w:r>
    </w:p>
  </w:footnote>
  <w:footnote w:id="10">
    <w:p w14:paraId="4348A2A9" w14:textId="77777777" w:rsidR="009C6207" w:rsidRPr="00E44FC4" w:rsidRDefault="009C6207" w:rsidP="00EB18EF">
      <w:pPr>
        <w:pStyle w:val="Textpoznpodarou"/>
      </w:pPr>
      <w:r w:rsidRPr="00E44FC4">
        <w:rPr>
          <w:rStyle w:val="Znakapoznpodarou"/>
        </w:rPr>
        <w:footnoteRef/>
      </w:r>
      <w:r w:rsidRPr="00E44FC4">
        <w:t xml:space="preserve"> Tento termín je pouhou zkratkou pro situaci, kdy je určováno výživné dítěte, která má platit matka dítěte.</w:t>
      </w:r>
    </w:p>
  </w:footnote>
  <w:footnote w:id="11">
    <w:p w14:paraId="54951193" w14:textId="77777777" w:rsidR="009C6207" w:rsidRPr="00E44FC4" w:rsidRDefault="009C6207" w:rsidP="00EB18EF">
      <w:pPr>
        <w:pStyle w:val="Textpoznpodarou"/>
      </w:pPr>
      <w:r w:rsidRPr="00E44FC4">
        <w:rPr>
          <w:rStyle w:val="Znakapoznpodarou"/>
        </w:rPr>
        <w:footnoteRef/>
      </w:r>
      <w:r w:rsidRPr="00E44FC4">
        <w:t xml:space="preserve"> Viz předchozí, u mužů.</w:t>
      </w:r>
    </w:p>
  </w:footnote>
  <w:footnote w:id="12">
    <w:p w14:paraId="65BF4E89" w14:textId="77777777" w:rsidR="009C6207" w:rsidRPr="00E44FC4" w:rsidRDefault="009C6207" w:rsidP="001A69D3">
      <w:pPr>
        <w:pStyle w:val="Textpoznpodarou"/>
      </w:pPr>
      <w:r w:rsidRPr="00E44FC4">
        <w:rPr>
          <w:rStyle w:val="Znakapoznpodarou"/>
        </w:rPr>
        <w:footnoteRef/>
      </w:r>
      <w:r w:rsidRPr="00E44FC4">
        <w:t xml:space="preserve"> Délky řízení (včetně odvolacího) jsou standardně zjišťovány ze statistických listů. Statistický list pro insolvenční řízení disponuje potřebnými údaji až od roku 2020, a tudíž dosud nevznikla dostatečná časová řada pro relevantní analýzu.</w:t>
      </w:r>
    </w:p>
  </w:footnote>
  <w:footnote w:id="13">
    <w:p w14:paraId="7734BFFF" w14:textId="77777777" w:rsidR="009C6207" w:rsidRPr="00E44FC4" w:rsidRDefault="009C6207" w:rsidP="001A69D3">
      <w:pPr>
        <w:pStyle w:val="Textpoznpodarou"/>
      </w:pPr>
      <w:r w:rsidRPr="00E44FC4">
        <w:rPr>
          <w:rStyle w:val="Znakapoznpodarou"/>
        </w:rPr>
        <w:footnoteRef/>
      </w:r>
      <w:r w:rsidRPr="00E44FC4">
        <w:t xml:space="preserve"> Ministerstvo spravedlnosti zatím nemá k dispozici dostatečně podrobná data o počtu soudců.</w:t>
      </w:r>
    </w:p>
  </w:footnote>
  <w:footnote w:id="14">
    <w:p w14:paraId="20A4BFA1" w14:textId="77777777" w:rsidR="009C6207" w:rsidRPr="00E44FC4" w:rsidRDefault="009C6207" w:rsidP="00804DB6">
      <w:pPr>
        <w:pStyle w:val="Textpoznpodarou"/>
      </w:pPr>
      <w:r w:rsidRPr="00E44FC4">
        <w:rPr>
          <w:rStyle w:val="Znakapoznpodarou"/>
        </w:rPr>
        <w:footnoteRef/>
      </w:r>
      <w:r w:rsidRPr="00E44FC4">
        <w:t xml:space="preserve"> Seskupení právně samostatných společností podřízených jednomu vedení. Vzniká buď na základě kapitálové účasti, nebo na smluvním základě (viz též ust. § 79 a násl. zák. č. 90/2012 Sb., o obchodních společnostech a družstvech).</w:t>
      </w:r>
    </w:p>
  </w:footnote>
  <w:footnote w:id="15">
    <w:p w14:paraId="6B583BD6" w14:textId="77777777" w:rsidR="009C6207" w:rsidRPr="00E44FC4" w:rsidRDefault="009C6207" w:rsidP="00804DB6">
      <w:pPr>
        <w:pStyle w:val="Textpoznpodarou"/>
      </w:pPr>
      <w:r w:rsidRPr="00E44FC4">
        <w:rPr>
          <w:rStyle w:val="Znakapoznpodarou"/>
        </w:rPr>
        <w:footnoteRef/>
      </w:r>
      <w:r w:rsidRPr="00E44FC4">
        <w:t xml:space="preserve"> Jednalo se např. o úpadek cirka 50 dlužníků tvořící koncern.</w:t>
      </w:r>
    </w:p>
  </w:footnote>
  <w:footnote w:id="16">
    <w:p w14:paraId="4D5E4597" w14:textId="77777777" w:rsidR="009C6207" w:rsidRPr="00E44FC4" w:rsidRDefault="009C6207" w:rsidP="007D76E4">
      <w:pPr>
        <w:pStyle w:val="Textpoznpodarou"/>
      </w:pPr>
      <w:r w:rsidRPr="00E44FC4">
        <w:rPr>
          <w:rStyle w:val="Znakapoznpodarou"/>
        </w:rPr>
        <w:footnoteRef/>
      </w:r>
      <w:r w:rsidRPr="00E44FC4">
        <w:t xml:space="preserve"> § 14 zákona č. 6/2002 Sb., o soudech, soudcích, přísedících a státní správě soudů a o změně některých dalších zákonů (zákon o soudech a soudcích), ve znění pozdějších předpisů.</w:t>
      </w:r>
    </w:p>
  </w:footnote>
  <w:footnote w:id="17">
    <w:p w14:paraId="34A09835" w14:textId="77777777" w:rsidR="009C6207" w:rsidRPr="00E44FC4" w:rsidRDefault="009C6207" w:rsidP="007D76E4">
      <w:pPr>
        <w:pStyle w:val="Textpoznpodarou"/>
      </w:pPr>
      <w:r w:rsidRPr="00E44FC4">
        <w:rPr>
          <w:rStyle w:val="Znakapoznpodarou"/>
        </w:rPr>
        <w:footnoteRef/>
      </w:r>
      <w:r w:rsidRPr="00E44FC4">
        <w:t xml:space="preserve"> Ročenky Nejvyššího soudu jsou k dispozici na jeho webových stránkách</w:t>
      </w:r>
    </w:p>
  </w:footnote>
  <w:footnote w:id="18">
    <w:p w14:paraId="7107537D" w14:textId="3C90EBDD" w:rsidR="009C6207" w:rsidRPr="00E44FC4" w:rsidRDefault="009C6207" w:rsidP="007D76E4">
      <w:pPr>
        <w:pStyle w:val="Textpoznpodarou"/>
      </w:pPr>
      <w:r w:rsidRPr="00E44FC4">
        <w:rPr>
          <w:rStyle w:val="Znakapoznpodarou"/>
        </w:rPr>
        <w:footnoteRef/>
      </w:r>
      <w:r w:rsidRPr="00E44FC4">
        <w:t xml:space="preserve"> Soudce občanskoprávního a obchodního kolegia lze najít </w:t>
      </w:r>
      <w:hyperlink r:id="rId2" w:history="1">
        <w:r w:rsidRPr="00E44FC4">
          <w:rPr>
            <w:rStyle w:val="Hypertextovodkaz"/>
          </w:rPr>
          <w:t>zde</w:t>
        </w:r>
      </w:hyperlink>
      <w:r w:rsidRPr="00E44FC4">
        <w:rPr>
          <w:rStyle w:val="Hypertextovodkaz"/>
        </w:rPr>
        <w:t>;</w:t>
      </w:r>
      <w:r w:rsidRPr="00E44FC4">
        <w:t xml:space="preserve"> soudci trestního kolegia jsou vyjmenováni </w:t>
      </w:r>
      <w:hyperlink r:id="rId3" w:history="1">
        <w:r w:rsidRPr="00E44FC4">
          <w:rPr>
            <w:rStyle w:val="Hypertextovodkaz"/>
          </w:rPr>
          <w:t>zde</w:t>
        </w:r>
      </w:hyperlink>
      <w:r w:rsidRPr="00E44FC4">
        <w:t>. Navštíveno dne 15. 5. 2022.</w:t>
      </w:r>
    </w:p>
  </w:footnote>
  <w:footnote w:id="19">
    <w:p w14:paraId="536D23E0" w14:textId="63EF4B72" w:rsidR="009C6207" w:rsidRPr="00E44FC4" w:rsidRDefault="009C6207" w:rsidP="00391586">
      <w:pPr>
        <w:pStyle w:val="Textpoznpodarou"/>
      </w:pPr>
      <w:r w:rsidRPr="00E44FC4">
        <w:rPr>
          <w:rStyle w:val="Znakapoznpodarou"/>
        </w:rPr>
        <w:footnoteRef/>
      </w:r>
      <w:r w:rsidRPr="00E44FC4">
        <w:t xml:space="preserve"> </w:t>
      </w:r>
      <w:r w:rsidR="006074FE">
        <w:t>N</w:t>
      </w:r>
      <w:r w:rsidRPr="00E44FC4">
        <w:t xml:space="preserve">apříklad ve Španělsku (ES) mají samostatnou právní subjektivitu soudy, které v ČR vystupují jako specializované senáty, například </w:t>
      </w:r>
      <w:r w:rsidRPr="00E44FC4">
        <w:rPr>
          <w:noProof/>
        </w:rPr>
        <w:t>Criminal Courts, Family Courts, Prison Courts, Courts of Mortgage Enforcemnet</w:t>
      </w:r>
      <w:r w:rsidRPr="00E44FC4">
        <w:t xml:space="preserve"> atd., takže v roce 2020 existovalo ve Španělsku celkem 2 298 soudů 1. stupně se samostatnou právní subjektivitou, které ale sídlily na 617 lokacích. A naopak, v Irsku (IE) se jednalo o 3 soudy prvního stupně se samostatnou právní subjektivitou, umístěných v 93 různých lokacích.</w:t>
      </w:r>
    </w:p>
  </w:footnote>
  <w:footnote w:id="20">
    <w:p w14:paraId="1D061F38" w14:textId="0913070D" w:rsidR="009C6207" w:rsidRPr="00E44FC4" w:rsidRDefault="009C6207" w:rsidP="00391586">
      <w:pPr>
        <w:pStyle w:val="Textpoznpodarou"/>
      </w:pPr>
      <w:r w:rsidRPr="00E44FC4">
        <w:rPr>
          <w:rStyle w:val="Znakapoznpodarou"/>
        </w:rPr>
        <w:footnoteRef/>
      </w:r>
      <w:r w:rsidRPr="00E44FC4">
        <w:t xml:space="preserve"> Pozn.: výrazný výkyv ČR v roce 1999 byl způsoben novelou zákona o rodině č. 91/1998 nabývající účinnosti k 1.8.1998. Ta nově stanovila, že k rozvodu je nutno předložit rozhodnutí opatrovnického soudu (do účinnosti novely rozhodoval rozvodový soud v rámci rozvodového řízení). Tato novela tedy znamenala ztížení, resp. prodloužení, rozvodů manželství s nezletilými dětmi, znemožnění rozvodů v 1. roce manželství, či také zavedení tzv. „nesporného“ rozvodu (manželství muselo trvat alespoň 1 rok a manželé spolu alespoň 6 měsíců nežili). Důsledkem byla delší řízení ukončená až v roce 2000 a v dalších letech s kumulací v roce 2003 s nejvyšší rozvodovostí ve více než stoleté historii statistického sledování rozvodovosti. Zajímavým, a opačným než v roce 1999, důsledkem této novely byl nárůst hrubé míry rozvodovosti v letech 1996 a 1997, kdy naopak hodnota dosáhla téměř úrovně rekordního roku 2003. To mohlo být způsobeno tím, že návrh zákona č. 91/1998 Sb.</w:t>
      </w:r>
      <w:r w:rsidR="003A0C3C">
        <w:t>,</w:t>
      </w:r>
      <w:r w:rsidRPr="00E44FC4">
        <w:t xml:space="preserve"> o změně zákona o rodině</w:t>
      </w:r>
      <w:r w:rsidR="003A0C3C">
        <w:t>,</w:t>
      </w:r>
      <w:r w:rsidRPr="00E44FC4">
        <w:t xml:space="preserve"> byl podán již v roce 1996 a nestabilní manželství se „stihla“ rozvést ještě před nabytím jeho účinnosti.</w:t>
      </w:r>
    </w:p>
  </w:footnote>
  <w:footnote w:id="21">
    <w:p w14:paraId="6F9A322D" w14:textId="77777777" w:rsidR="009C6207" w:rsidRPr="00E44FC4" w:rsidRDefault="009C6207" w:rsidP="008430BD">
      <w:pPr>
        <w:pStyle w:val="Textpoznpodarou"/>
      </w:pPr>
      <w:r w:rsidRPr="00E44FC4">
        <w:rPr>
          <w:rStyle w:val="Znakapoznpodarou"/>
        </w:rPr>
        <w:footnoteRef/>
      </w:r>
      <w:r w:rsidRPr="00E44FC4">
        <w:t xml:space="preserve"> Komise pro efektivitu justice Rady Evropy.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5F0"/>
    <w:multiLevelType w:val="hybridMultilevel"/>
    <w:tmpl w:val="30381C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FE673C"/>
    <w:multiLevelType w:val="hybridMultilevel"/>
    <w:tmpl w:val="80363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303324"/>
    <w:multiLevelType w:val="hybridMultilevel"/>
    <w:tmpl w:val="310C2784"/>
    <w:lvl w:ilvl="0" w:tplc="5AD653F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0D56A9"/>
    <w:multiLevelType w:val="hybridMultilevel"/>
    <w:tmpl w:val="BA2CDE8E"/>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4" w15:restartNumberingAfterBreak="0">
    <w:nsid w:val="07A74FF2"/>
    <w:multiLevelType w:val="hybridMultilevel"/>
    <w:tmpl w:val="8384DC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426CA2"/>
    <w:multiLevelType w:val="hybridMultilevel"/>
    <w:tmpl w:val="F57400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61641F"/>
    <w:multiLevelType w:val="hybridMultilevel"/>
    <w:tmpl w:val="882A55B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02B7FCD"/>
    <w:multiLevelType w:val="hybridMultilevel"/>
    <w:tmpl w:val="68307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594BE6"/>
    <w:multiLevelType w:val="hybridMultilevel"/>
    <w:tmpl w:val="110C72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6F7965"/>
    <w:multiLevelType w:val="hybridMultilevel"/>
    <w:tmpl w:val="C2D4E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E9036F3"/>
    <w:multiLevelType w:val="hybridMultilevel"/>
    <w:tmpl w:val="AC049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A0273B"/>
    <w:multiLevelType w:val="hybridMultilevel"/>
    <w:tmpl w:val="7BC49DB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2" w15:restartNumberingAfterBreak="0">
    <w:nsid w:val="25BC5F5D"/>
    <w:multiLevelType w:val="multilevel"/>
    <w:tmpl w:val="9D646F44"/>
    <w:lvl w:ilvl="0">
      <w:start w:val="1"/>
      <w:numFmt w:val="decimal"/>
      <w:lvlText w:val="%1"/>
      <w:lvlJc w:val="left"/>
      <w:pPr>
        <w:ind w:left="432" w:hanging="432"/>
      </w:p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5E3348B"/>
    <w:multiLevelType w:val="hybridMultilevel"/>
    <w:tmpl w:val="D15C6D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6802DBF"/>
    <w:multiLevelType w:val="hybridMultilevel"/>
    <w:tmpl w:val="63505BD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15:restartNumberingAfterBreak="0">
    <w:nsid w:val="292659A1"/>
    <w:multiLevelType w:val="hybridMultilevel"/>
    <w:tmpl w:val="5A782F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564BF3"/>
    <w:multiLevelType w:val="hybridMultilevel"/>
    <w:tmpl w:val="F0F811E4"/>
    <w:lvl w:ilvl="0" w:tplc="8B48E3B4">
      <w:start w:val="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C942ED"/>
    <w:multiLevelType w:val="hybridMultilevel"/>
    <w:tmpl w:val="A6463ABC"/>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8" w15:restartNumberingAfterBreak="0">
    <w:nsid w:val="32ED59D1"/>
    <w:multiLevelType w:val="hybridMultilevel"/>
    <w:tmpl w:val="F08CAB98"/>
    <w:lvl w:ilvl="0" w:tplc="04050001">
      <w:start w:val="1"/>
      <w:numFmt w:val="bullet"/>
      <w:lvlText w:val=""/>
      <w:lvlJc w:val="left"/>
      <w:pPr>
        <w:ind w:left="774" w:hanging="360"/>
      </w:pPr>
      <w:rPr>
        <w:rFonts w:ascii="Symbol" w:hAnsi="Symbol" w:cs="Symbol" w:hint="default"/>
      </w:rPr>
    </w:lvl>
    <w:lvl w:ilvl="1" w:tplc="04050003">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cs="Wingdings" w:hint="default"/>
      </w:rPr>
    </w:lvl>
    <w:lvl w:ilvl="3" w:tplc="04050001" w:tentative="1">
      <w:start w:val="1"/>
      <w:numFmt w:val="bullet"/>
      <w:lvlText w:val=""/>
      <w:lvlJc w:val="left"/>
      <w:pPr>
        <w:ind w:left="2934" w:hanging="360"/>
      </w:pPr>
      <w:rPr>
        <w:rFonts w:ascii="Symbol" w:hAnsi="Symbol" w:cs="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cs="Wingdings" w:hint="default"/>
      </w:rPr>
    </w:lvl>
    <w:lvl w:ilvl="6" w:tplc="04050001" w:tentative="1">
      <w:start w:val="1"/>
      <w:numFmt w:val="bullet"/>
      <w:lvlText w:val=""/>
      <w:lvlJc w:val="left"/>
      <w:pPr>
        <w:ind w:left="5094" w:hanging="360"/>
      </w:pPr>
      <w:rPr>
        <w:rFonts w:ascii="Symbol" w:hAnsi="Symbol" w:cs="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cs="Wingdings" w:hint="default"/>
      </w:rPr>
    </w:lvl>
  </w:abstractNum>
  <w:abstractNum w:abstractNumId="19" w15:restartNumberingAfterBreak="0">
    <w:nsid w:val="33337865"/>
    <w:multiLevelType w:val="hybridMultilevel"/>
    <w:tmpl w:val="30581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39A62B1"/>
    <w:multiLevelType w:val="hybridMultilevel"/>
    <w:tmpl w:val="BCDCDF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C4D2234"/>
    <w:multiLevelType w:val="hybridMultilevel"/>
    <w:tmpl w:val="C2829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7886D61"/>
    <w:multiLevelType w:val="hybridMultilevel"/>
    <w:tmpl w:val="032031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313BD6"/>
    <w:multiLevelType w:val="hybridMultilevel"/>
    <w:tmpl w:val="A546E696"/>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6" w15:restartNumberingAfterBreak="0">
    <w:nsid w:val="54226612"/>
    <w:multiLevelType w:val="hybridMultilevel"/>
    <w:tmpl w:val="2E62D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45174E3"/>
    <w:multiLevelType w:val="hybridMultilevel"/>
    <w:tmpl w:val="ECD2E564"/>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8" w15:restartNumberingAfterBreak="0">
    <w:nsid w:val="5D6A635A"/>
    <w:multiLevelType w:val="hybridMultilevel"/>
    <w:tmpl w:val="4A90FD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5EFE0D0A"/>
    <w:multiLevelType w:val="hybridMultilevel"/>
    <w:tmpl w:val="4DAE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2AE0192"/>
    <w:multiLevelType w:val="hybridMultilevel"/>
    <w:tmpl w:val="BF0488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6D11E2E"/>
    <w:multiLevelType w:val="hybridMultilevel"/>
    <w:tmpl w:val="FDD8F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9B33FEE"/>
    <w:multiLevelType w:val="hybridMultilevel"/>
    <w:tmpl w:val="AC6C5F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E9368B"/>
    <w:multiLevelType w:val="hybridMultilevel"/>
    <w:tmpl w:val="6FA8DA8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C262A9C"/>
    <w:multiLevelType w:val="hybridMultilevel"/>
    <w:tmpl w:val="AD287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4D1A23"/>
    <w:multiLevelType w:val="hybridMultilevel"/>
    <w:tmpl w:val="E230C6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29B6687"/>
    <w:multiLevelType w:val="hybridMultilevel"/>
    <w:tmpl w:val="066476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C7609B0"/>
    <w:multiLevelType w:val="hybridMultilevel"/>
    <w:tmpl w:val="B0CCF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E137B7F"/>
    <w:multiLevelType w:val="hybridMultilevel"/>
    <w:tmpl w:val="F8628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F041A08"/>
    <w:multiLevelType w:val="hybridMultilevel"/>
    <w:tmpl w:val="C4C2FA3E"/>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num w:numId="1" w16cid:durableId="655306463">
    <w:abstractNumId w:val="12"/>
  </w:num>
  <w:num w:numId="2" w16cid:durableId="976453102">
    <w:abstractNumId w:val="23"/>
  </w:num>
  <w:num w:numId="3" w16cid:durableId="22561340">
    <w:abstractNumId w:val="0"/>
  </w:num>
  <w:num w:numId="4" w16cid:durableId="2120028289">
    <w:abstractNumId w:val="5"/>
  </w:num>
  <w:num w:numId="5" w16cid:durableId="389772181">
    <w:abstractNumId w:val="32"/>
  </w:num>
  <w:num w:numId="6" w16cid:durableId="840972832">
    <w:abstractNumId w:val="39"/>
  </w:num>
  <w:num w:numId="7" w16cid:durableId="753169421">
    <w:abstractNumId w:val="35"/>
  </w:num>
  <w:num w:numId="8" w16cid:durableId="1339234015">
    <w:abstractNumId w:val="9"/>
  </w:num>
  <w:num w:numId="9" w16cid:durableId="2015570403">
    <w:abstractNumId w:val="10"/>
  </w:num>
  <w:num w:numId="10" w16cid:durableId="1800757699">
    <w:abstractNumId w:val="19"/>
  </w:num>
  <w:num w:numId="11" w16cid:durableId="1180387438">
    <w:abstractNumId w:val="2"/>
  </w:num>
  <w:num w:numId="12" w16cid:durableId="1562667629">
    <w:abstractNumId w:val="24"/>
  </w:num>
  <w:num w:numId="13" w16cid:durableId="140973313">
    <w:abstractNumId w:val="11"/>
  </w:num>
  <w:num w:numId="14" w16cid:durableId="1118254671">
    <w:abstractNumId w:val="20"/>
  </w:num>
  <w:num w:numId="15" w16cid:durableId="710544094">
    <w:abstractNumId w:val="1"/>
  </w:num>
  <w:num w:numId="16" w16cid:durableId="409936630">
    <w:abstractNumId w:val="13"/>
  </w:num>
  <w:num w:numId="17" w16cid:durableId="390201448">
    <w:abstractNumId w:val="22"/>
  </w:num>
  <w:num w:numId="18" w16cid:durableId="1717392082">
    <w:abstractNumId w:val="6"/>
  </w:num>
  <w:num w:numId="19" w16cid:durableId="2090228997">
    <w:abstractNumId w:val="34"/>
  </w:num>
  <w:num w:numId="20" w16cid:durableId="1986232156">
    <w:abstractNumId w:val="29"/>
  </w:num>
  <w:num w:numId="21" w16cid:durableId="2444614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7178608">
    <w:abstractNumId w:val="26"/>
  </w:num>
  <w:num w:numId="23" w16cid:durableId="1407143089">
    <w:abstractNumId w:val="18"/>
  </w:num>
  <w:num w:numId="24" w16cid:durableId="596794304">
    <w:abstractNumId w:val="36"/>
  </w:num>
  <w:num w:numId="25" w16cid:durableId="322898631">
    <w:abstractNumId w:val="28"/>
  </w:num>
  <w:num w:numId="26" w16cid:durableId="327288578">
    <w:abstractNumId w:val="27"/>
  </w:num>
  <w:num w:numId="27" w16cid:durableId="1117025729">
    <w:abstractNumId w:val="25"/>
  </w:num>
  <w:num w:numId="28" w16cid:durableId="1412845720">
    <w:abstractNumId w:val="40"/>
  </w:num>
  <w:num w:numId="29" w16cid:durableId="1159730711">
    <w:abstractNumId w:val="16"/>
  </w:num>
  <w:num w:numId="30" w16cid:durableId="1424954456">
    <w:abstractNumId w:val="33"/>
  </w:num>
  <w:num w:numId="31" w16cid:durableId="957492765">
    <w:abstractNumId w:val="30"/>
  </w:num>
  <w:num w:numId="32" w16cid:durableId="300159811">
    <w:abstractNumId w:val="38"/>
  </w:num>
  <w:num w:numId="33" w16cid:durableId="1341815574">
    <w:abstractNumId w:val="7"/>
  </w:num>
  <w:num w:numId="34" w16cid:durableId="2075666415">
    <w:abstractNumId w:val="31"/>
  </w:num>
  <w:num w:numId="35" w16cid:durableId="575281499">
    <w:abstractNumId w:val="15"/>
  </w:num>
  <w:num w:numId="36" w16cid:durableId="430517803">
    <w:abstractNumId w:val="17"/>
  </w:num>
  <w:num w:numId="37" w16cid:durableId="55864670">
    <w:abstractNumId w:val="3"/>
  </w:num>
  <w:num w:numId="38" w16cid:durableId="673150537">
    <w:abstractNumId w:val="8"/>
  </w:num>
  <w:num w:numId="39" w16cid:durableId="1402406113">
    <w:abstractNumId w:val="21"/>
  </w:num>
  <w:num w:numId="40" w16cid:durableId="677314702">
    <w:abstractNumId w:val="14"/>
  </w:num>
  <w:num w:numId="41" w16cid:durableId="1996494545">
    <w:abstractNumId w:val="14"/>
  </w:num>
  <w:num w:numId="42" w16cid:durableId="1684894893">
    <w:abstractNumId w:val="4"/>
  </w:num>
  <w:num w:numId="43" w16cid:durableId="163533438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0BD"/>
    <w:rsid w:val="00001787"/>
    <w:rsid w:val="00001A5F"/>
    <w:rsid w:val="00003FDE"/>
    <w:rsid w:val="000046FE"/>
    <w:rsid w:val="00004B5D"/>
    <w:rsid w:val="00004E88"/>
    <w:rsid w:val="00005362"/>
    <w:rsid w:val="00005434"/>
    <w:rsid w:val="00006824"/>
    <w:rsid w:val="00006A2F"/>
    <w:rsid w:val="00006A92"/>
    <w:rsid w:val="00007029"/>
    <w:rsid w:val="000072D9"/>
    <w:rsid w:val="00011FE2"/>
    <w:rsid w:val="0001221D"/>
    <w:rsid w:val="000130E3"/>
    <w:rsid w:val="000139E3"/>
    <w:rsid w:val="00013CB4"/>
    <w:rsid w:val="00014F1F"/>
    <w:rsid w:val="00016107"/>
    <w:rsid w:val="00017E45"/>
    <w:rsid w:val="00017F47"/>
    <w:rsid w:val="0002013C"/>
    <w:rsid w:val="00020CA3"/>
    <w:rsid w:val="000218DE"/>
    <w:rsid w:val="00021B4D"/>
    <w:rsid w:val="00021FDD"/>
    <w:rsid w:val="0002292D"/>
    <w:rsid w:val="00023512"/>
    <w:rsid w:val="0002411F"/>
    <w:rsid w:val="0002512C"/>
    <w:rsid w:val="00025E28"/>
    <w:rsid w:val="000267E2"/>
    <w:rsid w:val="00027839"/>
    <w:rsid w:val="00027945"/>
    <w:rsid w:val="0003012E"/>
    <w:rsid w:val="00030140"/>
    <w:rsid w:val="0003032A"/>
    <w:rsid w:val="000306D3"/>
    <w:rsid w:val="00030DC4"/>
    <w:rsid w:val="0003134F"/>
    <w:rsid w:val="00031B7B"/>
    <w:rsid w:val="00032FD9"/>
    <w:rsid w:val="00033563"/>
    <w:rsid w:val="00034468"/>
    <w:rsid w:val="00034E32"/>
    <w:rsid w:val="00034F8F"/>
    <w:rsid w:val="00036EFB"/>
    <w:rsid w:val="000373A5"/>
    <w:rsid w:val="000378D2"/>
    <w:rsid w:val="000413C4"/>
    <w:rsid w:val="000418AF"/>
    <w:rsid w:val="0004407D"/>
    <w:rsid w:val="000462DA"/>
    <w:rsid w:val="00046BCA"/>
    <w:rsid w:val="00047CBD"/>
    <w:rsid w:val="00050FD5"/>
    <w:rsid w:val="000511EF"/>
    <w:rsid w:val="0005126D"/>
    <w:rsid w:val="00051736"/>
    <w:rsid w:val="00052B16"/>
    <w:rsid w:val="00052D50"/>
    <w:rsid w:val="00053AF0"/>
    <w:rsid w:val="00054887"/>
    <w:rsid w:val="00055D3C"/>
    <w:rsid w:val="00056C30"/>
    <w:rsid w:val="00060216"/>
    <w:rsid w:val="00060472"/>
    <w:rsid w:val="000606A4"/>
    <w:rsid w:val="00060F97"/>
    <w:rsid w:val="000619A5"/>
    <w:rsid w:val="000624D9"/>
    <w:rsid w:val="00063EED"/>
    <w:rsid w:val="000646E1"/>
    <w:rsid w:val="0006596A"/>
    <w:rsid w:val="00065AFE"/>
    <w:rsid w:val="00066CFA"/>
    <w:rsid w:val="000700B6"/>
    <w:rsid w:val="0007076C"/>
    <w:rsid w:val="00071631"/>
    <w:rsid w:val="00071A56"/>
    <w:rsid w:val="000725B7"/>
    <w:rsid w:val="00072D67"/>
    <w:rsid w:val="000749BB"/>
    <w:rsid w:val="0007585E"/>
    <w:rsid w:val="00075B6D"/>
    <w:rsid w:val="00076009"/>
    <w:rsid w:val="00076358"/>
    <w:rsid w:val="00076410"/>
    <w:rsid w:val="000777CE"/>
    <w:rsid w:val="00077909"/>
    <w:rsid w:val="000814CB"/>
    <w:rsid w:val="00081D57"/>
    <w:rsid w:val="00082738"/>
    <w:rsid w:val="00082D00"/>
    <w:rsid w:val="00083096"/>
    <w:rsid w:val="000849D0"/>
    <w:rsid w:val="000850E2"/>
    <w:rsid w:val="0008533B"/>
    <w:rsid w:val="000855E7"/>
    <w:rsid w:val="0008597A"/>
    <w:rsid w:val="00086753"/>
    <w:rsid w:val="00090729"/>
    <w:rsid w:val="00090CF1"/>
    <w:rsid w:val="00092117"/>
    <w:rsid w:val="00093150"/>
    <w:rsid w:val="000933DC"/>
    <w:rsid w:val="00094ADF"/>
    <w:rsid w:val="00096378"/>
    <w:rsid w:val="00097896"/>
    <w:rsid w:val="000A04FF"/>
    <w:rsid w:val="000A3088"/>
    <w:rsid w:val="000A30B5"/>
    <w:rsid w:val="000A48FC"/>
    <w:rsid w:val="000A6DFA"/>
    <w:rsid w:val="000A7271"/>
    <w:rsid w:val="000A7ACF"/>
    <w:rsid w:val="000B22E1"/>
    <w:rsid w:val="000B274A"/>
    <w:rsid w:val="000B331D"/>
    <w:rsid w:val="000B381E"/>
    <w:rsid w:val="000B514E"/>
    <w:rsid w:val="000C0B0A"/>
    <w:rsid w:val="000C109B"/>
    <w:rsid w:val="000C1A67"/>
    <w:rsid w:val="000C23B6"/>
    <w:rsid w:val="000C3B1E"/>
    <w:rsid w:val="000C3E4E"/>
    <w:rsid w:val="000C430A"/>
    <w:rsid w:val="000C43B6"/>
    <w:rsid w:val="000C5488"/>
    <w:rsid w:val="000C5C30"/>
    <w:rsid w:val="000C6701"/>
    <w:rsid w:val="000C71CB"/>
    <w:rsid w:val="000C734E"/>
    <w:rsid w:val="000D315A"/>
    <w:rsid w:val="000D386B"/>
    <w:rsid w:val="000D40D2"/>
    <w:rsid w:val="000D4220"/>
    <w:rsid w:val="000D42A8"/>
    <w:rsid w:val="000D4B2A"/>
    <w:rsid w:val="000D4CD2"/>
    <w:rsid w:val="000D5141"/>
    <w:rsid w:val="000D5984"/>
    <w:rsid w:val="000D5E5A"/>
    <w:rsid w:val="000D6FB7"/>
    <w:rsid w:val="000D7A53"/>
    <w:rsid w:val="000E0762"/>
    <w:rsid w:val="000E0C47"/>
    <w:rsid w:val="000E16A3"/>
    <w:rsid w:val="000E194C"/>
    <w:rsid w:val="000E1CAF"/>
    <w:rsid w:val="000E1EB9"/>
    <w:rsid w:val="000E2347"/>
    <w:rsid w:val="000E25BA"/>
    <w:rsid w:val="000E3507"/>
    <w:rsid w:val="000E5882"/>
    <w:rsid w:val="000E5976"/>
    <w:rsid w:val="000E6310"/>
    <w:rsid w:val="000E6C74"/>
    <w:rsid w:val="000F0062"/>
    <w:rsid w:val="000F01F4"/>
    <w:rsid w:val="000F06FD"/>
    <w:rsid w:val="000F0C35"/>
    <w:rsid w:val="000F1418"/>
    <w:rsid w:val="000F1C6A"/>
    <w:rsid w:val="000F4C8F"/>
    <w:rsid w:val="000F7140"/>
    <w:rsid w:val="000F7713"/>
    <w:rsid w:val="000F78E8"/>
    <w:rsid w:val="00101914"/>
    <w:rsid w:val="00101F2B"/>
    <w:rsid w:val="00103628"/>
    <w:rsid w:val="00103791"/>
    <w:rsid w:val="00104084"/>
    <w:rsid w:val="00104E7A"/>
    <w:rsid w:val="00105367"/>
    <w:rsid w:val="001053E6"/>
    <w:rsid w:val="00106159"/>
    <w:rsid w:val="00106459"/>
    <w:rsid w:val="00106F4B"/>
    <w:rsid w:val="0010718D"/>
    <w:rsid w:val="0010762C"/>
    <w:rsid w:val="00107682"/>
    <w:rsid w:val="00110E05"/>
    <w:rsid w:val="00110EBC"/>
    <w:rsid w:val="00111D33"/>
    <w:rsid w:val="001126B0"/>
    <w:rsid w:val="0011486F"/>
    <w:rsid w:val="001154EC"/>
    <w:rsid w:val="00115F4F"/>
    <w:rsid w:val="00116186"/>
    <w:rsid w:val="00117694"/>
    <w:rsid w:val="00117B74"/>
    <w:rsid w:val="001200BB"/>
    <w:rsid w:val="00120348"/>
    <w:rsid w:val="00120A38"/>
    <w:rsid w:val="00121DC9"/>
    <w:rsid w:val="00123051"/>
    <w:rsid w:val="0012339A"/>
    <w:rsid w:val="00123617"/>
    <w:rsid w:val="00124276"/>
    <w:rsid w:val="001251F4"/>
    <w:rsid w:val="00125245"/>
    <w:rsid w:val="00125857"/>
    <w:rsid w:val="001265F5"/>
    <w:rsid w:val="00130B8E"/>
    <w:rsid w:val="001316F4"/>
    <w:rsid w:val="00131C29"/>
    <w:rsid w:val="001325E4"/>
    <w:rsid w:val="0013286A"/>
    <w:rsid w:val="0013473D"/>
    <w:rsid w:val="00135992"/>
    <w:rsid w:val="00135A4F"/>
    <w:rsid w:val="00136049"/>
    <w:rsid w:val="00137A0B"/>
    <w:rsid w:val="00137AD5"/>
    <w:rsid w:val="0014150C"/>
    <w:rsid w:val="00141AFD"/>
    <w:rsid w:val="00142084"/>
    <w:rsid w:val="00142176"/>
    <w:rsid w:val="0014346B"/>
    <w:rsid w:val="00143AC8"/>
    <w:rsid w:val="00145529"/>
    <w:rsid w:val="001456DC"/>
    <w:rsid w:val="0014607E"/>
    <w:rsid w:val="00146A3B"/>
    <w:rsid w:val="001473B0"/>
    <w:rsid w:val="00150439"/>
    <w:rsid w:val="00151044"/>
    <w:rsid w:val="00151B3D"/>
    <w:rsid w:val="00151EFF"/>
    <w:rsid w:val="001532AF"/>
    <w:rsid w:val="001539FF"/>
    <w:rsid w:val="00154E64"/>
    <w:rsid w:val="00157663"/>
    <w:rsid w:val="001606AD"/>
    <w:rsid w:val="001629FF"/>
    <w:rsid w:val="00162A92"/>
    <w:rsid w:val="001630A8"/>
    <w:rsid w:val="0016342C"/>
    <w:rsid w:val="00163532"/>
    <w:rsid w:val="00163D10"/>
    <w:rsid w:val="00165B9B"/>
    <w:rsid w:val="00166133"/>
    <w:rsid w:val="00166F0B"/>
    <w:rsid w:val="00166F3D"/>
    <w:rsid w:val="001677D6"/>
    <w:rsid w:val="00167F87"/>
    <w:rsid w:val="00170F61"/>
    <w:rsid w:val="00170FE7"/>
    <w:rsid w:val="00172E36"/>
    <w:rsid w:val="001730EA"/>
    <w:rsid w:val="001731F6"/>
    <w:rsid w:val="0017366A"/>
    <w:rsid w:val="00173E09"/>
    <w:rsid w:val="00174306"/>
    <w:rsid w:val="00174895"/>
    <w:rsid w:val="00174B99"/>
    <w:rsid w:val="001764B8"/>
    <w:rsid w:val="00176E83"/>
    <w:rsid w:val="00177D82"/>
    <w:rsid w:val="00180488"/>
    <w:rsid w:val="001807C5"/>
    <w:rsid w:val="00182CE2"/>
    <w:rsid w:val="00183E52"/>
    <w:rsid w:val="001858DD"/>
    <w:rsid w:val="0019021B"/>
    <w:rsid w:val="001912C7"/>
    <w:rsid w:val="00191A46"/>
    <w:rsid w:val="00193009"/>
    <w:rsid w:val="001932D5"/>
    <w:rsid w:val="00193FA5"/>
    <w:rsid w:val="0019514C"/>
    <w:rsid w:val="00195405"/>
    <w:rsid w:val="0019594A"/>
    <w:rsid w:val="00195F31"/>
    <w:rsid w:val="00195F76"/>
    <w:rsid w:val="00196151"/>
    <w:rsid w:val="001962CF"/>
    <w:rsid w:val="0019774A"/>
    <w:rsid w:val="001A00D5"/>
    <w:rsid w:val="001A0CEC"/>
    <w:rsid w:val="001A1EFE"/>
    <w:rsid w:val="001A3544"/>
    <w:rsid w:val="001A451C"/>
    <w:rsid w:val="001A4657"/>
    <w:rsid w:val="001A4ECC"/>
    <w:rsid w:val="001A527D"/>
    <w:rsid w:val="001A5E4B"/>
    <w:rsid w:val="001A68FF"/>
    <w:rsid w:val="001A69D3"/>
    <w:rsid w:val="001A71F2"/>
    <w:rsid w:val="001A7906"/>
    <w:rsid w:val="001B0B44"/>
    <w:rsid w:val="001B0DDF"/>
    <w:rsid w:val="001B1856"/>
    <w:rsid w:val="001B209F"/>
    <w:rsid w:val="001B3252"/>
    <w:rsid w:val="001B356B"/>
    <w:rsid w:val="001B49E5"/>
    <w:rsid w:val="001B5E6A"/>
    <w:rsid w:val="001B6812"/>
    <w:rsid w:val="001B7DD2"/>
    <w:rsid w:val="001C0095"/>
    <w:rsid w:val="001C0643"/>
    <w:rsid w:val="001C17D7"/>
    <w:rsid w:val="001C219D"/>
    <w:rsid w:val="001C3EC8"/>
    <w:rsid w:val="001C3EF6"/>
    <w:rsid w:val="001C744A"/>
    <w:rsid w:val="001C75F5"/>
    <w:rsid w:val="001C7A7A"/>
    <w:rsid w:val="001C7C42"/>
    <w:rsid w:val="001D1AC0"/>
    <w:rsid w:val="001D3DC6"/>
    <w:rsid w:val="001D41ED"/>
    <w:rsid w:val="001D43DF"/>
    <w:rsid w:val="001D542F"/>
    <w:rsid w:val="001D6467"/>
    <w:rsid w:val="001D7210"/>
    <w:rsid w:val="001D723D"/>
    <w:rsid w:val="001D7559"/>
    <w:rsid w:val="001D78B1"/>
    <w:rsid w:val="001D7D46"/>
    <w:rsid w:val="001D7DF5"/>
    <w:rsid w:val="001E0D57"/>
    <w:rsid w:val="001E10B5"/>
    <w:rsid w:val="001E127F"/>
    <w:rsid w:val="001E16FD"/>
    <w:rsid w:val="001E1A67"/>
    <w:rsid w:val="001E324C"/>
    <w:rsid w:val="001E3723"/>
    <w:rsid w:val="001E4577"/>
    <w:rsid w:val="001E4F76"/>
    <w:rsid w:val="001E5E45"/>
    <w:rsid w:val="001E6618"/>
    <w:rsid w:val="001E6AFB"/>
    <w:rsid w:val="001E788A"/>
    <w:rsid w:val="001E79E3"/>
    <w:rsid w:val="001F0A0A"/>
    <w:rsid w:val="001F1977"/>
    <w:rsid w:val="001F21E7"/>
    <w:rsid w:val="001F2853"/>
    <w:rsid w:val="001F2C83"/>
    <w:rsid w:val="001F42E2"/>
    <w:rsid w:val="001F5C1B"/>
    <w:rsid w:val="001F5E5B"/>
    <w:rsid w:val="001F6075"/>
    <w:rsid w:val="001F642C"/>
    <w:rsid w:val="001F7A18"/>
    <w:rsid w:val="0020007E"/>
    <w:rsid w:val="00200F14"/>
    <w:rsid w:val="0020159F"/>
    <w:rsid w:val="0020161B"/>
    <w:rsid w:val="00201CB0"/>
    <w:rsid w:val="00202408"/>
    <w:rsid w:val="00202725"/>
    <w:rsid w:val="00202836"/>
    <w:rsid w:val="00202DE6"/>
    <w:rsid w:val="0020439B"/>
    <w:rsid w:val="0020512F"/>
    <w:rsid w:val="00206222"/>
    <w:rsid w:val="002065F5"/>
    <w:rsid w:val="00207144"/>
    <w:rsid w:val="0020731E"/>
    <w:rsid w:val="00207659"/>
    <w:rsid w:val="00207CC9"/>
    <w:rsid w:val="00207FF3"/>
    <w:rsid w:val="00210F3E"/>
    <w:rsid w:val="00212921"/>
    <w:rsid w:val="00213A42"/>
    <w:rsid w:val="00215718"/>
    <w:rsid w:val="0021600A"/>
    <w:rsid w:val="00220335"/>
    <w:rsid w:val="00220369"/>
    <w:rsid w:val="0022060E"/>
    <w:rsid w:val="002208A8"/>
    <w:rsid w:val="002209FD"/>
    <w:rsid w:val="0022214F"/>
    <w:rsid w:val="0022299E"/>
    <w:rsid w:val="00223626"/>
    <w:rsid w:val="00223CE7"/>
    <w:rsid w:val="00223FBF"/>
    <w:rsid w:val="00225127"/>
    <w:rsid w:val="00225795"/>
    <w:rsid w:val="002261D1"/>
    <w:rsid w:val="002274ED"/>
    <w:rsid w:val="00227C2A"/>
    <w:rsid w:val="00230055"/>
    <w:rsid w:val="00230552"/>
    <w:rsid w:val="00230C2E"/>
    <w:rsid w:val="002310B1"/>
    <w:rsid w:val="002317A2"/>
    <w:rsid w:val="002333E0"/>
    <w:rsid w:val="002358A7"/>
    <w:rsid w:val="00235E07"/>
    <w:rsid w:val="00236876"/>
    <w:rsid w:val="00236A55"/>
    <w:rsid w:val="002379EA"/>
    <w:rsid w:val="002400B2"/>
    <w:rsid w:val="00240FE0"/>
    <w:rsid w:val="002410D5"/>
    <w:rsid w:val="002419B4"/>
    <w:rsid w:val="00241E23"/>
    <w:rsid w:val="00241E8D"/>
    <w:rsid w:val="002434D5"/>
    <w:rsid w:val="002437B3"/>
    <w:rsid w:val="00244BE5"/>
    <w:rsid w:val="00244D5B"/>
    <w:rsid w:val="00245596"/>
    <w:rsid w:val="002455D1"/>
    <w:rsid w:val="00245969"/>
    <w:rsid w:val="00245F53"/>
    <w:rsid w:val="00246A41"/>
    <w:rsid w:val="00247A0E"/>
    <w:rsid w:val="002503BF"/>
    <w:rsid w:val="0025119E"/>
    <w:rsid w:val="0025131B"/>
    <w:rsid w:val="002528A9"/>
    <w:rsid w:val="00254954"/>
    <w:rsid w:val="00254CAE"/>
    <w:rsid w:val="0025530E"/>
    <w:rsid w:val="002556E7"/>
    <w:rsid w:val="00256272"/>
    <w:rsid w:val="00256CBF"/>
    <w:rsid w:val="00256D21"/>
    <w:rsid w:val="0026203B"/>
    <w:rsid w:val="002624CC"/>
    <w:rsid w:val="00263DAF"/>
    <w:rsid w:val="00264492"/>
    <w:rsid w:val="0026572B"/>
    <w:rsid w:val="002665DC"/>
    <w:rsid w:val="00266DE9"/>
    <w:rsid w:val="00267DC2"/>
    <w:rsid w:val="002706AC"/>
    <w:rsid w:val="002714F6"/>
    <w:rsid w:val="00271895"/>
    <w:rsid w:val="00271AC8"/>
    <w:rsid w:val="0027234A"/>
    <w:rsid w:val="00272649"/>
    <w:rsid w:val="00272669"/>
    <w:rsid w:val="002734FA"/>
    <w:rsid w:val="00273568"/>
    <w:rsid w:val="00273971"/>
    <w:rsid w:val="002742E7"/>
    <w:rsid w:val="00275043"/>
    <w:rsid w:val="002754E0"/>
    <w:rsid w:val="002757C5"/>
    <w:rsid w:val="00280836"/>
    <w:rsid w:val="00280D2F"/>
    <w:rsid w:val="00280F81"/>
    <w:rsid w:val="00281AA3"/>
    <w:rsid w:val="002852C6"/>
    <w:rsid w:val="00285A83"/>
    <w:rsid w:val="00285CDF"/>
    <w:rsid w:val="00287277"/>
    <w:rsid w:val="00287390"/>
    <w:rsid w:val="002876D2"/>
    <w:rsid w:val="00290ABE"/>
    <w:rsid w:val="00291A09"/>
    <w:rsid w:val="00291B4A"/>
    <w:rsid w:val="002922A8"/>
    <w:rsid w:val="00292D5B"/>
    <w:rsid w:val="00293D07"/>
    <w:rsid w:val="00294CAA"/>
    <w:rsid w:val="002950C5"/>
    <w:rsid w:val="00295875"/>
    <w:rsid w:val="00296758"/>
    <w:rsid w:val="00297BEC"/>
    <w:rsid w:val="00297DFB"/>
    <w:rsid w:val="00297F5A"/>
    <w:rsid w:val="002A1835"/>
    <w:rsid w:val="002A2231"/>
    <w:rsid w:val="002A2AA3"/>
    <w:rsid w:val="002A2C14"/>
    <w:rsid w:val="002A36BC"/>
    <w:rsid w:val="002A3A2C"/>
    <w:rsid w:val="002A3A46"/>
    <w:rsid w:val="002A449E"/>
    <w:rsid w:val="002A4AC8"/>
    <w:rsid w:val="002A593A"/>
    <w:rsid w:val="002A77E3"/>
    <w:rsid w:val="002A7D5F"/>
    <w:rsid w:val="002B119F"/>
    <w:rsid w:val="002B1F1A"/>
    <w:rsid w:val="002B38C7"/>
    <w:rsid w:val="002B51C9"/>
    <w:rsid w:val="002B608F"/>
    <w:rsid w:val="002B7401"/>
    <w:rsid w:val="002B75F7"/>
    <w:rsid w:val="002C060C"/>
    <w:rsid w:val="002C0E1C"/>
    <w:rsid w:val="002C1984"/>
    <w:rsid w:val="002C2EEF"/>
    <w:rsid w:val="002C2FDE"/>
    <w:rsid w:val="002C3AE7"/>
    <w:rsid w:val="002C3F94"/>
    <w:rsid w:val="002C4CFD"/>
    <w:rsid w:val="002C6A7A"/>
    <w:rsid w:val="002C74EE"/>
    <w:rsid w:val="002D0406"/>
    <w:rsid w:val="002D066A"/>
    <w:rsid w:val="002D2917"/>
    <w:rsid w:val="002D335C"/>
    <w:rsid w:val="002D342A"/>
    <w:rsid w:val="002D3457"/>
    <w:rsid w:val="002D3FA6"/>
    <w:rsid w:val="002D4214"/>
    <w:rsid w:val="002D4655"/>
    <w:rsid w:val="002D4B12"/>
    <w:rsid w:val="002D6287"/>
    <w:rsid w:val="002D6FA3"/>
    <w:rsid w:val="002D7898"/>
    <w:rsid w:val="002E02E5"/>
    <w:rsid w:val="002E09CF"/>
    <w:rsid w:val="002E1B55"/>
    <w:rsid w:val="002E3620"/>
    <w:rsid w:val="002E4D0F"/>
    <w:rsid w:val="002E5B88"/>
    <w:rsid w:val="002E5CAE"/>
    <w:rsid w:val="002E6246"/>
    <w:rsid w:val="002E70DB"/>
    <w:rsid w:val="002F00AD"/>
    <w:rsid w:val="002F041F"/>
    <w:rsid w:val="002F1882"/>
    <w:rsid w:val="002F20E1"/>
    <w:rsid w:val="002F26F9"/>
    <w:rsid w:val="002F2932"/>
    <w:rsid w:val="002F5880"/>
    <w:rsid w:val="002F6351"/>
    <w:rsid w:val="002F68E3"/>
    <w:rsid w:val="003006A7"/>
    <w:rsid w:val="00302145"/>
    <w:rsid w:val="003024F1"/>
    <w:rsid w:val="003036DE"/>
    <w:rsid w:val="00303E36"/>
    <w:rsid w:val="003055E3"/>
    <w:rsid w:val="003063D8"/>
    <w:rsid w:val="00306B8B"/>
    <w:rsid w:val="003073A8"/>
    <w:rsid w:val="00310D82"/>
    <w:rsid w:val="00311BB6"/>
    <w:rsid w:val="00311BE7"/>
    <w:rsid w:val="00311CE3"/>
    <w:rsid w:val="00311D1B"/>
    <w:rsid w:val="00312CAC"/>
    <w:rsid w:val="00313848"/>
    <w:rsid w:val="00313903"/>
    <w:rsid w:val="00313DFB"/>
    <w:rsid w:val="0031404D"/>
    <w:rsid w:val="0031438E"/>
    <w:rsid w:val="00314BD2"/>
    <w:rsid w:val="00314DB5"/>
    <w:rsid w:val="00314F7F"/>
    <w:rsid w:val="00315058"/>
    <w:rsid w:val="00315CAB"/>
    <w:rsid w:val="00317406"/>
    <w:rsid w:val="00320597"/>
    <w:rsid w:val="00320D67"/>
    <w:rsid w:val="003222F3"/>
    <w:rsid w:val="00323A5B"/>
    <w:rsid w:val="003265A1"/>
    <w:rsid w:val="00326719"/>
    <w:rsid w:val="003269D4"/>
    <w:rsid w:val="00327D79"/>
    <w:rsid w:val="0033181C"/>
    <w:rsid w:val="003319F3"/>
    <w:rsid w:val="00332B4C"/>
    <w:rsid w:val="00332DB3"/>
    <w:rsid w:val="00333079"/>
    <w:rsid w:val="003349FF"/>
    <w:rsid w:val="00334F10"/>
    <w:rsid w:val="00335E36"/>
    <w:rsid w:val="003362DD"/>
    <w:rsid w:val="00337E3C"/>
    <w:rsid w:val="00337F37"/>
    <w:rsid w:val="0034011B"/>
    <w:rsid w:val="00340529"/>
    <w:rsid w:val="00340ACB"/>
    <w:rsid w:val="00341CF1"/>
    <w:rsid w:val="003426BF"/>
    <w:rsid w:val="00342715"/>
    <w:rsid w:val="00342CAB"/>
    <w:rsid w:val="00342E4F"/>
    <w:rsid w:val="0034306F"/>
    <w:rsid w:val="0034342C"/>
    <w:rsid w:val="00343754"/>
    <w:rsid w:val="00344544"/>
    <w:rsid w:val="003469B1"/>
    <w:rsid w:val="003503EC"/>
    <w:rsid w:val="003513F6"/>
    <w:rsid w:val="003518EE"/>
    <w:rsid w:val="00351EC5"/>
    <w:rsid w:val="00352444"/>
    <w:rsid w:val="00352538"/>
    <w:rsid w:val="003535B6"/>
    <w:rsid w:val="00355BBF"/>
    <w:rsid w:val="00355D04"/>
    <w:rsid w:val="0035708D"/>
    <w:rsid w:val="00357998"/>
    <w:rsid w:val="00357A51"/>
    <w:rsid w:val="00357C62"/>
    <w:rsid w:val="00357E89"/>
    <w:rsid w:val="00361916"/>
    <w:rsid w:val="00362859"/>
    <w:rsid w:val="00364308"/>
    <w:rsid w:val="003649F1"/>
    <w:rsid w:val="00365A8A"/>
    <w:rsid w:val="003664AD"/>
    <w:rsid w:val="0036701F"/>
    <w:rsid w:val="00370EDB"/>
    <w:rsid w:val="00371009"/>
    <w:rsid w:val="0037153D"/>
    <w:rsid w:val="00371782"/>
    <w:rsid w:val="00371DB0"/>
    <w:rsid w:val="00373B8F"/>
    <w:rsid w:val="00375A7B"/>
    <w:rsid w:val="003760E8"/>
    <w:rsid w:val="003762F3"/>
    <w:rsid w:val="00377B9A"/>
    <w:rsid w:val="003807EB"/>
    <w:rsid w:val="003809B3"/>
    <w:rsid w:val="00380E45"/>
    <w:rsid w:val="0038112F"/>
    <w:rsid w:val="003811B0"/>
    <w:rsid w:val="00381863"/>
    <w:rsid w:val="00381A53"/>
    <w:rsid w:val="0038209A"/>
    <w:rsid w:val="00382567"/>
    <w:rsid w:val="00383035"/>
    <w:rsid w:val="00383BF1"/>
    <w:rsid w:val="003842AE"/>
    <w:rsid w:val="003845F0"/>
    <w:rsid w:val="0038473E"/>
    <w:rsid w:val="00384EAA"/>
    <w:rsid w:val="0038784D"/>
    <w:rsid w:val="003914D0"/>
    <w:rsid w:val="00391586"/>
    <w:rsid w:val="003915D4"/>
    <w:rsid w:val="00392501"/>
    <w:rsid w:val="00392C21"/>
    <w:rsid w:val="00392D9F"/>
    <w:rsid w:val="00395126"/>
    <w:rsid w:val="00395B5A"/>
    <w:rsid w:val="003965B1"/>
    <w:rsid w:val="00396CDF"/>
    <w:rsid w:val="0039704C"/>
    <w:rsid w:val="003A0C3C"/>
    <w:rsid w:val="003A0E7C"/>
    <w:rsid w:val="003A1C09"/>
    <w:rsid w:val="003A22F1"/>
    <w:rsid w:val="003A2AD4"/>
    <w:rsid w:val="003A2C95"/>
    <w:rsid w:val="003A30C3"/>
    <w:rsid w:val="003A3571"/>
    <w:rsid w:val="003A4248"/>
    <w:rsid w:val="003A4900"/>
    <w:rsid w:val="003A54FB"/>
    <w:rsid w:val="003A55F0"/>
    <w:rsid w:val="003A7737"/>
    <w:rsid w:val="003A7987"/>
    <w:rsid w:val="003B0228"/>
    <w:rsid w:val="003B24D9"/>
    <w:rsid w:val="003B26F6"/>
    <w:rsid w:val="003B28B2"/>
    <w:rsid w:val="003B2A38"/>
    <w:rsid w:val="003B4A57"/>
    <w:rsid w:val="003B4C95"/>
    <w:rsid w:val="003B52A7"/>
    <w:rsid w:val="003B573F"/>
    <w:rsid w:val="003B5D13"/>
    <w:rsid w:val="003B6107"/>
    <w:rsid w:val="003B7BFB"/>
    <w:rsid w:val="003C05D2"/>
    <w:rsid w:val="003C0A7C"/>
    <w:rsid w:val="003C0CE5"/>
    <w:rsid w:val="003C0D4E"/>
    <w:rsid w:val="003C18B1"/>
    <w:rsid w:val="003C28CA"/>
    <w:rsid w:val="003C39D9"/>
    <w:rsid w:val="003C3F9C"/>
    <w:rsid w:val="003C562C"/>
    <w:rsid w:val="003C5AE1"/>
    <w:rsid w:val="003C7B73"/>
    <w:rsid w:val="003D1CD8"/>
    <w:rsid w:val="003D247C"/>
    <w:rsid w:val="003D28A6"/>
    <w:rsid w:val="003D3F8B"/>
    <w:rsid w:val="003D4FBA"/>
    <w:rsid w:val="003D5A85"/>
    <w:rsid w:val="003D618D"/>
    <w:rsid w:val="003D6A13"/>
    <w:rsid w:val="003D7D4F"/>
    <w:rsid w:val="003D7E16"/>
    <w:rsid w:val="003E0093"/>
    <w:rsid w:val="003E05B5"/>
    <w:rsid w:val="003E071D"/>
    <w:rsid w:val="003E0798"/>
    <w:rsid w:val="003E086D"/>
    <w:rsid w:val="003E0ABD"/>
    <w:rsid w:val="003E21EC"/>
    <w:rsid w:val="003E37DD"/>
    <w:rsid w:val="003E3986"/>
    <w:rsid w:val="003E5F48"/>
    <w:rsid w:val="003E6318"/>
    <w:rsid w:val="003F0D7F"/>
    <w:rsid w:val="003F181B"/>
    <w:rsid w:val="003F1DB2"/>
    <w:rsid w:val="003F24F0"/>
    <w:rsid w:val="003F2970"/>
    <w:rsid w:val="003F3502"/>
    <w:rsid w:val="003F3EDB"/>
    <w:rsid w:val="003F40F2"/>
    <w:rsid w:val="003F4624"/>
    <w:rsid w:val="003F471F"/>
    <w:rsid w:val="003F54E8"/>
    <w:rsid w:val="003F55DA"/>
    <w:rsid w:val="003F5C0F"/>
    <w:rsid w:val="003F7C54"/>
    <w:rsid w:val="00400119"/>
    <w:rsid w:val="00401B58"/>
    <w:rsid w:val="00401C2F"/>
    <w:rsid w:val="0040357C"/>
    <w:rsid w:val="004036FA"/>
    <w:rsid w:val="0040392D"/>
    <w:rsid w:val="00404229"/>
    <w:rsid w:val="00404263"/>
    <w:rsid w:val="00404353"/>
    <w:rsid w:val="00404C98"/>
    <w:rsid w:val="00405450"/>
    <w:rsid w:val="00406DE2"/>
    <w:rsid w:val="00406F1D"/>
    <w:rsid w:val="00410650"/>
    <w:rsid w:val="00410E81"/>
    <w:rsid w:val="00411146"/>
    <w:rsid w:val="00411A9F"/>
    <w:rsid w:val="00412A22"/>
    <w:rsid w:val="00413900"/>
    <w:rsid w:val="00414003"/>
    <w:rsid w:val="004146EF"/>
    <w:rsid w:val="0041481E"/>
    <w:rsid w:val="0041482F"/>
    <w:rsid w:val="00414DD9"/>
    <w:rsid w:val="0041601E"/>
    <w:rsid w:val="0041615B"/>
    <w:rsid w:val="0042196C"/>
    <w:rsid w:val="00421FB7"/>
    <w:rsid w:val="00422384"/>
    <w:rsid w:val="004232A1"/>
    <w:rsid w:val="00423451"/>
    <w:rsid w:val="004236A7"/>
    <w:rsid w:val="00424C1A"/>
    <w:rsid w:val="00424E3E"/>
    <w:rsid w:val="00425338"/>
    <w:rsid w:val="00425AC9"/>
    <w:rsid w:val="00427A5D"/>
    <w:rsid w:val="00431442"/>
    <w:rsid w:val="00431668"/>
    <w:rsid w:val="00431CAD"/>
    <w:rsid w:val="00432DF5"/>
    <w:rsid w:val="00433267"/>
    <w:rsid w:val="0043362C"/>
    <w:rsid w:val="004337E8"/>
    <w:rsid w:val="00433953"/>
    <w:rsid w:val="00433D13"/>
    <w:rsid w:val="00433EC5"/>
    <w:rsid w:val="004340B7"/>
    <w:rsid w:val="0043419B"/>
    <w:rsid w:val="004362DC"/>
    <w:rsid w:val="00436CB2"/>
    <w:rsid w:val="00436E62"/>
    <w:rsid w:val="0043773D"/>
    <w:rsid w:val="00440175"/>
    <w:rsid w:val="004401F4"/>
    <w:rsid w:val="004404DA"/>
    <w:rsid w:val="00440DB8"/>
    <w:rsid w:val="00441B7F"/>
    <w:rsid w:val="00442890"/>
    <w:rsid w:val="004428A9"/>
    <w:rsid w:val="004435B7"/>
    <w:rsid w:val="00443B45"/>
    <w:rsid w:val="00443F7D"/>
    <w:rsid w:val="00444378"/>
    <w:rsid w:val="0044530C"/>
    <w:rsid w:val="00445CA4"/>
    <w:rsid w:val="004463C5"/>
    <w:rsid w:val="0044656F"/>
    <w:rsid w:val="004501D0"/>
    <w:rsid w:val="0045091D"/>
    <w:rsid w:val="004518D4"/>
    <w:rsid w:val="0045202E"/>
    <w:rsid w:val="00452DBB"/>
    <w:rsid w:val="00453BB0"/>
    <w:rsid w:val="00453C90"/>
    <w:rsid w:val="00454168"/>
    <w:rsid w:val="0045545A"/>
    <w:rsid w:val="0045606E"/>
    <w:rsid w:val="004561FE"/>
    <w:rsid w:val="004572ED"/>
    <w:rsid w:val="00457BED"/>
    <w:rsid w:val="00457E56"/>
    <w:rsid w:val="004607CC"/>
    <w:rsid w:val="004609C0"/>
    <w:rsid w:val="00460BA4"/>
    <w:rsid w:val="00461DBC"/>
    <w:rsid w:val="004622F4"/>
    <w:rsid w:val="00463248"/>
    <w:rsid w:val="0046332C"/>
    <w:rsid w:val="0046351F"/>
    <w:rsid w:val="00463601"/>
    <w:rsid w:val="004638A0"/>
    <w:rsid w:val="00463FB7"/>
    <w:rsid w:val="004644AA"/>
    <w:rsid w:val="004663A1"/>
    <w:rsid w:val="00466E7F"/>
    <w:rsid w:val="004703D9"/>
    <w:rsid w:val="00470F82"/>
    <w:rsid w:val="00471095"/>
    <w:rsid w:val="00471E5E"/>
    <w:rsid w:val="004732B9"/>
    <w:rsid w:val="00474243"/>
    <w:rsid w:val="00474324"/>
    <w:rsid w:val="004744E7"/>
    <w:rsid w:val="004751F0"/>
    <w:rsid w:val="00475BFB"/>
    <w:rsid w:val="00476024"/>
    <w:rsid w:val="00476744"/>
    <w:rsid w:val="004779CA"/>
    <w:rsid w:val="00477A05"/>
    <w:rsid w:val="00477D21"/>
    <w:rsid w:val="00477DD2"/>
    <w:rsid w:val="004802C7"/>
    <w:rsid w:val="004803BA"/>
    <w:rsid w:val="00480E29"/>
    <w:rsid w:val="00481F1C"/>
    <w:rsid w:val="004825A5"/>
    <w:rsid w:val="004825B0"/>
    <w:rsid w:val="00483046"/>
    <w:rsid w:val="004838ED"/>
    <w:rsid w:val="004872AA"/>
    <w:rsid w:val="004879E9"/>
    <w:rsid w:val="00487E44"/>
    <w:rsid w:val="00490A6B"/>
    <w:rsid w:val="00491453"/>
    <w:rsid w:val="0049164D"/>
    <w:rsid w:val="00491B79"/>
    <w:rsid w:val="0049295C"/>
    <w:rsid w:val="00494531"/>
    <w:rsid w:val="004950C3"/>
    <w:rsid w:val="00496552"/>
    <w:rsid w:val="004A05FF"/>
    <w:rsid w:val="004A094F"/>
    <w:rsid w:val="004A0CF5"/>
    <w:rsid w:val="004A13C7"/>
    <w:rsid w:val="004A27AD"/>
    <w:rsid w:val="004A29E4"/>
    <w:rsid w:val="004A35A3"/>
    <w:rsid w:val="004A35BE"/>
    <w:rsid w:val="004A3A6C"/>
    <w:rsid w:val="004A4F54"/>
    <w:rsid w:val="004A5203"/>
    <w:rsid w:val="004A6376"/>
    <w:rsid w:val="004A67D2"/>
    <w:rsid w:val="004A6ADA"/>
    <w:rsid w:val="004A74ED"/>
    <w:rsid w:val="004A77F4"/>
    <w:rsid w:val="004A7F26"/>
    <w:rsid w:val="004B0943"/>
    <w:rsid w:val="004B240D"/>
    <w:rsid w:val="004B25E5"/>
    <w:rsid w:val="004B39C3"/>
    <w:rsid w:val="004B46C6"/>
    <w:rsid w:val="004B4723"/>
    <w:rsid w:val="004B4CEB"/>
    <w:rsid w:val="004B5080"/>
    <w:rsid w:val="004B5361"/>
    <w:rsid w:val="004B53FA"/>
    <w:rsid w:val="004B57EC"/>
    <w:rsid w:val="004B61EF"/>
    <w:rsid w:val="004B6579"/>
    <w:rsid w:val="004B69FD"/>
    <w:rsid w:val="004B6C44"/>
    <w:rsid w:val="004B6F5C"/>
    <w:rsid w:val="004C0A32"/>
    <w:rsid w:val="004C14FE"/>
    <w:rsid w:val="004C1F51"/>
    <w:rsid w:val="004C2C88"/>
    <w:rsid w:val="004C2EAA"/>
    <w:rsid w:val="004C64E6"/>
    <w:rsid w:val="004C6ACB"/>
    <w:rsid w:val="004C7E0D"/>
    <w:rsid w:val="004D00E2"/>
    <w:rsid w:val="004D1190"/>
    <w:rsid w:val="004D295C"/>
    <w:rsid w:val="004D346B"/>
    <w:rsid w:val="004D5039"/>
    <w:rsid w:val="004D554D"/>
    <w:rsid w:val="004D5851"/>
    <w:rsid w:val="004D5AB5"/>
    <w:rsid w:val="004D6E82"/>
    <w:rsid w:val="004D6F2E"/>
    <w:rsid w:val="004D6F5D"/>
    <w:rsid w:val="004D7222"/>
    <w:rsid w:val="004D7239"/>
    <w:rsid w:val="004E04AD"/>
    <w:rsid w:val="004E0CD7"/>
    <w:rsid w:val="004E2F56"/>
    <w:rsid w:val="004E4F1C"/>
    <w:rsid w:val="004E5AEB"/>
    <w:rsid w:val="004E66CB"/>
    <w:rsid w:val="004E7159"/>
    <w:rsid w:val="004F061D"/>
    <w:rsid w:val="004F0D9D"/>
    <w:rsid w:val="004F1B6D"/>
    <w:rsid w:val="004F1E4E"/>
    <w:rsid w:val="004F20B6"/>
    <w:rsid w:val="004F2497"/>
    <w:rsid w:val="004F2E3F"/>
    <w:rsid w:val="004F3F29"/>
    <w:rsid w:val="004F4260"/>
    <w:rsid w:val="004F4D01"/>
    <w:rsid w:val="004F5790"/>
    <w:rsid w:val="004F7507"/>
    <w:rsid w:val="004F7609"/>
    <w:rsid w:val="004F768E"/>
    <w:rsid w:val="004F7976"/>
    <w:rsid w:val="004F7A46"/>
    <w:rsid w:val="00500424"/>
    <w:rsid w:val="005015F7"/>
    <w:rsid w:val="00501D08"/>
    <w:rsid w:val="00502B2D"/>
    <w:rsid w:val="005036E8"/>
    <w:rsid w:val="0050380E"/>
    <w:rsid w:val="0050542D"/>
    <w:rsid w:val="00505617"/>
    <w:rsid w:val="005056D1"/>
    <w:rsid w:val="00505E06"/>
    <w:rsid w:val="00506350"/>
    <w:rsid w:val="00506709"/>
    <w:rsid w:val="005068BB"/>
    <w:rsid w:val="00506BD3"/>
    <w:rsid w:val="00507D7A"/>
    <w:rsid w:val="00510EDF"/>
    <w:rsid w:val="00511671"/>
    <w:rsid w:val="00511C0E"/>
    <w:rsid w:val="0051225E"/>
    <w:rsid w:val="005127A6"/>
    <w:rsid w:val="0051376E"/>
    <w:rsid w:val="00513803"/>
    <w:rsid w:val="0051437F"/>
    <w:rsid w:val="00515A7E"/>
    <w:rsid w:val="00516609"/>
    <w:rsid w:val="00516B7E"/>
    <w:rsid w:val="00516DF2"/>
    <w:rsid w:val="005176A0"/>
    <w:rsid w:val="005206E3"/>
    <w:rsid w:val="005218CB"/>
    <w:rsid w:val="00521CC1"/>
    <w:rsid w:val="00522085"/>
    <w:rsid w:val="00524541"/>
    <w:rsid w:val="00524AD4"/>
    <w:rsid w:val="00525DEB"/>
    <w:rsid w:val="0052609E"/>
    <w:rsid w:val="00526895"/>
    <w:rsid w:val="0052721A"/>
    <w:rsid w:val="00527829"/>
    <w:rsid w:val="00527C2C"/>
    <w:rsid w:val="0053006D"/>
    <w:rsid w:val="0053190F"/>
    <w:rsid w:val="00531D03"/>
    <w:rsid w:val="00532306"/>
    <w:rsid w:val="00532373"/>
    <w:rsid w:val="005324FE"/>
    <w:rsid w:val="0053260A"/>
    <w:rsid w:val="00532B0A"/>
    <w:rsid w:val="0053638C"/>
    <w:rsid w:val="00541D63"/>
    <w:rsid w:val="00541EA8"/>
    <w:rsid w:val="00542A48"/>
    <w:rsid w:val="00543A54"/>
    <w:rsid w:val="00545EFC"/>
    <w:rsid w:val="0054653B"/>
    <w:rsid w:val="00550E28"/>
    <w:rsid w:val="00551212"/>
    <w:rsid w:val="00551334"/>
    <w:rsid w:val="00552313"/>
    <w:rsid w:val="0055295C"/>
    <w:rsid w:val="005530B4"/>
    <w:rsid w:val="0055340F"/>
    <w:rsid w:val="0055411C"/>
    <w:rsid w:val="00555BA2"/>
    <w:rsid w:val="005561F2"/>
    <w:rsid w:val="00556CB4"/>
    <w:rsid w:val="0055794E"/>
    <w:rsid w:val="00557CE0"/>
    <w:rsid w:val="00560594"/>
    <w:rsid w:val="005608B5"/>
    <w:rsid w:val="005616EA"/>
    <w:rsid w:val="00561B98"/>
    <w:rsid w:val="00563800"/>
    <w:rsid w:val="005640A8"/>
    <w:rsid w:val="00564A4E"/>
    <w:rsid w:val="00565731"/>
    <w:rsid w:val="005657DE"/>
    <w:rsid w:val="00565991"/>
    <w:rsid w:val="0056684D"/>
    <w:rsid w:val="005677B0"/>
    <w:rsid w:val="0057086C"/>
    <w:rsid w:val="005709BE"/>
    <w:rsid w:val="005715D5"/>
    <w:rsid w:val="005735D5"/>
    <w:rsid w:val="00574944"/>
    <w:rsid w:val="00575511"/>
    <w:rsid w:val="00575A29"/>
    <w:rsid w:val="00577F29"/>
    <w:rsid w:val="0058033C"/>
    <w:rsid w:val="00580D75"/>
    <w:rsid w:val="00580D7E"/>
    <w:rsid w:val="0058114B"/>
    <w:rsid w:val="00581A45"/>
    <w:rsid w:val="00582F7F"/>
    <w:rsid w:val="0058606B"/>
    <w:rsid w:val="0058665E"/>
    <w:rsid w:val="00587423"/>
    <w:rsid w:val="00587530"/>
    <w:rsid w:val="00587BEF"/>
    <w:rsid w:val="005900CD"/>
    <w:rsid w:val="00592B64"/>
    <w:rsid w:val="00592BDB"/>
    <w:rsid w:val="00593C03"/>
    <w:rsid w:val="0059443E"/>
    <w:rsid w:val="005946A6"/>
    <w:rsid w:val="00594B79"/>
    <w:rsid w:val="0059564F"/>
    <w:rsid w:val="00596893"/>
    <w:rsid w:val="0059769B"/>
    <w:rsid w:val="00597775"/>
    <w:rsid w:val="005978D5"/>
    <w:rsid w:val="005A0AD3"/>
    <w:rsid w:val="005A1F05"/>
    <w:rsid w:val="005A22DE"/>
    <w:rsid w:val="005A2A3B"/>
    <w:rsid w:val="005A30E8"/>
    <w:rsid w:val="005A4C1A"/>
    <w:rsid w:val="005A4C85"/>
    <w:rsid w:val="005A6B68"/>
    <w:rsid w:val="005A734C"/>
    <w:rsid w:val="005A77B7"/>
    <w:rsid w:val="005B06DB"/>
    <w:rsid w:val="005B0E0D"/>
    <w:rsid w:val="005B1522"/>
    <w:rsid w:val="005B3015"/>
    <w:rsid w:val="005B3A69"/>
    <w:rsid w:val="005B5CEC"/>
    <w:rsid w:val="005C0724"/>
    <w:rsid w:val="005C09EE"/>
    <w:rsid w:val="005C2115"/>
    <w:rsid w:val="005C364D"/>
    <w:rsid w:val="005C415C"/>
    <w:rsid w:val="005C543F"/>
    <w:rsid w:val="005C643C"/>
    <w:rsid w:val="005C6C65"/>
    <w:rsid w:val="005C702B"/>
    <w:rsid w:val="005D0DF5"/>
    <w:rsid w:val="005D149D"/>
    <w:rsid w:val="005D2009"/>
    <w:rsid w:val="005D25EA"/>
    <w:rsid w:val="005D25EE"/>
    <w:rsid w:val="005D4246"/>
    <w:rsid w:val="005D4528"/>
    <w:rsid w:val="005D4592"/>
    <w:rsid w:val="005D6FD8"/>
    <w:rsid w:val="005D7674"/>
    <w:rsid w:val="005D76CA"/>
    <w:rsid w:val="005E0CB8"/>
    <w:rsid w:val="005E2056"/>
    <w:rsid w:val="005E4CE6"/>
    <w:rsid w:val="005E4D19"/>
    <w:rsid w:val="005E5CE1"/>
    <w:rsid w:val="005E729B"/>
    <w:rsid w:val="005E76D8"/>
    <w:rsid w:val="005E7DFE"/>
    <w:rsid w:val="005F2396"/>
    <w:rsid w:val="005F2533"/>
    <w:rsid w:val="005F29E7"/>
    <w:rsid w:val="005F2F77"/>
    <w:rsid w:val="005F3C95"/>
    <w:rsid w:val="005F411A"/>
    <w:rsid w:val="005F5119"/>
    <w:rsid w:val="005F5C4B"/>
    <w:rsid w:val="005F61AA"/>
    <w:rsid w:val="005F6368"/>
    <w:rsid w:val="006002DA"/>
    <w:rsid w:val="00602009"/>
    <w:rsid w:val="006023DD"/>
    <w:rsid w:val="006039FA"/>
    <w:rsid w:val="0060457B"/>
    <w:rsid w:val="00604E40"/>
    <w:rsid w:val="00605265"/>
    <w:rsid w:val="00605B24"/>
    <w:rsid w:val="006067A2"/>
    <w:rsid w:val="006074C8"/>
    <w:rsid w:val="006074FE"/>
    <w:rsid w:val="006077E8"/>
    <w:rsid w:val="00607E1B"/>
    <w:rsid w:val="00610057"/>
    <w:rsid w:val="00611807"/>
    <w:rsid w:val="006118EE"/>
    <w:rsid w:val="0061249A"/>
    <w:rsid w:val="00612CFD"/>
    <w:rsid w:val="00615D46"/>
    <w:rsid w:val="0061691A"/>
    <w:rsid w:val="00616977"/>
    <w:rsid w:val="00617BA7"/>
    <w:rsid w:val="00617F01"/>
    <w:rsid w:val="00620CA8"/>
    <w:rsid w:val="0062147A"/>
    <w:rsid w:val="0062258B"/>
    <w:rsid w:val="00622B28"/>
    <w:rsid w:val="006235E7"/>
    <w:rsid w:val="0062531F"/>
    <w:rsid w:val="0062540D"/>
    <w:rsid w:val="0062580E"/>
    <w:rsid w:val="00625C59"/>
    <w:rsid w:val="006275B0"/>
    <w:rsid w:val="00631BE7"/>
    <w:rsid w:val="00632D5F"/>
    <w:rsid w:val="00632D8B"/>
    <w:rsid w:val="006337AB"/>
    <w:rsid w:val="006342F0"/>
    <w:rsid w:val="0063449F"/>
    <w:rsid w:val="00634572"/>
    <w:rsid w:val="00634B99"/>
    <w:rsid w:val="00635160"/>
    <w:rsid w:val="00635814"/>
    <w:rsid w:val="0063583C"/>
    <w:rsid w:val="00636B67"/>
    <w:rsid w:val="00637E12"/>
    <w:rsid w:val="0064095A"/>
    <w:rsid w:val="00641DB9"/>
    <w:rsid w:val="00642369"/>
    <w:rsid w:val="00642B5F"/>
    <w:rsid w:val="00642E76"/>
    <w:rsid w:val="0064349A"/>
    <w:rsid w:val="00643657"/>
    <w:rsid w:val="00643722"/>
    <w:rsid w:val="00643D94"/>
    <w:rsid w:val="00644A46"/>
    <w:rsid w:val="006451C7"/>
    <w:rsid w:val="0064644F"/>
    <w:rsid w:val="0064729C"/>
    <w:rsid w:val="00647F65"/>
    <w:rsid w:val="00650433"/>
    <w:rsid w:val="006507D1"/>
    <w:rsid w:val="006520CE"/>
    <w:rsid w:val="00652294"/>
    <w:rsid w:val="00652F87"/>
    <w:rsid w:val="0065661C"/>
    <w:rsid w:val="00656D15"/>
    <w:rsid w:val="006578AD"/>
    <w:rsid w:val="006579E3"/>
    <w:rsid w:val="0066200B"/>
    <w:rsid w:val="00662320"/>
    <w:rsid w:val="00663949"/>
    <w:rsid w:val="00663D51"/>
    <w:rsid w:val="00664E2E"/>
    <w:rsid w:val="00666713"/>
    <w:rsid w:val="00666C8D"/>
    <w:rsid w:val="006678CD"/>
    <w:rsid w:val="00667CDB"/>
    <w:rsid w:val="00670A2F"/>
    <w:rsid w:val="00671911"/>
    <w:rsid w:val="00672803"/>
    <w:rsid w:val="006728AB"/>
    <w:rsid w:val="00672A35"/>
    <w:rsid w:val="00673269"/>
    <w:rsid w:val="00674A6A"/>
    <w:rsid w:val="00676215"/>
    <w:rsid w:val="00676B37"/>
    <w:rsid w:val="00677C65"/>
    <w:rsid w:val="00680038"/>
    <w:rsid w:val="00680C64"/>
    <w:rsid w:val="006812BF"/>
    <w:rsid w:val="00681527"/>
    <w:rsid w:val="006817FD"/>
    <w:rsid w:val="00681C3C"/>
    <w:rsid w:val="0068379C"/>
    <w:rsid w:val="0068399D"/>
    <w:rsid w:val="00683C04"/>
    <w:rsid w:val="00683C28"/>
    <w:rsid w:val="00683CD9"/>
    <w:rsid w:val="0068404F"/>
    <w:rsid w:val="00684AE7"/>
    <w:rsid w:val="006858AF"/>
    <w:rsid w:val="00685EA3"/>
    <w:rsid w:val="006871EE"/>
    <w:rsid w:val="00687253"/>
    <w:rsid w:val="006872FA"/>
    <w:rsid w:val="00687582"/>
    <w:rsid w:val="00687B5E"/>
    <w:rsid w:val="00687F42"/>
    <w:rsid w:val="0069024C"/>
    <w:rsid w:val="00690834"/>
    <w:rsid w:val="0069250E"/>
    <w:rsid w:val="00692E2E"/>
    <w:rsid w:val="00693782"/>
    <w:rsid w:val="00694B55"/>
    <w:rsid w:val="0069564D"/>
    <w:rsid w:val="00695950"/>
    <w:rsid w:val="00695A04"/>
    <w:rsid w:val="00697801"/>
    <w:rsid w:val="006A0BBC"/>
    <w:rsid w:val="006A145D"/>
    <w:rsid w:val="006A27BF"/>
    <w:rsid w:val="006A31EC"/>
    <w:rsid w:val="006A504B"/>
    <w:rsid w:val="006A6E06"/>
    <w:rsid w:val="006A7060"/>
    <w:rsid w:val="006A7153"/>
    <w:rsid w:val="006A7CFD"/>
    <w:rsid w:val="006B0044"/>
    <w:rsid w:val="006B03E2"/>
    <w:rsid w:val="006B1225"/>
    <w:rsid w:val="006B2206"/>
    <w:rsid w:val="006B2738"/>
    <w:rsid w:val="006B461E"/>
    <w:rsid w:val="006B6005"/>
    <w:rsid w:val="006B68DF"/>
    <w:rsid w:val="006B75F1"/>
    <w:rsid w:val="006C0333"/>
    <w:rsid w:val="006C0F4A"/>
    <w:rsid w:val="006C17E6"/>
    <w:rsid w:val="006C1DC1"/>
    <w:rsid w:val="006C256C"/>
    <w:rsid w:val="006C3432"/>
    <w:rsid w:val="006C3539"/>
    <w:rsid w:val="006C4870"/>
    <w:rsid w:val="006C4CFA"/>
    <w:rsid w:val="006C4F97"/>
    <w:rsid w:val="006C5326"/>
    <w:rsid w:val="006C56B8"/>
    <w:rsid w:val="006C6380"/>
    <w:rsid w:val="006C730E"/>
    <w:rsid w:val="006D07D7"/>
    <w:rsid w:val="006D088B"/>
    <w:rsid w:val="006D125E"/>
    <w:rsid w:val="006D191D"/>
    <w:rsid w:val="006D2318"/>
    <w:rsid w:val="006D3222"/>
    <w:rsid w:val="006D39AC"/>
    <w:rsid w:val="006D3EB5"/>
    <w:rsid w:val="006D3F5F"/>
    <w:rsid w:val="006D468B"/>
    <w:rsid w:val="006D4930"/>
    <w:rsid w:val="006D4A7F"/>
    <w:rsid w:val="006D4ED9"/>
    <w:rsid w:val="006D51E7"/>
    <w:rsid w:val="006D5A7F"/>
    <w:rsid w:val="006D5F76"/>
    <w:rsid w:val="006D79E9"/>
    <w:rsid w:val="006D7B52"/>
    <w:rsid w:val="006E0900"/>
    <w:rsid w:val="006E0B5F"/>
    <w:rsid w:val="006E0D37"/>
    <w:rsid w:val="006E1925"/>
    <w:rsid w:val="006E207E"/>
    <w:rsid w:val="006E235D"/>
    <w:rsid w:val="006E2675"/>
    <w:rsid w:val="006E27BA"/>
    <w:rsid w:val="006E2835"/>
    <w:rsid w:val="006E29AA"/>
    <w:rsid w:val="006E2BBC"/>
    <w:rsid w:val="006E44E8"/>
    <w:rsid w:val="006E4855"/>
    <w:rsid w:val="006E5589"/>
    <w:rsid w:val="006E5BCE"/>
    <w:rsid w:val="006E65A3"/>
    <w:rsid w:val="006E6655"/>
    <w:rsid w:val="006F01DD"/>
    <w:rsid w:val="006F25B8"/>
    <w:rsid w:val="006F2691"/>
    <w:rsid w:val="006F2A4E"/>
    <w:rsid w:val="006F33AE"/>
    <w:rsid w:val="006F3A2D"/>
    <w:rsid w:val="006F4169"/>
    <w:rsid w:val="006F739C"/>
    <w:rsid w:val="006F75E8"/>
    <w:rsid w:val="00700721"/>
    <w:rsid w:val="00700844"/>
    <w:rsid w:val="007016F2"/>
    <w:rsid w:val="0070314E"/>
    <w:rsid w:val="0070337A"/>
    <w:rsid w:val="00703B91"/>
    <w:rsid w:val="00703FB6"/>
    <w:rsid w:val="0070468F"/>
    <w:rsid w:val="007055F9"/>
    <w:rsid w:val="00706448"/>
    <w:rsid w:val="0070648B"/>
    <w:rsid w:val="00710272"/>
    <w:rsid w:val="00711696"/>
    <w:rsid w:val="00711884"/>
    <w:rsid w:val="00711F83"/>
    <w:rsid w:val="00712481"/>
    <w:rsid w:val="007126AD"/>
    <w:rsid w:val="00713C2E"/>
    <w:rsid w:val="00713FE7"/>
    <w:rsid w:val="00714574"/>
    <w:rsid w:val="0071487E"/>
    <w:rsid w:val="007148E1"/>
    <w:rsid w:val="00714BF4"/>
    <w:rsid w:val="007151B2"/>
    <w:rsid w:val="0071552D"/>
    <w:rsid w:val="00715695"/>
    <w:rsid w:val="0071700D"/>
    <w:rsid w:val="00720E02"/>
    <w:rsid w:val="00720F53"/>
    <w:rsid w:val="007225CE"/>
    <w:rsid w:val="00723A75"/>
    <w:rsid w:val="00723A9D"/>
    <w:rsid w:val="00724777"/>
    <w:rsid w:val="00726EC3"/>
    <w:rsid w:val="00727313"/>
    <w:rsid w:val="00727B96"/>
    <w:rsid w:val="00727F2B"/>
    <w:rsid w:val="00730931"/>
    <w:rsid w:val="007314AB"/>
    <w:rsid w:val="007331E4"/>
    <w:rsid w:val="00733A9C"/>
    <w:rsid w:val="00733B4C"/>
    <w:rsid w:val="007342CD"/>
    <w:rsid w:val="007342F8"/>
    <w:rsid w:val="0073465F"/>
    <w:rsid w:val="0073547D"/>
    <w:rsid w:val="00736610"/>
    <w:rsid w:val="00736FB7"/>
    <w:rsid w:val="00736FF1"/>
    <w:rsid w:val="00737678"/>
    <w:rsid w:val="00737F4F"/>
    <w:rsid w:val="0074062D"/>
    <w:rsid w:val="0074089E"/>
    <w:rsid w:val="00741BFE"/>
    <w:rsid w:val="007420C9"/>
    <w:rsid w:val="00743C4C"/>
    <w:rsid w:val="00743CAE"/>
    <w:rsid w:val="00743DF0"/>
    <w:rsid w:val="00744257"/>
    <w:rsid w:val="00744273"/>
    <w:rsid w:val="00745265"/>
    <w:rsid w:val="007474D8"/>
    <w:rsid w:val="0074771F"/>
    <w:rsid w:val="007504E8"/>
    <w:rsid w:val="00751A31"/>
    <w:rsid w:val="007520E1"/>
    <w:rsid w:val="007520E2"/>
    <w:rsid w:val="007529B9"/>
    <w:rsid w:val="007537AE"/>
    <w:rsid w:val="00754059"/>
    <w:rsid w:val="00754A2E"/>
    <w:rsid w:val="00755920"/>
    <w:rsid w:val="00756944"/>
    <w:rsid w:val="00757157"/>
    <w:rsid w:val="0075779C"/>
    <w:rsid w:val="00757B3F"/>
    <w:rsid w:val="00760465"/>
    <w:rsid w:val="00761703"/>
    <w:rsid w:val="0076243F"/>
    <w:rsid w:val="00763207"/>
    <w:rsid w:val="007637E6"/>
    <w:rsid w:val="00764D53"/>
    <w:rsid w:val="0076519D"/>
    <w:rsid w:val="00765EC1"/>
    <w:rsid w:val="007667F4"/>
    <w:rsid w:val="00766E62"/>
    <w:rsid w:val="00767413"/>
    <w:rsid w:val="00770300"/>
    <w:rsid w:val="00770471"/>
    <w:rsid w:val="00771B43"/>
    <w:rsid w:val="007735B0"/>
    <w:rsid w:val="00773989"/>
    <w:rsid w:val="00773FBF"/>
    <w:rsid w:val="00775006"/>
    <w:rsid w:val="00775106"/>
    <w:rsid w:val="007752C6"/>
    <w:rsid w:val="00775CD4"/>
    <w:rsid w:val="00775F2D"/>
    <w:rsid w:val="00776D01"/>
    <w:rsid w:val="00780DCC"/>
    <w:rsid w:val="0078153C"/>
    <w:rsid w:val="00781E6B"/>
    <w:rsid w:val="00782AF3"/>
    <w:rsid w:val="00782F55"/>
    <w:rsid w:val="007830CA"/>
    <w:rsid w:val="00784687"/>
    <w:rsid w:val="00784802"/>
    <w:rsid w:val="00787717"/>
    <w:rsid w:val="007879E7"/>
    <w:rsid w:val="00787BFA"/>
    <w:rsid w:val="007909B9"/>
    <w:rsid w:val="00790AD0"/>
    <w:rsid w:val="007912BB"/>
    <w:rsid w:val="007925D5"/>
    <w:rsid w:val="00793483"/>
    <w:rsid w:val="0079476E"/>
    <w:rsid w:val="00795CC5"/>
    <w:rsid w:val="007960D0"/>
    <w:rsid w:val="00796542"/>
    <w:rsid w:val="0079693A"/>
    <w:rsid w:val="007A1371"/>
    <w:rsid w:val="007A185E"/>
    <w:rsid w:val="007A1D2A"/>
    <w:rsid w:val="007A2737"/>
    <w:rsid w:val="007A3A90"/>
    <w:rsid w:val="007A4C05"/>
    <w:rsid w:val="007A4D7A"/>
    <w:rsid w:val="007A5878"/>
    <w:rsid w:val="007A5FD6"/>
    <w:rsid w:val="007A6864"/>
    <w:rsid w:val="007A6CA5"/>
    <w:rsid w:val="007A78EE"/>
    <w:rsid w:val="007B001B"/>
    <w:rsid w:val="007B1586"/>
    <w:rsid w:val="007B1D34"/>
    <w:rsid w:val="007B2C74"/>
    <w:rsid w:val="007B3BE9"/>
    <w:rsid w:val="007B7106"/>
    <w:rsid w:val="007B750F"/>
    <w:rsid w:val="007C047D"/>
    <w:rsid w:val="007C05E5"/>
    <w:rsid w:val="007C0BCB"/>
    <w:rsid w:val="007C1608"/>
    <w:rsid w:val="007C3687"/>
    <w:rsid w:val="007C3714"/>
    <w:rsid w:val="007C4537"/>
    <w:rsid w:val="007C47AB"/>
    <w:rsid w:val="007C6C86"/>
    <w:rsid w:val="007C7D15"/>
    <w:rsid w:val="007C7D28"/>
    <w:rsid w:val="007D0235"/>
    <w:rsid w:val="007D15D4"/>
    <w:rsid w:val="007D1995"/>
    <w:rsid w:val="007D2152"/>
    <w:rsid w:val="007D6240"/>
    <w:rsid w:val="007D6580"/>
    <w:rsid w:val="007D74DC"/>
    <w:rsid w:val="007D76E4"/>
    <w:rsid w:val="007E0880"/>
    <w:rsid w:val="007E099D"/>
    <w:rsid w:val="007E0C04"/>
    <w:rsid w:val="007E17E2"/>
    <w:rsid w:val="007E4FDF"/>
    <w:rsid w:val="007E514D"/>
    <w:rsid w:val="007E5426"/>
    <w:rsid w:val="007F030F"/>
    <w:rsid w:val="007F0C41"/>
    <w:rsid w:val="007F0FE8"/>
    <w:rsid w:val="007F17AB"/>
    <w:rsid w:val="007F215F"/>
    <w:rsid w:val="007F228A"/>
    <w:rsid w:val="007F3752"/>
    <w:rsid w:val="007F5182"/>
    <w:rsid w:val="007F5484"/>
    <w:rsid w:val="007F58F9"/>
    <w:rsid w:val="007F5A59"/>
    <w:rsid w:val="007F65D1"/>
    <w:rsid w:val="007F6814"/>
    <w:rsid w:val="007F68D0"/>
    <w:rsid w:val="007F73C9"/>
    <w:rsid w:val="008019A9"/>
    <w:rsid w:val="00801DF5"/>
    <w:rsid w:val="00802EB1"/>
    <w:rsid w:val="0080347F"/>
    <w:rsid w:val="008035FC"/>
    <w:rsid w:val="00803C24"/>
    <w:rsid w:val="00803C9B"/>
    <w:rsid w:val="00804DB6"/>
    <w:rsid w:val="008054DC"/>
    <w:rsid w:val="00805620"/>
    <w:rsid w:val="00805CF1"/>
    <w:rsid w:val="00806CD7"/>
    <w:rsid w:val="00806DDA"/>
    <w:rsid w:val="00807FD9"/>
    <w:rsid w:val="00812413"/>
    <w:rsid w:val="0081242E"/>
    <w:rsid w:val="008137A0"/>
    <w:rsid w:val="0081390D"/>
    <w:rsid w:val="00813A1D"/>
    <w:rsid w:val="00813B69"/>
    <w:rsid w:val="00814225"/>
    <w:rsid w:val="00814579"/>
    <w:rsid w:val="00814D3D"/>
    <w:rsid w:val="00815291"/>
    <w:rsid w:val="008152A8"/>
    <w:rsid w:val="008168D5"/>
    <w:rsid w:val="00820688"/>
    <w:rsid w:val="00820C89"/>
    <w:rsid w:val="00821733"/>
    <w:rsid w:val="008223E0"/>
    <w:rsid w:val="00822CE6"/>
    <w:rsid w:val="008235DE"/>
    <w:rsid w:val="008237B0"/>
    <w:rsid w:val="00823A64"/>
    <w:rsid w:val="00824DEB"/>
    <w:rsid w:val="00826107"/>
    <w:rsid w:val="008263E4"/>
    <w:rsid w:val="00826A20"/>
    <w:rsid w:val="0082781F"/>
    <w:rsid w:val="00830714"/>
    <w:rsid w:val="0083094E"/>
    <w:rsid w:val="008309E4"/>
    <w:rsid w:val="00831CC2"/>
    <w:rsid w:val="00831D1C"/>
    <w:rsid w:val="00831D4D"/>
    <w:rsid w:val="008324D3"/>
    <w:rsid w:val="0083382F"/>
    <w:rsid w:val="00833DCA"/>
    <w:rsid w:val="0083447C"/>
    <w:rsid w:val="00834672"/>
    <w:rsid w:val="0083488C"/>
    <w:rsid w:val="00834DD8"/>
    <w:rsid w:val="00835384"/>
    <w:rsid w:val="00836492"/>
    <w:rsid w:val="0083756A"/>
    <w:rsid w:val="0084079C"/>
    <w:rsid w:val="00841296"/>
    <w:rsid w:val="0084163C"/>
    <w:rsid w:val="008425B4"/>
    <w:rsid w:val="008430BD"/>
    <w:rsid w:val="008433A9"/>
    <w:rsid w:val="00845336"/>
    <w:rsid w:val="0084543E"/>
    <w:rsid w:val="008457EB"/>
    <w:rsid w:val="008457FE"/>
    <w:rsid w:val="0084599D"/>
    <w:rsid w:val="008460A0"/>
    <w:rsid w:val="00846351"/>
    <w:rsid w:val="00846B73"/>
    <w:rsid w:val="00847508"/>
    <w:rsid w:val="00847F24"/>
    <w:rsid w:val="00850194"/>
    <w:rsid w:val="008508A1"/>
    <w:rsid w:val="00852B25"/>
    <w:rsid w:val="00853151"/>
    <w:rsid w:val="00853C04"/>
    <w:rsid w:val="00854DD1"/>
    <w:rsid w:val="00854DEA"/>
    <w:rsid w:val="00855AFE"/>
    <w:rsid w:val="00855D78"/>
    <w:rsid w:val="00855DAF"/>
    <w:rsid w:val="00856C68"/>
    <w:rsid w:val="0085713B"/>
    <w:rsid w:val="00857304"/>
    <w:rsid w:val="00857873"/>
    <w:rsid w:val="00857C01"/>
    <w:rsid w:val="00857E49"/>
    <w:rsid w:val="0086042B"/>
    <w:rsid w:val="00861CD0"/>
    <w:rsid w:val="00862740"/>
    <w:rsid w:val="008646BF"/>
    <w:rsid w:val="00864D6B"/>
    <w:rsid w:val="00864D80"/>
    <w:rsid w:val="00865640"/>
    <w:rsid w:val="00865722"/>
    <w:rsid w:val="008660DF"/>
    <w:rsid w:val="00866AF9"/>
    <w:rsid w:val="008672B9"/>
    <w:rsid w:val="0086784E"/>
    <w:rsid w:val="0087295A"/>
    <w:rsid w:val="008731BA"/>
    <w:rsid w:val="008742F2"/>
    <w:rsid w:val="00875416"/>
    <w:rsid w:val="008759E7"/>
    <w:rsid w:val="00875BC6"/>
    <w:rsid w:val="00875CD0"/>
    <w:rsid w:val="00877079"/>
    <w:rsid w:val="00880119"/>
    <w:rsid w:val="00880E37"/>
    <w:rsid w:val="00881261"/>
    <w:rsid w:val="008819C1"/>
    <w:rsid w:val="00882534"/>
    <w:rsid w:val="00882B63"/>
    <w:rsid w:val="008832BE"/>
    <w:rsid w:val="00883D33"/>
    <w:rsid w:val="00883D80"/>
    <w:rsid w:val="00883D9B"/>
    <w:rsid w:val="008847CC"/>
    <w:rsid w:val="008856B2"/>
    <w:rsid w:val="00886F3C"/>
    <w:rsid w:val="00887087"/>
    <w:rsid w:val="00887AFA"/>
    <w:rsid w:val="00887B6B"/>
    <w:rsid w:val="0089113A"/>
    <w:rsid w:val="00891C42"/>
    <w:rsid w:val="0089209F"/>
    <w:rsid w:val="00892226"/>
    <w:rsid w:val="00892B2B"/>
    <w:rsid w:val="00892B85"/>
    <w:rsid w:val="00892C4D"/>
    <w:rsid w:val="00892F10"/>
    <w:rsid w:val="00892F22"/>
    <w:rsid w:val="0089399D"/>
    <w:rsid w:val="00893F63"/>
    <w:rsid w:val="00894259"/>
    <w:rsid w:val="0089462C"/>
    <w:rsid w:val="0089497B"/>
    <w:rsid w:val="00894BDD"/>
    <w:rsid w:val="00894D51"/>
    <w:rsid w:val="008951CC"/>
    <w:rsid w:val="00895695"/>
    <w:rsid w:val="00895B0C"/>
    <w:rsid w:val="00895C30"/>
    <w:rsid w:val="00896A77"/>
    <w:rsid w:val="00896ADA"/>
    <w:rsid w:val="008A0AA4"/>
    <w:rsid w:val="008A1918"/>
    <w:rsid w:val="008A1BCC"/>
    <w:rsid w:val="008A27C9"/>
    <w:rsid w:val="008A29AF"/>
    <w:rsid w:val="008A3019"/>
    <w:rsid w:val="008A3367"/>
    <w:rsid w:val="008A3D38"/>
    <w:rsid w:val="008A45ED"/>
    <w:rsid w:val="008A4941"/>
    <w:rsid w:val="008A4B76"/>
    <w:rsid w:val="008A4DEC"/>
    <w:rsid w:val="008A5067"/>
    <w:rsid w:val="008A5AB2"/>
    <w:rsid w:val="008A64A1"/>
    <w:rsid w:val="008A712C"/>
    <w:rsid w:val="008A7C02"/>
    <w:rsid w:val="008B01A3"/>
    <w:rsid w:val="008B11FD"/>
    <w:rsid w:val="008B177E"/>
    <w:rsid w:val="008B2CA5"/>
    <w:rsid w:val="008B3175"/>
    <w:rsid w:val="008B4ABC"/>
    <w:rsid w:val="008B4D69"/>
    <w:rsid w:val="008B552B"/>
    <w:rsid w:val="008B6181"/>
    <w:rsid w:val="008B6CF2"/>
    <w:rsid w:val="008B6F9F"/>
    <w:rsid w:val="008B7C50"/>
    <w:rsid w:val="008C03F5"/>
    <w:rsid w:val="008C17F9"/>
    <w:rsid w:val="008C19A5"/>
    <w:rsid w:val="008C34F7"/>
    <w:rsid w:val="008C4871"/>
    <w:rsid w:val="008C49CE"/>
    <w:rsid w:val="008C54E3"/>
    <w:rsid w:val="008C587F"/>
    <w:rsid w:val="008C5D8B"/>
    <w:rsid w:val="008C5EF2"/>
    <w:rsid w:val="008C6279"/>
    <w:rsid w:val="008C6EE5"/>
    <w:rsid w:val="008C7B57"/>
    <w:rsid w:val="008D1CEB"/>
    <w:rsid w:val="008D2485"/>
    <w:rsid w:val="008D350C"/>
    <w:rsid w:val="008D3DD4"/>
    <w:rsid w:val="008D5E6E"/>
    <w:rsid w:val="008D70D9"/>
    <w:rsid w:val="008D7769"/>
    <w:rsid w:val="008E3078"/>
    <w:rsid w:val="008E36CF"/>
    <w:rsid w:val="008E67EF"/>
    <w:rsid w:val="008E6BB4"/>
    <w:rsid w:val="008E733C"/>
    <w:rsid w:val="008E7EA9"/>
    <w:rsid w:val="008E7EBD"/>
    <w:rsid w:val="008F025D"/>
    <w:rsid w:val="008F0727"/>
    <w:rsid w:val="008F1D63"/>
    <w:rsid w:val="008F1DE8"/>
    <w:rsid w:val="008F2BCF"/>
    <w:rsid w:val="008F2E3D"/>
    <w:rsid w:val="008F3399"/>
    <w:rsid w:val="008F3602"/>
    <w:rsid w:val="008F3B3F"/>
    <w:rsid w:val="008F4500"/>
    <w:rsid w:val="008F4971"/>
    <w:rsid w:val="008F4EB5"/>
    <w:rsid w:val="008F5421"/>
    <w:rsid w:val="008F5D20"/>
    <w:rsid w:val="008F6DD3"/>
    <w:rsid w:val="008F71CE"/>
    <w:rsid w:val="008F78D5"/>
    <w:rsid w:val="008F7A37"/>
    <w:rsid w:val="00900089"/>
    <w:rsid w:val="00900C23"/>
    <w:rsid w:val="00900DA0"/>
    <w:rsid w:val="00900E05"/>
    <w:rsid w:val="009011A2"/>
    <w:rsid w:val="009015BC"/>
    <w:rsid w:val="00901FD3"/>
    <w:rsid w:val="009022A2"/>
    <w:rsid w:val="00902931"/>
    <w:rsid w:val="0090353E"/>
    <w:rsid w:val="00903831"/>
    <w:rsid w:val="00903BAA"/>
    <w:rsid w:val="00903F30"/>
    <w:rsid w:val="009046C8"/>
    <w:rsid w:val="00904E11"/>
    <w:rsid w:val="0090527C"/>
    <w:rsid w:val="0090629B"/>
    <w:rsid w:val="009064CE"/>
    <w:rsid w:val="00906D05"/>
    <w:rsid w:val="0090719C"/>
    <w:rsid w:val="009072D4"/>
    <w:rsid w:val="00907D3D"/>
    <w:rsid w:val="00910752"/>
    <w:rsid w:val="0091157B"/>
    <w:rsid w:val="0091168A"/>
    <w:rsid w:val="009123F8"/>
    <w:rsid w:val="00912CF9"/>
    <w:rsid w:val="00913758"/>
    <w:rsid w:val="00913870"/>
    <w:rsid w:val="00913976"/>
    <w:rsid w:val="009146C2"/>
    <w:rsid w:val="0091517E"/>
    <w:rsid w:val="00915837"/>
    <w:rsid w:val="00915893"/>
    <w:rsid w:val="00915ADC"/>
    <w:rsid w:val="00915FCA"/>
    <w:rsid w:val="0091681C"/>
    <w:rsid w:val="00917211"/>
    <w:rsid w:val="00917F3F"/>
    <w:rsid w:val="0092004A"/>
    <w:rsid w:val="0092033A"/>
    <w:rsid w:val="00921CDF"/>
    <w:rsid w:val="00922486"/>
    <w:rsid w:val="00923693"/>
    <w:rsid w:val="00924A96"/>
    <w:rsid w:val="00924FF0"/>
    <w:rsid w:val="009256B3"/>
    <w:rsid w:val="00925830"/>
    <w:rsid w:val="00925BD9"/>
    <w:rsid w:val="00926F80"/>
    <w:rsid w:val="00930695"/>
    <w:rsid w:val="009311B3"/>
    <w:rsid w:val="009315F0"/>
    <w:rsid w:val="00931912"/>
    <w:rsid w:val="00931BA4"/>
    <w:rsid w:val="00931CD2"/>
    <w:rsid w:val="009330E7"/>
    <w:rsid w:val="0093371F"/>
    <w:rsid w:val="0093645A"/>
    <w:rsid w:val="0093692F"/>
    <w:rsid w:val="00936E98"/>
    <w:rsid w:val="00936F60"/>
    <w:rsid w:val="00937139"/>
    <w:rsid w:val="0094053F"/>
    <w:rsid w:val="00942400"/>
    <w:rsid w:val="00942668"/>
    <w:rsid w:val="009428CC"/>
    <w:rsid w:val="009428EF"/>
    <w:rsid w:val="00943F16"/>
    <w:rsid w:val="00944075"/>
    <w:rsid w:val="009443E0"/>
    <w:rsid w:val="00944930"/>
    <w:rsid w:val="0094543A"/>
    <w:rsid w:val="009460EC"/>
    <w:rsid w:val="009467D2"/>
    <w:rsid w:val="0094714C"/>
    <w:rsid w:val="009473D7"/>
    <w:rsid w:val="009474DC"/>
    <w:rsid w:val="00947C63"/>
    <w:rsid w:val="00947E16"/>
    <w:rsid w:val="0095165C"/>
    <w:rsid w:val="009516B8"/>
    <w:rsid w:val="0095171B"/>
    <w:rsid w:val="00951AD7"/>
    <w:rsid w:val="00951BE8"/>
    <w:rsid w:val="00952546"/>
    <w:rsid w:val="009531BD"/>
    <w:rsid w:val="009543D9"/>
    <w:rsid w:val="0095452F"/>
    <w:rsid w:val="00954F64"/>
    <w:rsid w:val="0095520A"/>
    <w:rsid w:val="00955737"/>
    <w:rsid w:val="009560BA"/>
    <w:rsid w:val="0095726F"/>
    <w:rsid w:val="0096130B"/>
    <w:rsid w:val="009616F6"/>
    <w:rsid w:val="00961805"/>
    <w:rsid w:val="00962202"/>
    <w:rsid w:val="00962A05"/>
    <w:rsid w:val="00962B4A"/>
    <w:rsid w:val="00963278"/>
    <w:rsid w:val="00963326"/>
    <w:rsid w:val="00963EB1"/>
    <w:rsid w:val="0096559D"/>
    <w:rsid w:val="00965AA0"/>
    <w:rsid w:val="00965FE5"/>
    <w:rsid w:val="0096626A"/>
    <w:rsid w:val="009667CB"/>
    <w:rsid w:val="00966D00"/>
    <w:rsid w:val="009716CA"/>
    <w:rsid w:val="009717FA"/>
    <w:rsid w:val="00971C8E"/>
    <w:rsid w:val="009726D1"/>
    <w:rsid w:val="00974CFB"/>
    <w:rsid w:val="00975A8F"/>
    <w:rsid w:val="00975DDC"/>
    <w:rsid w:val="009769E6"/>
    <w:rsid w:val="00980521"/>
    <w:rsid w:val="0098198A"/>
    <w:rsid w:val="0098266B"/>
    <w:rsid w:val="00982A1A"/>
    <w:rsid w:val="009839B7"/>
    <w:rsid w:val="00984A00"/>
    <w:rsid w:val="0098539F"/>
    <w:rsid w:val="009854FA"/>
    <w:rsid w:val="009855A4"/>
    <w:rsid w:val="009868CF"/>
    <w:rsid w:val="00986FC3"/>
    <w:rsid w:val="009872FD"/>
    <w:rsid w:val="009874C2"/>
    <w:rsid w:val="00990178"/>
    <w:rsid w:val="009915AF"/>
    <w:rsid w:val="009917DD"/>
    <w:rsid w:val="00991849"/>
    <w:rsid w:val="00993303"/>
    <w:rsid w:val="009933DA"/>
    <w:rsid w:val="00995864"/>
    <w:rsid w:val="009958E8"/>
    <w:rsid w:val="00995CB0"/>
    <w:rsid w:val="009967BD"/>
    <w:rsid w:val="00997796"/>
    <w:rsid w:val="009A00BC"/>
    <w:rsid w:val="009A10E2"/>
    <w:rsid w:val="009A1303"/>
    <w:rsid w:val="009A13D8"/>
    <w:rsid w:val="009A317F"/>
    <w:rsid w:val="009A343F"/>
    <w:rsid w:val="009A4411"/>
    <w:rsid w:val="009A4D62"/>
    <w:rsid w:val="009A5883"/>
    <w:rsid w:val="009A6550"/>
    <w:rsid w:val="009A6919"/>
    <w:rsid w:val="009A6B35"/>
    <w:rsid w:val="009A7200"/>
    <w:rsid w:val="009A7A9D"/>
    <w:rsid w:val="009B0983"/>
    <w:rsid w:val="009B23C3"/>
    <w:rsid w:val="009B2945"/>
    <w:rsid w:val="009B2D8D"/>
    <w:rsid w:val="009B2FE0"/>
    <w:rsid w:val="009B3D6B"/>
    <w:rsid w:val="009B5BCA"/>
    <w:rsid w:val="009B6D63"/>
    <w:rsid w:val="009B7025"/>
    <w:rsid w:val="009B77E0"/>
    <w:rsid w:val="009C0A48"/>
    <w:rsid w:val="009C118C"/>
    <w:rsid w:val="009C1790"/>
    <w:rsid w:val="009C26AE"/>
    <w:rsid w:val="009C3280"/>
    <w:rsid w:val="009C4047"/>
    <w:rsid w:val="009C4095"/>
    <w:rsid w:val="009C4FF1"/>
    <w:rsid w:val="009C5156"/>
    <w:rsid w:val="009C54E4"/>
    <w:rsid w:val="009C575D"/>
    <w:rsid w:val="009C6207"/>
    <w:rsid w:val="009C656D"/>
    <w:rsid w:val="009C71CF"/>
    <w:rsid w:val="009D02C3"/>
    <w:rsid w:val="009D057B"/>
    <w:rsid w:val="009D188E"/>
    <w:rsid w:val="009D18EA"/>
    <w:rsid w:val="009D2DB9"/>
    <w:rsid w:val="009D3E54"/>
    <w:rsid w:val="009D4EA7"/>
    <w:rsid w:val="009D5311"/>
    <w:rsid w:val="009D6DBE"/>
    <w:rsid w:val="009E27BB"/>
    <w:rsid w:val="009E2FB6"/>
    <w:rsid w:val="009E371B"/>
    <w:rsid w:val="009E462E"/>
    <w:rsid w:val="009E4AFE"/>
    <w:rsid w:val="009E4F53"/>
    <w:rsid w:val="009E53AF"/>
    <w:rsid w:val="009E7D89"/>
    <w:rsid w:val="009F135A"/>
    <w:rsid w:val="009F1FC1"/>
    <w:rsid w:val="009F1FC5"/>
    <w:rsid w:val="009F3582"/>
    <w:rsid w:val="009F3884"/>
    <w:rsid w:val="009F47F2"/>
    <w:rsid w:val="009F4F7C"/>
    <w:rsid w:val="009F5268"/>
    <w:rsid w:val="009F6098"/>
    <w:rsid w:val="009F6F12"/>
    <w:rsid w:val="009F78A1"/>
    <w:rsid w:val="00A00187"/>
    <w:rsid w:val="00A004DB"/>
    <w:rsid w:val="00A020B4"/>
    <w:rsid w:val="00A03A45"/>
    <w:rsid w:val="00A03BD7"/>
    <w:rsid w:val="00A05289"/>
    <w:rsid w:val="00A07272"/>
    <w:rsid w:val="00A1099F"/>
    <w:rsid w:val="00A11E7A"/>
    <w:rsid w:val="00A166EF"/>
    <w:rsid w:val="00A20794"/>
    <w:rsid w:val="00A21CB5"/>
    <w:rsid w:val="00A22275"/>
    <w:rsid w:val="00A223E5"/>
    <w:rsid w:val="00A2507D"/>
    <w:rsid w:val="00A2691D"/>
    <w:rsid w:val="00A272A1"/>
    <w:rsid w:val="00A30688"/>
    <w:rsid w:val="00A31EE7"/>
    <w:rsid w:val="00A3400D"/>
    <w:rsid w:val="00A342F2"/>
    <w:rsid w:val="00A3663A"/>
    <w:rsid w:val="00A40200"/>
    <w:rsid w:val="00A410E1"/>
    <w:rsid w:val="00A41727"/>
    <w:rsid w:val="00A41A0B"/>
    <w:rsid w:val="00A42749"/>
    <w:rsid w:val="00A42E45"/>
    <w:rsid w:val="00A43125"/>
    <w:rsid w:val="00A435F5"/>
    <w:rsid w:val="00A449A5"/>
    <w:rsid w:val="00A46239"/>
    <w:rsid w:val="00A4658E"/>
    <w:rsid w:val="00A47A03"/>
    <w:rsid w:val="00A515C7"/>
    <w:rsid w:val="00A51AC2"/>
    <w:rsid w:val="00A525B5"/>
    <w:rsid w:val="00A525F6"/>
    <w:rsid w:val="00A52A8A"/>
    <w:rsid w:val="00A53233"/>
    <w:rsid w:val="00A546F1"/>
    <w:rsid w:val="00A5488F"/>
    <w:rsid w:val="00A5499F"/>
    <w:rsid w:val="00A55883"/>
    <w:rsid w:val="00A568DD"/>
    <w:rsid w:val="00A57C95"/>
    <w:rsid w:val="00A57DAC"/>
    <w:rsid w:val="00A60902"/>
    <w:rsid w:val="00A61627"/>
    <w:rsid w:val="00A61D6A"/>
    <w:rsid w:val="00A620BA"/>
    <w:rsid w:val="00A627FC"/>
    <w:rsid w:val="00A6282C"/>
    <w:rsid w:val="00A63D7E"/>
    <w:rsid w:val="00A6449A"/>
    <w:rsid w:val="00A659ED"/>
    <w:rsid w:val="00A6606C"/>
    <w:rsid w:val="00A668DE"/>
    <w:rsid w:val="00A712CC"/>
    <w:rsid w:val="00A719F3"/>
    <w:rsid w:val="00A73075"/>
    <w:rsid w:val="00A73C47"/>
    <w:rsid w:val="00A74487"/>
    <w:rsid w:val="00A744E8"/>
    <w:rsid w:val="00A7463D"/>
    <w:rsid w:val="00A747C9"/>
    <w:rsid w:val="00A74F26"/>
    <w:rsid w:val="00A758CC"/>
    <w:rsid w:val="00A7590D"/>
    <w:rsid w:val="00A779CD"/>
    <w:rsid w:val="00A77F0A"/>
    <w:rsid w:val="00A803B0"/>
    <w:rsid w:val="00A80B55"/>
    <w:rsid w:val="00A81507"/>
    <w:rsid w:val="00A81D3B"/>
    <w:rsid w:val="00A829CD"/>
    <w:rsid w:val="00A8348B"/>
    <w:rsid w:val="00A83BAE"/>
    <w:rsid w:val="00A8458E"/>
    <w:rsid w:val="00A879E5"/>
    <w:rsid w:val="00A904C2"/>
    <w:rsid w:val="00A9064E"/>
    <w:rsid w:val="00A915F4"/>
    <w:rsid w:val="00A92916"/>
    <w:rsid w:val="00A930C8"/>
    <w:rsid w:val="00A93256"/>
    <w:rsid w:val="00A94F5A"/>
    <w:rsid w:val="00A95417"/>
    <w:rsid w:val="00A95475"/>
    <w:rsid w:val="00A958C0"/>
    <w:rsid w:val="00A95999"/>
    <w:rsid w:val="00A95D17"/>
    <w:rsid w:val="00A960BE"/>
    <w:rsid w:val="00A96CD9"/>
    <w:rsid w:val="00AA072B"/>
    <w:rsid w:val="00AA1D5D"/>
    <w:rsid w:val="00AA1D8A"/>
    <w:rsid w:val="00AA1DD7"/>
    <w:rsid w:val="00AA2188"/>
    <w:rsid w:val="00AA2C2E"/>
    <w:rsid w:val="00AA52A0"/>
    <w:rsid w:val="00AA5DB9"/>
    <w:rsid w:val="00AA6138"/>
    <w:rsid w:val="00AA7623"/>
    <w:rsid w:val="00AA7D3C"/>
    <w:rsid w:val="00AB0880"/>
    <w:rsid w:val="00AB1640"/>
    <w:rsid w:val="00AB1780"/>
    <w:rsid w:val="00AB2060"/>
    <w:rsid w:val="00AB223A"/>
    <w:rsid w:val="00AB2AFC"/>
    <w:rsid w:val="00AB2BF3"/>
    <w:rsid w:val="00AB2DBC"/>
    <w:rsid w:val="00AB3D22"/>
    <w:rsid w:val="00AB3F1F"/>
    <w:rsid w:val="00AB4638"/>
    <w:rsid w:val="00AB4F80"/>
    <w:rsid w:val="00AB5B6B"/>
    <w:rsid w:val="00AB67B8"/>
    <w:rsid w:val="00AB68E0"/>
    <w:rsid w:val="00AB708D"/>
    <w:rsid w:val="00AB70E4"/>
    <w:rsid w:val="00AC0467"/>
    <w:rsid w:val="00AC197F"/>
    <w:rsid w:val="00AC1C18"/>
    <w:rsid w:val="00AC1E67"/>
    <w:rsid w:val="00AC2D1E"/>
    <w:rsid w:val="00AC2ECE"/>
    <w:rsid w:val="00AC2EFA"/>
    <w:rsid w:val="00AC332A"/>
    <w:rsid w:val="00AC33D7"/>
    <w:rsid w:val="00AC343A"/>
    <w:rsid w:val="00AC36B1"/>
    <w:rsid w:val="00AC5978"/>
    <w:rsid w:val="00AC5FF9"/>
    <w:rsid w:val="00AC7520"/>
    <w:rsid w:val="00AD12F6"/>
    <w:rsid w:val="00AD270B"/>
    <w:rsid w:val="00AD2E58"/>
    <w:rsid w:val="00AD2F93"/>
    <w:rsid w:val="00AD459A"/>
    <w:rsid w:val="00AD49D9"/>
    <w:rsid w:val="00AD4B3D"/>
    <w:rsid w:val="00AD5543"/>
    <w:rsid w:val="00AD7D48"/>
    <w:rsid w:val="00AE0C76"/>
    <w:rsid w:val="00AE1F39"/>
    <w:rsid w:val="00AE1FE2"/>
    <w:rsid w:val="00AE27D3"/>
    <w:rsid w:val="00AE2E56"/>
    <w:rsid w:val="00AE33E4"/>
    <w:rsid w:val="00AE5AC4"/>
    <w:rsid w:val="00AE67EE"/>
    <w:rsid w:val="00AE6D79"/>
    <w:rsid w:val="00AE75FD"/>
    <w:rsid w:val="00AF05C4"/>
    <w:rsid w:val="00AF223E"/>
    <w:rsid w:val="00AF260E"/>
    <w:rsid w:val="00AF3A79"/>
    <w:rsid w:val="00AF4C7E"/>
    <w:rsid w:val="00AF512D"/>
    <w:rsid w:val="00AF629D"/>
    <w:rsid w:val="00AF68FB"/>
    <w:rsid w:val="00AF6A68"/>
    <w:rsid w:val="00B0017B"/>
    <w:rsid w:val="00B00586"/>
    <w:rsid w:val="00B00894"/>
    <w:rsid w:val="00B00DE0"/>
    <w:rsid w:val="00B01395"/>
    <w:rsid w:val="00B01E6E"/>
    <w:rsid w:val="00B021F0"/>
    <w:rsid w:val="00B032F5"/>
    <w:rsid w:val="00B0398D"/>
    <w:rsid w:val="00B05208"/>
    <w:rsid w:val="00B06833"/>
    <w:rsid w:val="00B0753A"/>
    <w:rsid w:val="00B07E76"/>
    <w:rsid w:val="00B102F7"/>
    <w:rsid w:val="00B119BB"/>
    <w:rsid w:val="00B11FE2"/>
    <w:rsid w:val="00B1265A"/>
    <w:rsid w:val="00B1399F"/>
    <w:rsid w:val="00B13BF6"/>
    <w:rsid w:val="00B140AD"/>
    <w:rsid w:val="00B15CE8"/>
    <w:rsid w:val="00B16519"/>
    <w:rsid w:val="00B17516"/>
    <w:rsid w:val="00B17BA5"/>
    <w:rsid w:val="00B17E49"/>
    <w:rsid w:val="00B21624"/>
    <w:rsid w:val="00B22FDB"/>
    <w:rsid w:val="00B2427B"/>
    <w:rsid w:val="00B247B7"/>
    <w:rsid w:val="00B2509A"/>
    <w:rsid w:val="00B269DC"/>
    <w:rsid w:val="00B32B1C"/>
    <w:rsid w:val="00B33F79"/>
    <w:rsid w:val="00B34696"/>
    <w:rsid w:val="00B361CD"/>
    <w:rsid w:val="00B3720D"/>
    <w:rsid w:val="00B40A84"/>
    <w:rsid w:val="00B416C4"/>
    <w:rsid w:val="00B41B0A"/>
    <w:rsid w:val="00B4248B"/>
    <w:rsid w:val="00B42D0D"/>
    <w:rsid w:val="00B42DC6"/>
    <w:rsid w:val="00B43F18"/>
    <w:rsid w:val="00B44261"/>
    <w:rsid w:val="00B450F6"/>
    <w:rsid w:val="00B46251"/>
    <w:rsid w:val="00B473AC"/>
    <w:rsid w:val="00B50EA0"/>
    <w:rsid w:val="00B5162D"/>
    <w:rsid w:val="00B5164A"/>
    <w:rsid w:val="00B51EE6"/>
    <w:rsid w:val="00B531C8"/>
    <w:rsid w:val="00B541AE"/>
    <w:rsid w:val="00B559B8"/>
    <w:rsid w:val="00B5659F"/>
    <w:rsid w:val="00B56D75"/>
    <w:rsid w:val="00B5770F"/>
    <w:rsid w:val="00B57FCC"/>
    <w:rsid w:val="00B6020E"/>
    <w:rsid w:val="00B611CD"/>
    <w:rsid w:val="00B618F7"/>
    <w:rsid w:val="00B61A5A"/>
    <w:rsid w:val="00B62655"/>
    <w:rsid w:val="00B6265C"/>
    <w:rsid w:val="00B633D4"/>
    <w:rsid w:val="00B63D48"/>
    <w:rsid w:val="00B6463A"/>
    <w:rsid w:val="00B6617A"/>
    <w:rsid w:val="00B66B52"/>
    <w:rsid w:val="00B67582"/>
    <w:rsid w:val="00B71937"/>
    <w:rsid w:val="00B72E56"/>
    <w:rsid w:val="00B72F3D"/>
    <w:rsid w:val="00B730B3"/>
    <w:rsid w:val="00B73CB6"/>
    <w:rsid w:val="00B74E34"/>
    <w:rsid w:val="00B76403"/>
    <w:rsid w:val="00B76949"/>
    <w:rsid w:val="00B76DEB"/>
    <w:rsid w:val="00B76E3A"/>
    <w:rsid w:val="00B77100"/>
    <w:rsid w:val="00B777B5"/>
    <w:rsid w:val="00B83272"/>
    <w:rsid w:val="00B837B6"/>
    <w:rsid w:val="00B8399C"/>
    <w:rsid w:val="00B83AE9"/>
    <w:rsid w:val="00B8488E"/>
    <w:rsid w:val="00B861E6"/>
    <w:rsid w:val="00B86885"/>
    <w:rsid w:val="00B87E8D"/>
    <w:rsid w:val="00B90388"/>
    <w:rsid w:val="00B908EB"/>
    <w:rsid w:val="00B924C6"/>
    <w:rsid w:val="00B926A3"/>
    <w:rsid w:val="00B927BD"/>
    <w:rsid w:val="00B9479B"/>
    <w:rsid w:val="00B95B5F"/>
    <w:rsid w:val="00B95FA7"/>
    <w:rsid w:val="00B96FD9"/>
    <w:rsid w:val="00BA059B"/>
    <w:rsid w:val="00BA0A64"/>
    <w:rsid w:val="00BA1658"/>
    <w:rsid w:val="00BA298F"/>
    <w:rsid w:val="00BA2EAB"/>
    <w:rsid w:val="00BA35BC"/>
    <w:rsid w:val="00BA4974"/>
    <w:rsid w:val="00BA500E"/>
    <w:rsid w:val="00BA517D"/>
    <w:rsid w:val="00BA5497"/>
    <w:rsid w:val="00BA54FC"/>
    <w:rsid w:val="00BA5762"/>
    <w:rsid w:val="00BA65DD"/>
    <w:rsid w:val="00BA69C7"/>
    <w:rsid w:val="00BA7FE2"/>
    <w:rsid w:val="00BB134A"/>
    <w:rsid w:val="00BB191A"/>
    <w:rsid w:val="00BB2632"/>
    <w:rsid w:val="00BB3A3D"/>
    <w:rsid w:val="00BB3FB5"/>
    <w:rsid w:val="00BB5B7C"/>
    <w:rsid w:val="00BB6488"/>
    <w:rsid w:val="00BB719A"/>
    <w:rsid w:val="00BC1A79"/>
    <w:rsid w:val="00BC21A8"/>
    <w:rsid w:val="00BC264E"/>
    <w:rsid w:val="00BC3480"/>
    <w:rsid w:val="00BC4146"/>
    <w:rsid w:val="00BC449D"/>
    <w:rsid w:val="00BC57EF"/>
    <w:rsid w:val="00BC5CA3"/>
    <w:rsid w:val="00BC6221"/>
    <w:rsid w:val="00BC6D1B"/>
    <w:rsid w:val="00BC6F5B"/>
    <w:rsid w:val="00BD029F"/>
    <w:rsid w:val="00BD2574"/>
    <w:rsid w:val="00BD2BAE"/>
    <w:rsid w:val="00BD3127"/>
    <w:rsid w:val="00BD4064"/>
    <w:rsid w:val="00BD410E"/>
    <w:rsid w:val="00BD4804"/>
    <w:rsid w:val="00BD5343"/>
    <w:rsid w:val="00BD58A7"/>
    <w:rsid w:val="00BD5E30"/>
    <w:rsid w:val="00BE1819"/>
    <w:rsid w:val="00BE2AE2"/>
    <w:rsid w:val="00BE34F3"/>
    <w:rsid w:val="00BE458D"/>
    <w:rsid w:val="00BE72AD"/>
    <w:rsid w:val="00BF006C"/>
    <w:rsid w:val="00BF116D"/>
    <w:rsid w:val="00BF13C9"/>
    <w:rsid w:val="00BF1674"/>
    <w:rsid w:val="00BF26CA"/>
    <w:rsid w:val="00BF4CBC"/>
    <w:rsid w:val="00BF5935"/>
    <w:rsid w:val="00BF5DB7"/>
    <w:rsid w:val="00BF774D"/>
    <w:rsid w:val="00BF7F51"/>
    <w:rsid w:val="00C0027F"/>
    <w:rsid w:val="00C00B1D"/>
    <w:rsid w:val="00C00B7C"/>
    <w:rsid w:val="00C00BFD"/>
    <w:rsid w:val="00C02CB6"/>
    <w:rsid w:val="00C044EE"/>
    <w:rsid w:val="00C0453B"/>
    <w:rsid w:val="00C04873"/>
    <w:rsid w:val="00C04A68"/>
    <w:rsid w:val="00C04DF8"/>
    <w:rsid w:val="00C04F6A"/>
    <w:rsid w:val="00C05A11"/>
    <w:rsid w:val="00C05FC6"/>
    <w:rsid w:val="00C06E9C"/>
    <w:rsid w:val="00C0776D"/>
    <w:rsid w:val="00C1045D"/>
    <w:rsid w:val="00C11095"/>
    <w:rsid w:val="00C122B5"/>
    <w:rsid w:val="00C12858"/>
    <w:rsid w:val="00C14948"/>
    <w:rsid w:val="00C14DD0"/>
    <w:rsid w:val="00C1691E"/>
    <w:rsid w:val="00C16EAA"/>
    <w:rsid w:val="00C16EE8"/>
    <w:rsid w:val="00C175FA"/>
    <w:rsid w:val="00C17A44"/>
    <w:rsid w:val="00C20568"/>
    <w:rsid w:val="00C20FD1"/>
    <w:rsid w:val="00C2133B"/>
    <w:rsid w:val="00C2227B"/>
    <w:rsid w:val="00C22C9A"/>
    <w:rsid w:val="00C232E9"/>
    <w:rsid w:val="00C23C40"/>
    <w:rsid w:val="00C241C6"/>
    <w:rsid w:val="00C24D12"/>
    <w:rsid w:val="00C253C9"/>
    <w:rsid w:val="00C259CE"/>
    <w:rsid w:val="00C26BD4"/>
    <w:rsid w:val="00C26F6F"/>
    <w:rsid w:val="00C30040"/>
    <w:rsid w:val="00C30BBE"/>
    <w:rsid w:val="00C30FE4"/>
    <w:rsid w:val="00C32030"/>
    <w:rsid w:val="00C323EA"/>
    <w:rsid w:val="00C342C0"/>
    <w:rsid w:val="00C348AA"/>
    <w:rsid w:val="00C34A53"/>
    <w:rsid w:val="00C34EB8"/>
    <w:rsid w:val="00C35F2D"/>
    <w:rsid w:val="00C35F33"/>
    <w:rsid w:val="00C37BF1"/>
    <w:rsid w:val="00C41790"/>
    <w:rsid w:val="00C41993"/>
    <w:rsid w:val="00C43631"/>
    <w:rsid w:val="00C44A37"/>
    <w:rsid w:val="00C44F1B"/>
    <w:rsid w:val="00C45634"/>
    <w:rsid w:val="00C46C7B"/>
    <w:rsid w:val="00C47577"/>
    <w:rsid w:val="00C47ABD"/>
    <w:rsid w:val="00C50856"/>
    <w:rsid w:val="00C527B5"/>
    <w:rsid w:val="00C52C43"/>
    <w:rsid w:val="00C5301C"/>
    <w:rsid w:val="00C541BC"/>
    <w:rsid w:val="00C5734B"/>
    <w:rsid w:val="00C60A6A"/>
    <w:rsid w:val="00C60E47"/>
    <w:rsid w:val="00C61BFC"/>
    <w:rsid w:val="00C61F5B"/>
    <w:rsid w:val="00C6219F"/>
    <w:rsid w:val="00C6282F"/>
    <w:rsid w:val="00C62C52"/>
    <w:rsid w:val="00C638C9"/>
    <w:rsid w:val="00C642F5"/>
    <w:rsid w:val="00C65173"/>
    <w:rsid w:val="00C655FC"/>
    <w:rsid w:val="00C6577B"/>
    <w:rsid w:val="00C65C2B"/>
    <w:rsid w:val="00C65CD5"/>
    <w:rsid w:val="00C65FFF"/>
    <w:rsid w:val="00C661F2"/>
    <w:rsid w:val="00C66F16"/>
    <w:rsid w:val="00C705A4"/>
    <w:rsid w:val="00C70B21"/>
    <w:rsid w:val="00C71C27"/>
    <w:rsid w:val="00C72A43"/>
    <w:rsid w:val="00C74882"/>
    <w:rsid w:val="00C74A49"/>
    <w:rsid w:val="00C76DA4"/>
    <w:rsid w:val="00C80217"/>
    <w:rsid w:val="00C81088"/>
    <w:rsid w:val="00C824E1"/>
    <w:rsid w:val="00C82A14"/>
    <w:rsid w:val="00C85906"/>
    <w:rsid w:val="00C85C3D"/>
    <w:rsid w:val="00C8638C"/>
    <w:rsid w:val="00C8663B"/>
    <w:rsid w:val="00C86B4C"/>
    <w:rsid w:val="00C876C3"/>
    <w:rsid w:val="00C9192D"/>
    <w:rsid w:val="00C9225E"/>
    <w:rsid w:val="00C92C8D"/>
    <w:rsid w:val="00C94501"/>
    <w:rsid w:val="00C94897"/>
    <w:rsid w:val="00C95E91"/>
    <w:rsid w:val="00C96070"/>
    <w:rsid w:val="00C96AD9"/>
    <w:rsid w:val="00C96E22"/>
    <w:rsid w:val="00C96F1B"/>
    <w:rsid w:val="00C9718A"/>
    <w:rsid w:val="00CA0DDB"/>
    <w:rsid w:val="00CA1775"/>
    <w:rsid w:val="00CA3549"/>
    <w:rsid w:val="00CA3BD6"/>
    <w:rsid w:val="00CA48BD"/>
    <w:rsid w:val="00CA4EF9"/>
    <w:rsid w:val="00CA7A07"/>
    <w:rsid w:val="00CA7D8F"/>
    <w:rsid w:val="00CB0193"/>
    <w:rsid w:val="00CB059A"/>
    <w:rsid w:val="00CB08BD"/>
    <w:rsid w:val="00CB0F0F"/>
    <w:rsid w:val="00CB1836"/>
    <w:rsid w:val="00CB1CF5"/>
    <w:rsid w:val="00CB2477"/>
    <w:rsid w:val="00CB2545"/>
    <w:rsid w:val="00CB34E4"/>
    <w:rsid w:val="00CB3A56"/>
    <w:rsid w:val="00CB441C"/>
    <w:rsid w:val="00CB4C1B"/>
    <w:rsid w:val="00CB518F"/>
    <w:rsid w:val="00CB570A"/>
    <w:rsid w:val="00CB5A79"/>
    <w:rsid w:val="00CB73FC"/>
    <w:rsid w:val="00CB7F6C"/>
    <w:rsid w:val="00CC0877"/>
    <w:rsid w:val="00CC0D66"/>
    <w:rsid w:val="00CC25AA"/>
    <w:rsid w:val="00CC2701"/>
    <w:rsid w:val="00CC34B4"/>
    <w:rsid w:val="00CC3E10"/>
    <w:rsid w:val="00CC5D3E"/>
    <w:rsid w:val="00CC6A71"/>
    <w:rsid w:val="00CC6BE1"/>
    <w:rsid w:val="00CC6FF4"/>
    <w:rsid w:val="00CD0B05"/>
    <w:rsid w:val="00CD0CF2"/>
    <w:rsid w:val="00CD1195"/>
    <w:rsid w:val="00CD18A8"/>
    <w:rsid w:val="00CD1AAB"/>
    <w:rsid w:val="00CD1DAC"/>
    <w:rsid w:val="00CD2266"/>
    <w:rsid w:val="00CD231D"/>
    <w:rsid w:val="00CD38B4"/>
    <w:rsid w:val="00CD3A8F"/>
    <w:rsid w:val="00CD48EB"/>
    <w:rsid w:val="00CD55F4"/>
    <w:rsid w:val="00CD5602"/>
    <w:rsid w:val="00CD5F5C"/>
    <w:rsid w:val="00CD68C8"/>
    <w:rsid w:val="00CD740B"/>
    <w:rsid w:val="00CD7961"/>
    <w:rsid w:val="00CD7C7D"/>
    <w:rsid w:val="00CE0286"/>
    <w:rsid w:val="00CE0768"/>
    <w:rsid w:val="00CE1582"/>
    <w:rsid w:val="00CE1D1E"/>
    <w:rsid w:val="00CE31B1"/>
    <w:rsid w:val="00CE3970"/>
    <w:rsid w:val="00CE4315"/>
    <w:rsid w:val="00CE43B7"/>
    <w:rsid w:val="00CE483C"/>
    <w:rsid w:val="00CE634B"/>
    <w:rsid w:val="00CE6640"/>
    <w:rsid w:val="00CF0E62"/>
    <w:rsid w:val="00CF1B50"/>
    <w:rsid w:val="00CF2E3F"/>
    <w:rsid w:val="00CF2F1E"/>
    <w:rsid w:val="00CF30C0"/>
    <w:rsid w:val="00CF32FA"/>
    <w:rsid w:val="00CF3817"/>
    <w:rsid w:val="00CF3BC4"/>
    <w:rsid w:val="00CF4E52"/>
    <w:rsid w:val="00CF5B50"/>
    <w:rsid w:val="00D00488"/>
    <w:rsid w:val="00D00E91"/>
    <w:rsid w:val="00D0131D"/>
    <w:rsid w:val="00D02143"/>
    <w:rsid w:val="00D03299"/>
    <w:rsid w:val="00D04670"/>
    <w:rsid w:val="00D0486B"/>
    <w:rsid w:val="00D04BDE"/>
    <w:rsid w:val="00D05119"/>
    <w:rsid w:val="00D054D9"/>
    <w:rsid w:val="00D05F29"/>
    <w:rsid w:val="00D0645F"/>
    <w:rsid w:val="00D06BC8"/>
    <w:rsid w:val="00D07008"/>
    <w:rsid w:val="00D07816"/>
    <w:rsid w:val="00D107C4"/>
    <w:rsid w:val="00D10DCC"/>
    <w:rsid w:val="00D1109F"/>
    <w:rsid w:val="00D110C7"/>
    <w:rsid w:val="00D110E5"/>
    <w:rsid w:val="00D11682"/>
    <w:rsid w:val="00D11CFD"/>
    <w:rsid w:val="00D12372"/>
    <w:rsid w:val="00D1290D"/>
    <w:rsid w:val="00D12AC6"/>
    <w:rsid w:val="00D15371"/>
    <w:rsid w:val="00D15C10"/>
    <w:rsid w:val="00D15EA8"/>
    <w:rsid w:val="00D160E0"/>
    <w:rsid w:val="00D16BF4"/>
    <w:rsid w:val="00D16DB5"/>
    <w:rsid w:val="00D178EF"/>
    <w:rsid w:val="00D17EB5"/>
    <w:rsid w:val="00D20A91"/>
    <w:rsid w:val="00D2172D"/>
    <w:rsid w:val="00D21F1D"/>
    <w:rsid w:val="00D225E3"/>
    <w:rsid w:val="00D22C42"/>
    <w:rsid w:val="00D23084"/>
    <w:rsid w:val="00D24EEB"/>
    <w:rsid w:val="00D25ABD"/>
    <w:rsid w:val="00D26314"/>
    <w:rsid w:val="00D26798"/>
    <w:rsid w:val="00D27D0F"/>
    <w:rsid w:val="00D27D3C"/>
    <w:rsid w:val="00D304BC"/>
    <w:rsid w:val="00D31483"/>
    <w:rsid w:val="00D34E8D"/>
    <w:rsid w:val="00D34EB8"/>
    <w:rsid w:val="00D35A82"/>
    <w:rsid w:val="00D35CFA"/>
    <w:rsid w:val="00D363A2"/>
    <w:rsid w:val="00D36C74"/>
    <w:rsid w:val="00D406F2"/>
    <w:rsid w:val="00D4102B"/>
    <w:rsid w:val="00D412A6"/>
    <w:rsid w:val="00D423E6"/>
    <w:rsid w:val="00D43142"/>
    <w:rsid w:val="00D43B4F"/>
    <w:rsid w:val="00D43E3D"/>
    <w:rsid w:val="00D449AF"/>
    <w:rsid w:val="00D45476"/>
    <w:rsid w:val="00D45684"/>
    <w:rsid w:val="00D47195"/>
    <w:rsid w:val="00D51423"/>
    <w:rsid w:val="00D52D86"/>
    <w:rsid w:val="00D536DB"/>
    <w:rsid w:val="00D536F8"/>
    <w:rsid w:val="00D53F0B"/>
    <w:rsid w:val="00D546AD"/>
    <w:rsid w:val="00D5538C"/>
    <w:rsid w:val="00D5568C"/>
    <w:rsid w:val="00D5640F"/>
    <w:rsid w:val="00D565A6"/>
    <w:rsid w:val="00D611C5"/>
    <w:rsid w:val="00D6141D"/>
    <w:rsid w:val="00D616B9"/>
    <w:rsid w:val="00D61BE4"/>
    <w:rsid w:val="00D62476"/>
    <w:rsid w:val="00D62704"/>
    <w:rsid w:val="00D6313E"/>
    <w:rsid w:val="00D633A9"/>
    <w:rsid w:val="00D64073"/>
    <w:rsid w:val="00D64F55"/>
    <w:rsid w:val="00D66122"/>
    <w:rsid w:val="00D66947"/>
    <w:rsid w:val="00D706C8"/>
    <w:rsid w:val="00D71BDB"/>
    <w:rsid w:val="00D71CE7"/>
    <w:rsid w:val="00D71F02"/>
    <w:rsid w:val="00D720E8"/>
    <w:rsid w:val="00D72A1B"/>
    <w:rsid w:val="00D732B2"/>
    <w:rsid w:val="00D732FE"/>
    <w:rsid w:val="00D734C7"/>
    <w:rsid w:val="00D73543"/>
    <w:rsid w:val="00D75392"/>
    <w:rsid w:val="00D76EFC"/>
    <w:rsid w:val="00D77934"/>
    <w:rsid w:val="00D81A9C"/>
    <w:rsid w:val="00D81F2A"/>
    <w:rsid w:val="00D82390"/>
    <w:rsid w:val="00D82ACB"/>
    <w:rsid w:val="00D82FE6"/>
    <w:rsid w:val="00D84132"/>
    <w:rsid w:val="00D8425E"/>
    <w:rsid w:val="00D8586A"/>
    <w:rsid w:val="00D8701B"/>
    <w:rsid w:val="00D871C0"/>
    <w:rsid w:val="00D90179"/>
    <w:rsid w:val="00D94199"/>
    <w:rsid w:val="00D9559B"/>
    <w:rsid w:val="00D95874"/>
    <w:rsid w:val="00D96162"/>
    <w:rsid w:val="00D964DD"/>
    <w:rsid w:val="00D9699D"/>
    <w:rsid w:val="00D96A4C"/>
    <w:rsid w:val="00D96C97"/>
    <w:rsid w:val="00D96E87"/>
    <w:rsid w:val="00D97C00"/>
    <w:rsid w:val="00DA07CA"/>
    <w:rsid w:val="00DA0AC9"/>
    <w:rsid w:val="00DA1058"/>
    <w:rsid w:val="00DA16EC"/>
    <w:rsid w:val="00DA200F"/>
    <w:rsid w:val="00DA2A52"/>
    <w:rsid w:val="00DA32AF"/>
    <w:rsid w:val="00DA4022"/>
    <w:rsid w:val="00DA5EBE"/>
    <w:rsid w:val="00DA7118"/>
    <w:rsid w:val="00DB0E52"/>
    <w:rsid w:val="00DB0E80"/>
    <w:rsid w:val="00DB0F98"/>
    <w:rsid w:val="00DB1395"/>
    <w:rsid w:val="00DB1BF7"/>
    <w:rsid w:val="00DB1D3B"/>
    <w:rsid w:val="00DB200B"/>
    <w:rsid w:val="00DB2160"/>
    <w:rsid w:val="00DB2668"/>
    <w:rsid w:val="00DB2AA8"/>
    <w:rsid w:val="00DB2AF4"/>
    <w:rsid w:val="00DB34BC"/>
    <w:rsid w:val="00DB37B3"/>
    <w:rsid w:val="00DB4895"/>
    <w:rsid w:val="00DB61CD"/>
    <w:rsid w:val="00DB7553"/>
    <w:rsid w:val="00DC0662"/>
    <w:rsid w:val="00DC17A0"/>
    <w:rsid w:val="00DC2377"/>
    <w:rsid w:val="00DC2464"/>
    <w:rsid w:val="00DC266D"/>
    <w:rsid w:val="00DC2970"/>
    <w:rsid w:val="00DC2E13"/>
    <w:rsid w:val="00DC38C5"/>
    <w:rsid w:val="00DC6657"/>
    <w:rsid w:val="00DC6E86"/>
    <w:rsid w:val="00DC7EA7"/>
    <w:rsid w:val="00DD0A0A"/>
    <w:rsid w:val="00DD104B"/>
    <w:rsid w:val="00DD2BC1"/>
    <w:rsid w:val="00DD37BE"/>
    <w:rsid w:val="00DD42DE"/>
    <w:rsid w:val="00DD5070"/>
    <w:rsid w:val="00DD52A5"/>
    <w:rsid w:val="00DD5731"/>
    <w:rsid w:val="00DD65CC"/>
    <w:rsid w:val="00DD6E92"/>
    <w:rsid w:val="00DD6ED9"/>
    <w:rsid w:val="00DD74DC"/>
    <w:rsid w:val="00DD77A6"/>
    <w:rsid w:val="00DD7B42"/>
    <w:rsid w:val="00DD7CFD"/>
    <w:rsid w:val="00DD7D1C"/>
    <w:rsid w:val="00DE02E8"/>
    <w:rsid w:val="00DE0533"/>
    <w:rsid w:val="00DE12E8"/>
    <w:rsid w:val="00DE1933"/>
    <w:rsid w:val="00DE1DB7"/>
    <w:rsid w:val="00DE269E"/>
    <w:rsid w:val="00DE2F04"/>
    <w:rsid w:val="00DE35A9"/>
    <w:rsid w:val="00DE368C"/>
    <w:rsid w:val="00DE4492"/>
    <w:rsid w:val="00DE55B0"/>
    <w:rsid w:val="00DE65BE"/>
    <w:rsid w:val="00DE6B5E"/>
    <w:rsid w:val="00DE6D6A"/>
    <w:rsid w:val="00DE6DD1"/>
    <w:rsid w:val="00DE6EAC"/>
    <w:rsid w:val="00DF0FDB"/>
    <w:rsid w:val="00DF153C"/>
    <w:rsid w:val="00DF20E6"/>
    <w:rsid w:val="00DF2F65"/>
    <w:rsid w:val="00DF4353"/>
    <w:rsid w:val="00DF4804"/>
    <w:rsid w:val="00DF4D03"/>
    <w:rsid w:val="00DF657F"/>
    <w:rsid w:val="00DF67CE"/>
    <w:rsid w:val="00DF7621"/>
    <w:rsid w:val="00E00743"/>
    <w:rsid w:val="00E009EA"/>
    <w:rsid w:val="00E0107C"/>
    <w:rsid w:val="00E02328"/>
    <w:rsid w:val="00E02349"/>
    <w:rsid w:val="00E02D12"/>
    <w:rsid w:val="00E032DD"/>
    <w:rsid w:val="00E03913"/>
    <w:rsid w:val="00E062CD"/>
    <w:rsid w:val="00E067F9"/>
    <w:rsid w:val="00E07576"/>
    <w:rsid w:val="00E077F3"/>
    <w:rsid w:val="00E07D75"/>
    <w:rsid w:val="00E10CA4"/>
    <w:rsid w:val="00E1215E"/>
    <w:rsid w:val="00E1285C"/>
    <w:rsid w:val="00E129AC"/>
    <w:rsid w:val="00E129AF"/>
    <w:rsid w:val="00E1317C"/>
    <w:rsid w:val="00E14789"/>
    <w:rsid w:val="00E14A31"/>
    <w:rsid w:val="00E15C18"/>
    <w:rsid w:val="00E15D58"/>
    <w:rsid w:val="00E16E43"/>
    <w:rsid w:val="00E16F97"/>
    <w:rsid w:val="00E17096"/>
    <w:rsid w:val="00E17384"/>
    <w:rsid w:val="00E173B2"/>
    <w:rsid w:val="00E205CE"/>
    <w:rsid w:val="00E208FE"/>
    <w:rsid w:val="00E20A3C"/>
    <w:rsid w:val="00E211EC"/>
    <w:rsid w:val="00E212D0"/>
    <w:rsid w:val="00E21A63"/>
    <w:rsid w:val="00E22BA9"/>
    <w:rsid w:val="00E22F4F"/>
    <w:rsid w:val="00E23A55"/>
    <w:rsid w:val="00E24191"/>
    <w:rsid w:val="00E25297"/>
    <w:rsid w:val="00E263AE"/>
    <w:rsid w:val="00E26C17"/>
    <w:rsid w:val="00E2781B"/>
    <w:rsid w:val="00E302C6"/>
    <w:rsid w:val="00E31054"/>
    <w:rsid w:val="00E31590"/>
    <w:rsid w:val="00E31EFC"/>
    <w:rsid w:val="00E3369D"/>
    <w:rsid w:val="00E336B6"/>
    <w:rsid w:val="00E347FB"/>
    <w:rsid w:val="00E34F5C"/>
    <w:rsid w:val="00E3527F"/>
    <w:rsid w:val="00E36A57"/>
    <w:rsid w:val="00E3750A"/>
    <w:rsid w:val="00E37F8C"/>
    <w:rsid w:val="00E40645"/>
    <w:rsid w:val="00E411B1"/>
    <w:rsid w:val="00E414C9"/>
    <w:rsid w:val="00E43FA2"/>
    <w:rsid w:val="00E44FC4"/>
    <w:rsid w:val="00E4524A"/>
    <w:rsid w:val="00E502D0"/>
    <w:rsid w:val="00E502D3"/>
    <w:rsid w:val="00E5030B"/>
    <w:rsid w:val="00E51CE3"/>
    <w:rsid w:val="00E5483B"/>
    <w:rsid w:val="00E54E54"/>
    <w:rsid w:val="00E5501A"/>
    <w:rsid w:val="00E56A10"/>
    <w:rsid w:val="00E571F8"/>
    <w:rsid w:val="00E60CAE"/>
    <w:rsid w:val="00E61CCE"/>
    <w:rsid w:val="00E62233"/>
    <w:rsid w:val="00E62966"/>
    <w:rsid w:val="00E647E4"/>
    <w:rsid w:val="00E65215"/>
    <w:rsid w:val="00E706B0"/>
    <w:rsid w:val="00E711C1"/>
    <w:rsid w:val="00E71696"/>
    <w:rsid w:val="00E71C85"/>
    <w:rsid w:val="00E71E92"/>
    <w:rsid w:val="00E7259A"/>
    <w:rsid w:val="00E72BBC"/>
    <w:rsid w:val="00E74BB3"/>
    <w:rsid w:val="00E74BF4"/>
    <w:rsid w:val="00E75398"/>
    <w:rsid w:val="00E761D4"/>
    <w:rsid w:val="00E77BC3"/>
    <w:rsid w:val="00E77DF1"/>
    <w:rsid w:val="00E77F6B"/>
    <w:rsid w:val="00E8109E"/>
    <w:rsid w:val="00E81403"/>
    <w:rsid w:val="00E81D7B"/>
    <w:rsid w:val="00E82CE3"/>
    <w:rsid w:val="00E836C1"/>
    <w:rsid w:val="00E844A3"/>
    <w:rsid w:val="00E84EDF"/>
    <w:rsid w:val="00E85891"/>
    <w:rsid w:val="00E85AF4"/>
    <w:rsid w:val="00E85C8C"/>
    <w:rsid w:val="00E85CE1"/>
    <w:rsid w:val="00E90461"/>
    <w:rsid w:val="00E90ECB"/>
    <w:rsid w:val="00E91E62"/>
    <w:rsid w:val="00E9351C"/>
    <w:rsid w:val="00E93C1B"/>
    <w:rsid w:val="00E945C8"/>
    <w:rsid w:val="00E95380"/>
    <w:rsid w:val="00E974EA"/>
    <w:rsid w:val="00E9762B"/>
    <w:rsid w:val="00E97D9D"/>
    <w:rsid w:val="00EA15BE"/>
    <w:rsid w:val="00EA22E7"/>
    <w:rsid w:val="00EA39EE"/>
    <w:rsid w:val="00EA455C"/>
    <w:rsid w:val="00EA7E27"/>
    <w:rsid w:val="00EB0900"/>
    <w:rsid w:val="00EB1138"/>
    <w:rsid w:val="00EB18C9"/>
    <w:rsid w:val="00EB18EF"/>
    <w:rsid w:val="00EB28C2"/>
    <w:rsid w:val="00EB4326"/>
    <w:rsid w:val="00EB4920"/>
    <w:rsid w:val="00EB4A5B"/>
    <w:rsid w:val="00EB4B90"/>
    <w:rsid w:val="00EB50A6"/>
    <w:rsid w:val="00EB75CA"/>
    <w:rsid w:val="00EC1C31"/>
    <w:rsid w:val="00EC25F9"/>
    <w:rsid w:val="00EC299B"/>
    <w:rsid w:val="00EC29F9"/>
    <w:rsid w:val="00EC3487"/>
    <w:rsid w:val="00EC3536"/>
    <w:rsid w:val="00EC3B1E"/>
    <w:rsid w:val="00EC3F62"/>
    <w:rsid w:val="00EC44A7"/>
    <w:rsid w:val="00EC51E8"/>
    <w:rsid w:val="00EC5937"/>
    <w:rsid w:val="00EC5D60"/>
    <w:rsid w:val="00EC73A7"/>
    <w:rsid w:val="00EC7DBA"/>
    <w:rsid w:val="00EC7F3D"/>
    <w:rsid w:val="00ED104F"/>
    <w:rsid w:val="00ED10A3"/>
    <w:rsid w:val="00ED1DBA"/>
    <w:rsid w:val="00ED2B50"/>
    <w:rsid w:val="00ED318B"/>
    <w:rsid w:val="00ED3662"/>
    <w:rsid w:val="00ED5CE9"/>
    <w:rsid w:val="00ED6972"/>
    <w:rsid w:val="00ED73C3"/>
    <w:rsid w:val="00ED7EF1"/>
    <w:rsid w:val="00EE0A23"/>
    <w:rsid w:val="00EE0FAE"/>
    <w:rsid w:val="00EE14BF"/>
    <w:rsid w:val="00EE21B3"/>
    <w:rsid w:val="00EE345A"/>
    <w:rsid w:val="00EE3791"/>
    <w:rsid w:val="00EE4C22"/>
    <w:rsid w:val="00EE6092"/>
    <w:rsid w:val="00EE6348"/>
    <w:rsid w:val="00EE751C"/>
    <w:rsid w:val="00EE781C"/>
    <w:rsid w:val="00EF0B43"/>
    <w:rsid w:val="00EF1176"/>
    <w:rsid w:val="00EF2C15"/>
    <w:rsid w:val="00EF31E1"/>
    <w:rsid w:val="00EF3B9C"/>
    <w:rsid w:val="00EF4217"/>
    <w:rsid w:val="00EF5050"/>
    <w:rsid w:val="00EF5CFB"/>
    <w:rsid w:val="00EF60EB"/>
    <w:rsid w:val="00EF6AE2"/>
    <w:rsid w:val="00F0024F"/>
    <w:rsid w:val="00F002E5"/>
    <w:rsid w:val="00F012F4"/>
    <w:rsid w:val="00F027A2"/>
    <w:rsid w:val="00F039EB"/>
    <w:rsid w:val="00F03DFF"/>
    <w:rsid w:val="00F049F4"/>
    <w:rsid w:val="00F04A43"/>
    <w:rsid w:val="00F04E59"/>
    <w:rsid w:val="00F05384"/>
    <w:rsid w:val="00F05BA1"/>
    <w:rsid w:val="00F0670D"/>
    <w:rsid w:val="00F07E15"/>
    <w:rsid w:val="00F10457"/>
    <w:rsid w:val="00F11F5C"/>
    <w:rsid w:val="00F12663"/>
    <w:rsid w:val="00F12A75"/>
    <w:rsid w:val="00F12AA8"/>
    <w:rsid w:val="00F12F5C"/>
    <w:rsid w:val="00F1432C"/>
    <w:rsid w:val="00F147F7"/>
    <w:rsid w:val="00F15667"/>
    <w:rsid w:val="00F15C24"/>
    <w:rsid w:val="00F15E38"/>
    <w:rsid w:val="00F16692"/>
    <w:rsid w:val="00F16F4D"/>
    <w:rsid w:val="00F177BF"/>
    <w:rsid w:val="00F17DBD"/>
    <w:rsid w:val="00F20567"/>
    <w:rsid w:val="00F206DC"/>
    <w:rsid w:val="00F20981"/>
    <w:rsid w:val="00F21033"/>
    <w:rsid w:val="00F2160F"/>
    <w:rsid w:val="00F21788"/>
    <w:rsid w:val="00F21FB3"/>
    <w:rsid w:val="00F220A5"/>
    <w:rsid w:val="00F2278E"/>
    <w:rsid w:val="00F22F1F"/>
    <w:rsid w:val="00F2389E"/>
    <w:rsid w:val="00F24FA7"/>
    <w:rsid w:val="00F2767F"/>
    <w:rsid w:val="00F30343"/>
    <w:rsid w:val="00F304EB"/>
    <w:rsid w:val="00F30920"/>
    <w:rsid w:val="00F3120B"/>
    <w:rsid w:val="00F3155B"/>
    <w:rsid w:val="00F330F6"/>
    <w:rsid w:val="00F3385B"/>
    <w:rsid w:val="00F33A7E"/>
    <w:rsid w:val="00F345C5"/>
    <w:rsid w:val="00F34B96"/>
    <w:rsid w:val="00F35BB2"/>
    <w:rsid w:val="00F36AF7"/>
    <w:rsid w:val="00F41141"/>
    <w:rsid w:val="00F415AF"/>
    <w:rsid w:val="00F41AA8"/>
    <w:rsid w:val="00F44D0B"/>
    <w:rsid w:val="00F4590F"/>
    <w:rsid w:val="00F46F10"/>
    <w:rsid w:val="00F47260"/>
    <w:rsid w:val="00F47516"/>
    <w:rsid w:val="00F47F89"/>
    <w:rsid w:val="00F500B0"/>
    <w:rsid w:val="00F50B14"/>
    <w:rsid w:val="00F521C6"/>
    <w:rsid w:val="00F5336C"/>
    <w:rsid w:val="00F533F0"/>
    <w:rsid w:val="00F53660"/>
    <w:rsid w:val="00F543E5"/>
    <w:rsid w:val="00F5472D"/>
    <w:rsid w:val="00F54FA1"/>
    <w:rsid w:val="00F553A0"/>
    <w:rsid w:val="00F55D6B"/>
    <w:rsid w:val="00F5698F"/>
    <w:rsid w:val="00F56CE3"/>
    <w:rsid w:val="00F57E0F"/>
    <w:rsid w:val="00F60122"/>
    <w:rsid w:val="00F60F0F"/>
    <w:rsid w:val="00F61472"/>
    <w:rsid w:val="00F61C0D"/>
    <w:rsid w:val="00F63689"/>
    <w:rsid w:val="00F637BB"/>
    <w:rsid w:val="00F642CB"/>
    <w:rsid w:val="00F64D11"/>
    <w:rsid w:val="00F65AB1"/>
    <w:rsid w:val="00F663D9"/>
    <w:rsid w:val="00F66798"/>
    <w:rsid w:val="00F668B6"/>
    <w:rsid w:val="00F66F3C"/>
    <w:rsid w:val="00F67E01"/>
    <w:rsid w:val="00F7096E"/>
    <w:rsid w:val="00F716CD"/>
    <w:rsid w:val="00F71CF1"/>
    <w:rsid w:val="00F7322A"/>
    <w:rsid w:val="00F732C0"/>
    <w:rsid w:val="00F745BB"/>
    <w:rsid w:val="00F74645"/>
    <w:rsid w:val="00F74F3D"/>
    <w:rsid w:val="00F76987"/>
    <w:rsid w:val="00F774BA"/>
    <w:rsid w:val="00F7754F"/>
    <w:rsid w:val="00F7785B"/>
    <w:rsid w:val="00F77DED"/>
    <w:rsid w:val="00F800FE"/>
    <w:rsid w:val="00F802F9"/>
    <w:rsid w:val="00F80644"/>
    <w:rsid w:val="00F80860"/>
    <w:rsid w:val="00F80AE7"/>
    <w:rsid w:val="00F80C58"/>
    <w:rsid w:val="00F811F0"/>
    <w:rsid w:val="00F820BF"/>
    <w:rsid w:val="00F842FB"/>
    <w:rsid w:val="00F84A5D"/>
    <w:rsid w:val="00F86B11"/>
    <w:rsid w:val="00F87496"/>
    <w:rsid w:val="00F91613"/>
    <w:rsid w:val="00F9164F"/>
    <w:rsid w:val="00F9230A"/>
    <w:rsid w:val="00F9421A"/>
    <w:rsid w:val="00F94945"/>
    <w:rsid w:val="00F95DAE"/>
    <w:rsid w:val="00F9725C"/>
    <w:rsid w:val="00FA06E7"/>
    <w:rsid w:val="00FA2C06"/>
    <w:rsid w:val="00FA2EEC"/>
    <w:rsid w:val="00FA2F47"/>
    <w:rsid w:val="00FA2FE2"/>
    <w:rsid w:val="00FA32BF"/>
    <w:rsid w:val="00FA391A"/>
    <w:rsid w:val="00FA44D0"/>
    <w:rsid w:val="00FA44FF"/>
    <w:rsid w:val="00FA4817"/>
    <w:rsid w:val="00FA4AAE"/>
    <w:rsid w:val="00FA4B75"/>
    <w:rsid w:val="00FA4D6D"/>
    <w:rsid w:val="00FA6397"/>
    <w:rsid w:val="00FA6498"/>
    <w:rsid w:val="00FA7D36"/>
    <w:rsid w:val="00FA7F02"/>
    <w:rsid w:val="00FB077D"/>
    <w:rsid w:val="00FB0FAC"/>
    <w:rsid w:val="00FB2477"/>
    <w:rsid w:val="00FB26D6"/>
    <w:rsid w:val="00FB27ED"/>
    <w:rsid w:val="00FB2C4D"/>
    <w:rsid w:val="00FB2D44"/>
    <w:rsid w:val="00FB351B"/>
    <w:rsid w:val="00FB42E4"/>
    <w:rsid w:val="00FB58E9"/>
    <w:rsid w:val="00FB5CF5"/>
    <w:rsid w:val="00FB5EE9"/>
    <w:rsid w:val="00FB63FB"/>
    <w:rsid w:val="00FB7484"/>
    <w:rsid w:val="00FB79BD"/>
    <w:rsid w:val="00FC1329"/>
    <w:rsid w:val="00FC13CD"/>
    <w:rsid w:val="00FC1534"/>
    <w:rsid w:val="00FC165D"/>
    <w:rsid w:val="00FC285B"/>
    <w:rsid w:val="00FC2DB4"/>
    <w:rsid w:val="00FC3498"/>
    <w:rsid w:val="00FC3D32"/>
    <w:rsid w:val="00FC46D5"/>
    <w:rsid w:val="00FC4D80"/>
    <w:rsid w:val="00FC5032"/>
    <w:rsid w:val="00FC53D6"/>
    <w:rsid w:val="00FC5756"/>
    <w:rsid w:val="00FC5925"/>
    <w:rsid w:val="00FC62A4"/>
    <w:rsid w:val="00FC6CC1"/>
    <w:rsid w:val="00FD078F"/>
    <w:rsid w:val="00FD125C"/>
    <w:rsid w:val="00FD197B"/>
    <w:rsid w:val="00FD1ECA"/>
    <w:rsid w:val="00FD46D5"/>
    <w:rsid w:val="00FD5B9D"/>
    <w:rsid w:val="00FD6C98"/>
    <w:rsid w:val="00FD73CF"/>
    <w:rsid w:val="00FD7C18"/>
    <w:rsid w:val="00FE0065"/>
    <w:rsid w:val="00FE22D8"/>
    <w:rsid w:val="00FE230F"/>
    <w:rsid w:val="00FE253E"/>
    <w:rsid w:val="00FE367A"/>
    <w:rsid w:val="00FE4326"/>
    <w:rsid w:val="00FE437D"/>
    <w:rsid w:val="00FE4399"/>
    <w:rsid w:val="00FE43FA"/>
    <w:rsid w:val="00FE48B9"/>
    <w:rsid w:val="00FE5EAF"/>
    <w:rsid w:val="00FE6151"/>
    <w:rsid w:val="00FE71AA"/>
    <w:rsid w:val="00FF0624"/>
    <w:rsid w:val="00FF0EF6"/>
    <w:rsid w:val="00FF10ED"/>
    <w:rsid w:val="00FF1A24"/>
    <w:rsid w:val="00FF265D"/>
    <w:rsid w:val="00FF2FE9"/>
    <w:rsid w:val="00FF3636"/>
    <w:rsid w:val="00FF5673"/>
    <w:rsid w:val="00FF5CCC"/>
    <w:rsid w:val="00FF5E6D"/>
    <w:rsid w:val="00FF62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66CA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60EC"/>
    <w:pPr>
      <w:spacing w:after="0" w:line="276" w:lineRule="auto"/>
      <w:jc w:val="both"/>
    </w:pPr>
    <w:rPr>
      <w:rFonts w:ascii="Garamond" w:eastAsia="Calibri" w:hAnsi="Garamond" w:cs="Times New Roman"/>
      <w:sz w:val="24"/>
    </w:rPr>
  </w:style>
  <w:style w:type="paragraph" w:styleId="Nadpis1">
    <w:name w:val="heading 1"/>
    <w:basedOn w:val="Normln"/>
    <w:next w:val="Normln"/>
    <w:link w:val="Nadpis1Char"/>
    <w:uiPriority w:val="9"/>
    <w:qFormat/>
    <w:rsid w:val="00930695"/>
    <w:pPr>
      <w:keepNext/>
      <w:keepLines/>
      <w:spacing w:before="240"/>
      <w:outlineLvl w:val="0"/>
    </w:pPr>
    <w:rPr>
      <w:rFonts w:eastAsiaTheme="majorEastAsia" w:cstheme="majorBidi"/>
      <w:b/>
      <w:sz w:val="32"/>
      <w:szCs w:val="32"/>
    </w:rPr>
  </w:style>
  <w:style w:type="paragraph" w:styleId="Nadpis2">
    <w:name w:val="heading 2"/>
    <w:basedOn w:val="Normln"/>
    <w:next w:val="Normln"/>
    <w:link w:val="Nadpis2Char"/>
    <w:uiPriority w:val="9"/>
    <w:unhideWhenUsed/>
    <w:qFormat/>
    <w:rsid w:val="00894D51"/>
    <w:pPr>
      <w:keepNext/>
      <w:keepLines/>
      <w:spacing w:before="40"/>
      <w:outlineLvl w:val="1"/>
    </w:pPr>
    <w:rPr>
      <w:rFonts w:eastAsiaTheme="majorEastAsia" w:cstheme="majorBidi"/>
      <w:b/>
      <w:color w:val="000000" w:themeColor="text1"/>
      <w:sz w:val="28"/>
      <w:szCs w:val="26"/>
    </w:rPr>
  </w:style>
  <w:style w:type="paragraph" w:styleId="Nadpis3">
    <w:name w:val="heading 3"/>
    <w:basedOn w:val="Normln"/>
    <w:next w:val="Normln"/>
    <w:link w:val="Nadpis3Char"/>
    <w:uiPriority w:val="9"/>
    <w:unhideWhenUsed/>
    <w:qFormat/>
    <w:rsid w:val="008430BD"/>
    <w:pPr>
      <w:keepNext/>
      <w:keepLines/>
      <w:spacing w:before="200"/>
      <w:ind w:left="720" w:hanging="720"/>
      <w:outlineLvl w:val="2"/>
    </w:pPr>
    <w:rPr>
      <w:rFonts w:eastAsia="Times New Roman"/>
      <w:b/>
      <w:bCs/>
      <w:color w:val="000000"/>
    </w:rPr>
  </w:style>
  <w:style w:type="paragraph" w:styleId="Nadpis4">
    <w:name w:val="heading 4"/>
    <w:basedOn w:val="Normln"/>
    <w:next w:val="Normln"/>
    <w:link w:val="Nadpis4Char"/>
    <w:uiPriority w:val="9"/>
    <w:unhideWhenUsed/>
    <w:qFormat/>
    <w:rsid w:val="008430BD"/>
    <w:pPr>
      <w:keepNext/>
      <w:keepLines/>
      <w:spacing w:before="200"/>
      <w:ind w:left="864" w:hanging="864"/>
      <w:outlineLvl w:val="3"/>
    </w:pPr>
    <w:rPr>
      <w:rFonts w:eastAsia="Times New Roman"/>
      <w:b/>
      <w:bCs/>
      <w:iCs/>
    </w:rPr>
  </w:style>
  <w:style w:type="paragraph" w:styleId="Nadpis5">
    <w:name w:val="heading 5"/>
    <w:basedOn w:val="Normln"/>
    <w:next w:val="Normln"/>
    <w:link w:val="Nadpis5Char"/>
    <w:uiPriority w:val="9"/>
    <w:semiHidden/>
    <w:unhideWhenUsed/>
    <w:qFormat/>
    <w:rsid w:val="008430BD"/>
    <w:pPr>
      <w:keepNext/>
      <w:keepLines/>
      <w:spacing w:before="200"/>
      <w:ind w:left="1008" w:hanging="1008"/>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8430BD"/>
    <w:pPr>
      <w:keepNext/>
      <w:keepLines/>
      <w:spacing w:before="200"/>
      <w:ind w:left="1152" w:hanging="1152"/>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8430BD"/>
    <w:pPr>
      <w:keepNext/>
      <w:keepLines/>
      <w:spacing w:before="200"/>
      <w:ind w:left="1296" w:hanging="1296"/>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8430BD"/>
    <w:pPr>
      <w:keepNext/>
      <w:keepLines/>
      <w:spacing w:before="200"/>
      <w:ind w:left="1440" w:hanging="144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8430BD"/>
    <w:pPr>
      <w:keepNext/>
      <w:keepLines/>
      <w:spacing w:before="200"/>
      <w:ind w:left="1584" w:hanging="1584"/>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30695"/>
    <w:rPr>
      <w:rFonts w:ascii="Garamond" w:eastAsiaTheme="majorEastAsia" w:hAnsi="Garamond" w:cstheme="majorBidi"/>
      <w:b/>
      <w:sz w:val="32"/>
      <w:szCs w:val="32"/>
    </w:rPr>
  </w:style>
  <w:style w:type="character" w:customStyle="1" w:styleId="Nadpis2Char">
    <w:name w:val="Nadpis 2 Char"/>
    <w:basedOn w:val="Standardnpsmoodstavce"/>
    <w:link w:val="Nadpis2"/>
    <w:uiPriority w:val="9"/>
    <w:rsid w:val="00894D51"/>
    <w:rPr>
      <w:rFonts w:ascii="Times New Roman" w:eastAsiaTheme="majorEastAsia" w:hAnsi="Times New Roman" w:cstheme="majorBidi"/>
      <w:b/>
      <w:color w:val="000000" w:themeColor="text1"/>
      <w:sz w:val="28"/>
      <w:szCs w:val="26"/>
    </w:rPr>
  </w:style>
  <w:style w:type="character" w:customStyle="1" w:styleId="Nadpis3Char">
    <w:name w:val="Nadpis 3 Char"/>
    <w:basedOn w:val="Standardnpsmoodstavce"/>
    <w:link w:val="Nadpis3"/>
    <w:uiPriority w:val="9"/>
    <w:rsid w:val="008430BD"/>
    <w:rPr>
      <w:rFonts w:ascii="Garamond" w:eastAsia="Times New Roman" w:hAnsi="Garamond" w:cs="Times New Roman"/>
      <w:b/>
      <w:bCs/>
      <w:color w:val="000000"/>
      <w:sz w:val="24"/>
    </w:rPr>
  </w:style>
  <w:style w:type="character" w:customStyle="1" w:styleId="Nadpis4Char">
    <w:name w:val="Nadpis 4 Char"/>
    <w:basedOn w:val="Standardnpsmoodstavce"/>
    <w:link w:val="Nadpis4"/>
    <w:uiPriority w:val="9"/>
    <w:rsid w:val="008430BD"/>
    <w:rPr>
      <w:rFonts w:ascii="Garamond" w:eastAsia="Times New Roman" w:hAnsi="Garamond" w:cs="Times New Roman"/>
      <w:b/>
      <w:bCs/>
      <w:iCs/>
      <w:sz w:val="24"/>
    </w:rPr>
  </w:style>
  <w:style w:type="character" w:customStyle="1" w:styleId="Nadpis5Char">
    <w:name w:val="Nadpis 5 Char"/>
    <w:basedOn w:val="Standardnpsmoodstavce"/>
    <w:link w:val="Nadpis5"/>
    <w:uiPriority w:val="9"/>
    <w:semiHidden/>
    <w:rsid w:val="008430BD"/>
    <w:rPr>
      <w:rFonts w:ascii="Cambria" w:eastAsia="Times New Roman" w:hAnsi="Cambria" w:cs="Times New Roman"/>
      <w:color w:val="243F60"/>
      <w:sz w:val="24"/>
    </w:rPr>
  </w:style>
  <w:style w:type="character" w:customStyle="1" w:styleId="Nadpis6Char">
    <w:name w:val="Nadpis 6 Char"/>
    <w:basedOn w:val="Standardnpsmoodstavce"/>
    <w:link w:val="Nadpis6"/>
    <w:uiPriority w:val="9"/>
    <w:semiHidden/>
    <w:rsid w:val="008430BD"/>
    <w:rPr>
      <w:rFonts w:ascii="Cambria" w:eastAsia="Times New Roman" w:hAnsi="Cambria" w:cs="Times New Roman"/>
      <w:i/>
      <w:iCs/>
      <w:color w:val="243F60"/>
      <w:sz w:val="24"/>
    </w:rPr>
  </w:style>
  <w:style w:type="character" w:customStyle="1" w:styleId="Nadpis7Char">
    <w:name w:val="Nadpis 7 Char"/>
    <w:basedOn w:val="Standardnpsmoodstavce"/>
    <w:link w:val="Nadpis7"/>
    <w:uiPriority w:val="9"/>
    <w:semiHidden/>
    <w:rsid w:val="008430BD"/>
    <w:rPr>
      <w:rFonts w:ascii="Cambria" w:eastAsia="Times New Roman" w:hAnsi="Cambria" w:cs="Times New Roman"/>
      <w:i/>
      <w:iCs/>
      <w:color w:val="404040"/>
      <w:sz w:val="24"/>
    </w:rPr>
  </w:style>
  <w:style w:type="character" w:customStyle="1" w:styleId="Nadpis8Char">
    <w:name w:val="Nadpis 8 Char"/>
    <w:basedOn w:val="Standardnpsmoodstavce"/>
    <w:link w:val="Nadpis8"/>
    <w:uiPriority w:val="9"/>
    <w:semiHidden/>
    <w:rsid w:val="008430BD"/>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8430BD"/>
    <w:rPr>
      <w:rFonts w:ascii="Cambria" w:eastAsia="Times New Roman" w:hAnsi="Cambria" w:cs="Times New Roman"/>
      <w:i/>
      <w:iCs/>
      <w:color w:val="404040"/>
      <w:sz w:val="20"/>
      <w:szCs w:val="20"/>
    </w:rPr>
  </w:style>
  <w:style w:type="paragraph" w:styleId="Nadpisobsahu">
    <w:name w:val="TOC Heading"/>
    <w:basedOn w:val="Nadpis1"/>
    <w:next w:val="Normln"/>
    <w:uiPriority w:val="39"/>
    <w:unhideWhenUsed/>
    <w:qFormat/>
    <w:rsid w:val="008430BD"/>
    <w:pPr>
      <w:pageBreakBefore/>
      <w:outlineLvl w:val="9"/>
    </w:pPr>
    <w:rPr>
      <w:rFonts w:ascii="Cambria" w:eastAsia="Times New Roman" w:hAnsi="Cambria" w:cs="Times New Roman"/>
      <w:b w:val="0"/>
      <w:bCs/>
      <w:color w:val="365F91"/>
      <w:szCs w:val="28"/>
      <w:lang w:eastAsia="cs-CZ"/>
    </w:rPr>
  </w:style>
  <w:style w:type="paragraph" w:styleId="Obsah1">
    <w:name w:val="toc 1"/>
    <w:basedOn w:val="Normln"/>
    <w:next w:val="Normln"/>
    <w:autoRedefine/>
    <w:uiPriority w:val="39"/>
    <w:unhideWhenUsed/>
    <w:rsid w:val="008430BD"/>
    <w:pPr>
      <w:tabs>
        <w:tab w:val="right" w:leader="dot" w:pos="9060"/>
      </w:tabs>
    </w:pPr>
  </w:style>
  <w:style w:type="character" w:styleId="Hypertextovodkaz">
    <w:name w:val="Hyperlink"/>
    <w:uiPriority w:val="99"/>
    <w:unhideWhenUsed/>
    <w:rsid w:val="008430BD"/>
    <w:rPr>
      <w:color w:val="0000FF"/>
      <w:u w:val="single"/>
    </w:rPr>
  </w:style>
  <w:style w:type="paragraph" w:styleId="Obsah2">
    <w:name w:val="toc 2"/>
    <w:basedOn w:val="Normln"/>
    <w:next w:val="Normln"/>
    <w:autoRedefine/>
    <w:uiPriority w:val="39"/>
    <w:unhideWhenUsed/>
    <w:rsid w:val="000E0C47"/>
    <w:pPr>
      <w:tabs>
        <w:tab w:val="left" w:pos="880"/>
        <w:tab w:val="right" w:leader="dot" w:pos="9062"/>
      </w:tabs>
      <w:ind w:left="238"/>
    </w:pPr>
    <w:rPr>
      <w:noProof/>
    </w:rPr>
  </w:style>
  <w:style w:type="paragraph" w:styleId="Obsah3">
    <w:name w:val="toc 3"/>
    <w:basedOn w:val="Normln"/>
    <w:next w:val="Normln"/>
    <w:autoRedefine/>
    <w:uiPriority w:val="39"/>
    <w:unhideWhenUsed/>
    <w:rsid w:val="00561B98"/>
    <w:pPr>
      <w:tabs>
        <w:tab w:val="left" w:pos="1320"/>
        <w:tab w:val="right" w:leader="dot" w:pos="9062"/>
      </w:tabs>
      <w:ind w:left="482"/>
    </w:pPr>
  </w:style>
  <w:style w:type="paragraph" w:styleId="Zhlav">
    <w:name w:val="header"/>
    <w:basedOn w:val="Normln"/>
    <w:link w:val="ZhlavChar"/>
    <w:uiPriority w:val="99"/>
    <w:unhideWhenUsed/>
    <w:rsid w:val="008430BD"/>
    <w:pPr>
      <w:tabs>
        <w:tab w:val="center" w:pos="4536"/>
        <w:tab w:val="right" w:pos="9072"/>
      </w:tabs>
      <w:spacing w:line="240" w:lineRule="auto"/>
    </w:pPr>
  </w:style>
  <w:style w:type="character" w:customStyle="1" w:styleId="ZhlavChar">
    <w:name w:val="Záhlaví Char"/>
    <w:basedOn w:val="Standardnpsmoodstavce"/>
    <w:link w:val="Zhlav"/>
    <w:uiPriority w:val="99"/>
    <w:rsid w:val="008430BD"/>
    <w:rPr>
      <w:rFonts w:ascii="Garamond" w:eastAsia="Calibri" w:hAnsi="Garamond" w:cs="Times New Roman"/>
      <w:sz w:val="24"/>
    </w:rPr>
  </w:style>
  <w:style w:type="paragraph" w:styleId="Zpat">
    <w:name w:val="footer"/>
    <w:basedOn w:val="Normln"/>
    <w:link w:val="ZpatChar"/>
    <w:uiPriority w:val="99"/>
    <w:unhideWhenUsed/>
    <w:rsid w:val="008430BD"/>
    <w:pPr>
      <w:tabs>
        <w:tab w:val="center" w:pos="4536"/>
        <w:tab w:val="right" w:pos="9072"/>
      </w:tabs>
      <w:spacing w:line="240" w:lineRule="auto"/>
    </w:pPr>
  </w:style>
  <w:style w:type="character" w:customStyle="1" w:styleId="ZpatChar">
    <w:name w:val="Zápatí Char"/>
    <w:basedOn w:val="Standardnpsmoodstavce"/>
    <w:link w:val="Zpat"/>
    <w:uiPriority w:val="99"/>
    <w:rsid w:val="008430BD"/>
    <w:rPr>
      <w:rFonts w:ascii="Garamond" w:eastAsia="Calibri" w:hAnsi="Garamond" w:cs="Times New Roman"/>
      <w:sz w:val="24"/>
    </w:rPr>
  </w:style>
  <w:style w:type="paragraph" w:styleId="Textbubliny">
    <w:name w:val="Balloon Text"/>
    <w:basedOn w:val="Normln"/>
    <w:link w:val="TextbublinyChar"/>
    <w:uiPriority w:val="99"/>
    <w:semiHidden/>
    <w:unhideWhenUsed/>
    <w:rsid w:val="008430B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30BD"/>
    <w:rPr>
      <w:rFonts w:ascii="Tahoma" w:eastAsia="Calibri" w:hAnsi="Tahoma" w:cs="Tahoma"/>
      <w:sz w:val="16"/>
      <w:szCs w:val="16"/>
    </w:rPr>
  </w:style>
  <w:style w:type="paragraph" w:styleId="Odstavecseseznamem">
    <w:name w:val="List Paragraph"/>
    <w:basedOn w:val="Normln"/>
    <w:uiPriority w:val="34"/>
    <w:qFormat/>
    <w:rsid w:val="008430BD"/>
    <w:pPr>
      <w:ind w:left="720"/>
      <w:contextualSpacing/>
    </w:pPr>
  </w:style>
  <w:style w:type="paragraph" w:styleId="Titulek">
    <w:name w:val="caption"/>
    <w:basedOn w:val="Normln"/>
    <w:next w:val="Normln"/>
    <w:uiPriority w:val="35"/>
    <w:unhideWhenUsed/>
    <w:qFormat/>
    <w:rsid w:val="008430BD"/>
    <w:pPr>
      <w:spacing w:line="240" w:lineRule="auto"/>
    </w:pPr>
    <w:rPr>
      <w:b/>
      <w:bCs/>
      <w:color w:val="4F81BD"/>
      <w:sz w:val="18"/>
      <w:szCs w:val="18"/>
    </w:rPr>
  </w:style>
  <w:style w:type="paragraph" w:styleId="Podnadpis">
    <w:name w:val="Subtitle"/>
    <w:aliases w:val="Grafy a tabulky"/>
    <w:basedOn w:val="Normln"/>
    <w:next w:val="Normln"/>
    <w:link w:val="PodnadpisChar"/>
    <w:uiPriority w:val="11"/>
    <w:qFormat/>
    <w:rsid w:val="008430BD"/>
    <w:pPr>
      <w:keepNext/>
      <w:numPr>
        <w:ilvl w:val="1"/>
      </w:numPr>
      <w:spacing w:before="120" w:line="240" w:lineRule="auto"/>
      <w:jc w:val="left"/>
    </w:pPr>
    <w:rPr>
      <w:rFonts w:eastAsia="Times New Roman"/>
      <w:b/>
      <w:iCs/>
      <w:color w:val="000000"/>
      <w:spacing w:val="15"/>
      <w:szCs w:val="24"/>
    </w:rPr>
  </w:style>
  <w:style w:type="character" w:customStyle="1" w:styleId="PodnadpisChar">
    <w:name w:val="Podnadpis Char"/>
    <w:aliases w:val="Grafy a tabulky Char"/>
    <w:basedOn w:val="Standardnpsmoodstavce"/>
    <w:link w:val="Podnadpis"/>
    <w:uiPriority w:val="11"/>
    <w:rsid w:val="008430BD"/>
    <w:rPr>
      <w:rFonts w:ascii="Garamond" w:eastAsia="Times New Roman" w:hAnsi="Garamond" w:cs="Times New Roman"/>
      <w:b/>
      <w:iCs/>
      <w:color w:val="000000"/>
      <w:spacing w:val="15"/>
      <w:sz w:val="24"/>
      <w:szCs w:val="24"/>
    </w:rPr>
  </w:style>
  <w:style w:type="paragraph" w:styleId="Seznamobrzk">
    <w:name w:val="table of figures"/>
    <w:basedOn w:val="Normln"/>
    <w:next w:val="Normln"/>
    <w:uiPriority w:val="99"/>
    <w:unhideWhenUsed/>
    <w:rsid w:val="00CF32FA"/>
    <w:pPr>
      <w:ind w:left="567" w:right="567" w:hanging="567"/>
    </w:pPr>
  </w:style>
  <w:style w:type="paragraph" w:styleId="Bezmezer">
    <w:name w:val="No Spacing"/>
    <w:uiPriority w:val="1"/>
    <w:qFormat/>
    <w:rsid w:val="008430BD"/>
    <w:pPr>
      <w:spacing w:after="0" w:line="240" w:lineRule="auto"/>
    </w:pPr>
    <w:rPr>
      <w:rFonts w:ascii="Times New Roman" w:eastAsia="Calibri" w:hAnsi="Times New Roman" w:cs="Times New Roman"/>
      <w:sz w:val="24"/>
    </w:rPr>
  </w:style>
  <w:style w:type="paragraph" w:styleId="Textpoznpodarou">
    <w:name w:val="footnote text"/>
    <w:basedOn w:val="Normln"/>
    <w:link w:val="TextpoznpodarouChar"/>
    <w:uiPriority w:val="99"/>
    <w:semiHidden/>
    <w:unhideWhenUsed/>
    <w:rsid w:val="008430BD"/>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8430BD"/>
    <w:rPr>
      <w:rFonts w:ascii="Garamond" w:eastAsia="Calibri" w:hAnsi="Garamond" w:cs="Times New Roman"/>
      <w:sz w:val="20"/>
      <w:szCs w:val="20"/>
    </w:rPr>
  </w:style>
  <w:style w:type="character" w:styleId="Znakapoznpodarou">
    <w:name w:val="footnote reference"/>
    <w:uiPriority w:val="99"/>
    <w:semiHidden/>
    <w:unhideWhenUsed/>
    <w:rsid w:val="008430BD"/>
    <w:rPr>
      <w:vertAlign w:val="superscript"/>
    </w:rPr>
  </w:style>
  <w:style w:type="paragraph" w:styleId="Nzev">
    <w:name w:val="Title"/>
    <w:basedOn w:val="Normln"/>
    <w:next w:val="Normln"/>
    <w:link w:val="NzevChar"/>
    <w:uiPriority w:val="10"/>
    <w:qFormat/>
    <w:rsid w:val="008430B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10"/>
    <w:rsid w:val="008430BD"/>
    <w:rPr>
      <w:rFonts w:ascii="Cambria" w:eastAsia="Times New Roman" w:hAnsi="Cambria" w:cs="Times New Roman"/>
      <w:color w:val="17365D"/>
      <w:spacing w:val="5"/>
      <w:kern w:val="28"/>
      <w:sz w:val="52"/>
      <w:szCs w:val="52"/>
    </w:rPr>
  </w:style>
  <w:style w:type="character" w:styleId="Odkaznakoment">
    <w:name w:val="annotation reference"/>
    <w:uiPriority w:val="99"/>
    <w:semiHidden/>
    <w:unhideWhenUsed/>
    <w:rsid w:val="008430BD"/>
    <w:rPr>
      <w:sz w:val="16"/>
      <w:szCs w:val="16"/>
    </w:rPr>
  </w:style>
  <w:style w:type="paragraph" w:styleId="Textkomente">
    <w:name w:val="annotation text"/>
    <w:basedOn w:val="Normln"/>
    <w:link w:val="TextkomenteChar"/>
    <w:uiPriority w:val="99"/>
    <w:unhideWhenUsed/>
    <w:rsid w:val="008430BD"/>
    <w:pPr>
      <w:spacing w:line="240" w:lineRule="auto"/>
    </w:pPr>
    <w:rPr>
      <w:sz w:val="20"/>
      <w:szCs w:val="20"/>
    </w:rPr>
  </w:style>
  <w:style w:type="character" w:customStyle="1" w:styleId="TextkomenteChar">
    <w:name w:val="Text komentáře Char"/>
    <w:basedOn w:val="Standardnpsmoodstavce"/>
    <w:link w:val="Textkomente"/>
    <w:uiPriority w:val="99"/>
    <w:rsid w:val="008430BD"/>
    <w:rPr>
      <w:rFonts w:ascii="Garamond" w:eastAsia="Calibri" w:hAnsi="Garamond" w:cs="Times New Roman"/>
      <w:sz w:val="20"/>
      <w:szCs w:val="20"/>
    </w:rPr>
  </w:style>
  <w:style w:type="paragraph" w:styleId="Pedmtkomente">
    <w:name w:val="annotation subject"/>
    <w:basedOn w:val="Textkomente"/>
    <w:next w:val="Textkomente"/>
    <w:link w:val="PedmtkomenteChar"/>
    <w:uiPriority w:val="99"/>
    <w:semiHidden/>
    <w:unhideWhenUsed/>
    <w:rsid w:val="008430BD"/>
    <w:rPr>
      <w:b/>
      <w:bCs/>
    </w:rPr>
  </w:style>
  <w:style w:type="character" w:customStyle="1" w:styleId="PedmtkomenteChar">
    <w:name w:val="Předmět komentáře Char"/>
    <w:basedOn w:val="TextkomenteChar"/>
    <w:link w:val="Pedmtkomente"/>
    <w:uiPriority w:val="99"/>
    <w:semiHidden/>
    <w:rsid w:val="008430BD"/>
    <w:rPr>
      <w:rFonts w:ascii="Garamond" w:eastAsia="Calibri" w:hAnsi="Garamond" w:cs="Times New Roman"/>
      <w:b/>
      <w:bCs/>
      <w:sz w:val="20"/>
      <w:szCs w:val="20"/>
    </w:rPr>
  </w:style>
  <w:style w:type="paragraph" w:customStyle="1" w:styleId="OdstavecASR">
    <w:name w:val="Odstavec ASR"/>
    <w:basedOn w:val="Normln"/>
    <w:link w:val="OdstavecASRChar"/>
    <w:qFormat/>
    <w:rsid w:val="008430BD"/>
    <w:pPr>
      <w:spacing w:before="60" w:after="120"/>
    </w:pPr>
  </w:style>
  <w:style w:type="character" w:customStyle="1" w:styleId="OdstavecASRChar">
    <w:name w:val="Odstavec ASR Char"/>
    <w:link w:val="OdstavecASR"/>
    <w:rsid w:val="008430BD"/>
    <w:rPr>
      <w:rFonts w:ascii="Garamond" w:eastAsia="Calibri" w:hAnsi="Garamond" w:cs="Times New Roman"/>
      <w:sz w:val="24"/>
    </w:rPr>
  </w:style>
  <w:style w:type="paragraph" w:styleId="Obsah4">
    <w:name w:val="toc 4"/>
    <w:basedOn w:val="Normln"/>
    <w:next w:val="Normln"/>
    <w:autoRedefine/>
    <w:uiPriority w:val="39"/>
    <w:unhideWhenUsed/>
    <w:rsid w:val="008430BD"/>
    <w:pPr>
      <w:spacing w:after="100"/>
      <w:ind w:left="660"/>
      <w:jc w:val="left"/>
    </w:pPr>
    <w:rPr>
      <w:rFonts w:ascii="Calibri" w:eastAsia="Times New Roman" w:hAnsi="Calibri"/>
      <w:sz w:val="22"/>
      <w:lang w:eastAsia="cs-CZ"/>
    </w:rPr>
  </w:style>
  <w:style w:type="paragraph" w:styleId="Obsah5">
    <w:name w:val="toc 5"/>
    <w:basedOn w:val="Normln"/>
    <w:next w:val="Normln"/>
    <w:autoRedefine/>
    <w:uiPriority w:val="39"/>
    <w:unhideWhenUsed/>
    <w:rsid w:val="008430BD"/>
    <w:pPr>
      <w:spacing w:after="100"/>
      <w:ind w:left="88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8430BD"/>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8430BD"/>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8430BD"/>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8430BD"/>
    <w:pPr>
      <w:spacing w:after="100"/>
      <w:ind w:left="1760"/>
      <w:jc w:val="left"/>
    </w:pPr>
    <w:rPr>
      <w:rFonts w:ascii="Calibri" w:eastAsia="Times New Roman" w:hAnsi="Calibri"/>
      <w:sz w:val="22"/>
      <w:lang w:eastAsia="cs-CZ"/>
    </w:rPr>
  </w:style>
  <w:style w:type="paragraph" w:styleId="Revize">
    <w:name w:val="Revision"/>
    <w:hidden/>
    <w:uiPriority w:val="99"/>
    <w:semiHidden/>
    <w:rsid w:val="008430BD"/>
    <w:pPr>
      <w:spacing w:after="0" w:line="240" w:lineRule="auto"/>
    </w:pPr>
    <w:rPr>
      <w:rFonts w:ascii="Times New Roman" w:eastAsia="Calibri" w:hAnsi="Times New Roman" w:cs="Times New Roman"/>
      <w:sz w:val="24"/>
    </w:rPr>
  </w:style>
  <w:style w:type="character" w:styleId="Sledovanodkaz">
    <w:name w:val="FollowedHyperlink"/>
    <w:uiPriority w:val="99"/>
    <w:semiHidden/>
    <w:unhideWhenUsed/>
    <w:rsid w:val="008430BD"/>
    <w:rPr>
      <w:color w:val="800080"/>
      <w:u w:val="single"/>
    </w:rPr>
  </w:style>
  <w:style w:type="paragraph" w:styleId="Rozloendokumentu">
    <w:name w:val="Document Map"/>
    <w:basedOn w:val="Normln"/>
    <w:link w:val="RozloendokumentuChar"/>
    <w:uiPriority w:val="99"/>
    <w:semiHidden/>
    <w:unhideWhenUsed/>
    <w:rsid w:val="008430BD"/>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430BD"/>
    <w:rPr>
      <w:rFonts w:ascii="Tahoma" w:eastAsia="Calibri" w:hAnsi="Tahoma" w:cs="Tahoma"/>
      <w:sz w:val="16"/>
      <w:szCs w:val="16"/>
    </w:rPr>
  </w:style>
  <w:style w:type="paragraph" w:styleId="Prosttext">
    <w:name w:val="Plain Text"/>
    <w:basedOn w:val="Normln"/>
    <w:link w:val="ProsttextChar"/>
    <w:uiPriority w:val="99"/>
    <w:semiHidden/>
    <w:unhideWhenUsed/>
    <w:rsid w:val="008430BD"/>
    <w:pPr>
      <w:spacing w:line="240" w:lineRule="auto"/>
      <w:jc w:val="left"/>
    </w:pPr>
    <w:rPr>
      <w:rFonts w:ascii="Calibri" w:hAnsi="Calibri" w:cs="Consolas"/>
      <w:sz w:val="22"/>
      <w:szCs w:val="21"/>
    </w:rPr>
  </w:style>
  <w:style w:type="character" w:customStyle="1" w:styleId="ProsttextChar">
    <w:name w:val="Prostý text Char"/>
    <w:basedOn w:val="Standardnpsmoodstavce"/>
    <w:link w:val="Prosttext"/>
    <w:uiPriority w:val="99"/>
    <w:semiHidden/>
    <w:rsid w:val="008430BD"/>
    <w:rPr>
      <w:rFonts w:ascii="Calibri" w:eastAsia="Calibri" w:hAnsi="Calibri" w:cs="Consolas"/>
      <w:szCs w:val="21"/>
    </w:rPr>
  </w:style>
  <w:style w:type="paragraph" w:styleId="Textvysvtlivek">
    <w:name w:val="endnote text"/>
    <w:basedOn w:val="Normln"/>
    <w:link w:val="TextvysvtlivekChar"/>
    <w:uiPriority w:val="99"/>
    <w:semiHidden/>
    <w:unhideWhenUsed/>
    <w:rsid w:val="008430BD"/>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8430BD"/>
    <w:rPr>
      <w:rFonts w:ascii="Garamond" w:eastAsia="Calibri" w:hAnsi="Garamond" w:cs="Times New Roman"/>
      <w:sz w:val="20"/>
      <w:szCs w:val="20"/>
    </w:rPr>
  </w:style>
  <w:style w:type="character" w:styleId="Odkaznavysvtlivky">
    <w:name w:val="endnote reference"/>
    <w:uiPriority w:val="99"/>
    <w:semiHidden/>
    <w:unhideWhenUsed/>
    <w:rsid w:val="008430BD"/>
    <w:rPr>
      <w:vertAlign w:val="superscript"/>
    </w:rPr>
  </w:style>
  <w:style w:type="character" w:styleId="Odkazjemn">
    <w:name w:val="Subtle Reference"/>
    <w:basedOn w:val="Standardnpsmoodstavce"/>
    <w:uiPriority w:val="31"/>
    <w:qFormat/>
    <w:rsid w:val="008430BD"/>
    <w:rPr>
      <w:smallCaps/>
      <w:color w:val="5A5A5A" w:themeColor="text1" w:themeTint="A5"/>
    </w:rPr>
  </w:style>
  <w:style w:type="character" w:customStyle="1" w:styleId="Nevyeenzmnka1">
    <w:name w:val="Nevyřešená zmínka1"/>
    <w:basedOn w:val="Standardnpsmoodstavce"/>
    <w:uiPriority w:val="99"/>
    <w:semiHidden/>
    <w:unhideWhenUsed/>
    <w:rsid w:val="008430BD"/>
    <w:rPr>
      <w:color w:val="605E5C"/>
      <w:shd w:val="clear" w:color="auto" w:fill="E1DFDD"/>
    </w:rPr>
  </w:style>
  <w:style w:type="character" w:customStyle="1" w:styleId="Nevyeenzmnka2">
    <w:name w:val="Nevyřešená zmínka2"/>
    <w:basedOn w:val="Standardnpsmoodstavce"/>
    <w:uiPriority w:val="99"/>
    <w:semiHidden/>
    <w:unhideWhenUsed/>
    <w:rsid w:val="008430BD"/>
    <w:rPr>
      <w:color w:val="605E5C"/>
      <w:shd w:val="clear" w:color="auto" w:fill="E1DFDD"/>
    </w:rPr>
  </w:style>
  <w:style w:type="character" w:styleId="Zstupntext">
    <w:name w:val="Placeholder Text"/>
    <w:basedOn w:val="Standardnpsmoodstavce"/>
    <w:uiPriority w:val="99"/>
    <w:semiHidden/>
    <w:rsid w:val="008430BD"/>
    <w:rPr>
      <w:color w:val="808080"/>
    </w:rPr>
  </w:style>
  <w:style w:type="character" w:customStyle="1" w:styleId="Nevyeenzmnka3">
    <w:name w:val="Nevyřešená zmínka3"/>
    <w:basedOn w:val="Standardnpsmoodstavce"/>
    <w:uiPriority w:val="99"/>
    <w:semiHidden/>
    <w:unhideWhenUsed/>
    <w:rsid w:val="008430BD"/>
    <w:rPr>
      <w:color w:val="605E5C"/>
      <w:shd w:val="clear" w:color="auto" w:fill="E1DFDD"/>
    </w:rPr>
  </w:style>
  <w:style w:type="character" w:customStyle="1" w:styleId="Nevyeenzmnka4">
    <w:name w:val="Nevyřešená zmínka4"/>
    <w:basedOn w:val="Standardnpsmoodstavce"/>
    <w:uiPriority w:val="99"/>
    <w:semiHidden/>
    <w:unhideWhenUsed/>
    <w:rsid w:val="008430BD"/>
    <w:rPr>
      <w:color w:val="605E5C"/>
      <w:shd w:val="clear" w:color="auto" w:fill="E1DFDD"/>
    </w:rPr>
  </w:style>
  <w:style w:type="character" w:customStyle="1" w:styleId="Nevyeenzmnka5">
    <w:name w:val="Nevyřešená zmínka5"/>
    <w:basedOn w:val="Standardnpsmoodstavce"/>
    <w:uiPriority w:val="99"/>
    <w:semiHidden/>
    <w:unhideWhenUsed/>
    <w:rsid w:val="008430BD"/>
    <w:rPr>
      <w:color w:val="605E5C"/>
      <w:shd w:val="clear" w:color="auto" w:fill="E1DFDD"/>
    </w:rPr>
  </w:style>
  <w:style w:type="character" w:customStyle="1" w:styleId="Nevyeenzmnka6">
    <w:name w:val="Nevyřešená zmínka6"/>
    <w:basedOn w:val="Standardnpsmoodstavce"/>
    <w:uiPriority w:val="99"/>
    <w:semiHidden/>
    <w:unhideWhenUsed/>
    <w:rsid w:val="00EC44A7"/>
    <w:rPr>
      <w:color w:val="605E5C"/>
      <w:shd w:val="clear" w:color="auto" w:fill="E1DFDD"/>
    </w:rPr>
  </w:style>
  <w:style w:type="character" w:customStyle="1" w:styleId="Nevyeenzmnka60">
    <w:name w:val="Nevyřešená zmínka6"/>
    <w:basedOn w:val="Standardnpsmoodstavce"/>
    <w:uiPriority w:val="99"/>
    <w:semiHidden/>
    <w:unhideWhenUsed/>
    <w:rsid w:val="00B76DEB"/>
    <w:rPr>
      <w:color w:val="605E5C"/>
      <w:shd w:val="clear" w:color="auto" w:fill="E1DFDD"/>
    </w:rPr>
  </w:style>
  <w:style w:type="table" w:styleId="Mkatabulky">
    <w:name w:val="Table Grid"/>
    <w:basedOn w:val="Normlntabulka"/>
    <w:uiPriority w:val="39"/>
    <w:rsid w:val="00391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13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640">
      <w:bodyDiv w:val="1"/>
      <w:marLeft w:val="0"/>
      <w:marRight w:val="0"/>
      <w:marTop w:val="0"/>
      <w:marBottom w:val="0"/>
      <w:divBdr>
        <w:top w:val="none" w:sz="0" w:space="0" w:color="auto"/>
        <w:left w:val="none" w:sz="0" w:space="0" w:color="auto"/>
        <w:bottom w:val="none" w:sz="0" w:space="0" w:color="auto"/>
        <w:right w:val="none" w:sz="0" w:space="0" w:color="auto"/>
      </w:divBdr>
    </w:div>
    <w:div w:id="1126545">
      <w:bodyDiv w:val="1"/>
      <w:marLeft w:val="0"/>
      <w:marRight w:val="0"/>
      <w:marTop w:val="0"/>
      <w:marBottom w:val="0"/>
      <w:divBdr>
        <w:top w:val="none" w:sz="0" w:space="0" w:color="auto"/>
        <w:left w:val="none" w:sz="0" w:space="0" w:color="auto"/>
        <w:bottom w:val="none" w:sz="0" w:space="0" w:color="auto"/>
        <w:right w:val="none" w:sz="0" w:space="0" w:color="auto"/>
      </w:divBdr>
    </w:div>
    <w:div w:id="1468846">
      <w:bodyDiv w:val="1"/>
      <w:marLeft w:val="0"/>
      <w:marRight w:val="0"/>
      <w:marTop w:val="0"/>
      <w:marBottom w:val="0"/>
      <w:divBdr>
        <w:top w:val="none" w:sz="0" w:space="0" w:color="auto"/>
        <w:left w:val="none" w:sz="0" w:space="0" w:color="auto"/>
        <w:bottom w:val="none" w:sz="0" w:space="0" w:color="auto"/>
        <w:right w:val="none" w:sz="0" w:space="0" w:color="auto"/>
      </w:divBdr>
    </w:div>
    <w:div w:id="13268235">
      <w:bodyDiv w:val="1"/>
      <w:marLeft w:val="0"/>
      <w:marRight w:val="0"/>
      <w:marTop w:val="0"/>
      <w:marBottom w:val="0"/>
      <w:divBdr>
        <w:top w:val="none" w:sz="0" w:space="0" w:color="auto"/>
        <w:left w:val="none" w:sz="0" w:space="0" w:color="auto"/>
        <w:bottom w:val="none" w:sz="0" w:space="0" w:color="auto"/>
        <w:right w:val="none" w:sz="0" w:space="0" w:color="auto"/>
      </w:divBdr>
    </w:div>
    <w:div w:id="17435390">
      <w:bodyDiv w:val="1"/>
      <w:marLeft w:val="0"/>
      <w:marRight w:val="0"/>
      <w:marTop w:val="0"/>
      <w:marBottom w:val="0"/>
      <w:divBdr>
        <w:top w:val="none" w:sz="0" w:space="0" w:color="auto"/>
        <w:left w:val="none" w:sz="0" w:space="0" w:color="auto"/>
        <w:bottom w:val="none" w:sz="0" w:space="0" w:color="auto"/>
        <w:right w:val="none" w:sz="0" w:space="0" w:color="auto"/>
      </w:divBdr>
    </w:div>
    <w:div w:id="28730201">
      <w:bodyDiv w:val="1"/>
      <w:marLeft w:val="0"/>
      <w:marRight w:val="0"/>
      <w:marTop w:val="0"/>
      <w:marBottom w:val="0"/>
      <w:divBdr>
        <w:top w:val="none" w:sz="0" w:space="0" w:color="auto"/>
        <w:left w:val="none" w:sz="0" w:space="0" w:color="auto"/>
        <w:bottom w:val="none" w:sz="0" w:space="0" w:color="auto"/>
        <w:right w:val="none" w:sz="0" w:space="0" w:color="auto"/>
      </w:divBdr>
    </w:div>
    <w:div w:id="41447473">
      <w:bodyDiv w:val="1"/>
      <w:marLeft w:val="0"/>
      <w:marRight w:val="0"/>
      <w:marTop w:val="0"/>
      <w:marBottom w:val="0"/>
      <w:divBdr>
        <w:top w:val="none" w:sz="0" w:space="0" w:color="auto"/>
        <w:left w:val="none" w:sz="0" w:space="0" w:color="auto"/>
        <w:bottom w:val="none" w:sz="0" w:space="0" w:color="auto"/>
        <w:right w:val="none" w:sz="0" w:space="0" w:color="auto"/>
      </w:divBdr>
    </w:div>
    <w:div w:id="53820293">
      <w:bodyDiv w:val="1"/>
      <w:marLeft w:val="0"/>
      <w:marRight w:val="0"/>
      <w:marTop w:val="0"/>
      <w:marBottom w:val="0"/>
      <w:divBdr>
        <w:top w:val="none" w:sz="0" w:space="0" w:color="auto"/>
        <w:left w:val="none" w:sz="0" w:space="0" w:color="auto"/>
        <w:bottom w:val="none" w:sz="0" w:space="0" w:color="auto"/>
        <w:right w:val="none" w:sz="0" w:space="0" w:color="auto"/>
      </w:divBdr>
    </w:div>
    <w:div w:id="54745711">
      <w:bodyDiv w:val="1"/>
      <w:marLeft w:val="0"/>
      <w:marRight w:val="0"/>
      <w:marTop w:val="0"/>
      <w:marBottom w:val="0"/>
      <w:divBdr>
        <w:top w:val="none" w:sz="0" w:space="0" w:color="auto"/>
        <w:left w:val="none" w:sz="0" w:space="0" w:color="auto"/>
        <w:bottom w:val="none" w:sz="0" w:space="0" w:color="auto"/>
        <w:right w:val="none" w:sz="0" w:space="0" w:color="auto"/>
      </w:divBdr>
    </w:div>
    <w:div w:id="72318402">
      <w:bodyDiv w:val="1"/>
      <w:marLeft w:val="0"/>
      <w:marRight w:val="0"/>
      <w:marTop w:val="0"/>
      <w:marBottom w:val="0"/>
      <w:divBdr>
        <w:top w:val="none" w:sz="0" w:space="0" w:color="auto"/>
        <w:left w:val="none" w:sz="0" w:space="0" w:color="auto"/>
        <w:bottom w:val="none" w:sz="0" w:space="0" w:color="auto"/>
        <w:right w:val="none" w:sz="0" w:space="0" w:color="auto"/>
      </w:divBdr>
    </w:div>
    <w:div w:id="84232032">
      <w:bodyDiv w:val="1"/>
      <w:marLeft w:val="0"/>
      <w:marRight w:val="0"/>
      <w:marTop w:val="0"/>
      <w:marBottom w:val="0"/>
      <w:divBdr>
        <w:top w:val="none" w:sz="0" w:space="0" w:color="auto"/>
        <w:left w:val="none" w:sz="0" w:space="0" w:color="auto"/>
        <w:bottom w:val="none" w:sz="0" w:space="0" w:color="auto"/>
        <w:right w:val="none" w:sz="0" w:space="0" w:color="auto"/>
      </w:divBdr>
    </w:div>
    <w:div w:id="96289986">
      <w:bodyDiv w:val="1"/>
      <w:marLeft w:val="0"/>
      <w:marRight w:val="0"/>
      <w:marTop w:val="0"/>
      <w:marBottom w:val="0"/>
      <w:divBdr>
        <w:top w:val="none" w:sz="0" w:space="0" w:color="auto"/>
        <w:left w:val="none" w:sz="0" w:space="0" w:color="auto"/>
        <w:bottom w:val="none" w:sz="0" w:space="0" w:color="auto"/>
        <w:right w:val="none" w:sz="0" w:space="0" w:color="auto"/>
      </w:divBdr>
    </w:div>
    <w:div w:id="100035629">
      <w:bodyDiv w:val="1"/>
      <w:marLeft w:val="0"/>
      <w:marRight w:val="0"/>
      <w:marTop w:val="0"/>
      <w:marBottom w:val="0"/>
      <w:divBdr>
        <w:top w:val="none" w:sz="0" w:space="0" w:color="auto"/>
        <w:left w:val="none" w:sz="0" w:space="0" w:color="auto"/>
        <w:bottom w:val="none" w:sz="0" w:space="0" w:color="auto"/>
        <w:right w:val="none" w:sz="0" w:space="0" w:color="auto"/>
      </w:divBdr>
    </w:div>
    <w:div w:id="100758516">
      <w:bodyDiv w:val="1"/>
      <w:marLeft w:val="0"/>
      <w:marRight w:val="0"/>
      <w:marTop w:val="0"/>
      <w:marBottom w:val="0"/>
      <w:divBdr>
        <w:top w:val="none" w:sz="0" w:space="0" w:color="auto"/>
        <w:left w:val="none" w:sz="0" w:space="0" w:color="auto"/>
        <w:bottom w:val="none" w:sz="0" w:space="0" w:color="auto"/>
        <w:right w:val="none" w:sz="0" w:space="0" w:color="auto"/>
      </w:divBdr>
    </w:div>
    <w:div w:id="111555573">
      <w:bodyDiv w:val="1"/>
      <w:marLeft w:val="0"/>
      <w:marRight w:val="0"/>
      <w:marTop w:val="0"/>
      <w:marBottom w:val="0"/>
      <w:divBdr>
        <w:top w:val="none" w:sz="0" w:space="0" w:color="auto"/>
        <w:left w:val="none" w:sz="0" w:space="0" w:color="auto"/>
        <w:bottom w:val="none" w:sz="0" w:space="0" w:color="auto"/>
        <w:right w:val="none" w:sz="0" w:space="0" w:color="auto"/>
      </w:divBdr>
    </w:div>
    <w:div w:id="116920350">
      <w:bodyDiv w:val="1"/>
      <w:marLeft w:val="0"/>
      <w:marRight w:val="0"/>
      <w:marTop w:val="0"/>
      <w:marBottom w:val="0"/>
      <w:divBdr>
        <w:top w:val="none" w:sz="0" w:space="0" w:color="auto"/>
        <w:left w:val="none" w:sz="0" w:space="0" w:color="auto"/>
        <w:bottom w:val="none" w:sz="0" w:space="0" w:color="auto"/>
        <w:right w:val="none" w:sz="0" w:space="0" w:color="auto"/>
      </w:divBdr>
    </w:div>
    <w:div w:id="119232718">
      <w:bodyDiv w:val="1"/>
      <w:marLeft w:val="0"/>
      <w:marRight w:val="0"/>
      <w:marTop w:val="0"/>
      <w:marBottom w:val="0"/>
      <w:divBdr>
        <w:top w:val="none" w:sz="0" w:space="0" w:color="auto"/>
        <w:left w:val="none" w:sz="0" w:space="0" w:color="auto"/>
        <w:bottom w:val="none" w:sz="0" w:space="0" w:color="auto"/>
        <w:right w:val="none" w:sz="0" w:space="0" w:color="auto"/>
      </w:divBdr>
    </w:div>
    <w:div w:id="137693433">
      <w:bodyDiv w:val="1"/>
      <w:marLeft w:val="0"/>
      <w:marRight w:val="0"/>
      <w:marTop w:val="0"/>
      <w:marBottom w:val="0"/>
      <w:divBdr>
        <w:top w:val="none" w:sz="0" w:space="0" w:color="auto"/>
        <w:left w:val="none" w:sz="0" w:space="0" w:color="auto"/>
        <w:bottom w:val="none" w:sz="0" w:space="0" w:color="auto"/>
        <w:right w:val="none" w:sz="0" w:space="0" w:color="auto"/>
      </w:divBdr>
    </w:div>
    <w:div w:id="146744910">
      <w:bodyDiv w:val="1"/>
      <w:marLeft w:val="0"/>
      <w:marRight w:val="0"/>
      <w:marTop w:val="0"/>
      <w:marBottom w:val="0"/>
      <w:divBdr>
        <w:top w:val="none" w:sz="0" w:space="0" w:color="auto"/>
        <w:left w:val="none" w:sz="0" w:space="0" w:color="auto"/>
        <w:bottom w:val="none" w:sz="0" w:space="0" w:color="auto"/>
        <w:right w:val="none" w:sz="0" w:space="0" w:color="auto"/>
      </w:divBdr>
    </w:div>
    <w:div w:id="154154956">
      <w:bodyDiv w:val="1"/>
      <w:marLeft w:val="0"/>
      <w:marRight w:val="0"/>
      <w:marTop w:val="0"/>
      <w:marBottom w:val="0"/>
      <w:divBdr>
        <w:top w:val="none" w:sz="0" w:space="0" w:color="auto"/>
        <w:left w:val="none" w:sz="0" w:space="0" w:color="auto"/>
        <w:bottom w:val="none" w:sz="0" w:space="0" w:color="auto"/>
        <w:right w:val="none" w:sz="0" w:space="0" w:color="auto"/>
      </w:divBdr>
    </w:div>
    <w:div w:id="157617729">
      <w:bodyDiv w:val="1"/>
      <w:marLeft w:val="0"/>
      <w:marRight w:val="0"/>
      <w:marTop w:val="0"/>
      <w:marBottom w:val="0"/>
      <w:divBdr>
        <w:top w:val="none" w:sz="0" w:space="0" w:color="auto"/>
        <w:left w:val="none" w:sz="0" w:space="0" w:color="auto"/>
        <w:bottom w:val="none" w:sz="0" w:space="0" w:color="auto"/>
        <w:right w:val="none" w:sz="0" w:space="0" w:color="auto"/>
      </w:divBdr>
    </w:div>
    <w:div w:id="182785725">
      <w:bodyDiv w:val="1"/>
      <w:marLeft w:val="0"/>
      <w:marRight w:val="0"/>
      <w:marTop w:val="0"/>
      <w:marBottom w:val="0"/>
      <w:divBdr>
        <w:top w:val="none" w:sz="0" w:space="0" w:color="auto"/>
        <w:left w:val="none" w:sz="0" w:space="0" w:color="auto"/>
        <w:bottom w:val="none" w:sz="0" w:space="0" w:color="auto"/>
        <w:right w:val="none" w:sz="0" w:space="0" w:color="auto"/>
      </w:divBdr>
    </w:div>
    <w:div w:id="187761475">
      <w:bodyDiv w:val="1"/>
      <w:marLeft w:val="0"/>
      <w:marRight w:val="0"/>
      <w:marTop w:val="0"/>
      <w:marBottom w:val="0"/>
      <w:divBdr>
        <w:top w:val="none" w:sz="0" w:space="0" w:color="auto"/>
        <w:left w:val="none" w:sz="0" w:space="0" w:color="auto"/>
        <w:bottom w:val="none" w:sz="0" w:space="0" w:color="auto"/>
        <w:right w:val="none" w:sz="0" w:space="0" w:color="auto"/>
      </w:divBdr>
    </w:div>
    <w:div w:id="208759567">
      <w:bodyDiv w:val="1"/>
      <w:marLeft w:val="0"/>
      <w:marRight w:val="0"/>
      <w:marTop w:val="0"/>
      <w:marBottom w:val="0"/>
      <w:divBdr>
        <w:top w:val="none" w:sz="0" w:space="0" w:color="auto"/>
        <w:left w:val="none" w:sz="0" w:space="0" w:color="auto"/>
        <w:bottom w:val="none" w:sz="0" w:space="0" w:color="auto"/>
        <w:right w:val="none" w:sz="0" w:space="0" w:color="auto"/>
      </w:divBdr>
    </w:div>
    <w:div w:id="224993338">
      <w:bodyDiv w:val="1"/>
      <w:marLeft w:val="0"/>
      <w:marRight w:val="0"/>
      <w:marTop w:val="0"/>
      <w:marBottom w:val="0"/>
      <w:divBdr>
        <w:top w:val="none" w:sz="0" w:space="0" w:color="auto"/>
        <w:left w:val="none" w:sz="0" w:space="0" w:color="auto"/>
        <w:bottom w:val="none" w:sz="0" w:space="0" w:color="auto"/>
        <w:right w:val="none" w:sz="0" w:space="0" w:color="auto"/>
      </w:divBdr>
    </w:div>
    <w:div w:id="236786691">
      <w:bodyDiv w:val="1"/>
      <w:marLeft w:val="0"/>
      <w:marRight w:val="0"/>
      <w:marTop w:val="0"/>
      <w:marBottom w:val="0"/>
      <w:divBdr>
        <w:top w:val="none" w:sz="0" w:space="0" w:color="auto"/>
        <w:left w:val="none" w:sz="0" w:space="0" w:color="auto"/>
        <w:bottom w:val="none" w:sz="0" w:space="0" w:color="auto"/>
        <w:right w:val="none" w:sz="0" w:space="0" w:color="auto"/>
      </w:divBdr>
    </w:div>
    <w:div w:id="245265949">
      <w:bodyDiv w:val="1"/>
      <w:marLeft w:val="0"/>
      <w:marRight w:val="0"/>
      <w:marTop w:val="0"/>
      <w:marBottom w:val="0"/>
      <w:divBdr>
        <w:top w:val="none" w:sz="0" w:space="0" w:color="auto"/>
        <w:left w:val="none" w:sz="0" w:space="0" w:color="auto"/>
        <w:bottom w:val="none" w:sz="0" w:space="0" w:color="auto"/>
        <w:right w:val="none" w:sz="0" w:space="0" w:color="auto"/>
      </w:divBdr>
    </w:div>
    <w:div w:id="252200807">
      <w:bodyDiv w:val="1"/>
      <w:marLeft w:val="0"/>
      <w:marRight w:val="0"/>
      <w:marTop w:val="0"/>
      <w:marBottom w:val="0"/>
      <w:divBdr>
        <w:top w:val="none" w:sz="0" w:space="0" w:color="auto"/>
        <w:left w:val="none" w:sz="0" w:space="0" w:color="auto"/>
        <w:bottom w:val="none" w:sz="0" w:space="0" w:color="auto"/>
        <w:right w:val="none" w:sz="0" w:space="0" w:color="auto"/>
      </w:divBdr>
    </w:div>
    <w:div w:id="265384981">
      <w:bodyDiv w:val="1"/>
      <w:marLeft w:val="0"/>
      <w:marRight w:val="0"/>
      <w:marTop w:val="0"/>
      <w:marBottom w:val="0"/>
      <w:divBdr>
        <w:top w:val="none" w:sz="0" w:space="0" w:color="auto"/>
        <w:left w:val="none" w:sz="0" w:space="0" w:color="auto"/>
        <w:bottom w:val="none" w:sz="0" w:space="0" w:color="auto"/>
        <w:right w:val="none" w:sz="0" w:space="0" w:color="auto"/>
      </w:divBdr>
    </w:div>
    <w:div w:id="279073480">
      <w:bodyDiv w:val="1"/>
      <w:marLeft w:val="0"/>
      <w:marRight w:val="0"/>
      <w:marTop w:val="0"/>
      <w:marBottom w:val="0"/>
      <w:divBdr>
        <w:top w:val="none" w:sz="0" w:space="0" w:color="auto"/>
        <w:left w:val="none" w:sz="0" w:space="0" w:color="auto"/>
        <w:bottom w:val="none" w:sz="0" w:space="0" w:color="auto"/>
        <w:right w:val="none" w:sz="0" w:space="0" w:color="auto"/>
      </w:divBdr>
    </w:div>
    <w:div w:id="292322749">
      <w:bodyDiv w:val="1"/>
      <w:marLeft w:val="0"/>
      <w:marRight w:val="0"/>
      <w:marTop w:val="0"/>
      <w:marBottom w:val="0"/>
      <w:divBdr>
        <w:top w:val="none" w:sz="0" w:space="0" w:color="auto"/>
        <w:left w:val="none" w:sz="0" w:space="0" w:color="auto"/>
        <w:bottom w:val="none" w:sz="0" w:space="0" w:color="auto"/>
        <w:right w:val="none" w:sz="0" w:space="0" w:color="auto"/>
      </w:divBdr>
    </w:div>
    <w:div w:id="298534269">
      <w:bodyDiv w:val="1"/>
      <w:marLeft w:val="0"/>
      <w:marRight w:val="0"/>
      <w:marTop w:val="0"/>
      <w:marBottom w:val="0"/>
      <w:divBdr>
        <w:top w:val="none" w:sz="0" w:space="0" w:color="auto"/>
        <w:left w:val="none" w:sz="0" w:space="0" w:color="auto"/>
        <w:bottom w:val="none" w:sz="0" w:space="0" w:color="auto"/>
        <w:right w:val="none" w:sz="0" w:space="0" w:color="auto"/>
      </w:divBdr>
    </w:div>
    <w:div w:id="319500734">
      <w:bodyDiv w:val="1"/>
      <w:marLeft w:val="0"/>
      <w:marRight w:val="0"/>
      <w:marTop w:val="0"/>
      <w:marBottom w:val="0"/>
      <w:divBdr>
        <w:top w:val="none" w:sz="0" w:space="0" w:color="auto"/>
        <w:left w:val="none" w:sz="0" w:space="0" w:color="auto"/>
        <w:bottom w:val="none" w:sz="0" w:space="0" w:color="auto"/>
        <w:right w:val="none" w:sz="0" w:space="0" w:color="auto"/>
      </w:divBdr>
    </w:div>
    <w:div w:id="322658465">
      <w:bodyDiv w:val="1"/>
      <w:marLeft w:val="0"/>
      <w:marRight w:val="0"/>
      <w:marTop w:val="0"/>
      <w:marBottom w:val="0"/>
      <w:divBdr>
        <w:top w:val="none" w:sz="0" w:space="0" w:color="auto"/>
        <w:left w:val="none" w:sz="0" w:space="0" w:color="auto"/>
        <w:bottom w:val="none" w:sz="0" w:space="0" w:color="auto"/>
        <w:right w:val="none" w:sz="0" w:space="0" w:color="auto"/>
      </w:divBdr>
    </w:div>
    <w:div w:id="326133371">
      <w:bodyDiv w:val="1"/>
      <w:marLeft w:val="0"/>
      <w:marRight w:val="0"/>
      <w:marTop w:val="0"/>
      <w:marBottom w:val="0"/>
      <w:divBdr>
        <w:top w:val="none" w:sz="0" w:space="0" w:color="auto"/>
        <w:left w:val="none" w:sz="0" w:space="0" w:color="auto"/>
        <w:bottom w:val="none" w:sz="0" w:space="0" w:color="auto"/>
        <w:right w:val="none" w:sz="0" w:space="0" w:color="auto"/>
      </w:divBdr>
    </w:div>
    <w:div w:id="328363122">
      <w:bodyDiv w:val="1"/>
      <w:marLeft w:val="0"/>
      <w:marRight w:val="0"/>
      <w:marTop w:val="0"/>
      <w:marBottom w:val="0"/>
      <w:divBdr>
        <w:top w:val="none" w:sz="0" w:space="0" w:color="auto"/>
        <w:left w:val="none" w:sz="0" w:space="0" w:color="auto"/>
        <w:bottom w:val="none" w:sz="0" w:space="0" w:color="auto"/>
        <w:right w:val="none" w:sz="0" w:space="0" w:color="auto"/>
      </w:divBdr>
    </w:div>
    <w:div w:id="330958998">
      <w:bodyDiv w:val="1"/>
      <w:marLeft w:val="0"/>
      <w:marRight w:val="0"/>
      <w:marTop w:val="0"/>
      <w:marBottom w:val="0"/>
      <w:divBdr>
        <w:top w:val="none" w:sz="0" w:space="0" w:color="auto"/>
        <w:left w:val="none" w:sz="0" w:space="0" w:color="auto"/>
        <w:bottom w:val="none" w:sz="0" w:space="0" w:color="auto"/>
        <w:right w:val="none" w:sz="0" w:space="0" w:color="auto"/>
      </w:divBdr>
    </w:div>
    <w:div w:id="356319434">
      <w:bodyDiv w:val="1"/>
      <w:marLeft w:val="0"/>
      <w:marRight w:val="0"/>
      <w:marTop w:val="0"/>
      <w:marBottom w:val="0"/>
      <w:divBdr>
        <w:top w:val="none" w:sz="0" w:space="0" w:color="auto"/>
        <w:left w:val="none" w:sz="0" w:space="0" w:color="auto"/>
        <w:bottom w:val="none" w:sz="0" w:space="0" w:color="auto"/>
        <w:right w:val="none" w:sz="0" w:space="0" w:color="auto"/>
      </w:divBdr>
    </w:div>
    <w:div w:id="367337957">
      <w:bodyDiv w:val="1"/>
      <w:marLeft w:val="0"/>
      <w:marRight w:val="0"/>
      <w:marTop w:val="0"/>
      <w:marBottom w:val="0"/>
      <w:divBdr>
        <w:top w:val="none" w:sz="0" w:space="0" w:color="auto"/>
        <w:left w:val="none" w:sz="0" w:space="0" w:color="auto"/>
        <w:bottom w:val="none" w:sz="0" w:space="0" w:color="auto"/>
        <w:right w:val="none" w:sz="0" w:space="0" w:color="auto"/>
      </w:divBdr>
    </w:div>
    <w:div w:id="369652618">
      <w:bodyDiv w:val="1"/>
      <w:marLeft w:val="0"/>
      <w:marRight w:val="0"/>
      <w:marTop w:val="0"/>
      <w:marBottom w:val="0"/>
      <w:divBdr>
        <w:top w:val="none" w:sz="0" w:space="0" w:color="auto"/>
        <w:left w:val="none" w:sz="0" w:space="0" w:color="auto"/>
        <w:bottom w:val="none" w:sz="0" w:space="0" w:color="auto"/>
        <w:right w:val="none" w:sz="0" w:space="0" w:color="auto"/>
      </w:divBdr>
    </w:div>
    <w:div w:id="372850210">
      <w:bodyDiv w:val="1"/>
      <w:marLeft w:val="0"/>
      <w:marRight w:val="0"/>
      <w:marTop w:val="0"/>
      <w:marBottom w:val="0"/>
      <w:divBdr>
        <w:top w:val="none" w:sz="0" w:space="0" w:color="auto"/>
        <w:left w:val="none" w:sz="0" w:space="0" w:color="auto"/>
        <w:bottom w:val="none" w:sz="0" w:space="0" w:color="auto"/>
        <w:right w:val="none" w:sz="0" w:space="0" w:color="auto"/>
      </w:divBdr>
    </w:div>
    <w:div w:id="380323068">
      <w:bodyDiv w:val="1"/>
      <w:marLeft w:val="0"/>
      <w:marRight w:val="0"/>
      <w:marTop w:val="0"/>
      <w:marBottom w:val="0"/>
      <w:divBdr>
        <w:top w:val="none" w:sz="0" w:space="0" w:color="auto"/>
        <w:left w:val="none" w:sz="0" w:space="0" w:color="auto"/>
        <w:bottom w:val="none" w:sz="0" w:space="0" w:color="auto"/>
        <w:right w:val="none" w:sz="0" w:space="0" w:color="auto"/>
      </w:divBdr>
    </w:div>
    <w:div w:id="390544199">
      <w:bodyDiv w:val="1"/>
      <w:marLeft w:val="0"/>
      <w:marRight w:val="0"/>
      <w:marTop w:val="0"/>
      <w:marBottom w:val="0"/>
      <w:divBdr>
        <w:top w:val="none" w:sz="0" w:space="0" w:color="auto"/>
        <w:left w:val="none" w:sz="0" w:space="0" w:color="auto"/>
        <w:bottom w:val="none" w:sz="0" w:space="0" w:color="auto"/>
        <w:right w:val="none" w:sz="0" w:space="0" w:color="auto"/>
      </w:divBdr>
    </w:div>
    <w:div w:id="395665292">
      <w:bodyDiv w:val="1"/>
      <w:marLeft w:val="0"/>
      <w:marRight w:val="0"/>
      <w:marTop w:val="0"/>
      <w:marBottom w:val="0"/>
      <w:divBdr>
        <w:top w:val="none" w:sz="0" w:space="0" w:color="auto"/>
        <w:left w:val="none" w:sz="0" w:space="0" w:color="auto"/>
        <w:bottom w:val="none" w:sz="0" w:space="0" w:color="auto"/>
        <w:right w:val="none" w:sz="0" w:space="0" w:color="auto"/>
      </w:divBdr>
    </w:div>
    <w:div w:id="398747886">
      <w:bodyDiv w:val="1"/>
      <w:marLeft w:val="0"/>
      <w:marRight w:val="0"/>
      <w:marTop w:val="0"/>
      <w:marBottom w:val="0"/>
      <w:divBdr>
        <w:top w:val="none" w:sz="0" w:space="0" w:color="auto"/>
        <w:left w:val="none" w:sz="0" w:space="0" w:color="auto"/>
        <w:bottom w:val="none" w:sz="0" w:space="0" w:color="auto"/>
        <w:right w:val="none" w:sz="0" w:space="0" w:color="auto"/>
      </w:divBdr>
    </w:div>
    <w:div w:id="408964128">
      <w:bodyDiv w:val="1"/>
      <w:marLeft w:val="0"/>
      <w:marRight w:val="0"/>
      <w:marTop w:val="0"/>
      <w:marBottom w:val="0"/>
      <w:divBdr>
        <w:top w:val="none" w:sz="0" w:space="0" w:color="auto"/>
        <w:left w:val="none" w:sz="0" w:space="0" w:color="auto"/>
        <w:bottom w:val="none" w:sz="0" w:space="0" w:color="auto"/>
        <w:right w:val="none" w:sz="0" w:space="0" w:color="auto"/>
      </w:divBdr>
    </w:div>
    <w:div w:id="413433395">
      <w:bodyDiv w:val="1"/>
      <w:marLeft w:val="0"/>
      <w:marRight w:val="0"/>
      <w:marTop w:val="0"/>
      <w:marBottom w:val="0"/>
      <w:divBdr>
        <w:top w:val="none" w:sz="0" w:space="0" w:color="auto"/>
        <w:left w:val="none" w:sz="0" w:space="0" w:color="auto"/>
        <w:bottom w:val="none" w:sz="0" w:space="0" w:color="auto"/>
        <w:right w:val="none" w:sz="0" w:space="0" w:color="auto"/>
      </w:divBdr>
    </w:div>
    <w:div w:id="441345716">
      <w:bodyDiv w:val="1"/>
      <w:marLeft w:val="0"/>
      <w:marRight w:val="0"/>
      <w:marTop w:val="0"/>
      <w:marBottom w:val="0"/>
      <w:divBdr>
        <w:top w:val="none" w:sz="0" w:space="0" w:color="auto"/>
        <w:left w:val="none" w:sz="0" w:space="0" w:color="auto"/>
        <w:bottom w:val="none" w:sz="0" w:space="0" w:color="auto"/>
        <w:right w:val="none" w:sz="0" w:space="0" w:color="auto"/>
      </w:divBdr>
    </w:div>
    <w:div w:id="445395733">
      <w:bodyDiv w:val="1"/>
      <w:marLeft w:val="0"/>
      <w:marRight w:val="0"/>
      <w:marTop w:val="0"/>
      <w:marBottom w:val="0"/>
      <w:divBdr>
        <w:top w:val="none" w:sz="0" w:space="0" w:color="auto"/>
        <w:left w:val="none" w:sz="0" w:space="0" w:color="auto"/>
        <w:bottom w:val="none" w:sz="0" w:space="0" w:color="auto"/>
        <w:right w:val="none" w:sz="0" w:space="0" w:color="auto"/>
      </w:divBdr>
    </w:div>
    <w:div w:id="452408745">
      <w:bodyDiv w:val="1"/>
      <w:marLeft w:val="0"/>
      <w:marRight w:val="0"/>
      <w:marTop w:val="0"/>
      <w:marBottom w:val="0"/>
      <w:divBdr>
        <w:top w:val="none" w:sz="0" w:space="0" w:color="auto"/>
        <w:left w:val="none" w:sz="0" w:space="0" w:color="auto"/>
        <w:bottom w:val="none" w:sz="0" w:space="0" w:color="auto"/>
        <w:right w:val="none" w:sz="0" w:space="0" w:color="auto"/>
      </w:divBdr>
    </w:div>
    <w:div w:id="454300222">
      <w:bodyDiv w:val="1"/>
      <w:marLeft w:val="0"/>
      <w:marRight w:val="0"/>
      <w:marTop w:val="0"/>
      <w:marBottom w:val="0"/>
      <w:divBdr>
        <w:top w:val="none" w:sz="0" w:space="0" w:color="auto"/>
        <w:left w:val="none" w:sz="0" w:space="0" w:color="auto"/>
        <w:bottom w:val="none" w:sz="0" w:space="0" w:color="auto"/>
        <w:right w:val="none" w:sz="0" w:space="0" w:color="auto"/>
      </w:divBdr>
    </w:div>
    <w:div w:id="454523145">
      <w:bodyDiv w:val="1"/>
      <w:marLeft w:val="0"/>
      <w:marRight w:val="0"/>
      <w:marTop w:val="0"/>
      <w:marBottom w:val="0"/>
      <w:divBdr>
        <w:top w:val="none" w:sz="0" w:space="0" w:color="auto"/>
        <w:left w:val="none" w:sz="0" w:space="0" w:color="auto"/>
        <w:bottom w:val="none" w:sz="0" w:space="0" w:color="auto"/>
        <w:right w:val="none" w:sz="0" w:space="0" w:color="auto"/>
      </w:divBdr>
    </w:div>
    <w:div w:id="466246141">
      <w:bodyDiv w:val="1"/>
      <w:marLeft w:val="0"/>
      <w:marRight w:val="0"/>
      <w:marTop w:val="0"/>
      <w:marBottom w:val="0"/>
      <w:divBdr>
        <w:top w:val="none" w:sz="0" w:space="0" w:color="auto"/>
        <w:left w:val="none" w:sz="0" w:space="0" w:color="auto"/>
        <w:bottom w:val="none" w:sz="0" w:space="0" w:color="auto"/>
        <w:right w:val="none" w:sz="0" w:space="0" w:color="auto"/>
      </w:divBdr>
    </w:div>
    <w:div w:id="482818712">
      <w:bodyDiv w:val="1"/>
      <w:marLeft w:val="0"/>
      <w:marRight w:val="0"/>
      <w:marTop w:val="0"/>
      <w:marBottom w:val="0"/>
      <w:divBdr>
        <w:top w:val="none" w:sz="0" w:space="0" w:color="auto"/>
        <w:left w:val="none" w:sz="0" w:space="0" w:color="auto"/>
        <w:bottom w:val="none" w:sz="0" w:space="0" w:color="auto"/>
        <w:right w:val="none" w:sz="0" w:space="0" w:color="auto"/>
      </w:divBdr>
    </w:div>
    <w:div w:id="499659045">
      <w:bodyDiv w:val="1"/>
      <w:marLeft w:val="0"/>
      <w:marRight w:val="0"/>
      <w:marTop w:val="0"/>
      <w:marBottom w:val="0"/>
      <w:divBdr>
        <w:top w:val="none" w:sz="0" w:space="0" w:color="auto"/>
        <w:left w:val="none" w:sz="0" w:space="0" w:color="auto"/>
        <w:bottom w:val="none" w:sz="0" w:space="0" w:color="auto"/>
        <w:right w:val="none" w:sz="0" w:space="0" w:color="auto"/>
      </w:divBdr>
    </w:div>
    <w:div w:id="515460964">
      <w:bodyDiv w:val="1"/>
      <w:marLeft w:val="0"/>
      <w:marRight w:val="0"/>
      <w:marTop w:val="0"/>
      <w:marBottom w:val="0"/>
      <w:divBdr>
        <w:top w:val="none" w:sz="0" w:space="0" w:color="auto"/>
        <w:left w:val="none" w:sz="0" w:space="0" w:color="auto"/>
        <w:bottom w:val="none" w:sz="0" w:space="0" w:color="auto"/>
        <w:right w:val="none" w:sz="0" w:space="0" w:color="auto"/>
      </w:divBdr>
    </w:div>
    <w:div w:id="525020402">
      <w:bodyDiv w:val="1"/>
      <w:marLeft w:val="0"/>
      <w:marRight w:val="0"/>
      <w:marTop w:val="0"/>
      <w:marBottom w:val="0"/>
      <w:divBdr>
        <w:top w:val="none" w:sz="0" w:space="0" w:color="auto"/>
        <w:left w:val="none" w:sz="0" w:space="0" w:color="auto"/>
        <w:bottom w:val="none" w:sz="0" w:space="0" w:color="auto"/>
        <w:right w:val="none" w:sz="0" w:space="0" w:color="auto"/>
      </w:divBdr>
      <w:divsChild>
        <w:div w:id="36592946">
          <w:marLeft w:val="0"/>
          <w:marRight w:val="0"/>
          <w:marTop w:val="0"/>
          <w:marBottom w:val="0"/>
          <w:divBdr>
            <w:top w:val="none" w:sz="0" w:space="0" w:color="auto"/>
            <w:left w:val="none" w:sz="0" w:space="0" w:color="auto"/>
            <w:bottom w:val="none" w:sz="0" w:space="0" w:color="auto"/>
            <w:right w:val="none" w:sz="0" w:space="0" w:color="auto"/>
          </w:divBdr>
          <w:divsChild>
            <w:div w:id="14987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59994">
      <w:bodyDiv w:val="1"/>
      <w:marLeft w:val="0"/>
      <w:marRight w:val="0"/>
      <w:marTop w:val="0"/>
      <w:marBottom w:val="0"/>
      <w:divBdr>
        <w:top w:val="none" w:sz="0" w:space="0" w:color="auto"/>
        <w:left w:val="none" w:sz="0" w:space="0" w:color="auto"/>
        <w:bottom w:val="none" w:sz="0" w:space="0" w:color="auto"/>
        <w:right w:val="none" w:sz="0" w:space="0" w:color="auto"/>
      </w:divBdr>
    </w:div>
    <w:div w:id="536549885">
      <w:bodyDiv w:val="1"/>
      <w:marLeft w:val="0"/>
      <w:marRight w:val="0"/>
      <w:marTop w:val="0"/>
      <w:marBottom w:val="0"/>
      <w:divBdr>
        <w:top w:val="none" w:sz="0" w:space="0" w:color="auto"/>
        <w:left w:val="none" w:sz="0" w:space="0" w:color="auto"/>
        <w:bottom w:val="none" w:sz="0" w:space="0" w:color="auto"/>
        <w:right w:val="none" w:sz="0" w:space="0" w:color="auto"/>
      </w:divBdr>
    </w:div>
    <w:div w:id="547110195">
      <w:bodyDiv w:val="1"/>
      <w:marLeft w:val="0"/>
      <w:marRight w:val="0"/>
      <w:marTop w:val="0"/>
      <w:marBottom w:val="0"/>
      <w:divBdr>
        <w:top w:val="none" w:sz="0" w:space="0" w:color="auto"/>
        <w:left w:val="none" w:sz="0" w:space="0" w:color="auto"/>
        <w:bottom w:val="none" w:sz="0" w:space="0" w:color="auto"/>
        <w:right w:val="none" w:sz="0" w:space="0" w:color="auto"/>
      </w:divBdr>
    </w:div>
    <w:div w:id="553009701">
      <w:bodyDiv w:val="1"/>
      <w:marLeft w:val="0"/>
      <w:marRight w:val="0"/>
      <w:marTop w:val="0"/>
      <w:marBottom w:val="0"/>
      <w:divBdr>
        <w:top w:val="none" w:sz="0" w:space="0" w:color="auto"/>
        <w:left w:val="none" w:sz="0" w:space="0" w:color="auto"/>
        <w:bottom w:val="none" w:sz="0" w:space="0" w:color="auto"/>
        <w:right w:val="none" w:sz="0" w:space="0" w:color="auto"/>
      </w:divBdr>
    </w:div>
    <w:div w:id="565185440">
      <w:bodyDiv w:val="1"/>
      <w:marLeft w:val="0"/>
      <w:marRight w:val="0"/>
      <w:marTop w:val="0"/>
      <w:marBottom w:val="0"/>
      <w:divBdr>
        <w:top w:val="none" w:sz="0" w:space="0" w:color="auto"/>
        <w:left w:val="none" w:sz="0" w:space="0" w:color="auto"/>
        <w:bottom w:val="none" w:sz="0" w:space="0" w:color="auto"/>
        <w:right w:val="none" w:sz="0" w:space="0" w:color="auto"/>
      </w:divBdr>
    </w:div>
    <w:div w:id="576592095">
      <w:bodyDiv w:val="1"/>
      <w:marLeft w:val="0"/>
      <w:marRight w:val="0"/>
      <w:marTop w:val="0"/>
      <w:marBottom w:val="0"/>
      <w:divBdr>
        <w:top w:val="none" w:sz="0" w:space="0" w:color="auto"/>
        <w:left w:val="none" w:sz="0" w:space="0" w:color="auto"/>
        <w:bottom w:val="none" w:sz="0" w:space="0" w:color="auto"/>
        <w:right w:val="none" w:sz="0" w:space="0" w:color="auto"/>
      </w:divBdr>
    </w:div>
    <w:div w:id="594167075">
      <w:bodyDiv w:val="1"/>
      <w:marLeft w:val="0"/>
      <w:marRight w:val="0"/>
      <w:marTop w:val="0"/>
      <w:marBottom w:val="0"/>
      <w:divBdr>
        <w:top w:val="none" w:sz="0" w:space="0" w:color="auto"/>
        <w:left w:val="none" w:sz="0" w:space="0" w:color="auto"/>
        <w:bottom w:val="none" w:sz="0" w:space="0" w:color="auto"/>
        <w:right w:val="none" w:sz="0" w:space="0" w:color="auto"/>
      </w:divBdr>
    </w:div>
    <w:div w:id="599606073">
      <w:bodyDiv w:val="1"/>
      <w:marLeft w:val="0"/>
      <w:marRight w:val="0"/>
      <w:marTop w:val="0"/>
      <w:marBottom w:val="0"/>
      <w:divBdr>
        <w:top w:val="none" w:sz="0" w:space="0" w:color="auto"/>
        <w:left w:val="none" w:sz="0" w:space="0" w:color="auto"/>
        <w:bottom w:val="none" w:sz="0" w:space="0" w:color="auto"/>
        <w:right w:val="none" w:sz="0" w:space="0" w:color="auto"/>
      </w:divBdr>
    </w:div>
    <w:div w:id="614140269">
      <w:bodyDiv w:val="1"/>
      <w:marLeft w:val="0"/>
      <w:marRight w:val="0"/>
      <w:marTop w:val="0"/>
      <w:marBottom w:val="0"/>
      <w:divBdr>
        <w:top w:val="none" w:sz="0" w:space="0" w:color="auto"/>
        <w:left w:val="none" w:sz="0" w:space="0" w:color="auto"/>
        <w:bottom w:val="none" w:sz="0" w:space="0" w:color="auto"/>
        <w:right w:val="none" w:sz="0" w:space="0" w:color="auto"/>
      </w:divBdr>
    </w:div>
    <w:div w:id="630282448">
      <w:bodyDiv w:val="1"/>
      <w:marLeft w:val="0"/>
      <w:marRight w:val="0"/>
      <w:marTop w:val="0"/>
      <w:marBottom w:val="0"/>
      <w:divBdr>
        <w:top w:val="none" w:sz="0" w:space="0" w:color="auto"/>
        <w:left w:val="none" w:sz="0" w:space="0" w:color="auto"/>
        <w:bottom w:val="none" w:sz="0" w:space="0" w:color="auto"/>
        <w:right w:val="none" w:sz="0" w:space="0" w:color="auto"/>
      </w:divBdr>
    </w:div>
    <w:div w:id="641926460">
      <w:bodyDiv w:val="1"/>
      <w:marLeft w:val="0"/>
      <w:marRight w:val="0"/>
      <w:marTop w:val="0"/>
      <w:marBottom w:val="0"/>
      <w:divBdr>
        <w:top w:val="none" w:sz="0" w:space="0" w:color="auto"/>
        <w:left w:val="none" w:sz="0" w:space="0" w:color="auto"/>
        <w:bottom w:val="none" w:sz="0" w:space="0" w:color="auto"/>
        <w:right w:val="none" w:sz="0" w:space="0" w:color="auto"/>
      </w:divBdr>
    </w:div>
    <w:div w:id="643703857">
      <w:bodyDiv w:val="1"/>
      <w:marLeft w:val="0"/>
      <w:marRight w:val="0"/>
      <w:marTop w:val="0"/>
      <w:marBottom w:val="0"/>
      <w:divBdr>
        <w:top w:val="none" w:sz="0" w:space="0" w:color="auto"/>
        <w:left w:val="none" w:sz="0" w:space="0" w:color="auto"/>
        <w:bottom w:val="none" w:sz="0" w:space="0" w:color="auto"/>
        <w:right w:val="none" w:sz="0" w:space="0" w:color="auto"/>
      </w:divBdr>
    </w:div>
    <w:div w:id="647436771">
      <w:bodyDiv w:val="1"/>
      <w:marLeft w:val="0"/>
      <w:marRight w:val="0"/>
      <w:marTop w:val="0"/>
      <w:marBottom w:val="0"/>
      <w:divBdr>
        <w:top w:val="none" w:sz="0" w:space="0" w:color="auto"/>
        <w:left w:val="none" w:sz="0" w:space="0" w:color="auto"/>
        <w:bottom w:val="none" w:sz="0" w:space="0" w:color="auto"/>
        <w:right w:val="none" w:sz="0" w:space="0" w:color="auto"/>
      </w:divBdr>
    </w:div>
    <w:div w:id="647589981">
      <w:bodyDiv w:val="1"/>
      <w:marLeft w:val="0"/>
      <w:marRight w:val="0"/>
      <w:marTop w:val="0"/>
      <w:marBottom w:val="0"/>
      <w:divBdr>
        <w:top w:val="none" w:sz="0" w:space="0" w:color="auto"/>
        <w:left w:val="none" w:sz="0" w:space="0" w:color="auto"/>
        <w:bottom w:val="none" w:sz="0" w:space="0" w:color="auto"/>
        <w:right w:val="none" w:sz="0" w:space="0" w:color="auto"/>
      </w:divBdr>
    </w:div>
    <w:div w:id="656961443">
      <w:bodyDiv w:val="1"/>
      <w:marLeft w:val="0"/>
      <w:marRight w:val="0"/>
      <w:marTop w:val="0"/>
      <w:marBottom w:val="0"/>
      <w:divBdr>
        <w:top w:val="none" w:sz="0" w:space="0" w:color="auto"/>
        <w:left w:val="none" w:sz="0" w:space="0" w:color="auto"/>
        <w:bottom w:val="none" w:sz="0" w:space="0" w:color="auto"/>
        <w:right w:val="none" w:sz="0" w:space="0" w:color="auto"/>
      </w:divBdr>
    </w:div>
    <w:div w:id="663363600">
      <w:bodyDiv w:val="1"/>
      <w:marLeft w:val="0"/>
      <w:marRight w:val="0"/>
      <w:marTop w:val="0"/>
      <w:marBottom w:val="0"/>
      <w:divBdr>
        <w:top w:val="none" w:sz="0" w:space="0" w:color="auto"/>
        <w:left w:val="none" w:sz="0" w:space="0" w:color="auto"/>
        <w:bottom w:val="none" w:sz="0" w:space="0" w:color="auto"/>
        <w:right w:val="none" w:sz="0" w:space="0" w:color="auto"/>
      </w:divBdr>
    </w:div>
    <w:div w:id="676738738">
      <w:bodyDiv w:val="1"/>
      <w:marLeft w:val="0"/>
      <w:marRight w:val="0"/>
      <w:marTop w:val="0"/>
      <w:marBottom w:val="0"/>
      <w:divBdr>
        <w:top w:val="none" w:sz="0" w:space="0" w:color="auto"/>
        <w:left w:val="none" w:sz="0" w:space="0" w:color="auto"/>
        <w:bottom w:val="none" w:sz="0" w:space="0" w:color="auto"/>
        <w:right w:val="none" w:sz="0" w:space="0" w:color="auto"/>
      </w:divBdr>
    </w:div>
    <w:div w:id="691224607">
      <w:bodyDiv w:val="1"/>
      <w:marLeft w:val="0"/>
      <w:marRight w:val="0"/>
      <w:marTop w:val="0"/>
      <w:marBottom w:val="0"/>
      <w:divBdr>
        <w:top w:val="none" w:sz="0" w:space="0" w:color="auto"/>
        <w:left w:val="none" w:sz="0" w:space="0" w:color="auto"/>
        <w:bottom w:val="none" w:sz="0" w:space="0" w:color="auto"/>
        <w:right w:val="none" w:sz="0" w:space="0" w:color="auto"/>
      </w:divBdr>
    </w:div>
    <w:div w:id="693574937">
      <w:bodyDiv w:val="1"/>
      <w:marLeft w:val="0"/>
      <w:marRight w:val="0"/>
      <w:marTop w:val="0"/>
      <w:marBottom w:val="0"/>
      <w:divBdr>
        <w:top w:val="none" w:sz="0" w:space="0" w:color="auto"/>
        <w:left w:val="none" w:sz="0" w:space="0" w:color="auto"/>
        <w:bottom w:val="none" w:sz="0" w:space="0" w:color="auto"/>
        <w:right w:val="none" w:sz="0" w:space="0" w:color="auto"/>
      </w:divBdr>
    </w:div>
    <w:div w:id="697852549">
      <w:bodyDiv w:val="1"/>
      <w:marLeft w:val="0"/>
      <w:marRight w:val="0"/>
      <w:marTop w:val="0"/>
      <w:marBottom w:val="0"/>
      <w:divBdr>
        <w:top w:val="none" w:sz="0" w:space="0" w:color="auto"/>
        <w:left w:val="none" w:sz="0" w:space="0" w:color="auto"/>
        <w:bottom w:val="none" w:sz="0" w:space="0" w:color="auto"/>
        <w:right w:val="none" w:sz="0" w:space="0" w:color="auto"/>
      </w:divBdr>
    </w:div>
    <w:div w:id="698166614">
      <w:bodyDiv w:val="1"/>
      <w:marLeft w:val="0"/>
      <w:marRight w:val="0"/>
      <w:marTop w:val="0"/>
      <w:marBottom w:val="0"/>
      <w:divBdr>
        <w:top w:val="none" w:sz="0" w:space="0" w:color="auto"/>
        <w:left w:val="none" w:sz="0" w:space="0" w:color="auto"/>
        <w:bottom w:val="none" w:sz="0" w:space="0" w:color="auto"/>
        <w:right w:val="none" w:sz="0" w:space="0" w:color="auto"/>
      </w:divBdr>
    </w:div>
    <w:div w:id="700546756">
      <w:bodyDiv w:val="1"/>
      <w:marLeft w:val="0"/>
      <w:marRight w:val="0"/>
      <w:marTop w:val="0"/>
      <w:marBottom w:val="0"/>
      <w:divBdr>
        <w:top w:val="none" w:sz="0" w:space="0" w:color="auto"/>
        <w:left w:val="none" w:sz="0" w:space="0" w:color="auto"/>
        <w:bottom w:val="none" w:sz="0" w:space="0" w:color="auto"/>
        <w:right w:val="none" w:sz="0" w:space="0" w:color="auto"/>
      </w:divBdr>
    </w:div>
    <w:div w:id="711273392">
      <w:bodyDiv w:val="1"/>
      <w:marLeft w:val="0"/>
      <w:marRight w:val="0"/>
      <w:marTop w:val="0"/>
      <w:marBottom w:val="0"/>
      <w:divBdr>
        <w:top w:val="none" w:sz="0" w:space="0" w:color="auto"/>
        <w:left w:val="none" w:sz="0" w:space="0" w:color="auto"/>
        <w:bottom w:val="none" w:sz="0" w:space="0" w:color="auto"/>
        <w:right w:val="none" w:sz="0" w:space="0" w:color="auto"/>
      </w:divBdr>
    </w:div>
    <w:div w:id="712195016">
      <w:bodyDiv w:val="1"/>
      <w:marLeft w:val="0"/>
      <w:marRight w:val="0"/>
      <w:marTop w:val="0"/>
      <w:marBottom w:val="0"/>
      <w:divBdr>
        <w:top w:val="none" w:sz="0" w:space="0" w:color="auto"/>
        <w:left w:val="none" w:sz="0" w:space="0" w:color="auto"/>
        <w:bottom w:val="none" w:sz="0" w:space="0" w:color="auto"/>
        <w:right w:val="none" w:sz="0" w:space="0" w:color="auto"/>
      </w:divBdr>
    </w:div>
    <w:div w:id="715742952">
      <w:bodyDiv w:val="1"/>
      <w:marLeft w:val="0"/>
      <w:marRight w:val="0"/>
      <w:marTop w:val="0"/>
      <w:marBottom w:val="0"/>
      <w:divBdr>
        <w:top w:val="none" w:sz="0" w:space="0" w:color="auto"/>
        <w:left w:val="none" w:sz="0" w:space="0" w:color="auto"/>
        <w:bottom w:val="none" w:sz="0" w:space="0" w:color="auto"/>
        <w:right w:val="none" w:sz="0" w:space="0" w:color="auto"/>
      </w:divBdr>
    </w:div>
    <w:div w:id="717431899">
      <w:bodyDiv w:val="1"/>
      <w:marLeft w:val="0"/>
      <w:marRight w:val="0"/>
      <w:marTop w:val="0"/>
      <w:marBottom w:val="0"/>
      <w:divBdr>
        <w:top w:val="none" w:sz="0" w:space="0" w:color="auto"/>
        <w:left w:val="none" w:sz="0" w:space="0" w:color="auto"/>
        <w:bottom w:val="none" w:sz="0" w:space="0" w:color="auto"/>
        <w:right w:val="none" w:sz="0" w:space="0" w:color="auto"/>
      </w:divBdr>
    </w:div>
    <w:div w:id="723675016">
      <w:bodyDiv w:val="1"/>
      <w:marLeft w:val="0"/>
      <w:marRight w:val="0"/>
      <w:marTop w:val="0"/>
      <w:marBottom w:val="0"/>
      <w:divBdr>
        <w:top w:val="none" w:sz="0" w:space="0" w:color="auto"/>
        <w:left w:val="none" w:sz="0" w:space="0" w:color="auto"/>
        <w:bottom w:val="none" w:sz="0" w:space="0" w:color="auto"/>
        <w:right w:val="none" w:sz="0" w:space="0" w:color="auto"/>
      </w:divBdr>
    </w:div>
    <w:div w:id="743795114">
      <w:bodyDiv w:val="1"/>
      <w:marLeft w:val="0"/>
      <w:marRight w:val="0"/>
      <w:marTop w:val="0"/>
      <w:marBottom w:val="0"/>
      <w:divBdr>
        <w:top w:val="none" w:sz="0" w:space="0" w:color="auto"/>
        <w:left w:val="none" w:sz="0" w:space="0" w:color="auto"/>
        <w:bottom w:val="none" w:sz="0" w:space="0" w:color="auto"/>
        <w:right w:val="none" w:sz="0" w:space="0" w:color="auto"/>
      </w:divBdr>
    </w:div>
    <w:div w:id="755175163">
      <w:bodyDiv w:val="1"/>
      <w:marLeft w:val="0"/>
      <w:marRight w:val="0"/>
      <w:marTop w:val="0"/>
      <w:marBottom w:val="0"/>
      <w:divBdr>
        <w:top w:val="none" w:sz="0" w:space="0" w:color="auto"/>
        <w:left w:val="none" w:sz="0" w:space="0" w:color="auto"/>
        <w:bottom w:val="none" w:sz="0" w:space="0" w:color="auto"/>
        <w:right w:val="none" w:sz="0" w:space="0" w:color="auto"/>
      </w:divBdr>
    </w:div>
    <w:div w:id="767848268">
      <w:bodyDiv w:val="1"/>
      <w:marLeft w:val="0"/>
      <w:marRight w:val="0"/>
      <w:marTop w:val="0"/>
      <w:marBottom w:val="0"/>
      <w:divBdr>
        <w:top w:val="none" w:sz="0" w:space="0" w:color="auto"/>
        <w:left w:val="none" w:sz="0" w:space="0" w:color="auto"/>
        <w:bottom w:val="none" w:sz="0" w:space="0" w:color="auto"/>
        <w:right w:val="none" w:sz="0" w:space="0" w:color="auto"/>
      </w:divBdr>
    </w:div>
    <w:div w:id="778064539">
      <w:bodyDiv w:val="1"/>
      <w:marLeft w:val="0"/>
      <w:marRight w:val="0"/>
      <w:marTop w:val="0"/>
      <w:marBottom w:val="0"/>
      <w:divBdr>
        <w:top w:val="none" w:sz="0" w:space="0" w:color="auto"/>
        <w:left w:val="none" w:sz="0" w:space="0" w:color="auto"/>
        <w:bottom w:val="none" w:sz="0" w:space="0" w:color="auto"/>
        <w:right w:val="none" w:sz="0" w:space="0" w:color="auto"/>
      </w:divBdr>
    </w:div>
    <w:div w:id="789980175">
      <w:bodyDiv w:val="1"/>
      <w:marLeft w:val="0"/>
      <w:marRight w:val="0"/>
      <w:marTop w:val="0"/>
      <w:marBottom w:val="0"/>
      <w:divBdr>
        <w:top w:val="none" w:sz="0" w:space="0" w:color="auto"/>
        <w:left w:val="none" w:sz="0" w:space="0" w:color="auto"/>
        <w:bottom w:val="none" w:sz="0" w:space="0" w:color="auto"/>
        <w:right w:val="none" w:sz="0" w:space="0" w:color="auto"/>
      </w:divBdr>
    </w:div>
    <w:div w:id="796534129">
      <w:bodyDiv w:val="1"/>
      <w:marLeft w:val="0"/>
      <w:marRight w:val="0"/>
      <w:marTop w:val="0"/>
      <w:marBottom w:val="0"/>
      <w:divBdr>
        <w:top w:val="none" w:sz="0" w:space="0" w:color="auto"/>
        <w:left w:val="none" w:sz="0" w:space="0" w:color="auto"/>
        <w:bottom w:val="none" w:sz="0" w:space="0" w:color="auto"/>
        <w:right w:val="none" w:sz="0" w:space="0" w:color="auto"/>
      </w:divBdr>
    </w:div>
    <w:div w:id="815681805">
      <w:bodyDiv w:val="1"/>
      <w:marLeft w:val="0"/>
      <w:marRight w:val="0"/>
      <w:marTop w:val="0"/>
      <w:marBottom w:val="0"/>
      <w:divBdr>
        <w:top w:val="none" w:sz="0" w:space="0" w:color="auto"/>
        <w:left w:val="none" w:sz="0" w:space="0" w:color="auto"/>
        <w:bottom w:val="none" w:sz="0" w:space="0" w:color="auto"/>
        <w:right w:val="none" w:sz="0" w:space="0" w:color="auto"/>
      </w:divBdr>
    </w:div>
    <w:div w:id="832798178">
      <w:bodyDiv w:val="1"/>
      <w:marLeft w:val="0"/>
      <w:marRight w:val="0"/>
      <w:marTop w:val="0"/>
      <w:marBottom w:val="0"/>
      <w:divBdr>
        <w:top w:val="none" w:sz="0" w:space="0" w:color="auto"/>
        <w:left w:val="none" w:sz="0" w:space="0" w:color="auto"/>
        <w:bottom w:val="none" w:sz="0" w:space="0" w:color="auto"/>
        <w:right w:val="none" w:sz="0" w:space="0" w:color="auto"/>
      </w:divBdr>
    </w:div>
    <w:div w:id="851451213">
      <w:bodyDiv w:val="1"/>
      <w:marLeft w:val="0"/>
      <w:marRight w:val="0"/>
      <w:marTop w:val="0"/>
      <w:marBottom w:val="0"/>
      <w:divBdr>
        <w:top w:val="none" w:sz="0" w:space="0" w:color="auto"/>
        <w:left w:val="none" w:sz="0" w:space="0" w:color="auto"/>
        <w:bottom w:val="none" w:sz="0" w:space="0" w:color="auto"/>
        <w:right w:val="none" w:sz="0" w:space="0" w:color="auto"/>
      </w:divBdr>
    </w:div>
    <w:div w:id="875308780">
      <w:bodyDiv w:val="1"/>
      <w:marLeft w:val="0"/>
      <w:marRight w:val="0"/>
      <w:marTop w:val="0"/>
      <w:marBottom w:val="0"/>
      <w:divBdr>
        <w:top w:val="none" w:sz="0" w:space="0" w:color="auto"/>
        <w:left w:val="none" w:sz="0" w:space="0" w:color="auto"/>
        <w:bottom w:val="none" w:sz="0" w:space="0" w:color="auto"/>
        <w:right w:val="none" w:sz="0" w:space="0" w:color="auto"/>
      </w:divBdr>
    </w:div>
    <w:div w:id="886646247">
      <w:bodyDiv w:val="1"/>
      <w:marLeft w:val="0"/>
      <w:marRight w:val="0"/>
      <w:marTop w:val="0"/>
      <w:marBottom w:val="0"/>
      <w:divBdr>
        <w:top w:val="none" w:sz="0" w:space="0" w:color="auto"/>
        <w:left w:val="none" w:sz="0" w:space="0" w:color="auto"/>
        <w:bottom w:val="none" w:sz="0" w:space="0" w:color="auto"/>
        <w:right w:val="none" w:sz="0" w:space="0" w:color="auto"/>
      </w:divBdr>
    </w:div>
    <w:div w:id="913007100">
      <w:bodyDiv w:val="1"/>
      <w:marLeft w:val="0"/>
      <w:marRight w:val="0"/>
      <w:marTop w:val="0"/>
      <w:marBottom w:val="0"/>
      <w:divBdr>
        <w:top w:val="none" w:sz="0" w:space="0" w:color="auto"/>
        <w:left w:val="none" w:sz="0" w:space="0" w:color="auto"/>
        <w:bottom w:val="none" w:sz="0" w:space="0" w:color="auto"/>
        <w:right w:val="none" w:sz="0" w:space="0" w:color="auto"/>
      </w:divBdr>
    </w:div>
    <w:div w:id="916286478">
      <w:bodyDiv w:val="1"/>
      <w:marLeft w:val="0"/>
      <w:marRight w:val="0"/>
      <w:marTop w:val="0"/>
      <w:marBottom w:val="0"/>
      <w:divBdr>
        <w:top w:val="none" w:sz="0" w:space="0" w:color="auto"/>
        <w:left w:val="none" w:sz="0" w:space="0" w:color="auto"/>
        <w:bottom w:val="none" w:sz="0" w:space="0" w:color="auto"/>
        <w:right w:val="none" w:sz="0" w:space="0" w:color="auto"/>
      </w:divBdr>
    </w:div>
    <w:div w:id="920259184">
      <w:bodyDiv w:val="1"/>
      <w:marLeft w:val="0"/>
      <w:marRight w:val="0"/>
      <w:marTop w:val="0"/>
      <w:marBottom w:val="0"/>
      <w:divBdr>
        <w:top w:val="none" w:sz="0" w:space="0" w:color="auto"/>
        <w:left w:val="none" w:sz="0" w:space="0" w:color="auto"/>
        <w:bottom w:val="none" w:sz="0" w:space="0" w:color="auto"/>
        <w:right w:val="none" w:sz="0" w:space="0" w:color="auto"/>
      </w:divBdr>
    </w:div>
    <w:div w:id="920531775">
      <w:bodyDiv w:val="1"/>
      <w:marLeft w:val="0"/>
      <w:marRight w:val="0"/>
      <w:marTop w:val="0"/>
      <w:marBottom w:val="0"/>
      <w:divBdr>
        <w:top w:val="none" w:sz="0" w:space="0" w:color="auto"/>
        <w:left w:val="none" w:sz="0" w:space="0" w:color="auto"/>
        <w:bottom w:val="none" w:sz="0" w:space="0" w:color="auto"/>
        <w:right w:val="none" w:sz="0" w:space="0" w:color="auto"/>
      </w:divBdr>
    </w:div>
    <w:div w:id="932010382">
      <w:bodyDiv w:val="1"/>
      <w:marLeft w:val="0"/>
      <w:marRight w:val="0"/>
      <w:marTop w:val="0"/>
      <w:marBottom w:val="0"/>
      <w:divBdr>
        <w:top w:val="none" w:sz="0" w:space="0" w:color="auto"/>
        <w:left w:val="none" w:sz="0" w:space="0" w:color="auto"/>
        <w:bottom w:val="none" w:sz="0" w:space="0" w:color="auto"/>
        <w:right w:val="none" w:sz="0" w:space="0" w:color="auto"/>
      </w:divBdr>
    </w:div>
    <w:div w:id="939030240">
      <w:bodyDiv w:val="1"/>
      <w:marLeft w:val="0"/>
      <w:marRight w:val="0"/>
      <w:marTop w:val="0"/>
      <w:marBottom w:val="0"/>
      <w:divBdr>
        <w:top w:val="none" w:sz="0" w:space="0" w:color="auto"/>
        <w:left w:val="none" w:sz="0" w:space="0" w:color="auto"/>
        <w:bottom w:val="none" w:sz="0" w:space="0" w:color="auto"/>
        <w:right w:val="none" w:sz="0" w:space="0" w:color="auto"/>
      </w:divBdr>
    </w:div>
    <w:div w:id="942031662">
      <w:bodyDiv w:val="1"/>
      <w:marLeft w:val="0"/>
      <w:marRight w:val="0"/>
      <w:marTop w:val="0"/>
      <w:marBottom w:val="0"/>
      <w:divBdr>
        <w:top w:val="none" w:sz="0" w:space="0" w:color="auto"/>
        <w:left w:val="none" w:sz="0" w:space="0" w:color="auto"/>
        <w:bottom w:val="none" w:sz="0" w:space="0" w:color="auto"/>
        <w:right w:val="none" w:sz="0" w:space="0" w:color="auto"/>
      </w:divBdr>
    </w:div>
    <w:div w:id="949165650">
      <w:bodyDiv w:val="1"/>
      <w:marLeft w:val="0"/>
      <w:marRight w:val="0"/>
      <w:marTop w:val="0"/>
      <w:marBottom w:val="0"/>
      <w:divBdr>
        <w:top w:val="none" w:sz="0" w:space="0" w:color="auto"/>
        <w:left w:val="none" w:sz="0" w:space="0" w:color="auto"/>
        <w:bottom w:val="none" w:sz="0" w:space="0" w:color="auto"/>
        <w:right w:val="none" w:sz="0" w:space="0" w:color="auto"/>
      </w:divBdr>
    </w:div>
    <w:div w:id="950092732">
      <w:bodyDiv w:val="1"/>
      <w:marLeft w:val="0"/>
      <w:marRight w:val="0"/>
      <w:marTop w:val="0"/>
      <w:marBottom w:val="0"/>
      <w:divBdr>
        <w:top w:val="none" w:sz="0" w:space="0" w:color="auto"/>
        <w:left w:val="none" w:sz="0" w:space="0" w:color="auto"/>
        <w:bottom w:val="none" w:sz="0" w:space="0" w:color="auto"/>
        <w:right w:val="none" w:sz="0" w:space="0" w:color="auto"/>
      </w:divBdr>
    </w:div>
    <w:div w:id="953170060">
      <w:bodyDiv w:val="1"/>
      <w:marLeft w:val="0"/>
      <w:marRight w:val="0"/>
      <w:marTop w:val="0"/>
      <w:marBottom w:val="0"/>
      <w:divBdr>
        <w:top w:val="none" w:sz="0" w:space="0" w:color="auto"/>
        <w:left w:val="none" w:sz="0" w:space="0" w:color="auto"/>
        <w:bottom w:val="none" w:sz="0" w:space="0" w:color="auto"/>
        <w:right w:val="none" w:sz="0" w:space="0" w:color="auto"/>
      </w:divBdr>
    </w:div>
    <w:div w:id="958727667">
      <w:bodyDiv w:val="1"/>
      <w:marLeft w:val="0"/>
      <w:marRight w:val="0"/>
      <w:marTop w:val="0"/>
      <w:marBottom w:val="0"/>
      <w:divBdr>
        <w:top w:val="none" w:sz="0" w:space="0" w:color="auto"/>
        <w:left w:val="none" w:sz="0" w:space="0" w:color="auto"/>
        <w:bottom w:val="none" w:sz="0" w:space="0" w:color="auto"/>
        <w:right w:val="none" w:sz="0" w:space="0" w:color="auto"/>
      </w:divBdr>
    </w:div>
    <w:div w:id="962619771">
      <w:bodyDiv w:val="1"/>
      <w:marLeft w:val="0"/>
      <w:marRight w:val="0"/>
      <w:marTop w:val="0"/>
      <w:marBottom w:val="0"/>
      <w:divBdr>
        <w:top w:val="none" w:sz="0" w:space="0" w:color="auto"/>
        <w:left w:val="none" w:sz="0" w:space="0" w:color="auto"/>
        <w:bottom w:val="none" w:sz="0" w:space="0" w:color="auto"/>
        <w:right w:val="none" w:sz="0" w:space="0" w:color="auto"/>
      </w:divBdr>
    </w:div>
    <w:div w:id="988442338">
      <w:bodyDiv w:val="1"/>
      <w:marLeft w:val="0"/>
      <w:marRight w:val="0"/>
      <w:marTop w:val="0"/>
      <w:marBottom w:val="0"/>
      <w:divBdr>
        <w:top w:val="none" w:sz="0" w:space="0" w:color="auto"/>
        <w:left w:val="none" w:sz="0" w:space="0" w:color="auto"/>
        <w:bottom w:val="none" w:sz="0" w:space="0" w:color="auto"/>
        <w:right w:val="none" w:sz="0" w:space="0" w:color="auto"/>
      </w:divBdr>
    </w:div>
    <w:div w:id="993485724">
      <w:bodyDiv w:val="1"/>
      <w:marLeft w:val="0"/>
      <w:marRight w:val="0"/>
      <w:marTop w:val="0"/>
      <w:marBottom w:val="0"/>
      <w:divBdr>
        <w:top w:val="none" w:sz="0" w:space="0" w:color="auto"/>
        <w:left w:val="none" w:sz="0" w:space="0" w:color="auto"/>
        <w:bottom w:val="none" w:sz="0" w:space="0" w:color="auto"/>
        <w:right w:val="none" w:sz="0" w:space="0" w:color="auto"/>
      </w:divBdr>
    </w:div>
    <w:div w:id="996491753">
      <w:bodyDiv w:val="1"/>
      <w:marLeft w:val="0"/>
      <w:marRight w:val="0"/>
      <w:marTop w:val="0"/>
      <w:marBottom w:val="0"/>
      <w:divBdr>
        <w:top w:val="none" w:sz="0" w:space="0" w:color="auto"/>
        <w:left w:val="none" w:sz="0" w:space="0" w:color="auto"/>
        <w:bottom w:val="none" w:sz="0" w:space="0" w:color="auto"/>
        <w:right w:val="none" w:sz="0" w:space="0" w:color="auto"/>
      </w:divBdr>
    </w:div>
    <w:div w:id="998458345">
      <w:bodyDiv w:val="1"/>
      <w:marLeft w:val="0"/>
      <w:marRight w:val="0"/>
      <w:marTop w:val="0"/>
      <w:marBottom w:val="0"/>
      <w:divBdr>
        <w:top w:val="none" w:sz="0" w:space="0" w:color="auto"/>
        <w:left w:val="none" w:sz="0" w:space="0" w:color="auto"/>
        <w:bottom w:val="none" w:sz="0" w:space="0" w:color="auto"/>
        <w:right w:val="none" w:sz="0" w:space="0" w:color="auto"/>
      </w:divBdr>
    </w:div>
    <w:div w:id="999576798">
      <w:bodyDiv w:val="1"/>
      <w:marLeft w:val="0"/>
      <w:marRight w:val="0"/>
      <w:marTop w:val="0"/>
      <w:marBottom w:val="0"/>
      <w:divBdr>
        <w:top w:val="none" w:sz="0" w:space="0" w:color="auto"/>
        <w:left w:val="none" w:sz="0" w:space="0" w:color="auto"/>
        <w:bottom w:val="none" w:sz="0" w:space="0" w:color="auto"/>
        <w:right w:val="none" w:sz="0" w:space="0" w:color="auto"/>
      </w:divBdr>
    </w:div>
    <w:div w:id="999579369">
      <w:bodyDiv w:val="1"/>
      <w:marLeft w:val="0"/>
      <w:marRight w:val="0"/>
      <w:marTop w:val="0"/>
      <w:marBottom w:val="0"/>
      <w:divBdr>
        <w:top w:val="none" w:sz="0" w:space="0" w:color="auto"/>
        <w:left w:val="none" w:sz="0" w:space="0" w:color="auto"/>
        <w:bottom w:val="none" w:sz="0" w:space="0" w:color="auto"/>
        <w:right w:val="none" w:sz="0" w:space="0" w:color="auto"/>
      </w:divBdr>
    </w:div>
    <w:div w:id="1029993928">
      <w:bodyDiv w:val="1"/>
      <w:marLeft w:val="0"/>
      <w:marRight w:val="0"/>
      <w:marTop w:val="0"/>
      <w:marBottom w:val="0"/>
      <w:divBdr>
        <w:top w:val="none" w:sz="0" w:space="0" w:color="auto"/>
        <w:left w:val="none" w:sz="0" w:space="0" w:color="auto"/>
        <w:bottom w:val="none" w:sz="0" w:space="0" w:color="auto"/>
        <w:right w:val="none" w:sz="0" w:space="0" w:color="auto"/>
      </w:divBdr>
    </w:div>
    <w:div w:id="1032000277">
      <w:bodyDiv w:val="1"/>
      <w:marLeft w:val="0"/>
      <w:marRight w:val="0"/>
      <w:marTop w:val="0"/>
      <w:marBottom w:val="0"/>
      <w:divBdr>
        <w:top w:val="none" w:sz="0" w:space="0" w:color="auto"/>
        <w:left w:val="none" w:sz="0" w:space="0" w:color="auto"/>
        <w:bottom w:val="none" w:sz="0" w:space="0" w:color="auto"/>
        <w:right w:val="none" w:sz="0" w:space="0" w:color="auto"/>
      </w:divBdr>
    </w:div>
    <w:div w:id="1034504114">
      <w:bodyDiv w:val="1"/>
      <w:marLeft w:val="0"/>
      <w:marRight w:val="0"/>
      <w:marTop w:val="0"/>
      <w:marBottom w:val="0"/>
      <w:divBdr>
        <w:top w:val="none" w:sz="0" w:space="0" w:color="auto"/>
        <w:left w:val="none" w:sz="0" w:space="0" w:color="auto"/>
        <w:bottom w:val="none" w:sz="0" w:space="0" w:color="auto"/>
        <w:right w:val="none" w:sz="0" w:space="0" w:color="auto"/>
      </w:divBdr>
    </w:div>
    <w:div w:id="1036155823">
      <w:bodyDiv w:val="1"/>
      <w:marLeft w:val="0"/>
      <w:marRight w:val="0"/>
      <w:marTop w:val="0"/>
      <w:marBottom w:val="0"/>
      <w:divBdr>
        <w:top w:val="none" w:sz="0" w:space="0" w:color="auto"/>
        <w:left w:val="none" w:sz="0" w:space="0" w:color="auto"/>
        <w:bottom w:val="none" w:sz="0" w:space="0" w:color="auto"/>
        <w:right w:val="none" w:sz="0" w:space="0" w:color="auto"/>
      </w:divBdr>
    </w:div>
    <w:div w:id="1037466192">
      <w:bodyDiv w:val="1"/>
      <w:marLeft w:val="0"/>
      <w:marRight w:val="0"/>
      <w:marTop w:val="0"/>
      <w:marBottom w:val="0"/>
      <w:divBdr>
        <w:top w:val="none" w:sz="0" w:space="0" w:color="auto"/>
        <w:left w:val="none" w:sz="0" w:space="0" w:color="auto"/>
        <w:bottom w:val="none" w:sz="0" w:space="0" w:color="auto"/>
        <w:right w:val="none" w:sz="0" w:space="0" w:color="auto"/>
      </w:divBdr>
    </w:div>
    <w:div w:id="1038699279">
      <w:bodyDiv w:val="1"/>
      <w:marLeft w:val="0"/>
      <w:marRight w:val="0"/>
      <w:marTop w:val="0"/>
      <w:marBottom w:val="0"/>
      <w:divBdr>
        <w:top w:val="none" w:sz="0" w:space="0" w:color="auto"/>
        <w:left w:val="none" w:sz="0" w:space="0" w:color="auto"/>
        <w:bottom w:val="none" w:sz="0" w:space="0" w:color="auto"/>
        <w:right w:val="none" w:sz="0" w:space="0" w:color="auto"/>
      </w:divBdr>
    </w:div>
    <w:div w:id="1042823599">
      <w:bodyDiv w:val="1"/>
      <w:marLeft w:val="0"/>
      <w:marRight w:val="0"/>
      <w:marTop w:val="0"/>
      <w:marBottom w:val="0"/>
      <w:divBdr>
        <w:top w:val="none" w:sz="0" w:space="0" w:color="auto"/>
        <w:left w:val="none" w:sz="0" w:space="0" w:color="auto"/>
        <w:bottom w:val="none" w:sz="0" w:space="0" w:color="auto"/>
        <w:right w:val="none" w:sz="0" w:space="0" w:color="auto"/>
      </w:divBdr>
    </w:div>
    <w:div w:id="1079013200">
      <w:bodyDiv w:val="1"/>
      <w:marLeft w:val="0"/>
      <w:marRight w:val="0"/>
      <w:marTop w:val="0"/>
      <w:marBottom w:val="0"/>
      <w:divBdr>
        <w:top w:val="none" w:sz="0" w:space="0" w:color="auto"/>
        <w:left w:val="none" w:sz="0" w:space="0" w:color="auto"/>
        <w:bottom w:val="none" w:sz="0" w:space="0" w:color="auto"/>
        <w:right w:val="none" w:sz="0" w:space="0" w:color="auto"/>
      </w:divBdr>
    </w:div>
    <w:div w:id="1082722277">
      <w:bodyDiv w:val="1"/>
      <w:marLeft w:val="0"/>
      <w:marRight w:val="0"/>
      <w:marTop w:val="0"/>
      <w:marBottom w:val="0"/>
      <w:divBdr>
        <w:top w:val="none" w:sz="0" w:space="0" w:color="auto"/>
        <w:left w:val="none" w:sz="0" w:space="0" w:color="auto"/>
        <w:bottom w:val="none" w:sz="0" w:space="0" w:color="auto"/>
        <w:right w:val="none" w:sz="0" w:space="0" w:color="auto"/>
      </w:divBdr>
    </w:div>
    <w:div w:id="1088229923">
      <w:bodyDiv w:val="1"/>
      <w:marLeft w:val="0"/>
      <w:marRight w:val="0"/>
      <w:marTop w:val="0"/>
      <w:marBottom w:val="0"/>
      <w:divBdr>
        <w:top w:val="none" w:sz="0" w:space="0" w:color="auto"/>
        <w:left w:val="none" w:sz="0" w:space="0" w:color="auto"/>
        <w:bottom w:val="none" w:sz="0" w:space="0" w:color="auto"/>
        <w:right w:val="none" w:sz="0" w:space="0" w:color="auto"/>
      </w:divBdr>
    </w:div>
    <w:div w:id="1101417266">
      <w:bodyDiv w:val="1"/>
      <w:marLeft w:val="0"/>
      <w:marRight w:val="0"/>
      <w:marTop w:val="0"/>
      <w:marBottom w:val="0"/>
      <w:divBdr>
        <w:top w:val="none" w:sz="0" w:space="0" w:color="auto"/>
        <w:left w:val="none" w:sz="0" w:space="0" w:color="auto"/>
        <w:bottom w:val="none" w:sz="0" w:space="0" w:color="auto"/>
        <w:right w:val="none" w:sz="0" w:space="0" w:color="auto"/>
      </w:divBdr>
    </w:div>
    <w:div w:id="1116019147">
      <w:bodyDiv w:val="1"/>
      <w:marLeft w:val="0"/>
      <w:marRight w:val="0"/>
      <w:marTop w:val="0"/>
      <w:marBottom w:val="0"/>
      <w:divBdr>
        <w:top w:val="none" w:sz="0" w:space="0" w:color="auto"/>
        <w:left w:val="none" w:sz="0" w:space="0" w:color="auto"/>
        <w:bottom w:val="none" w:sz="0" w:space="0" w:color="auto"/>
        <w:right w:val="none" w:sz="0" w:space="0" w:color="auto"/>
      </w:divBdr>
    </w:div>
    <w:div w:id="1146320496">
      <w:bodyDiv w:val="1"/>
      <w:marLeft w:val="0"/>
      <w:marRight w:val="0"/>
      <w:marTop w:val="0"/>
      <w:marBottom w:val="0"/>
      <w:divBdr>
        <w:top w:val="none" w:sz="0" w:space="0" w:color="auto"/>
        <w:left w:val="none" w:sz="0" w:space="0" w:color="auto"/>
        <w:bottom w:val="none" w:sz="0" w:space="0" w:color="auto"/>
        <w:right w:val="none" w:sz="0" w:space="0" w:color="auto"/>
      </w:divBdr>
    </w:div>
    <w:div w:id="1163619436">
      <w:bodyDiv w:val="1"/>
      <w:marLeft w:val="0"/>
      <w:marRight w:val="0"/>
      <w:marTop w:val="0"/>
      <w:marBottom w:val="0"/>
      <w:divBdr>
        <w:top w:val="none" w:sz="0" w:space="0" w:color="auto"/>
        <w:left w:val="none" w:sz="0" w:space="0" w:color="auto"/>
        <w:bottom w:val="none" w:sz="0" w:space="0" w:color="auto"/>
        <w:right w:val="none" w:sz="0" w:space="0" w:color="auto"/>
      </w:divBdr>
    </w:div>
    <w:div w:id="1169255277">
      <w:bodyDiv w:val="1"/>
      <w:marLeft w:val="0"/>
      <w:marRight w:val="0"/>
      <w:marTop w:val="0"/>
      <w:marBottom w:val="0"/>
      <w:divBdr>
        <w:top w:val="none" w:sz="0" w:space="0" w:color="auto"/>
        <w:left w:val="none" w:sz="0" w:space="0" w:color="auto"/>
        <w:bottom w:val="none" w:sz="0" w:space="0" w:color="auto"/>
        <w:right w:val="none" w:sz="0" w:space="0" w:color="auto"/>
      </w:divBdr>
    </w:div>
    <w:div w:id="1174763909">
      <w:bodyDiv w:val="1"/>
      <w:marLeft w:val="0"/>
      <w:marRight w:val="0"/>
      <w:marTop w:val="0"/>
      <w:marBottom w:val="0"/>
      <w:divBdr>
        <w:top w:val="none" w:sz="0" w:space="0" w:color="auto"/>
        <w:left w:val="none" w:sz="0" w:space="0" w:color="auto"/>
        <w:bottom w:val="none" w:sz="0" w:space="0" w:color="auto"/>
        <w:right w:val="none" w:sz="0" w:space="0" w:color="auto"/>
      </w:divBdr>
    </w:div>
    <w:div w:id="1178538980">
      <w:bodyDiv w:val="1"/>
      <w:marLeft w:val="0"/>
      <w:marRight w:val="0"/>
      <w:marTop w:val="0"/>
      <w:marBottom w:val="0"/>
      <w:divBdr>
        <w:top w:val="none" w:sz="0" w:space="0" w:color="auto"/>
        <w:left w:val="none" w:sz="0" w:space="0" w:color="auto"/>
        <w:bottom w:val="none" w:sz="0" w:space="0" w:color="auto"/>
        <w:right w:val="none" w:sz="0" w:space="0" w:color="auto"/>
      </w:divBdr>
    </w:div>
    <w:div w:id="1198855864">
      <w:bodyDiv w:val="1"/>
      <w:marLeft w:val="0"/>
      <w:marRight w:val="0"/>
      <w:marTop w:val="0"/>
      <w:marBottom w:val="0"/>
      <w:divBdr>
        <w:top w:val="none" w:sz="0" w:space="0" w:color="auto"/>
        <w:left w:val="none" w:sz="0" w:space="0" w:color="auto"/>
        <w:bottom w:val="none" w:sz="0" w:space="0" w:color="auto"/>
        <w:right w:val="none" w:sz="0" w:space="0" w:color="auto"/>
      </w:divBdr>
    </w:div>
    <w:div w:id="1199663529">
      <w:bodyDiv w:val="1"/>
      <w:marLeft w:val="0"/>
      <w:marRight w:val="0"/>
      <w:marTop w:val="0"/>
      <w:marBottom w:val="0"/>
      <w:divBdr>
        <w:top w:val="none" w:sz="0" w:space="0" w:color="auto"/>
        <w:left w:val="none" w:sz="0" w:space="0" w:color="auto"/>
        <w:bottom w:val="none" w:sz="0" w:space="0" w:color="auto"/>
        <w:right w:val="none" w:sz="0" w:space="0" w:color="auto"/>
      </w:divBdr>
    </w:div>
    <w:div w:id="1206984897">
      <w:bodyDiv w:val="1"/>
      <w:marLeft w:val="0"/>
      <w:marRight w:val="0"/>
      <w:marTop w:val="0"/>
      <w:marBottom w:val="0"/>
      <w:divBdr>
        <w:top w:val="none" w:sz="0" w:space="0" w:color="auto"/>
        <w:left w:val="none" w:sz="0" w:space="0" w:color="auto"/>
        <w:bottom w:val="none" w:sz="0" w:space="0" w:color="auto"/>
        <w:right w:val="none" w:sz="0" w:space="0" w:color="auto"/>
      </w:divBdr>
    </w:div>
    <w:div w:id="1221215340">
      <w:bodyDiv w:val="1"/>
      <w:marLeft w:val="0"/>
      <w:marRight w:val="0"/>
      <w:marTop w:val="0"/>
      <w:marBottom w:val="0"/>
      <w:divBdr>
        <w:top w:val="none" w:sz="0" w:space="0" w:color="auto"/>
        <w:left w:val="none" w:sz="0" w:space="0" w:color="auto"/>
        <w:bottom w:val="none" w:sz="0" w:space="0" w:color="auto"/>
        <w:right w:val="none" w:sz="0" w:space="0" w:color="auto"/>
      </w:divBdr>
    </w:div>
    <w:div w:id="1227033641">
      <w:bodyDiv w:val="1"/>
      <w:marLeft w:val="0"/>
      <w:marRight w:val="0"/>
      <w:marTop w:val="0"/>
      <w:marBottom w:val="0"/>
      <w:divBdr>
        <w:top w:val="none" w:sz="0" w:space="0" w:color="auto"/>
        <w:left w:val="none" w:sz="0" w:space="0" w:color="auto"/>
        <w:bottom w:val="none" w:sz="0" w:space="0" w:color="auto"/>
        <w:right w:val="none" w:sz="0" w:space="0" w:color="auto"/>
      </w:divBdr>
    </w:div>
    <w:div w:id="1239823615">
      <w:bodyDiv w:val="1"/>
      <w:marLeft w:val="0"/>
      <w:marRight w:val="0"/>
      <w:marTop w:val="0"/>
      <w:marBottom w:val="0"/>
      <w:divBdr>
        <w:top w:val="none" w:sz="0" w:space="0" w:color="auto"/>
        <w:left w:val="none" w:sz="0" w:space="0" w:color="auto"/>
        <w:bottom w:val="none" w:sz="0" w:space="0" w:color="auto"/>
        <w:right w:val="none" w:sz="0" w:space="0" w:color="auto"/>
      </w:divBdr>
    </w:div>
    <w:div w:id="1241939218">
      <w:bodyDiv w:val="1"/>
      <w:marLeft w:val="0"/>
      <w:marRight w:val="0"/>
      <w:marTop w:val="0"/>
      <w:marBottom w:val="0"/>
      <w:divBdr>
        <w:top w:val="none" w:sz="0" w:space="0" w:color="auto"/>
        <w:left w:val="none" w:sz="0" w:space="0" w:color="auto"/>
        <w:bottom w:val="none" w:sz="0" w:space="0" w:color="auto"/>
        <w:right w:val="none" w:sz="0" w:space="0" w:color="auto"/>
      </w:divBdr>
    </w:div>
    <w:div w:id="1243373095">
      <w:bodyDiv w:val="1"/>
      <w:marLeft w:val="0"/>
      <w:marRight w:val="0"/>
      <w:marTop w:val="0"/>
      <w:marBottom w:val="0"/>
      <w:divBdr>
        <w:top w:val="none" w:sz="0" w:space="0" w:color="auto"/>
        <w:left w:val="none" w:sz="0" w:space="0" w:color="auto"/>
        <w:bottom w:val="none" w:sz="0" w:space="0" w:color="auto"/>
        <w:right w:val="none" w:sz="0" w:space="0" w:color="auto"/>
      </w:divBdr>
    </w:div>
    <w:div w:id="1270890343">
      <w:bodyDiv w:val="1"/>
      <w:marLeft w:val="0"/>
      <w:marRight w:val="0"/>
      <w:marTop w:val="0"/>
      <w:marBottom w:val="0"/>
      <w:divBdr>
        <w:top w:val="none" w:sz="0" w:space="0" w:color="auto"/>
        <w:left w:val="none" w:sz="0" w:space="0" w:color="auto"/>
        <w:bottom w:val="none" w:sz="0" w:space="0" w:color="auto"/>
        <w:right w:val="none" w:sz="0" w:space="0" w:color="auto"/>
      </w:divBdr>
    </w:div>
    <w:div w:id="1272124939">
      <w:bodyDiv w:val="1"/>
      <w:marLeft w:val="0"/>
      <w:marRight w:val="0"/>
      <w:marTop w:val="0"/>
      <w:marBottom w:val="0"/>
      <w:divBdr>
        <w:top w:val="none" w:sz="0" w:space="0" w:color="auto"/>
        <w:left w:val="none" w:sz="0" w:space="0" w:color="auto"/>
        <w:bottom w:val="none" w:sz="0" w:space="0" w:color="auto"/>
        <w:right w:val="none" w:sz="0" w:space="0" w:color="auto"/>
      </w:divBdr>
    </w:div>
    <w:div w:id="1277519543">
      <w:bodyDiv w:val="1"/>
      <w:marLeft w:val="0"/>
      <w:marRight w:val="0"/>
      <w:marTop w:val="0"/>
      <w:marBottom w:val="0"/>
      <w:divBdr>
        <w:top w:val="none" w:sz="0" w:space="0" w:color="auto"/>
        <w:left w:val="none" w:sz="0" w:space="0" w:color="auto"/>
        <w:bottom w:val="none" w:sz="0" w:space="0" w:color="auto"/>
        <w:right w:val="none" w:sz="0" w:space="0" w:color="auto"/>
      </w:divBdr>
    </w:div>
    <w:div w:id="1300649127">
      <w:bodyDiv w:val="1"/>
      <w:marLeft w:val="0"/>
      <w:marRight w:val="0"/>
      <w:marTop w:val="0"/>
      <w:marBottom w:val="0"/>
      <w:divBdr>
        <w:top w:val="none" w:sz="0" w:space="0" w:color="auto"/>
        <w:left w:val="none" w:sz="0" w:space="0" w:color="auto"/>
        <w:bottom w:val="none" w:sz="0" w:space="0" w:color="auto"/>
        <w:right w:val="none" w:sz="0" w:space="0" w:color="auto"/>
      </w:divBdr>
    </w:div>
    <w:div w:id="1308196476">
      <w:bodyDiv w:val="1"/>
      <w:marLeft w:val="0"/>
      <w:marRight w:val="0"/>
      <w:marTop w:val="0"/>
      <w:marBottom w:val="0"/>
      <w:divBdr>
        <w:top w:val="none" w:sz="0" w:space="0" w:color="auto"/>
        <w:left w:val="none" w:sz="0" w:space="0" w:color="auto"/>
        <w:bottom w:val="none" w:sz="0" w:space="0" w:color="auto"/>
        <w:right w:val="none" w:sz="0" w:space="0" w:color="auto"/>
      </w:divBdr>
    </w:div>
    <w:div w:id="1310750942">
      <w:bodyDiv w:val="1"/>
      <w:marLeft w:val="0"/>
      <w:marRight w:val="0"/>
      <w:marTop w:val="0"/>
      <w:marBottom w:val="0"/>
      <w:divBdr>
        <w:top w:val="none" w:sz="0" w:space="0" w:color="auto"/>
        <w:left w:val="none" w:sz="0" w:space="0" w:color="auto"/>
        <w:bottom w:val="none" w:sz="0" w:space="0" w:color="auto"/>
        <w:right w:val="none" w:sz="0" w:space="0" w:color="auto"/>
      </w:divBdr>
    </w:div>
    <w:div w:id="1314213720">
      <w:bodyDiv w:val="1"/>
      <w:marLeft w:val="0"/>
      <w:marRight w:val="0"/>
      <w:marTop w:val="0"/>
      <w:marBottom w:val="0"/>
      <w:divBdr>
        <w:top w:val="none" w:sz="0" w:space="0" w:color="auto"/>
        <w:left w:val="none" w:sz="0" w:space="0" w:color="auto"/>
        <w:bottom w:val="none" w:sz="0" w:space="0" w:color="auto"/>
        <w:right w:val="none" w:sz="0" w:space="0" w:color="auto"/>
      </w:divBdr>
    </w:div>
    <w:div w:id="1318194220">
      <w:bodyDiv w:val="1"/>
      <w:marLeft w:val="0"/>
      <w:marRight w:val="0"/>
      <w:marTop w:val="0"/>
      <w:marBottom w:val="0"/>
      <w:divBdr>
        <w:top w:val="none" w:sz="0" w:space="0" w:color="auto"/>
        <w:left w:val="none" w:sz="0" w:space="0" w:color="auto"/>
        <w:bottom w:val="none" w:sz="0" w:space="0" w:color="auto"/>
        <w:right w:val="none" w:sz="0" w:space="0" w:color="auto"/>
      </w:divBdr>
    </w:div>
    <w:div w:id="1330598947">
      <w:bodyDiv w:val="1"/>
      <w:marLeft w:val="0"/>
      <w:marRight w:val="0"/>
      <w:marTop w:val="0"/>
      <w:marBottom w:val="0"/>
      <w:divBdr>
        <w:top w:val="none" w:sz="0" w:space="0" w:color="auto"/>
        <w:left w:val="none" w:sz="0" w:space="0" w:color="auto"/>
        <w:bottom w:val="none" w:sz="0" w:space="0" w:color="auto"/>
        <w:right w:val="none" w:sz="0" w:space="0" w:color="auto"/>
      </w:divBdr>
    </w:div>
    <w:div w:id="1330600453">
      <w:bodyDiv w:val="1"/>
      <w:marLeft w:val="0"/>
      <w:marRight w:val="0"/>
      <w:marTop w:val="0"/>
      <w:marBottom w:val="0"/>
      <w:divBdr>
        <w:top w:val="none" w:sz="0" w:space="0" w:color="auto"/>
        <w:left w:val="none" w:sz="0" w:space="0" w:color="auto"/>
        <w:bottom w:val="none" w:sz="0" w:space="0" w:color="auto"/>
        <w:right w:val="none" w:sz="0" w:space="0" w:color="auto"/>
      </w:divBdr>
    </w:div>
    <w:div w:id="1336811269">
      <w:bodyDiv w:val="1"/>
      <w:marLeft w:val="0"/>
      <w:marRight w:val="0"/>
      <w:marTop w:val="0"/>
      <w:marBottom w:val="0"/>
      <w:divBdr>
        <w:top w:val="none" w:sz="0" w:space="0" w:color="auto"/>
        <w:left w:val="none" w:sz="0" w:space="0" w:color="auto"/>
        <w:bottom w:val="none" w:sz="0" w:space="0" w:color="auto"/>
        <w:right w:val="none" w:sz="0" w:space="0" w:color="auto"/>
      </w:divBdr>
    </w:div>
    <w:div w:id="1342469296">
      <w:bodyDiv w:val="1"/>
      <w:marLeft w:val="0"/>
      <w:marRight w:val="0"/>
      <w:marTop w:val="0"/>
      <w:marBottom w:val="0"/>
      <w:divBdr>
        <w:top w:val="none" w:sz="0" w:space="0" w:color="auto"/>
        <w:left w:val="none" w:sz="0" w:space="0" w:color="auto"/>
        <w:bottom w:val="none" w:sz="0" w:space="0" w:color="auto"/>
        <w:right w:val="none" w:sz="0" w:space="0" w:color="auto"/>
      </w:divBdr>
    </w:div>
    <w:div w:id="1347289907">
      <w:bodyDiv w:val="1"/>
      <w:marLeft w:val="0"/>
      <w:marRight w:val="0"/>
      <w:marTop w:val="0"/>
      <w:marBottom w:val="0"/>
      <w:divBdr>
        <w:top w:val="none" w:sz="0" w:space="0" w:color="auto"/>
        <w:left w:val="none" w:sz="0" w:space="0" w:color="auto"/>
        <w:bottom w:val="none" w:sz="0" w:space="0" w:color="auto"/>
        <w:right w:val="none" w:sz="0" w:space="0" w:color="auto"/>
      </w:divBdr>
    </w:div>
    <w:div w:id="1349480068">
      <w:bodyDiv w:val="1"/>
      <w:marLeft w:val="0"/>
      <w:marRight w:val="0"/>
      <w:marTop w:val="0"/>
      <w:marBottom w:val="0"/>
      <w:divBdr>
        <w:top w:val="none" w:sz="0" w:space="0" w:color="auto"/>
        <w:left w:val="none" w:sz="0" w:space="0" w:color="auto"/>
        <w:bottom w:val="none" w:sz="0" w:space="0" w:color="auto"/>
        <w:right w:val="none" w:sz="0" w:space="0" w:color="auto"/>
      </w:divBdr>
    </w:div>
    <w:div w:id="1361005332">
      <w:bodyDiv w:val="1"/>
      <w:marLeft w:val="0"/>
      <w:marRight w:val="0"/>
      <w:marTop w:val="0"/>
      <w:marBottom w:val="0"/>
      <w:divBdr>
        <w:top w:val="none" w:sz="0" w:space="0" w:color="auto"/>
        <w:left w:val="none" w:sz="0" w:space="0" w:color="auto"/>
        <w:bottom w:val="none" w:sz="0" w:space="0" w:color="auto"/>
        <w:right w:val="none" w:sz="0" w:space="0" w:color="auto"/>
      </w:divBdr>
    </w:div>
    <w:div w:id="1411731589">
      <w:bodyDiv w:val="1"/>
      <w:marLeft w:val="0"/>
      <w:marRight w:val="0"/>
      <w:marTop w:val="0"/>
      <w:marBottom w:val="0"/>
      <w:divBdr>
        <w:top w:val="none" w:sz="0" w:space="0" w:color="auto"/>
        <w:left w:val="none" w:sz="0" w:space="0" w:color="auto"/>
        <w:bottom w:val="none" w:sz="0" w:space="0" w:color="auto"/>
        <w:right w:val="none" w:sz="0" w:space="0" w:color="auto"/>
      </w:divBdr>
    </w:div>
    <w:div w:id="1414158194">
      <w:bodyDiv w:val="1"/>
      <w:marLeft w:val="0"/>
      <w:marRight w:val="0"/>
      <w:marTop w:val="0"/>
      <w:marBottom w:val="0"/>
      <w:divBdr>
        <w:top w:val="none" w:sz="0" w:space="0" w:color="auto"/>
        <w:left w:val="none" w:sz="0" w:space="0" w:color="auto"/>
        <w:bottom w:val="none" w:sz="0" w:space="0" w:color="auto"/>
        <w:right w:val="none" w:sz="0" w:space="0" w:color="auto"/>
      </w:divBdr>
    </w:div>
    <w:div w:id="1417241509">
      <w:bodyDiv w:val="1"/>
      <w:marLeft w:val="0"/>
      <w:marRight w:val="0"/>
      <w:marTop w:val="0"/>
      <w:marBottom w:val="0"/>
      <w:divBdr>
        <w:top w:val="none" w:sz="0" w:space="0" w:color="auto"/>
        <w:left w:val="none" w:sz="0" w:space="0" w:color="auto"/>
        <w:bottom w:val="none" w:sz="0" w:space="0" w:color="auto"/>
        <w:right w:val="none" w:sz="0" w:space="0" w:color="auto"/>
      </w:divBdr>
    </w:div>
    <w:div w:id="1423381016">
      <w:bodyDiv w:val="1"/>
      <w:marLeft w:val="0"/>
      <w:marRight w:val="0"/>
      <w:marTop w:val="0"/>
      <w:marBottom w:val="0"/>
      <w:divBdr>
        <w:top w:val="none" w:sz="0" w:space="0" w:color="auto"/>
        <w:left w:val="none" w:sz="0" w:space="0" w:color="auto"/>
        <w:bottom w:val="none" w:sz="0" w:space="0" w:color="auto"/>
        <w:right w:val="none" w:sz="0" w:space="0" w:color="auto"/>
      </w:divBdr>
    </w:div>
    <w:div w:id="1424182269">
      <w:bodyDiv w:val="1"/>
      <w:marLeft w:val="0"/>
      <w:marRight w:val="0"/>
      <w:marTop w:val="0"/>
      <w:marBottom w:val="0"/>
      <w:divBdr>
        <w:top w:val="none" w:sz="0" w:space="0" w:color="auto"/>
        <w:left w:val="none" w:sz="0" w:space="0" w:color="auto"/>
        <w:bottom w:val="none" w:sz="0" w:space="0" w:color="auto"/>
        <w:right w:val="none" w:sz="0" w:space="0" w:color="auto"/>
      </w:divBdr>
    </w:div>
    <w:div w:id="1429544834">
      <w:bodyDiv w:val="1"/>
      <w:marLeft w:val="0"/>
      <w:marRight w:val="0"/>
      <w:marTop w:val="0"/>
      <w:marBottom w:val="0"/>
      <w:divBdr>
        <w:top w:val="none" w:sz="0" w:space="0" w:color="auto"/>
        <w:left w:val="none" w:sz="0" w:space="0" w:color="auto"/>
        <w:bottom w:val="none" w:sz="0" w:space="0" w:color="auto"/>
        <w:right w:val="none" w:sz="0" w:space="0" w:color="auto"/>
      </w:divBdr>
    </w:div>
    <w:div w:id="1433277617">
      <w:bodyDiv w:val="1"/>
      <w:marLeft w:val="0"/>
      <w:marRight w:val="0"/>
      <w:marTop w:val="0"/>
      <w:marBottom w:val="0"/>
      <w:divBdr>
        <w:top w:val="none" w:sz="0" w:space="0" w:color="auto"/>
        <w:left w:val="none" w:sz="0" w:space="0" w:color="auto"/>
        <w:bottom w:val="none" w:sz="0" w:space="0" w:color="auto"/>
        <w:right w:val="none" w:sz="0" w:space="0" w:color="auto"/>
      </w:divBdr>
    </w:div>
    <w:div w:id="1452743396">
      <w:bodyDiv w:val="1"/>
      <w:marLeft w:val="0"/>
      <w:marRight w:val="0"/>
      <w:marTop w:val="0"/>
      <w:marBottom w:val="0"/>
      <w:divBdr>
        <w:top w:val="none" w:sz="0" w:space="0" w:color="auto"/>
        <w:left w:val="none" w:sz="0" w:space="0" w:color="auto"/>
        <w:bottom w:val="none" w:sz="0" w:space="0" w:color="auto"/>
        <w:right w:val="none" w:sz="0" w:space="0" w:color="auto"/>
      </w:divBdr>
    </w:div>
    <w:div w:id="1455296161">
      <w:bodyDiv w:val="1"/>
      <w:marLeft w:val="0"/>
      <w:marRight w:val="0"/>
      <w:marTop w:val="0"/>
      <w:marBottom w:val="0"/>
      <w:divBdr>
        <w:top w:val="none" w:sz="0" w:space="0" w:color="auto"/>
        <w:left w:val="none" w:sz="0" w:space="0" w:color="auto"/>
        <w:bottom w:val="none" w:sz="0" w:space="0" w:color="auto"/>
        <w:right w:val="none" w:sz="0" w:space="0" w:color="auto"/>
      </w:divBdr>
    </w:div>
    <w:div w:id="1455515186">
      <w:bodyDiv w:val="1"/>
      <w:marLeft w:val="0"/>
      <w:marRight w:val="0"/>
      <w:marTop w:val="0"/>
      <w:marBottom w:val="0"/>
      <w:divBdr>
        <w:top w:val="none" w:sz="0" w:space="0" w:color="auto"/>
        <w:left w:val="none" w:sz="0" w:space="0" w:color="auto"/>
        <w:bottom w:val="none" w:sz="0" w:space="0" w:color="auto"/>
        <w:right w:val="none" w:sz="0" w:space="0" w:color="auto"/>
      </w:divBdr>
    </w:div>
    <w:div w:id="1466854488">
      <w:bodyDiv w:val="1"/>
      <w:marLeft w:val="0"/>
      <w:marRight w:val="0"/>
      <w:marTop w:val="0"/>
      <w:marBottom w:val="0"/>
      <w:divBdr>
        <w:top w:val="none" w:sz="0" w:space="0" w:color="auto"/>
        <w:left w:val="none" w:sz="0" w:space="0" w:color="auto"/>
        <w:bottom w:val="none" w:sz="0" w:space="0" w:color="auto"/>
        <w:right w:val="none" w:sz="0" w:space="0" w:color="auto"/>
      </w:divBdr>
    </w:div>
    <w:div w:id="1470630886">
      <w:bodyDiv w:val="1"/>
      <w:marLeft w:val="0"/>
      <w:marRight w:val="0"/>
      <w:marTop w:val="0"/>
      <w:marBottom w:val="0"/>
      <w:divBdr>
        <w:top w:val="none" w:sz="0" w:space="0" w:color="auto"/>
        <w:left w:val="none" w:sz="0" w:space="0" w:color="auto"/>
        <w:bottom w:val="none" w:sz="0" w:space="0" w:color="auto"/>
        <w:right w:val="none" w:sz="0" w:space="0" w:color="auto"/>
      </w:divBdr>
    </w:div>
    <w:div w:id="1476489253">
      <w:bodyDiv w:val="1"/>
      <w:marLeft w:val="0"/>
      <w:marRight w:val="0"/>
      <w:marTop w:val="0"/>
      <w:marBottom w:val="0"/>
      <w:divBdr>
        <w:top w:val="none" w:sz="0" w:space="0" w:color="auto"/>
        <w:left w:val="none" w:sz="0" w:space="0" w:color="auto"/>
        <w:bottom w:val="none" w:sz="0" w:space="0" w:color="auto"/>
        <w:right w:val="none" w:sz="0" w:space="0" w:color="auto"/>
      </w:divBdr>
    </w:div>
    <w:div w:id="1477987948">
      <w:bodyDiv w:val="1"/>
      <w:marLeft w:val="0"/>
      <w:marRight w:val="0"/>
      <w:marTop w:val="0"/>
      <w:marBottom w:val="0"/>
      <w:divBdr>
        <w:top w:val="none" w:sz="0" w:space="0" w:color="auto"/>
        <w:left w:val="none" w:sz="0" w:space="0" w:color="auto"/>
        <w:bottom w:val="none" w:sz="0" w:space="0" w:color="auto"/>
        <w:right w:val="none" w:sz="0" w:space="0" w:color="auto"/>
      </w:divBdr>
    </w:div>
    <w:div w:id="1495753958">
      <w:bodyDiv w:val="1"/>
      <w:marLeft w:val="0"/>
      <w:marRight w:val="0"/>
      <w:marTop w:val="0"/>
      <w:marBottom w:val="0"/>
      <w:divBdr>
        <w:top w:val="none" w:sz="0" w:space="0" w:color="auto"/>
        <w:left w:val="none" w:sz="0" w:space="0" w:color="auto"/>
        <w:bottom w:val="none" w:sz="0" w:space="0" w:color="auto"/>
        <w:right w:val="none" w:sz="0" w:space="0" w:color="auto"/>
      </w:divBdr>
    </w:div>
    <w:div w:id="1505632230">
      <w:bodyDiv w:val="1"/>
      <w:marLeft w:val="0"/>
      <w:marRight w:val="0"/>
      <w:marTop w:val="0"/>
      <w:marBottom w:val="0"/>
      <w:divBdr>
        <w:top w:val="none" w:sz="0" w:space="0" w:color="auto"/>
        <w:left w:val="none" w:sz="0" w:space="0" w:color="auto"/>
        <w:bottom w:val="none" w:sz="0" w:space="0" w:color="auto"/>
        <w:right w:val="none" w:sz="0" w:space="0" w:color="auto"/>
      </w:divBdr>
    </w:div>
    <w:div w:id="1509440105">
      <w:bodyDiv w:val="1"/>
      <w:marLeft w:val="0"/>
      <w:marRight w:val="0"/>
      <w:marTop w:val="0"/>
      <w:marBottom w:val="0"/>
      <w:divBdr>
        <w:top w:val="none" w:sz="0" w:space="0" w:color="auto"/>
        <w:left w:val="none" w:sz="0" w:space="0" w:color="auto"/>
        <w:bottom w:val="none" w:sz="0" w:space="0" w:color="auto"/>
        <w:right w:val="none" w:sz="0" w:space="0" w:color="auto"/>
      </w:divBdr>
    </w:div>
    <w:div w:id="1514219583">
      <w:bodyDiv w:val="1"/>
      <w:marLeft w:val="0"/>
      <w:marRight w:val="0"/>
      <w:marTop w:val="0"/>
      <w:marBottom w:val="0"/>
      <w:divBdr>
        <w:top w:val="none" w:sz="0" w:space="0" w:color="auto"/>
        <w:left w:val="none" w:sz="0" w:space="0" w:color="auto"/>
        <w:bottom w:val="none" w:sz="0" w:space="0" w:color="auto"/>
        <w:right w:val="none" w:sz="0" w:space="0" w:color="auto"/>
      </w:divBdr>
    </w:div>
    <w:div w:id="1517957886">
      <w:bodyDiv w:val="1"/>
      <w:marLeft w:val="0"/>
      <w:marRight w:val="0"/>
      <w:marTop w:val="0"/>
      <w:marBottom w:val="0"/>
      <w:divBdr>
        <w:top w:val="none" w:sz="0" w:space="0" w:color="auto"/>
        <w:left w:val="none" w:sz="0" w:space="0" w:color="auto"/>
        <w:bottom w:val="none" w:sz="0" w:space="0" w:color="auto"/>
        <w:right w:val="none" w:sz="0" w:space="0" w:color="auto"/>
      </w:divBdr>
    </w:div>
    <w:div w:id="1524980801">
      <w:bodyDiv w:val="1"/>
      <w:marLeft w:val="0"/>
      <w:marRight w:val="0"/>
      <w:marTop w:val="0"/>
      <w:marBottom w:val="0"/>
      <w:divBdr>
        <w:top w:val="none" w:sz="0" w:space="0" w:color="auto"/>
        <w:left w:val="none" w:sz="0" w:space="0" w:color="auto"/>
        <w:bottom w:val="none" w:sz="0" w:space="0" w:color="auto"/>
        <w:right w:val="none" w:sz="0" w:space="0" w:color="auto"/>
      </w:divBdr>
    </w:div>
    <w:div w:id="1531454694">
      <w:bodyDiv w:val="1"/>
      <w:marLeft w:val="0"/>
      <w:marRight w:val="0"/>
      <w:marTop w:val="0"/>
      <w:marBottom w:val="0"/>
      <w:divBdr>
        <w:top w:val="none" w:sz="0" w:space="0" w:color="auto"/>
        <w:left w:val="none" w:sz="0" w:space="0" w:color="auto"/>
        <w:bottom w:val="none" w:sz="0" w:space="0" w:color="auto"/>
        <w:right w:val="none" w:sz="0" w:space="0" w:color="auto"/>
      </w:divBdr>
    </w:div>
    <w:div w:id="1546335797">
      <w:bodyDiv w:val="1"/>
      <w:marLeft w:val="0"/>
      <w:marRight w:val="0"/>
      <w:marTop w:val="0"/>
      <w:marBottom w:val="0"/>
      <w:divBdr>
        <w:top w:val="none" w:sz="0" w:space="0" w:color="auto"/>
        <w:left w:val="none" w:sz="0" w:space="0" w:color="auto"/>
        <w:bottom w:val="none" w:sz="0" w:space="0" w:color="auto"/>
        <w:right w:val="none" w:sz="0" w:space="0" w:color="auto"/>
      </w:divBdr>
    </w:div>
    <w:div w:id="1547446499">
      <w:bodyDiv w:val="1"/>
      <w:marLeft w:val="0"/>
      <w:marRight w:val="0"/>
      <w:marTop w:val="0"/>
      <w:marBottom w:val="0"/>
      <w:divBdr>
        <w:top w:val="none" w:sz="0" w:space="0" w:color="auto"/>
        <w:left w:val="none" w:sz="0" w:space="0" w:color="auto"/>
        <w:bottom w:val="none" w:sz="0" w:space="0" w:color="auto"/>
        <w:right w:val="none" w:sz="0" w:space="0" w:color="auto"/>
      </w:divBdr>
    </w:div>
    <w:div w:id="1558852900">
      <w:bodyDiv w:val="1"/>
      <w:marLeft w:val="0"/>
      <w:marRight w:val="0"/>
      <w:marTop w:val="0"/>
      <w:marBottom w:val="0"/>
      <w:divBdr>
        <w:top w:val="none" w:sz="0" w:space="0" w:color="auto"/>
        <w:left w:val="none" w:sz="0" w:space="0" w:color="auto"/>
        <w:bottom w:val="none" w:sz="0" w:space="0" w:color="auto"/>
        <w:right w:val="none" w:sz="0" w:space="0" w:color="auto"/>
      </w:divBdr>
    </w:div>
    <w:div w:id="1564868725">
      <w:bodyDiv w:val="1"/>
      <w:marLeft w:val="0"/>
      <w:marRight w:val="0"/>
      <w:marTop w:val="0"/>
      <w:marBottom w:val="0"/>
      <w:divBdr>
        <w:top w:val="none" w:sz="0" w:space="0" w:color="auto"/>
        <w:left w:val="none" w:sz="0" w:space="0" w:color="auto"/>
        <w:bottom w:val="none" w:sz="0" w:space="0" w:color="auto"/>
        <w:right w:val="none" w:sz="0" w:space="0" w:color="auto"/>
      </w:divBdr>
    </w:div>
    <w:div w:id="1573807244">
      <w:bodyDiv w:val="1"/>
      <w:marLeft w:val="0"/>
      <w:marRight w:val="0"/>
      <w:marTop w:val="0"/>
      <w:marBottom w:val="0"/>
      <w:divBdr>
        <w:top w:val="none" w:sz="0" w:space="0" w:color="auto"/>
        <w:left w:val="none" w:sz="0" w:space="0" w:color="auto"/>
        <w:bottom w:val="none" w:sz="0" w:space="0" w:color="auto"/>
        <w:right w:val="none" w:sz="0" w:space="0" w:color="auto"/>
      </w:divBdr>
    </w:div>
    <w:div w:id="1582324346">
      <w:bodyDiv w:val="1"/>
      <w:marLeft w:val="0"/>
      <w:marRight w:val="0"/>
      <w:marTop w:val="0"/>
      <w:marBottom w:val="0"/>
      <w:divBdr>
        <w:top w:val="none" w:sz="0" w:space="0" w:color="auto"/>
        <w:left w:val="none" w:sz="0" w:space="0" w:color="auto"/>
        <w:bottom w:val="none" w:sz="0" w:space="0" w:color="auto"/>
        <w:right w:val="none" w:sz="0" w:space="0" w:color="auto"/>
      </w:divBdr>
    </w:div>
    <w:div w:id="1584416192">
      <w:bodyDiv w:val="1"/>
      <w:marLeft w:val="0"/>
      <w:marRight w:val="0"/>
      <w:marTop w:val="0"/>
      <w:marBottom w:val="0"/>
      <w:divBdr>
        <w:top w:val="none" w:sz="0" w:space="0" w:color="auto"/>
        <w:left w:val="none" w:sz="0" w:space="0" w:color="auto"/>
        <w:bottom w:val="none" w:sz="0" w:space="0" w:color="auto"/>
        <w:right w:val="none" w:sz="0" w:space="0" w:color="auto"/>
      </w:divBdr>
    </w:div>
    <w:div w:id="1595161244">
      <w:bodyDiv w:val="1"/>
      <w:marLeft w:val="0"/>
      <w:marRight w:val="0"/>
      <w:marTop w:val="0"/>
      <w:marBottom w:val="0"/>
      <w:divBdr>
        <w:top w:val="none" w:sz="0" w:space="0" w:color="auto"/>
        <w:left w:val="none" w:sz="0" w:space="0" w:color="auto"/>
        <w:bottom w:val="none" w:sz="0" w:space="0" w:color="auto"/>
        <w:right w:val="none" w:sz="0" w:space="0" w:color="auto"/>
      </w:divBdr>
    </w:div>
    <w:div w:id="1599756803">
      <w:bodyDiv w:val="1"/>
      <w:marLeft w:val="0"/>
      <w:marRight w:val="0"/>
      <w:marTop w:val="0"/>
      <w:marBottom w:val="0"/>
      <w:divBdr>
        <w:top w:val="none" w:sz="0" w:space="0" w:color="auto"/>
        <w:left w:val="none" w:sz="0" w:space="0" w:color="auto"/>
        <w:bottom w:val="none" w:sz="0" w:space="0" w:color="auto"/>
        <w:right w:val="none" w:sz="0" w:space="0" w:color="auto"/>
      </w:divBdr>
    </w:div>
    <w:div w:id="1601988428">
      <w:bodyDiv w:val="1"/>
      <w:marLeft w:val="0"/>
      <w:marRight w:val="0"/>
      <w:marTop w:val="0"/>
      <w:marBottom w:val="0"/>
      <w:divBdr>
        <w:top w:val="none" w:sz="0" w:space="0" w:color="auto"/>
        <w:left w:val="none" w:sz="0" w:space="0" w:color="auto"/>
        <w:bottom w:val="none" w:sz="0" w:space="0" w:color="auto"/>
        <w:right w:val="none" w:sz="0" w:space="0" w:color="auto"/>
      </w:divBdr>
    </w:div>
    <w:div w:id="1602108654">
      <w:bodyDiv w:val="1"/>
      <w:marLeft w:val="0"/>
      <w:marRight w:val="0"/>
      <w:marTop w:val="0"/>
      <w:marBottom w:val="0"/>
      <w:divBdr>
        <w:top w:val="none" w:sz="0" w:space="0" w:color="auto"/>
        <w:left w:val="none" w:sz="0" w:space="0" w:color="auto"/>
        <w:bottom w:val="none" w:sz="0" w:space="0" w:color="auto"/>
        <w:right w:val="none" w:sz="0" w:space="0" w:color="auto"/>
      </w:divBdr>
    </w:div>
    <w:div w:id="1607420570">
      <w:bodyDiv w:val="1"/>
      <w:marLeft w:val="0"/>
      <w:marRight w:val="0"/>
      <w:marTop w:val="0"/>
      <w:marBottom w:val="0"/>
      <w:divBdr>
        <w:top w:val="none" w:sz="0" w:space="0" w:color="auto"/>
        <w:left w:val="none" w:sz="0" w:space="0" w:color="auto"/>
        <w:bottom w:val="none" w:sz="0" w:space="0" w:color="auto"/>
        <w:right w:val="none" w:sz="0" w:space="0" w:color="auto"/>
      </w:divBdr>
    </w:div>
    <w:div w:id="1620335125">
      <w:bodyDiv w:val="1"/>
      <w:marLeft w:val="0"/>
      <w:marRight w:val="0"/>
      <w:marTop w:val="0"/>
      <w:marBottom w:val="0"/>
      <w:divBdr>
        <w:top w:val="none" w:sz="0" w:space="0" w:color="auto"/>
        <w:left w:val="none" w:sz="0" w:space="0" w:color="auto"/>
        <w:bottom w:val="none" w:sz="0" w:space="0" w:color="auto"/>
        <w:right w:val="none" w:sz="0" w:space="0" w:color="auto"/>
      </w:divBdr>
    </w:div>
    <w:div w:id="1624340741">
      <w:bodyDiv w:val="1"/>
      <w:marLeft w:val="0"/>
      <w:marRight w:val="0"/>
      <w:marTop w:val="0"/>
      <w:marBottom w:val="0"/>
      <w:divBdr>
        <w:top w:val="none" w:sz="0" w:space="0" w:color="auto"/>
        <w:left w:val="none" w:sz="0" w:space="0" w:color="auto"/>
        <w:bottom w:val="none" w:sz="0" w:space="0" w:color="auto"/>
        <w:right w:val="none" w:sz="0" w:space="0" w:color="auto"/>
      </w:divBdr>
    </w:div>
    <w:div w:id="1648709006">
      <w:bodyDiv w:val="1"/>
      <w:marLeft w:val="0"/>
      <w:marRight w:val="0"/>
      <w:marTop w:val="0"/>
      <w:marBottom w:val="0"/>
      <w:divBdr>
        <w:top w:val="none" w:sz="0" w:space="0" w:color="auto"/>
        <w:left w:val="none" w:sz="0" w:space="0" w:color="auto"/>
        <w:bottom w:val="none" w:sz="0" w:space="0" w:color="auto"/>
        <w:right w:val="none" w:sz="0" w:space="0" w:color="auto"/>
      </w:divBdr>
    </w:div>
    <w:div w:id="1650286374">
      <w:bodyDiv w:val="1"/>
      <w:marLeft w:val="0"/>
      <w:marRight w:val="0"/>
      <w:marTop w:val="0"/>
      <w:marBottom w:val="0"/>
      <w:divBdr>
        <w:top w:val="none" w:sz="0" w:space="0" w:color="auto"/>
        <w:left w:val="none" w:sz="0" w:space="0" w:color="auto"/>
        <w:bottom w:val="none" w:sz="0" w:space="0" w:color="auto"/>
        <w:right w:val="none" w:sz="0" w:space="0" w:color="auto"/>
      </w:divBdr>
    </w:div>
    <w:div w:id="1652514456">
      <w:bodyDiv w:val="1"/>
      <w:marLeft w:val="0"/>
      <w:marRight w:val="0"/>
      <w:marTop w:val="0"/>
      <w:marBottom w:val="0"/>
      <w:divBdr>
        <w:top w:val="none" w:sz="0" w:space="0" w:color="auto"/>
        <w:left w:val="none" w:sz="0" w:space="0" w:color="auto"/>
        <w:bottom w:val="none" w:sz="0" w:space="0" w:color="auto"/>
        <w:right w:val="none" w:sz="0" w:space="0" w:color="auto"/>
      </w:divBdr>
    </w:div>
    <w:div w:id="1654261703">
      <w:bodyDiv w:val="1"/>
      <w:marLeft w:val="0"/>
      <w:marRight w:val="0"/>
      <w:marTop w:val="0"/>
      <w:marBottom w:val="0"/>
      <w:divBdr>
        <w:top w:val="none" w:sz="0" w:space="0" w:color="auto"/>
        <w:left w:val="none" w:sz="0" w:space="0" w:color="auto"/>
        <w:bottom w:val="none" w:sz="0" w:space="0" w:color="auto"/>
        <w:right w:val="none" w:sz="0" w:space="0" w:color="auto"/>
      </w:divBdr>
    </w:div>
    <w:div w:id="1661880608">
      <w:bodyDiv w:val="1"/>
      <w:marLeft w:val="0"/>
      <w:marRight w:val="0"/>
      <w:marTop w:val="0"/>
      <w:marBottom w:val="0"/>
      <w:divBdr>
        <w:top w:val="none" w:sz="0" w:space="0" w:color="auto"/>
        <w:left w:val="none" w:sz="0" w:space="0" w:color="auto"/>
        <w:bottom w:val="none" w:sz="0" w:space="0" w:color="auto"/>
        <w:right w:val="none" w:sz="0" w:space="0" w:color="auto"/>
      </w:divBdr>
    </w:div>
    <w:div w:id="1665737380">
      <w:bodyDiv w:val="1"/>
      <w:marLeft w:val="0"/>
      <w:marRight w:val="0"/>
      <w:marTop w:val="0"/>
      <w:marBottom w:val="0"/>
      <w:divBdr>
        <w:top w:val="none" w:sz="0" w:space="0" w:color="auto"/>
        <w:left w:val="none" w:sz="0" w:space="0" w:color="auto"/>
        <w:bottom w:val="none" w:sz="0" w:space="0" w:color="auto"/>
        <w:right w:val="none" w:sz="0" w:space="0" w:color="auto"/>
      </w:divBdr>
    </w:div>
    <w:div w:id="1672173832">
      <w:bodyDiv w:val="1"/>
      <w:marLeft w:val="0"/>
      <w:marRight w:val="0"/>
      <w:marTop w:val="0"/>
      <w:marBottom w:val="0"/>
      <w:divBdr>
        <w:top w:val="none" w:sz="0" w:space="0" w:color="auto"/>
        <w:left w:val="none" w:sz="0" w:space="0" w:color="auto"/>
        <w:bottom w:val="none" w:sz="0" w:space="0" w:color="auto"/>
        <w:right w:val="none" w:sz="0" w:space="0" w:color="auto"/>
      </w:divBdr>
    </w:div>
    <w:div w:id="1692291952">
      <w:bodyDiv w:val="1"/>
      <w:marLeft w:val="0"/>
      <w:marRight w:val="0"/>
      <w:marTop w:val="0"/>
      <w:marBottom w:val="0"/>
      <w:divBdr>
        <w:top w:val="none" w:sz="0" w:space="0" w:color="auto"/>
        <w:left w:val="none" w:sz="0" w:space="0" w:color="auto"/>
        <w:bottom w:val="none" w:sz="0" w:space="0" w:color="auto"/>
        <w:right w:val="none" w:sz="0" w:space="0" w:color="auto"/>
      </w:divBdr>
    </w:div>
    <w:div w:id="1703244657">
      <w:bodyDiv w:val="1"/>
      <w:marLeft w:val="0"/>
      <w:marRight w:val="0"/>
      <w:marTop w:val="0"/>
      <w:marBottom w:val="0"/>
      <w:divBdr>
        <w:top w:val="none" w:sz="0" w:space="0" w:color="auto"/>
        <w:left w:val="none" w:sz="0" w:space="0" w:color="auto"/>
        <w:bottom w:val="none" w:sz="0" w:space="0" w:color="auto"/>
        <w:right w:val="none" w:sz="0" w:space="0" w:color="auto"/>
      </w:divBdr>
    </w:div>
    <w:div w:id="1712152621">
      <w:bodyDiv w:val="1"/>
      <w:marLeft w:val="0"/>
      <w:marRight w:val="0"/>
      <w:marTop w:val="0"/>
      <w:marBottom w:val="0"/>
      <w:divBdr>
        <w:top w:val="none" w:sz="0" w:space="0" w:color="auto"/>
        <w:left w:val="none" w:sz="0" w:space="0" w:color="auto"/>
        <w:bottom w:val="none" w:sz="0" w:space="0" w:color="auto"/>
        <w:right w:val="none" w:sz="0" w:space="0" w:color="auto"/>
      </w:divBdr>
    </w:div>
    <w:div w:id="1716275551">
      <w:bodyDiv w:val="1"/>
      <w:marLeft w:val="0"/>
      <w:marRight w:val="0"/>
      <w:marTop w:val="0"/>
      <w:marBottom w:val="0"/>
      <w:divBdr>
        <w:top w:val="none" w:sz="0" w:space="0" w:color="auto"/>
        <w:left w:val="none" w:sz="0" w:space="0" w:color="auto"/>
        <w:bottom w:val="none" w:sz="0" w:space="0" w:color="auto"/>
        <w:right w:val="none" w:sz="0" w:space="0" w:color="auto"/>
      </w:divBdr>
    </w:div>
    <w:div w:id="1718040661">
      <w:bodyDiv w:val="1"/>
      <w:marLeft w:val="0"/>
      <w:marRight w:val="0"/>
      <w:marTop w:val="0"/>
      <w:marBottom w:val="0"/>
      <w:divBdr>
        <w:top w:val="none" w:sz="0" w:space="0" w:color="auto"/>
        <w:left w:val="none" w:sz="0" w:space="0" w:color="auto"/>
        <w:bottom w:val="none" w:sz="0" w:space="0" w:color="auto"/>
        <w:right w:val="none" w:sz="0" w:space="0" w:color="auto"/>
      </w:divBdr>
    </w:div>
    <w:div w:id="1726369822">
      <w:bodyDiv w:val="1"/>
      <w:marLeft w:val="0"/>
      <w:marRight w:val="0"/>
      <w:marTop w:val="0"/>
      <w:marBottom w:val="0"/>
      <w:divBdr>
        <w:top w:val="none" w:sz="0" w:space="0" w:color="auto"/>
        <w:left w:val="none" w:sz="0" w:space="0" w:color="auto"/>
        <w:bottom w:val="none" w:sz="0" w:space="0" w:color="auto"/>
        <w:right w:val="none" w:sz="0" w:space="0" w:color="auto"/>
      </w:divBdr>
    </w:div>
    <w:div w:id="1729917311">
      <w:bodyDiv w:val="1"/>
      <w:marLeft w:val="0"/>
      <w:marRight w:val="0"/>
      <w:marTop w:val="0"/>
      <w:marBottom w:val="0"/>
      <w:divBdr>
        <w:top w:val="none" w:sz="0" w:space="0" w:color="auto"/>
        <w:left w:val="none" w:sz="0" w:space="0" w:color="auto"/>
        <w:bottom w:val="none" w:sz="0" w:space="0" w:color="auto"/>
        <w:right w:val="none" w:sz="0" w:space="0" w:color="auto"/>
      </w:divBdr>
    </w:div>
    <w:div w:id="1742485329">
      <w:bodyDiv w:val="1"/>
      <w:marLeft w:val="0"/>
      <w:marRight w:val="0"/>
      <w:marTop w:val="0"/>
      <w:marBottom w:val="0"/>
      <w:divBdr>
        <w:top w:val="none" w:sz="0" w:space="0" w:color="auto"/>
        <w:left w:val="none" w:sz="0" w:space="0" w:color="auto"/>
        <w:bottom w:val="none" w:sz="0" w:space="0" w:color="auto"/>
        <w:right w:val="none" w:sz="0" w:space="0" w:color="auto"/>
      </w:divBdr>
    </w:div>
    <w:div w:id="1747606333">
      <w:bodyDiv w:val="1"/>
      <w:marLeft w:val="0"/>
      <w:marRight w:val="0"/>
      <w:marTop w:val="0"/>
      <w:marBottom w:val="0"/>
      <w:divBdr>
        <w:top w:val="none" w:sz="0" w:space="0" w:color="auto"/>
        <w:left w:val="none" w:sz="0" w:space="0" w:color="auto"/>
        <w:bottom w:val="none" w:sz="0" w:space="0" w:color="auto"/>
        <w:right w:val="none" w:sz="0" w:space="0" w:color="auto"/>
      </w:divBdr>
    </w:div>
    <w:div w:id="1759323878">
      <w:bodyDiv w:val="1"/>
      <w:marLeft w:val="0"/>
      <w:marRight w:val="0"/>
      <w:marTop w:val="0"/>
      <w:marBottom w:val="0"/>
      <w:divBdr>
        <w:top w:val="none" w:sz="0" w:space="0" w:color="auto"/>
        <w:left w:val="none" w:sz="0" w:space="0" w:color="auto"/>
        <w:bottom w:val="none" w:sz="0" w:space="0" w:color="auto"/>
        <w:right w:val="none" w:sz="0" w:space="0" w:color="auto"/>
      </w:divBdr>
    </w:div>
    <w:div w:id="1760710205">
      <w:bodyDiv w:val="1"/>
      <w:marLeft w:val="0"/>
      <w:marRight w:val="0"/>
      <w:marTop w:val="0"/>
      <w:marBottom w:val="0"/>
      <w:divBdr>
        <w:top w:val="none" w:sz="0" w:space="0" w:color="auto"/>
        <w:left w:val="none" w:sz="0" w:space="0" w:color="auto"/>
        <w:bottom w:val="none" w:sz="0" w:space="0" w:color="auto"/>
        <w:right w:val="none" w:sz="0" w:space="0" w:color="auto"/>
      </w:divBdr>
    </w:div>
    <w:div w:id="1765566574">
      <w:bodyDiv w:val="1"/>
      <w:marLeft w:val="0"/>
      <w:marRight w:val="0"/>
      <w:marTop w:val="0"/>
      <w:marBottom w:val="0"/>
      <w:divBdr>
        <w:top w:val="none" w:sz="0" w:space="0" w:color="auto"/>
        <w:left w:val="none" w:sz="0" w:space="0" w:color="auto"/>
        <w:bottom w:val="none" w:sz="0" w:space="0" w:color="auto"/>
        <w:right w:val="none" w:sz="0" w:space="0" w:color="auto"/>
      </w:divBdr>
    </w:div>
    <w:div w:id="1767656018">
      <w:bodyDiv w:val="1"/>
      <w:marLeft w:val="0"/>
      <w:marRight w:val="0"/>
      <w:marTop w:val="0"/>
      <w:marBottom w:val="0"/>
      <w:divBdr>
        <w:top w:val="none" w:sz="0" w:space="0" w:color="auto"/>
        <w:left w:val="none" w:sz="0" w:space="0" w:color="auto"/>
        <w:bottom w:val="none" w:sz="0" w:space="0" w:color="auto"/>
        <w:right w:val="none" w:sz="0" w:space="0" w:color="auto"/>
      </w:divBdr>
    </w:div>
    <w:div w:id="1770735824">
      <w:bodyDiv w:val="1"/>
      <w:marLeft w:val="0"/>
      <w:marRight w:val="0"/>
      <w:marTop w:val="0"/>
      <w:marBottom w:val="0"/>
      <w:divBdr>
        <w:top w:val="none" w:sz="0" w:space="0" w:color="auto"/>
        <w:left w:val="none" w:sz="0" w:space="0" w:color="auto"/>
        <w:bottom w:val="none" w:sz="0" w:space="0" w:color="auto"/>
        <w:right w:val="none" w:sz="0" w:space="0" w:color="auto"/>
      </w:divBdr>
    </w:div>
    <w:div w:id="1777865050">
      <w:bodyDiv w:val="1"/>
      <w:marLeft w:val="0"/>
      <w:marRight w:val="0"/>
      <w:marTop w:val="0"/>
      <w:marBottom w:val="0"/>
      <w:divBdr>
        <w:top w:val="none" w:sz="0" w:space="0" w:color="auto"/>
        <w:left w:val="none" w:sz="0" w:space="0" w:color="auto"/>
        <w:bottom w:val="none" w:sz="0" w:space="0" w:color="auto"/>
        <w:right w:val="none" w:sz="0" w:space="0" w:color="auto"/>
      </w:divBdr>
    </w:div>
    <w:div w:id="1781342219">
      <w:bodyDiv w:val="1"/>
      <w:marLeft w:val="0"/>
      <w:marRight w:val="0"/>
      <w:marTop w:val="0"/>
      <w:marBottom w:val="0"/>
      <w:divBdr>
        <w:top w:val="none" w:sz="0" w:space="0" w:color="auto"/>
        <w:left w:val="none" w:sz="0" w:space="0" w:color="auto"/>
        <w:bottom w:val="none" w:sz="0" w:space="0" w:color="auto"/>
        <w:right w:val="none" w:sz="0" w:space="0" w:color="auto"/>
      </w:divBdr>
    </w:div>
    <w:div w:id="1792746949">
      <w:bodyDiv w:val="1"/>
      <w:marLeft w:val="0"/>
      <w:marRight w:val="0"/>
      <w:marTop w:val="0"/>
      <w:marBottom w:val="0"/>
      <w:divBdr>
        <w:top w:val="none" w:sz="0" w:space="0" w:color="auto"/>
        <w:left w:val="none" w:sz="0" w:space="0" w:color="auto"/>
        <w:bottom w:val="none" w:sz="0" w:space="0" w:color="auto"/>
        <w:right w:val="none" w:sz="0" w:space="0" w:color="auto"/>
      </w:divBdr>
    </w:div>
    <w:div w:id="1802266389">
      <w:bodyDiv w:val="1"/>
      <w:marLeft w:val="0"/>
      <w:marRight w:val="0"/>
      <w:marTop w:val="0"/>
      <w:marBottom w:val="0"/>
      <w:divBdr>
        <w:top w:val="none" w:sz="0" w:space="0" w:color="auto"/>
        <w:left w:val="none" w:sz="0" w:space="0" w:color="auto"/>
        <w:bottom w:val="none" w:sz="0" w:space="0" w:color="auto"/>
        <w:right w:val="none" w:sz="0" w:space="0" w:color="auto"/>
      </w:divBdr>
    </w:div>
    <w:div w:id="1802768241">
      <w:bodyDiv w:val="1"/>
      <w:marLeft w:val="0"/>
      <w:marRight w:val="0"/>
      <w:marTop w:val="0"/>
      <w:marBottom w:val="0"/>
      <w:divBdr>
        <w:top w:val="none" w:sz="0" w:space="0" w:color="auto"/>
        <w:left w:val="none" w:sz="0" w:space="0" w:color="auto"/>
        <w:bottom w:val="none" w:sz="0" w:space="0" w:color="auto"/>
        <w:right w:val="none" w:sz="0" w:space="0" w:color="auto"/>
      </w:divBdr>
    </w:div>
    <w:div w:id="1809200239">
      <w:bodyDiv w:val="1"/>
      <w:marLeft w:val="0"/>
      <w:marRight w:val="0"/>
      <w:marTop w:val="0"/>
      <w:marBottom w:val="0"/>
      <w:divBdr>
        <w:top w:val="none" w:sz="0" w:space="0" w:color="auto"/>
        <w:left w:val="none" w:sz="0" w:space="0" w:color="auto"/>
        <w:bottom w:val="none" w:sz="0" w:space="0" w:color="auto"/>
        <w:right w:val="none" w:sz="0" w:space="0" w:color="auto"/>
      </w:divBdr>
    </w:div>
    <w:div w:id="1813518225">
      <w:bodyDiv w:val="1"/>
      <w:marLeft w:val="0"/>
      <w:marRight w:val="0"/>
      <w:marTop w:val="0"/>
      <w:marBottom w:val="0"/>
      <w:divBdr>
        <w:top w:val="none" w:sz="0" w:space="0" w:color="auto"/>
        <w:left w:val="none" w:sz="0" w:space="0" w:color="auto"/>
        <w:bottom w:val="none" w:sz="0" w:space="0" w:color="auto"/>
        <w:right w:val="none" w:sz="0" w:space="0" w:color="auto"/>
      </w:divBdr>
    </w:div>
    <w:div w:id="1836460546">
      <w:bodyDiv w:val="1"/>
      <w:marLeft w:val="0"/>
      <w:marRight w:val="0"/>
      <w:marTop w:val="0"/>
      <w:marBottom w:val="0"/>
      <w:divBdr>
        <w:top w:val="none" w:sz="0" w:space="0" w:color="auto"/>
        <w:left w:val="none" w:sz="0" w:space="0" w:color="auto"/>
        <w:bottom w:val="none" w:sz="0" w:space="0" w:color="auto"/>
        <w:right w:val="none" w:sz="0" w:space="0" w:color="auto"/>
      </w:divBdr>
    </w:div>
    <w:div w:id="1845127260">
      <w:bodyDiv w:val="1"/>
      <w:marLeft w:val="0"/>
      <w:marRight w:val="0"/>
      <w:marTop w:val="0"/>
      <w:marBottom w:val="0"/>
      <w:divBdr>
        <w:top w:val="none" w:sz="0" w:space="0" w:color="auto"/>
        <w:left w:val="none" w:sz="0" w:space="0" w:color="auto"/>
        <w:bottom w:val="none" w:sz="0" w:space="0" w:color="auto"/>
        <w:right w:val="none" w:sz="0" w:space="0" w:color="auto"/>
      </w:divBdr>
    </w:div>
    <w:div w:id="1850439018">
      <w:bodyDiv w:val="1"/>
      <w:marLeft w:val="0"/>
      <w:marRight w:val="0"/>
      <w:marTop w:val="0"/>
      <w:marBottom w:val="0"/>
      <w:divBdr>
        <w:top w:val="none" w:sz="0" w:space="0" w:color="auto"/>
        <w:left w:val="none" w:sz="0" w:space="0" w:color="auto"/>
        <w:bottom w:val="none" w:sz="0" w:space="0" w:color="auto"/>
        <w:right w:val="none" w:sz="0" w:space="0" w:color="auto"/>
      </w:divBdr>
    </w:div>
    <w:div w:id="1858692052">
      <w:bodyDiv w:val="1"/>
      <w:marLeft w:val="0"/>
      <w:marRight w:val="0"/>
      <w:marTop w:val="0"/>
      <w:marBottom w:val="0"/>
      <w:divBdr>
        <w:top w:val="none" w:sz="0" w:space="0" w:color="auto"/>
        <w:left w:val="none" w:sz="0" w:space="0" w:color="auto"/>
        <w:bottom w:val="none" w:sz="0" w:space="0" w:color="auto"/>
        <w:right w:val="none" w:sz="0" w:space="0" w:color="auto"/>
      </w:divBdr>
    </w:div>
    <w:div w:id="1870951704">
      <w:bodyDiv w:val="1"/>
      <w:marLeft w:val="0"/>
      <w:marRight w:val="0"/>
      <w:marTop w:val="0"/>
      <w:marBottom w:val="0"/>
      <w:divBdr>
        <w:top w:val="none" w:sz="0" w:space="0" w:color="auto"/>
        <w:left w:val="none" w:sz="0" w:space="0" w:color="auto"/>
        <w:bottom w:val="none" w:sz="0" w:space="0" w:color="auto"/>
        <w:right w:val="none" w:sz="0" w:space="0" w:color="auto"/>
      </w:divBdr>
    </w:div>
    <w:div w:id="1875606561">
      <w:bodyDiv w:val="1"/>
      <w:marLeft w:val="0"/>
      <w:marRight w:val="0"/>
      <w:marTop w:val="0"/>
      <w:marBottom w:val="0"/>
      <w:divBdr>
        <w:top w:val="none" w:sz="0" w:space="0" w:color="auto"/>
        <w:left w:val="none" w:sz="0" w:space="0" w:color="auto"/>
        <w:bottom w:val="none" w:sz="0" w:space="0" w:color="auto"/>
        <w:right w:val="none" w:sz="0" w:space="0" w:color="auto"/>
      </w:divBdr>
    </w:div>
    <w:div w:id="1877963009">
      <w:bodyDiv w:val="1"/>
      <w:marLeft w:val="0"/>
      <w:marRight w:val="0"/>
      <w:marTop w:val="0"/>
      <w:marBottom w:val="0"/>
      <w:divBdr>
        <w:top w:val="none" w:sz="0" w:space="0" w:color="auto"/>
        <w:left w:val="none" w:sz="0" w:space="0" w:color="auto"/>
        <w:bottom w:val="none" w:sz="0" w:space="0" w:color="auto"/>
        <w:right w:val="none" w:sz="0" w:space="0" w:color="auto"/>
      </w:divBdr>
    </w:div>
    <w:div w:id="1883400022">
      <w:bodyDiv w:val="1"/>
      <w:marLeft w:val="0"/>
      <w:marRight w:val="0"/>
      <w:marTop w:val="0"/>
      <w:marBottom w:val="0"/>
      <w:divBdr>
        <w:top w:val="none" w:sz="0" w:space="0" w:color="auto"/>
        <w:left w:val="none" w:sz="0" w:space="0" w:color="auto"/>
        <w:bottom w:val="none" w:sz="0" w:space="0" w:color="auto"/>
        <w:right w:val="none" w:sz="0" w:space="0" w:color="auto"/>
      </w:divBdr>
    </w:div>
    <w:div w:id="1890455462">
      <w:bodyDiv w:val="1"/>
      <w:marLeft w:val="0"/>
      <w:marRight w:val="0"/>
      <w:marTop w:val="0"/>
      <w:marBottom w:val="0"/>
      <w:divBdr>
        <w:top w:val="none" w:sz="0" w:space="0" w:color="auto"/>
        <w:left w:val="none" w:sz="0" w:space="0" w:color="auto"/>
        <w:bottom w:val="none" w:sz="0" w:space="0" w:color="auto"/>
        <w:right w:val="none" w:sz="0" w:space="0" w:color="auto"/>
      </w:divBdr>
    </w:div>
    <w:div w:id="1892112204">
      <w:bodyDiv w:val="1"/>
      <w:marLeft w:val="0"/>
      <w:marRight w:val="0"/>
      <w:marTop w:val="0"/>
      <w:marBottom w:val="0"/>
      <w:divBdr>
        <w:top w:val="none" w:sz="0" w:space="0" w:color="auto"/>
        <w:left w:val="none" w:sz="0" w:space="0" w:color="auto"/>
        <w:bottom w:val="none" w:sz="0" w:space="0" w:color="auto"/>
        <w:right w:val="none" w:sz="0" w:space="0" w:color="auto"/>
      </w:divBdr>
    </w:div>
    <w:div w:id="1896768988">
      <w:bodyDiv w:val="1"/>
      <w:marLeft w:val="0"/>
      <w:marRight w:val="0"/>
      <w:marTop w:val="0"/>
      <w:marBottom w:val="0"/>
      <w:divBdr>
        <w:top w:val="none" w:sz="0" w:space="0" w:color="auto"/>
        <w:left w:val="none" w:sz="0" w:space="0" w:color="auto"/>
        <w:bottom w:val="none" w:sz="0" w:space="0" w:color="auto"/>
        <w:right w:val="none" w:sz="0" w:space="0" w:color="auto"/>
      </w:divBdr>
    </w:div>
    <w:div w:id="1898931244">
      <w:bodyDiv w:val="1"/>
      <w:marLeft w:val="0"/>
      <w:marRight w:val="0"/>
      <w:marTop w:val="0"/>
      <w:marBottom w:val="0"/>
      <w:divBdr>
        <w:top w:val="none" w:sz="0" w:space="0" w:color="auto"/>
        <w:left w:val="none" w:sz="0" w:space="0" w:color="auto"/>
        <w:bottom w:val="none" w:sz="0" w:space="0" w:color="auto"/>
        <w:right w:val="none" w:sz="0" w:space="0" w:color="auto"/>
      </w:divBdr>
    </w:div>
    <w:div w:id="1900434508">
      <w:bodyDiv w:val="1"/>
      <w:marLeft w:val="0"/>
      <w:marRight w:val="0"/>
      <w:marTop w:val="0"/>
      <w:marBottom w:val="0"/>
      <w:divBdr>
        <w:top w:val="none" w:sz="0" w:space="0" w:color="auto"/>
        <w:left w:val="none" w:sz="0" w:space="0" w:color="auto"/>
        <w:bottom w:val="none" w:sz="0" w:space="0" w:color="auto"/>
        <w:right w:val="none" w:sz="0" w:space="0" w:color="auto"/>
      </w:divBdr>
    </w:div>
    <w:div w:id="1904438539">
      <w:bodyDiv w:val="1"/>
      <w:marLeft w:val="0"/>
      <w:marRight w:val="0"/>
      <w:marTop w:val="0"/>
      <w:marBottom w:val="0"/>
      <w:divBdr>
        <w:top w:val="none" w:sz="0" w:space="0" w:color="auto"/>
        <w:left w:val="none" w:sz="0" w:space="0" w:color="auto"/>
        <w:bottom w:val="none" w:sz="0" w:space="0" w:color="auto"/>
        <w:right w:val="none" w:sz="0" w:space="0" w:color="auto"/>
      </w:divBdr>
    </w:div>
    <w:div w:id="1919633238">
      <w:bodyDiv w:val="1"/>
      <w:marLeft w:val="0"/>
      <w:marRight w:val="0"/>
      <w:marTop w:val="0"/>
      <w:marBottom w:val="0"/>
      <w:divBdr>
        <w:top w:val="none" w:sz="0" w:space="0" w:color="auto"/>
        <w:left w:val="none" w:sz="0" w:space="0" w:color="auto"/>
        <w:bottom w:val="none" w:sz="0" w:space="0" w:color="auto"/>
        <w:right w:val="none" w:sz="0" w:space="0" w:color="auto"/>
      </w:divBdr>
    </w:div>
    <w:div w:id="1919751492">
      <w:bodyDiv w:val="1"/>
      <w:marLeft w:val="0"/>
      <w:marRight w:val="0"/>
      <w:marTop w:val="0"/>
      <w:marBottom w:val="0"/>
      <w:divBdr>
        <w:top w:val="none" w:sz="0" w:space="0" w:color="auto"/>
        <w:left w:val="none" w:sz="0" w:space="0" w:color="auto"/>
        <w:bottom w:val="none" w:sz="0" w:space="0" w:color="auto"/>
        <w:right w:val="none" w:sz="0" w:space="0" w:color="auto"/>
      </w:divBdr>
    </w:div>
    <w:div w:id="1922330290">
      <w:bodyDiv w:val="1"/>
      <w:marLeft w:val="0"/>
      <w:marRight w:val="0"/>
      <w:marTop w:val="0"/>
      <w:marBottom w:val="0"/>
      <w:divBdr>
        <w:top w:val="none" w:sz="0" w:space="0" w:color="auto"/>
        <w:left w:val="none" w:sz="0" w:space="0" w:color="auto"/>
        <w:bottom w:val="none" w:sz="0" w:space="0" w:color="auto"/>
        <w:right w:val="none" w:sz="0" w:space="0" w:color="auto"/>
      </w:divBdr>
    </w:div>
    <w:div w:id="1927689244">
      <w:bodyDiv w:val="1"/>
      <w:marLeft w:val="0"/>
      <w:marRight w:val="0"/>
      <w:marTop w:val="0"/>
      <w:marBottom w:val="0"/>
      <w:divBdr>
        <w:top w:val="none" w:sz="0" w:space="0" w:color="auto"/>
        <w:left w:val="none" w:sz="0" w:space="0" w:color="auto"/>
        <w:bottom w:val="none" w:sz="0" w:space="0" w:color="auto"/>
        <w:right w:val="none" w:sz="0" w:space="0" w:color="auto"/>
      </w:divBdr>
    </w:div>
    <w:div w:id="1927839424">
      <w:bodyDiv w:val="1"/>
      <w:marLeft w:val="0"/>
      <w:marRight w:val="0"/>
      <w:marTop w:val="0"/>
      <w:marBottom w:val="0"/>
      <w:divBdr>
        <w:top w:val="none" w:sz="0" w:space="0" w:color="auto"/>
        <w:left w:val="none" w:sz="0" w:space="0" w:color="auto"/>
        <w:bottom w:val="none" w:sz="0" w:space="0" w:color="auto"/>
        <w:right w:val="none" w:sz="0" w:space="0" w:color="auto"/>
      </w:divBdr>
    </w:div>
    <w:div w:id="1928418322">
      <w:bodyDiv w:val="1"/>
      <w:marLeft w:val="0"/>
      <w:marRight w:val="0"/>
      <w:marTop w:val="0"/>
      <w:marBottom w:val="0"/>
      <w:divBdr>
        <w:top w:val="none" w:sz="0" w:space="0" w:color="auto"/>
        <w:left w:val="none" w:sz="0" w:space="0" w:color="auto"/>
        <w:bottom w:val="none" w:sz="0" w:space="0" w:color="auto"/>
        <w:right w:val="none" w:sz="0" w:space="0" w:color="auto"/>
      </w:divBdr>
    </w:div>
    <w:div w:id="1929658449">
      <w:bodyDiv w:val="1"/>
      <w:marLeft w:val="0"/>
      <w:marRight w:val="0"/>
      <w:marTop w:val="0"/>
      <w:marBottom w:val="0"/>
      <w:divBdr>
        <w:top w:val="none" w:sz="0" w:space="0" w:color="auto"/>
        <w:left w:val="none" w:sz="0" w:space="0" w:color="auto"/>
        <w:bottom w:val="none" w:sz="0" w:space="0" w:color="auto"/>
        <w:right w:val="none" w:sz="0" w:space="0" w:color="auto"/>
      </w:divBdr>
    </w:div>
    <w:div w:id="1936817198">
      <w:bodyDiv w:val="1"/>
      <w:marLeft w:val="0"/>
      <w:marRight w:val="0"/>
      <w:marTop w:val="0"/>
      <w:marBottom w:val="0"/>
      <w:divBdr>
        <w:top w:val="none" w:sz="0" w:space="0" w:color="auto"/>
        <w:left w:val="none" w:sz="0" w:space="0" w:color="auto"/>
        <w:bottom w:val="none" w:sz="0" w:space="0" w:color="auto"/>
        <w:right w:val="none" w:sz="0" w:space="0" w:color="auto"/>
      </w:divBdr>
    </w:div>
    <w:div w:id="1967157079">
      <w:bodyDiv w:val="1"/>
      <w:marLeft w:val="0"/>
      <w:marRight w:val="0"/>
      <w:marTop w:val="0"/>
      <w:marBottom w:val="0"/>
      <w:divBdr>
        <w:top w:val="none" w:sz="0" w:space="0" w:color="auto"/>
        <w:left w:val="none" w:sz="0" w:space="0" w:color="auto"/>
        <w:bottom w:val="none" w:sz="0" w:space="0" w:color="auto"/>
        <w:right w:val="none" w:sz="0" w:space="0" w:color="auto"/>
      </w:divBdr>
    </w:div>
    <w:div w:id="1967858309">
      <w:bodyDiv w:val="1"/>
      <w:marLeft w:val="0"/>
      <w:marRight w:val="0"/>
      <w:marTop w:val="0"/>
      <w:marBottom w:val="0"/>
      <w:divBdr>
        <w:top w:val="none" w:sz="0" w:space="0" w:color="auto"/>
        <w:left w:val="none" w:sz="0" w:space="0" w:color="auto"/>
        <w:bottom w:val="none" w:sz="0" w:space="0" w:color="auto"/>
        <w:right w:val="none" w:sz="0" w:space="0" w:color="auto"/>
      </w:divBdr>
    </w:div>
    <w:div w:id="1969698516">
      <w:bodyDiv w:val="1"/>
      <w:marLeft w:val="0"/>
      <w:marRight w:val="0"/>
      <w:marTop w:val="0"/>
      <w:marBottom w:val="0"/>
      <w:divBdr>
        <w:top w:val="none" w:sz="0" w:space="0" w:color="auto"/>
        <w:left w:val="none" w:sz="0" w:space="0" w:color="auto"/>
        <w:bottom w:val="none" w:sz="0" w:space="0" w:color="auto"/>
        <w:right w:val="none" w:sz="0" w:space="0" w:color="auto"/>
      </w:divBdr>
    </w:div>
    <w:div w:id="1979601602">
      <w:bodyDiv w:val="1"/>
      <w:marLeft w:val="0"/>
      <w:marRight w:val="0"/>
      <w:marTop w:val="0"/>
      <w:marBottom w:val="0"/>
      <w:divBdr>
        <w:top w:val="none" w:sz="0" w:space="0" w:color="auto"/>
        <w:left w:val="none" w:sz="0" w:space="0" w:color="auto"/>
        <w:bottom w:val="none" w:sz="0" w:space="0" w:color="auto"/>
        <w:right w:val="none" w:sz="0" w:space="0" w:color="auto"/>
      </w:divBdr>
    </w:div>
    <w:div w:id="1982691876">
      <w:bodyDiv w:val="1"/>
      <w:marLeft w:val="0"/>
      <w:marRight w:val="0"/>
      <w:marTop w:val="0"/>
      <w:marBottom w:val="0"/>
      <w:divBdr>
        <w:top w:val="none" w:sz="0" w:space="0" w:color="auto"/>
        <w:left w:val="none" w:sz="0" w:space="0" w:color="auto"/>
        <w:bottom w:val="none" w:sz="0" w:space="0" w:color="auto"/>
        <w:right w:val="none" w:sz="0" w:space="0" w:color="auto"/>
      </w:divBdr>
    </w:div>
    <w:div w:id="1986397786">
      <w:bodyDiv w:val="1"/>
      <w:marLeft w:val="0"/>
      <w:marRight w:val="0"/>
      <w:marTop w:val="0"/>
      <w:marBottom w:val="0"/>
      <w:divBdr>
        <w:top w:val="none" w:sz="0" w:space="0" w:color="auto"/>
        <w:left w:val="none" w:sz="0" w:space="0" w:color="auto"/>
        <w:bottom w:val="none" w:sz="0" w:space="0" w:color="auto"/>
        <w:right w:val="none" w:sz="0" w:space="0" w:color="auto"/>
      </w:divBdr>
    </w:div>
    <w:div w:id="1990283991">
      <w:bodyDiv w:val="1"/>
      <w:marLeft w:val="0"/>
      <w:marRight w:val="0"/>
      <w:marTop w:val="0"/>
      <w:marBottom w:val="0"/>
      <w:divBdr>
        <w:top w:val="none" w:sz="0" w:space="0" w:color="auto"/>
        <w:left w:val="none" w:sz="0" w:space="0" w:color="auto"/>
        <w:bottom w:val="none" w:sz="0" w:space="0" w:color="auto"/>
        <w:right w:val="none" w:sz="0" w:space="0" w:color="auto"/>
      </w:divBdr>
    </w:div>
    <w:div w:id="1999069056">
      <w:bodyDiv w:val="1"/>
      <w:marLeft w:val="0"/>
      <w:marRight w:val="0"/>
      <w:marTop w:val="0"/>
      <w:marBottom w:val="0"/>
      <w:divBdr>
        <w:top w:val="none" w:sz="0" w:space="0" w:color="auto"/>
        <w:left w:val="none" w:sz="0" w:space="0" w:color="auto"/>
        <w:bottom w:val="none" w:sz="0" w:space="0" w:color="auto"/>
        <w:right w:val="none" w:sz="0" w:space="0" w:color="auto"/>
      </w:divBdr>
    </w:div>
    <w:div w:id="2007394624">
      <w:bodyDiv w:val="1"/>
      <w:marLeft w:val="0"/>
      <w:marRight w:val="0"/>
      <w:marTop w:val="0"/>
      <w:marBottom w:val="0"/>
      <w:divBdr>
        <w:top w:val="none" w:sz="0" w:space="0" w:color="auto"/>
        <w:left w:val="none" w:sz="0" w:space="0" w:color="auto"/>
        <w:bottom w:val="none" w:sz="0" w:space="0" w:color="auto"/>
        <w:right w:val="none" w:sz="0" w:space="0" w:color="auto"/>
      </w:divBdr>
    </w:div>
    <w:div w:id="2014991266">
      <w:bodyDiv w:val="1"/>
      <w:marLeft w:val="0"/>
      <w:marRight w:val="0"/>
      <w:marTop w:val="0"/>
      <w:marBottom w:val="0"/>
      <w:divBdr>
        <w:top w:val="none" w:sz="0" w:space="0" w:color="auto"/>
        <w:left w:val="none" w:sz="0" w:space="0" w:color="auto"/>
        <w:bottom w:val="none" w:sz="0" w:space="0" w:color="auto"/>
        <w:right w:val="none" w:sz="0" w:space="0" w:color="auto"/>
      </w:divBdr>
    </w:div>
    <w:div w:id="2017417431">
      <w:bodyDiv w:val="1"/>
      <w:marLeft w:val="0"/>
      <w:marRight w:val="0"/>
      <w:marTop w:val="0"/>
      <w:marBottom w:val="0"/>
      <w:divBdr>
        <w:top w:val="none" w:sz="0" w:space="0" w:color="auto"/>
        <w:left w:val="none" w:sz="0" w:space="0" w:color="auto"/>
        <w:bottom w:val="none" w:sz="0" w:space="0" w:color="auto"/>
        <w:right w:val="none" w:sz="0" w:space="0" w:color="auto"/>
      </w:divBdr>
    </w:div>
    <w:div w:id="2020083945">
      <w:bodyDiv w:val="1"/>
      <w:marLeft w:val="0"/>
      <w:marRight w:val="0"/>
      <w:marTop w:val="0"/>
      <w:marBottom w:val="0"/>
      <w:divBdr>
        <w:top w:val="none" w:sz="0" w:space="0" w:color="auto"/>
        <w:left w:val="none" w:sz="0" w:space="0" w:color="auto"/>
        <w:bottom w:val="none" w:sz="0" w:space="0" w:color="auto"/>
        <w:right w:val="none" w:sz="0" w:space="0" w:color="auto"/>
      </w:divBdr>
    </w:div>
    <w:div w:id="2027752874">
      <w:bodyDiv w:val="1"/>
      <w:marLeft w:val="0"/>
      <w:marRight w:val="0"/>
      <w:marTop w:val="0"/>
      <w:marBottom w:val="0"/>
      <w:divBdr>
        <w:top w:val="none" w:sz="0" w:space="0" w:color="auto"/>
        <w:left w:val="none" w:sz="0" w:space="0" w:color="auto"/>
        <w:bottom w:val="none" w:sz="0" w:space="0" w:color="auto"/>
        <w:right w:val="none" w:sz="0" w:space="0" w:color="auto"/>
      </w:divBdr>
    </w:div>
    <w:div w:id="2033262472">
      <w:bodyDiv w:val="1"/>
      <w:marLeft w:val="0"/>
      <w:marRight w:val="0"/>
      <w:marTop w:val="0"/>
      <w:marBottom w:val="0"/>
      <w:divBdr>
        <w:top w:val="none" w:sz="0" w:space="0" w:color="auto"/>
        <w:left w:val="none" w:sz="0" w:space="0" w:color="auto"/>
        <w:bottom w:val="none" w:sz="0" w:space="0" w:color="auto"/>
        <w:right w:val="none" w:sz="0" w:space="0" w:color="auto"/>
      </w:divBdr>
    </w:div>
    <w:div w:id="2049599805">
      <w:bodyDiv w:val="1"/>
      <w:marLeft w:val="0"/>
      <w:marRight w:val="0"/>
      <w:marTop w:val="0"/>
      <w:marBottom w:val="0"/>
      <w:divBdr>
        <w:top w:val="none" w:sz="0" w:space="0" w:color="auto"/>
        <w:left w:val="none" w:sz="0" w:space="0" w:color="auto"/>
        <w:bottom w:val="none" w:sz="0" w:space="0" w:color="auto"/>
        <w:right w:val="none" w:sz="0" w:space="0" w:color="auto"/>
      </w:divBdr>
    </w:div>
    <w:div w:id="2050252592">
      <w:bodyDiv w:val="1"/>
      <w:marLeft w:val="0"/>
      <w:marRight w:val="0"/>
      <w:marTop w:val="0"/>
      <w:marBottom w:val="0"/>
      <w:divBdr>
        <w:top w:val="none" w:sz="0" w:space="0" w:color="auto"/>
        <w:left w:val="none" w:sz="0" w:space="0" w:color="auto"/>
        <w:bottom w:val="none" w:sz="0" w:space="0" w:color="auto"/>
        <w:right w:val="none" w:sz="0" w:space="0" w:color="auto"/>
      </w:divBdr>
    </w:div>
    <w:div w:id="2052920240">
      <w:bodyDiv w:val="1"/>
      <w:marLeft w:val="0"/>
      <w:marRight w:val="0"/>
      <w:marTop w:val="0"/>
      <w:marBottom w:val="0"/>
      <w:divBdr>
        <w:top w:val="none" w:sz="0" w:space="0" w:color="auto"/>
        <w:left w:val="none" w:sz="0" w:space="0" w:color="auto"/>
        <w:bottom w:val="none" w:sz="0" w:space="0" w:color="auto"/>
        <w:right w:val="none" w:sz="0" w:space="0" w:color="auto"/>
      </w:divBdr>
    </w:div>
    <w:div w:id="2083526297">
      <w:bodyDiv w:val="1"/>
      <w:marLeft w:val="0"/>
      <w:marRight w:val="0"/>
      <w:marTop w:val="0"/>
      <w:marBottom w:val="0"/>
      <w:divBdr>
        <w:top w:val="none" w:sz="0" w:space="0" w:color="auto"/>
        <w:left w:val="none" w:sz="0" w:space="0" w:color="auto"/>
        <w:bottom w:val="none" w:sz="0" w:space="0" w:color="auto"/>
        <w:right w:val="none" w:sz="0" w:space="0" w:color="auto"/>
      </w:divBdr>
    </w:div>
    <w:div w:id="2084797460">
      <w:bodyDiv w:val="1"/>
      <w:marLeft w:val="0"/>
      <w:marRight w:val="0"/>
      <w:marTop w:val="0"/>
      <w:marBottom w:val="0"/>
      <w:divBdr>
        <w:top w:val="none" w:sz="0" w:space="0" w:color="auto"/>
        <w:left w:val="none" w:sz="0" w:space="0" w:color="auto"/>
        <w:bottom w:val="none" w:sz="0" w:space="0" w:color="auto"/>
        <w:right w:val="none" w:sz="0" w:space="0" w:color="auto"/>
      </w:divBdr>
    </w:div>
    <w:div w:id="2084833980">
      <w:bodyDiv w:val="1"/>
      <w:marLeft w:val="0"/>
      <w:marRight w:val="0"/>
      <w:marTop w:val="0"/>
      <w:marBottom w:val="0"/>
      <w:divBdr>
        <w:top w:val="none" w:sz="0" w:space="0" w:color="auto"/>
        <w:left w:val="none" w:sz="0" w:space="0" w:color="auto"/>
        <w:bottom w:val="none" w:sz="0" w:space="0" w:color="auto"/>
        <w:right w:val="none" w:sz="0" w:space="0" w:color="auto"/>
      </w:divBdr>
    </w:div>
    <w:div w:id="2085908477">
      <w:bodyDiv w:val="1"/>
      <w:marLeft w:val="0"/>
      <w:marRight w:val="0"/>
      <w:marTop w:val="0"/>
      <w:marBottom w:val="0"/>
      <w:divBdr>
        <w:top w:val="none" w:sz="0" w:space="0" w:color="auto"/>
        <w:left w:val="none" w:sz="0" w:space="0" w:color="auto"/>
        <w:bottom w:val="none" w:sz="0" w:space="0" w:color="auto"/>
        <w:right w:val="none" w:sz="0" w:space="0" w:color="auto"/>
      </w:divBdr>
    </w:div>
    <w:div w:id="2086098705">
      <w:bodyDiv w:val="1"/>
      <w:marLeft w:val="0"/>
      <w:marRight w:val="0"/>
      <w:marTop w:val="0"/>
      <w:marBottom w:val="0"/>
      <w:divBdr>
        <w:top w:val="none" w:sz="0" w:space="0" w:color="auto"/>
        <w:left w:val="none" w:sz="0" w:space="0" w:color="auto"/>
        <w:bottom w:val="none" w:sz="0" w:space="0" w:color="auto"/>
        <w:right w:val="none" w:sz="0" w:space="0" w:color="auto"/>
      </w:divBdr>
    </w:div>
    <w:div w:id="2095660936">
      <w:bodyDiv w:val="1"/>
      <w:marLeft w:val="0"/>
      <w:marRight w:val="0"/>
      <w:marTop w:val="0"/>
      <w:marBottom w:val="0"/>
      <w:divBdr>
        <w:top w:val="none" w:sz="0" w:space="0" w:color="auto"/>
        <w:left w:val="none" w:sz="0" w:space="0" w:color="auto"/>
        <w:bottom w:val="none" w:sz="0" w:space="0" w:color="auto"/>
        <w:right w:val="none" w:sz="0" w:space="0" w:color="auto"/>
      </w:divBdr>
    </w:div>
    <w:div w:id="2100443098">
      <w:bodyDiv w:val="1"/>
      <w:marLeft w:val="0"/>
      <w:marRight w:val="0"/>
      <w:marTop w:val="0"/>
      <w:marBottom w:val="0"/>
      <w:divBdr>
        <w:top w:val="none" w:sz="0" w:space="0" w:color="auto"/>
        <w:left w:val="none" w:sz="0" w:space="0" w:color="auto"/>
        <w:bottom w:val="none" w:sz="0" w:space="0" w:color="auto"/>
        <w:right w:val="none" w:sz="0" w:space="0" w:color="auto"/>
      </w:divBdr>
    </w:div>
    <w:div w:id="2102067252">
      <w:bodyDiv w:val="1"/>
      <w:marLeft w:val="0"/>
      <w:marRight w:val="0"/>
      <w:marTop w:val="0"/>
      <w:marBottom w:val="0"/>
      <w:divBdr>
        <w:top w:val="none" w:sz="0" w:space="0" w:color="auto"/>
        <w:left w:val="none" w:sz="0" w:space="0" w:color="auto"/>
        <w:bottom w:val="none" w:sz="0" w:space="0" w:color="auto"/>
        <w:right w:val="none" w:sz="0" w:space="0" w:color="auto"/>
      </w:divBdr>
    </w:div>
    <w:div w:id="2107849458">
      <w:bodyDiv w:val="1"/>
      <w:marLeft w:val="0"/>
      <w:marRight w:val="0"/>
      <w:marTop w:val="0"/>
      <w:marBottom w:val="0"/>
      <w:divBdr>
        <w:top w:val="none" w:sz="0" w:space="0" w:color="auto"/>
        <w:left w:val="none" w:sz="0" w:space="0" w:color="auto"/>
        <w:bottom w:val="none" w:sz="0" w:space="0" w:color="auto"/>
        <w:right w:val="none" w:sz="0" w:space="0" w:color="auto"/>
      </w:divBdr>
    </w:div>
    <w:div w:id="2117169497">
      <w:bodyDiv w:val="1"/>
      <w:marLeft w:val="0"/>
      <w:marRight w:val="0"/>
      <w:marTop w:val="0"/>
      <w:marBottom w:val="0"/>
      <w:divBdr>
        <w:top w:val="none" w:sz="0" w:space="0" w:color="auto"/>
        <w:left w:val="none" w:sz="0" w:space="0" w:color="auto"/>
        <w:bottom w:val="none" w:sz="0" w:space="0" w:color="auto"/>
        <w:right w:val="none" w:sz="0" w:space="0" w:color="auto"/>
      </w:divBdr>
    </w:div>
    <w:div w:id="2120680073">
      <w:bodyDiv w:val="1"/>
      <w:marLeft w:val="0"/>
      <w:marRight w:val="0"/>
      <w:marTop w:val="0"/>
      <w:marBottom w:val="0"/>
      <w:divBdr>
        <w:top w:val="none" w:sz="0" w:space="0" w:color="auto"/>
        <w:left w:val="none" w:sz="0" w:space="0" w:color="auto"/>
        <w:bottom w:val="none" w:sz="0" w:space="0" w:color="auto"/>
        <w:right w:val="none" w:sz="0" w:space="0" w:color="auto"/>
      </w:divBdr>
    </w:div>
    <w:div w:id="2130510460">
      <w:bodyDiv w:val="1"/>
      <w:marLeft w:val="0"/>
      <w:marRight w:val="0"/>
      <w:marTop w:val="0"/>
      <w:marBottom w:val="0"/>
      <w:divBdr>
        <w:top w:val="none" w:sz="0" w:space="0" w:color="auto"/>
        <w:left w:val="none" w:sz="0" w:space="0" w:color="auto"/>
        <w:bottom w:val="none" w:sz="0" w:space="0" w:color="auto"/>
        <w:right w:val="none" w:sz="0" w:space="0" w:color="auto"/>
      </w:divBdr>
    </w:div>
    <w:div w:id="2131512850">
      <w:bodyDiv w:val="1"/>
      <w:marLeft w:val="0"/>
      <w:marRight w:val="0"/>
      <w:marTop w:val="0"/>
      <w:marBottom w:val="0"/>
      <w:divBdr>
        <w:top w:val="none" w:sz="0" w:space="0" w:color="auto"/>
        <w:left w:val="none" w:sz="0" w:space="0" w:color="auto"/>
        <w:bottom w:val="none" w:sz="0" w:space="0" w:color="auto"/>
        <w:right w:val="none" w:sz="0" w:space="0" w:color="auto"/>
      </w:divBdr>
    </w:div>
    <w:div w:id="214141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emf"/><Relationship Id="rId21" Type="http://schemas.openxmlformats.org/officeDocument/2006/relationships/image" Target="media/image13.emf"/><Relationship Id="rId42" Type="http://schemas.openxmlformats.org/officeDocument/2006/relationships/image" Target="media/image34.emf"/><Relationship Id="rId63" Type="http://schemas.openxmlformats.org/officeDocument/2006/relationships/image" Target="media/image55.emf"/><Relationship Id="rId84" Type="http://schemas.openxmlformats.org/officeDocument/2006/relationships/image" Target="media/image76.emf"/><Relationship Id="rId138" Type="http://schemas.openxmlformats.org/officeDocument/2006/relationships/image" Target="media/image130.emf"/><Relationship Id="rId159" Type="http://schemas.openxmlformats.org/officeDocument/2006/relationships/image" Target="media/image150.emf"/><Relationship Id="rId170" Type="http://schemas.openxmlformats.org/officeDocument/2006/relationships/hyperlink" Target="https://commission.europa.eu/strategy-and-policy/policies/justice-and-fundamental-rights/upholding-rule-law/eu-justice-scoreboard_en" TargetMode="External"/><Relationship Id="rId191" Type="http://schemas.openxmlformats.org/officeDocument/2006/relationships/fontTable" Target="fontTable.xml"/><Relationship Id="rId107" Type="http://schemas.openxmlformats.org/officeDocument/2006/relationships/image" Target="media/image99.emf"/><Relationship Id="rId11" Type="http://schemas.openxmlformats.org/officeDocument/2006/relationships/image" Target="media/image3.emf"/><Relationship Id="rId32" Type="http://schemas.openxmlformats.org/officeDocument/2006/relationships/image" Target="media/image24.emf"/><Relationship Id="rId53" Type="http://schemas.openxmlformats.org/officeDocument/2006/relationships/image" Target="media/image45.emf"/><Relationship Id="rId74" Type="http://schemas.openxmlformats.org/officeDocument/2006/relationships/image" Target="media/image66.emf"/><Relationship Id="rId128" Type="http://schemas.openxmlformats.org/officeDocument/2006/relationships/image" Target="media/image120.emf"/><Relationship Id="rId149" Type="http://schemas.openxmlformats.org/officeDocument/2006/relationships/image" Target="media/image141.emf"/><Relationship Id="rId5" Type="http://schemas.openxmlformats.org/officeDocument/2006/relationships/webSettings" Target="webSettings.xml"/><Relationship Id="rId95" Type="http://schemas.openxmlformats.org/officeDocument/2006/relationships/image" Target="media/image87.emf"/><Relationship Id="rId160" Type="http://schemas.openxmlformats.org/officeDocument/2006/relationships/image" Target="media/image151.emf"/><Relationship Id="rId181" Type="http://schemas.openxmlformats.org/officeDocument/2006/relationships/hyperlink" Target="https://www.coe.int/en/web/cepej/home" TargetMode="External"/><Relationship Id="rId22" Type="http://schemas.openxmlformats.org/officeDocument/2006/relationships/image" Target="media/image14.emf"/><Relationship Id="rId43" Type="http://schemas.openxmlformats.org/officeDocument/2006/relationships/image" Target="media/image35.emf"/><Relationship Id="rId64" Type="http://schemas.openxmlformats.org/officeDocument/2006/relationships/image" Target="media/image56.emf"/><Relationship Id="rId118" Type="http://schemas.openxmlformats.org/officeDocument/2006/relationships/image" Target="media/image110.emf"/><Relationship Id="rId139" Type="http://schemas.openxmlformats.org/officeDocument/2006/relationships/image" Target="media/image131.png"/><Relationship Id="rId85" Type="http://schemas.openxmlformats.org/officeDocument/2006/relationships/image" Target="media/image77.emf"/><Relationship Id="rId150" Type="http://schemas.openxmlformats.org/officeDocument/2006/relationships/image" Target="media/image142.emf"/><Relationship Id="rId171" Type="http://schemas.openxmlformats.org/officeDocument/2006/relationships/image" Target="media/image161.png"/><Relationship Id="rId192" Type="http://schemas.openxmlformats.org/officeDocument/2006/relationships/theme" Target="theme/theme1.xml"/><Relationship Id="rId12" Type="http://schemas.openxmlformats.org/officeDocument/2006/relationships/image" Target="media/image4.emf"/><Relationship Id="rId33" Type="http://schemas.openxmlformats.org/officeDocument/2006/relationships/image" Target="media/image25.emf"/><Relationship Id="rId108" Type="http://schemas.openxmlformats.org/officeDocument/2006/relationships/image" Target="media/image100.emf"/><Relationship Id="rId129" Type="http://schemas.openxmlformats.org/officeDocument/2006/relationships/image" Target="media/image121.emf"/><Relationship Id="rId54" Type="http://schemas.openxmlformats.org/officeDocument/2006/relationships/image" Target="media/image46.emf"/><Relationship Id="rId75" Type="http://schemas.openxmlformats.org/officeDocument/2006/relationships/image" Target="media/image67.emf"/><Relationship Id="rId96" Type="http://schemas.openxmlformats.org/officeDocument/2006/relationships/image" Target="media/image88.emf"/><Relationship Id="rId140" Type="http://schemas.openxmlformats.org/officeDocument/2006/relationships/image" Target="media/image132.svg"/><Relationship Id="rId161" Type="http://schemas.openxmlformats.org/officeDocument/2006/relationships/image" Target="media/image152.emf"/><Relationship Id="rId182" Type="http://schemas.openxmlformats.org/officeDocument/2006/relationships/hyperlink" Target="http://cslav.justice.cz/InfoData/uvod.html" TargetMode="External"/><Relationship Id="rId6" Type="http://schemas.openxmlformats.org/officeDocument/2006/relationships/footnotes" Target="footnotes.xml"/><Relationship Id="rId23" Type="http://schemas.openxmlformats.org/officeDocument/2006/relationships/image" Target="media/image15.emf"/><Relationship Id="rId119" Type="http://schemas.openxmlformats.org/officeDocument/2006/relationships/image" Target="media/image111.emf"/><Relationship Id="rId44" Type="http://schemas.openxmlformats.org/officeDocument/2006/relationships/image" Target="media/image36.emf"/><Relationship Id="rId65" Type="http://schemas.openxmlformats.org/officeDocument/2006/relationships/image" Target="media/image57.emf"/><Relationship Id="rId86" Type="http://schemas.openxmlformats.org/officeDocument/2006/relationships/image" Target="media/image78.emf"/><Relationship Id="rId130" Type="http://schemas.openxmlformats.org/officeDocument/2006/relationships/image" Target="media/image122.emf"/><Relationship Id="rId151" Type="http://schemas.openxmlformats.org/officeDocument/2006/relationships/image" Target="media/image143.png"/><Relationship Id="rId172" Type="http://schemas.openxmlformats.org/officeDocument/2006/relationships/image" Target="media/image162.png"/><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101.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image" Target="media/image96.emf"/><Relationship Id="rId120" Type="http://schemas.openxmlformats.org/officeDocument/2006/relationships/image" Target="media/image112.emf"/><Relationship Id="rId125" Type="http://schemas.openxmlformats.org/officeDocument/2006/relationships/image" Target="media/image117.emf"/><Relationship Id="rId141" Type="http://schemas.openxmlformats.org/officeDocument/2006/relationships/image" Target="media/image133.png"/><Relationship Id="rId146" Type="http://schemas.openxmlformats.org/officeDocument/2006/relationships/image" Target="media/image138.svg"/><Relationship Id="rId167" Type="http://schemas.openxmlformats.org/officeDocument/2006/relationships/image" Target="media/image158.png"/><Relationship Id="rId188" Type="http://schemas.openxmlformats.org/officeDocument/2006/relationships/image" Target="media/image170.jpg"/><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162" Type="http://schemas.openxmlformats.org/officeDocument/2006/relationships/image" Target="media/image153.png"/><Relationship Id="rId183" Type="http://schemas.openxmlformats.org/officeDocument/2006/relationships/image" Target="media/image168.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emf"/><Relationship Id="rId115" Type="http://schemas.openxmlformats.org/officeDocument/2006/relationships/image" Target="media/image107.emf"/><Relationship Id="rId131" Type="http://schemas.openxmlformats.org/officeDocument/2006/relationships/image" Target="media/image123.emf"/><Relationship Id="rId136" Type="http://schemas.openxmlformats.org/officeDocument/2006/relationships/image" Target="media/image128.emf"/><Relationship Id="rId157" Type="http://schemas.openxmlformats.org/officeDocument/2006/relationships/hyperlink" Target="https://europa.eu/eurobarometer/surveys/detail/2752" TargetMode="External"/><Relationship Id="rId178" Type="http://schemas.openxmlformats.org/officeDocument/2006/relationships/hyperlink" Target="https://ec.europa.eu/eurostat/databrowser/view/DEMO_NDIVIND__custom_685155/bookmark/table?lang=en&amp;bookmarkId=cc90d043-4364-4937-99df-d356174f973b" TargetMode="External"/><Relationship Id="rId61" Type="http://schemas.openxmlformats.org/officeDocument/2006/relationships/image" Target="media/image53.emf"/><Relationship Id="rId82" Type="http://schemas.openxmlformats.org/officeDocument/2006/relationships/image" Target="media/image74.emf"/><Relationship Id="rId152" Type="http://schemas.openxmlformats.org/officeDocument/2006/relationships/image" Target="media/image144.svg"/><Relationship Id="rId173" Type="http://schemas.openxmlformats.org/officeDocument/2006/relationships/image" Target="media/image163.svg"/><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image" Target="media/image97.emf"/><Relationship Id="rId126" Type="http://schemas.openxmlformats.org/officeDocument/2006/relationships/image" Target="media/image118.emf"/><Relationship Id="rId147" Type="http://schemas.openxmlformats.org/officeDocument/2006/relationships/image" Target="media/image139.png"/><Relationship Id="rId168" Type="http://schemas.openxmlformats.org/officeDocument/2006/relationships/image" Target="media/image159.png"/><Relationship Id="rId8" Type="http://schemas.openxmlformats.org/officeDocument/2006/relationships/image" Target="media/image1.jpeg"/><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emf"/><Relationship Id="rId98" Type="http://schemas.openxmlformats.org/officeDocument/2006/relationships/image" Target="media/image90.emf"/><Relationship Id="rId121" Type="http://schemas.openxmlformats.org/officeDocument/2006/relationships/image" Target="media/image113.emf"/><Relationship Id="rId142" Type="http://schemas.openxmlformats.org/officeDocument/2006/relationships/image" Target="media/image134.png"/><Relationship Id="rId163" Type="http://schemas.openxmlformats.org/officeDocument/2006/relationships/image" Target="media/image154.emf"/><Relationship Id="rId184" Type="http://schemas.openxmlformats.org/officeDocument/2006/relationships/image" Target="media/image169.emf"/><Relationship Id="rId189" Type="http://schemas.openxmlformats.org/officeDocument/2006/relationships/hyperlink" Target="mailto:posta@msp.justice.cz" TargetMode="External"/><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emf"/><Relationship Id="rId67" Type="http://schemas.openxmlformats.org/officeDocument/2006/relationships/image" Target="media/image59.emf"/><Relationship Id="rId116" Type="http://schemas.openxmlformats.org/officeDocument/2006/relationships/image" Target="media/image108.emf"/><Relationship Id="rId137" Type="http://schemas.openxmlformats.org/officeDocument/2006/relationships/image" Target="media/image129.emf"/><Relationship Id="rId158" Type="http://schemas.openxmlformats.org/officeDocument/2006/relationships/image" Target="media/image149.png"/><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image" Target="media/image54.emf"/><Relationship Id="rId83" Type="http://schemas.openxmlformats.org/officeDocument/2006/relationships/image" Target="media/image75.emf"/><Relationship Id="rId88" Type="http://schemas.openxmlformats.org/officeDocument/2006/relationships/image" Target="media/image80.emf"/><Relationship Id="rId111" Type="http://schemas.openxmlformats.org/officeDocument/2006/relationships/image" Target="media/image103.emf"/><Relationship Id="rId132" Type="http://schemas.openxmlformats.org/officeDocument/2006/relationships/image" Target="media/image124.emf"/><Relationship Id="rId153" Type="http://schemas.openxmlformats.org/officeDocument/2006/relationships/image" Target="media/image145.png"/><Relationship Id="rId174" Type="http://schemas.openxmlformats.org/officeDocument/2006/relationships/image" Target="media/image164.png"/><Relationship Id="rId179" Type="http://schemas.openxmlformats.org/officeDocument/2006/relationships/hyperlink" Target="https://ec.europa.eu/eurostat/databrowser/view/DEMO_PJANMARSTA__custom_5324008/default/table" TargetMode="External"/><Relationship Id="rId190" Type="http://schemas.openxmlformats.org/officeDocument/2006/relationships/hyperlink" Target="http://www.justice.cz" TargetMode="External"/><Relationship Id="rId15" Type="http://schemas.openxmlformats.org/officeDocument/2006/relationships/image" Target="media/image7.emf"/><Relationship Id="rId36" Type="http://schemas.openxmlformats.org/officeDocument/2006/relationships/image" Target="media/image28.emf"/><Relationship Id="rId57" Type="http://schemas.openxmlformats.org/officeDocument/2006/relationships/image" Target="media/image49.emf"/><Relationship Id="rId106" Type="http://schemas.openxmlformats.org/officeDocument/2006/relationships/image" Target="media/image98.emf"/><Relationship Id="rId127" Type="http://schemas.openxmlformats.org/officeDocument/2006/relationships/image" Target="media/image119.emf"/><Relationship Id="rId10" Type="http://schemas.openxmlformats.org/officeDocument/2006/relationships/hyperlink" Target="https://cslav.justice.cz/InfoData/uvod.html" TargetMode="External"/><Relationship Id="rId31" Type="http://schemas.openxmlformats.org/officeDocument/2006/relationships/image" Target="media/image23.emf"/><Relationship Id="rId52" Type="http://schemas.openxmlformats.org/officeDocument/2006/relationships/image" Target="media/image44.emf"/><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122" Type="http://schemas.openxmlformats.org/officeDocument/2006/relationships/image" Target="media/image114.emf"/><Relationship Id="rId143" Type="http://schemas.openxmlformats.org/officeDocument/2006/relationships/image" Target="media/image135.png"/><Relationship Id="rId148" Type="http://schemas.openxmlformats.org/officeDocument/2006/relationships/image" Target="media/image140.svg"/><Relationship Id="rId164" Type="http://schemas.openxmlformats.org/officeDocument/2006/relationships/image" Target="media/image155.png"/><Relationship Id="rId169" Type="http://schemas.openxmlformats.org/officeDocument/2006/relationships/image" Target="media/image160.svg"/><Relationship Id="rId185" Type="http://schemas.openxmlformats.org/officeDocument/2006/relationships/package" Target="embeddings/Microsoft_Excel_Macro-Enabled_Worksheet.xlsm"/><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67.emf"/><Relationship Id="rId26" Type="http://schemas.openxmlformats.org/officeDocument/2006/relationships/image" Target="media/image18.emf"/><Relationship Id="rId47" Type="http://schemas.openxmlformats.org/officeDocument/2006/relationships/image" Target="media/image39.emf"/><Relationship Id="rId68" Type="http://schemas.openxmlformats.org/officeDocument/2006/relationships/image" Target="media/image60.emf"/><Relationship Id="rId89" Type="http://schemas.openxmlformats.org/officeDocument/2006/relationships/image" Target="media/image81.emf"/><Relationship Id="rId112" Type="http://schemas.openxmlformats.org/officeDocument/2006/relationships/image" Target="media/image104.emf"/><Relationship Id="rId133" Type="http://schemas.openxmlformats.org/officeDocument/2006/relationships/image" Target="media/image125.emf"/><Relationship Id="rId154" Type="http://schemas.openxmlformats.org/officeDocument/2006/relationships/image" Target="media/image146.png"/><Relationship Id="rId175" Type="http://schemas.openxmlformats.org/officeDocument/2006/relationships/image" Target="media/image165.svg"/><Relationship Id="rId16" Type="http://schemas.openxmlformats.org/officeDocument/2006/relationships/image" Target="media/image8.emf"/><Relationship Id="rId37" Type="http://schemas.openxmlformats.org/officeDocument/2006/relationships/image" Target="media/image29.emf"/><Relationship Id="rId58" Type="http://schemas.openxmlformats.org/officeDocument/2006/relationships/image" Target="media/image50.emf"/><Relationship Id="rId79" Type="http://schemas.openxmlformats.org/officeDocument/2006/relationships/image" Target="media/image71.emf"/><Relationship Id="rId102" Type="http://schemas.openxmlformats.org/officeDocument/2006/relationships/image" Target="media/image94.emf"/><Relationship Id="rId123" Type="http://schemas.openxmlformats.org/officeDocument/2006/relationships/image" Target="media/image115.emf"/><Relationship Id="rId144" Type="http://schemas.openxmlformats.org/officeDocument/2006/relationships/image" Target="media/image136.svg"/><Relationship Id="rId90" Type="http://schemas.openxmlformats.org/officeDocument/2006/relationships/image" Target="media/image82.emf"/><Relationship Id="rId165" Type="http://schemas.openxmlformats.org/officeDocument/2006/relationships/image" Target="media/image156.svg"/><Relationship Id="rId186" Type="http://schemas.openxmlformats.org/officeDocument/2006/relationships/footer" Target="footer1.xml"/><Relationship Id="rId27" Type="http://schemas.openxmlformats.org/officeDocument/2006/relationships/image" Target="media/image19.emf"/><Relationship Id="rId48" Type="http://schemas.openxmlformats.org/officeDocument/2006/relationships/image" Target="media/image40.emf"/><Relationship Id="rId69" Type="http://schemas.openxmlformats.org/officeDocument/2006/relationships/image" Target="media/image61.emf"/><Relationship Id="rId113" Type="http://schemas.openxmlformats.org/officeDocument/2006/relationships/image" Target="media/image105.emf"/><Relationship Id="rId134" Type="http://schemas.openxmlformats.org/officeDocument/2006/relationships/image" Target="media/image126.emf"/><Relationship Id="rId80" Type="http://schemas.openxmlformats.org/officeDocument/2006/relationships/image" Target="media/image72.emf"/><Relationship Id="rId155" Type="http://schemas.openxmlformats.org/officeDocument/2006/relationships/image" Target="media/image147.emf"/><Relationship Id="rId176" Type="http://schemas.openxmlformats.org/officeDocument/2006/relationships/image" Target="media/image166.png"/><Relationship Id="rId17" Type="http://schemas.openxmlformats.org/officeDocument/2006/relationships/image" Target="media/image9.emf"/><Relationship Id="rId38" Type="http://schemas.openxmlformats.org/officeDocument/2006/relationships/image" Target="media/image30.emf"/><Relationship Id="rId59" Type="http://schemas.openxmlformats.org/officeDocument/2006/relationships/image" Target="media/image51.emf"/><Relationship Id="rId103" Type="http://schemas.openxmlformats.org/officeDocument/2006/relationships/image" Target="media/image95.emf"/><Relationship Id="rId124" Type="http://schemas.openxmlformats.org/officeDocument/2006/relationships/image" Target="media/image116.emf"/><Relationship Id="rId70" Type="http://schemas.openxmlformats.org/officeDocument/2006/relationships/image" Target="media/image62.emf"/><Relationship Id="rId91" Type="http://schemas.openxmlformats.org/officeDocument/2006/relationships/image" Target="media/image83.emf"/><Relationship Id="rId145" Type="http://schemas.openxmlformats.org/officeDocument/2006/relationships/image" Target="media/image137.png"/><Relationship Id="rId166" Type="http://schemas.openxmlformats.org/officeDocument/2006/relationships/image" Target="media/image157.png"/><Relationship Id="rId187" Type="http://schemas.openxmlformats.org/officeDocument/2006/relationships/hyperlink" Target="https://www.justice.cz/" TargetMode="External"/><Relationship Id="rId1" Type="http://schemas.openxmlformats.org/officeDocument/2006/relationships/customXml" Target="../customXml/item1.xml"/><Relationship Id="rId28" Type="http://schemas.openxmlformats.org/officeDocument/2006/relationships/image" Target="media/image20.emf"/><Relationship Id="rId49" Type="http://schemas.openxmlformats.org/officeDocument/2006/relationships/image" Target="media/image41.emf"/><Relationship Id="rId114" Type="http://schemas.openxmlformats.org/officeDocument/2006/relationships/image" Target="media/image106.emf"/><Relationship Id="rId60" Type="http://schemas.openxmlformats.org/officeDocument/2006/relationships/image" Target="media/image52.emf"/><Relationship Id="rId81" Type="http://schemas.openxmlformats.org/officeDocument/2006/relationships/image" Target="media/image73.emf"/><Relationship Id="rId135" Type="http://schemas.openxmlformats.org/officeDocument/2006/relationships/image" Target="media/image127.emf"/><Relationship Id="rId156" Type="http://schemas.openxmlformats.org/officeDocument/2006/relationships/image" Target="media/image148.png"/><Relationship Id="rId177" Type="http://schemas.openxmlformats.org/officeDocument/2006/relationships/hyperlink" Target="https://www.czso.cz/staticke/cz/app_estat/demografie_evropy_2021/CZ_CS_demography_final_core/CZ_CS_demography_final_core/bloc-1a.html?lang=c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soud.cz/Judikatura/ns_web.nsf/web/ONejvyssimsoudu~Trestnikolegium~Soudci_TK~?openDocument&amp;lng=CZ" TargetMode="External"/><Relationship Id="rId2" Type="http://schemas.openxmlformats.org/officeDocument/2006/relationships/hyperlink" Target="http://www.nsoud.cz/Judikatura/ns_web.nsf/web/ONejvyssimsoudu~Obcanskopravniaobchodnikolegium~Soudci_OOK~?openDocument&amp;lng=CZ" TargetMode="External"/><Relationship Id="rId1" Type="http://schemas.openxmlformats.org/officeDocument/2006/relationships/hyperlink" Target="https://www.justice.cz/web/msp/statisticke-udaje-z-oblasti-justic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A9CDF-3DAD-46BC-A341-F37B0281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212</Pages>
  <Words>54214</Words>
  <Characters>319867</Characters>
  <Application>Microsoft Office Word</Application>
  <DocSecurity>0</DocSecurity>
  <Lines>2665</Lines>
  <Paragraphs>746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2023-08-28T06:36:00Z</dcterms:created>
  <dcterms:modified xsi:type="dcterms:W3CDTF">2024-03-22T10:07:00Z</dcterms:modified>
</cp:coreProperties>
</file>